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Posebni odbor za evropski ščit za demokracijo</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1407</w:t>
      </w:r>
      <w:r>
        <w:t xml:space="preserve"> - </w:t>
      </w:r>
      <w:r>
        <w:t>1655</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Ugotovitve in priporočila Posebnega odbora za evropski ščit za demokracijo</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1407</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w:t>
            </w:r>
          </w:p>
        </w:tc>
        <w:tc>
          <w:tcPr>
            <w:tcW w:w="4876" w:type="dxa"/>
            <w:tcBorders>
              <w:top w:val="nil"/>
              <w:left w:val="nil"/>
              <w:bottom w:val="nil"/>
              <w:right w:val="nil"/>
            </w:tcBorders>
          </w:tcPr>
          <w:p>
            <w:pPr>
              <w:pStyle w:val="Normal6a"/>
            </w:pPr>
            <w:r>
              <w:t>55.</w:t>
            </w:r>
            <w:r>
              <w:tab/>
            </w:r>
            <w:r>
              <w:t xml:space="preserve">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 </w:t>
            </w:r>
            <w:r>
              <w:rPr>
                <w:b/>
                <w:i/>
              </w:rPr>
              <w:t>ugotavlja, da bi bilo treba na seznam vključiti mednarodno represijo;</w:t>
            </w:r>
            <w:r>
              <w:t xml:space="preserve"> </w:t>
            </w:r>
            <w:r>
              <w:rPr>
                <w:b/>
                <w:i/>
              </w:rPr>
              <w:t>poudarja, da se lahko zmogljivosti in zavezanost držav kandidatk ali potencialnih držav kandidatk razlikujejo, zato poziva k diferenciranemu in okoliščinam prilagojenemu pristopu k izvajanju evropskega ščita za demokracijo, ki bo odražal različne ravni institucionalne zmogljivosti, strokovnega znanja in politične zavezanosti;</w:t>
            </w:r>
            <w:r>
              <w:t xml:space="preserve"> </w:t>
            </w:r>
            <w:r>
              <w:rPr>
                <w:b/>
                <w:i/>
              </w:rPr>
              <w:t>poudarja, da je kljub temu treba ohraniti jasna merila, povezana z vrednotami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1408</w:t>
      </w:r>
      <w:r>
        <w:rPr>
          <w:rStyle w:val="HideTWBExt"/>
        </w:rPr>
        <w:t>&lt;/NumAm&gt;</w:t>
      </w:r>
    </w:p>
    <w:p>
      <w:pPr>
        <w:pStyle w:val="NormalBold"/>
      </w:pPr>
      <w:r>
        <w:rPr>
          <w:rStyle w:val="HideTWBExt"/>
          <w:b w:val="0"/>
        </w:rPr>
        <w:t>&lt;RepeatBlock-By&gt;</w:t>
      </w:r>
      <w:r>
        <w:rPr>
          <w:rStyle w:val="HideTWBExt"/>
          <w:b w:val="0"/>
        </w:rPr>
        <w:t>&lt;Members&gt;</w:t>
      </w:r>
      <w:r>
        <w:t>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w:t>
            </w:r>
          </w:p>
        </w:tc>
        <w:tc>
          <w:tcPr>
            <w:tcW w:w="4876" w:type="dxa"/>
            <w:tcBorders>
              <w:top w:val="nil"/>
              <w:left w:val="nil"/>
              <w:bottom w:val="nil"/>
              <w:right w:val="nil"/>
            </w:tcBorders>
          </w:tcPr>
          <w:p>
            <w:pPr>
              <w:pStyle w:val="Normal6a"/>
            </w:pPr>
            <w:r>
              <w:t>55.</w:t>
            </w:r>
            <w:r>
              <w:tab/>
            </w:r>
            <w:r>
              <w:rPr>
                <w:b/>
                <w:i/>
              </w:rPr>
              <w:t>poudarja, da bi morala biti Unija pripravljena, da na zahtevo podpre države kandidatke pri obravnavanju dezinformacij, povezanih z volilnimi procesi, tudi z izmenjavami informacij in znanja;</w:t>
            </w:r>
            <w:r>
              <w:t xml:space="preserve"> 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1409</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w:t>
            </w:r>
          </w:p>
        </w:tc>
        <w:tc>
          <w:tcPr>
            <w:tcW w:w="4876" w:type="dxa"/>
            <w:tcBorders>
              <w:top w:val="nil"/>
              <w:left w:val="nil"/>
              <w:bottom w:val="nil"/>
              <w:right w:val="nil"/>
            </w:tcBorders>
          </w:tcPr>
          <w:p>
            <w:pPr>
              <w:pStyle w:val="Normal6a"/>
            </w:pPr>
            <w:r>
              <w:t>55.</w:t>
            </w:r>
            <w:r>
              <w:tab/>
            </w:r>
            <w:r>
              <w:t xml:space="preserve">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 </w:t>
            </w:r>
            <w:r>
              <w:rPr>
                <w:b/>
                <w:i/>
              </w:rPr>
              <w:t>vztraja, da je potrebno ustrezno financiranje, vključno z osnovnim financiranjem, na primer prek mehanizma Globalna Evropa, za podporo neodvisnim medijem v sosednjih državah;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1410</w:t>
      </w:r>
      <w:r>
        <w:rPr>
          <w:rStyle w:val="HideTWBExt"/>
        </w:rPr>
        <w:t>&lt;/NumAm&gt;</w:t>
      </w:r>
    </w:p>
    <w:p>
      <w:pPr>
        <w:pStyle w:val="NormalBold"/>
      </w:pPr>
      <w:r>
        <w:rPr>
          <w:rStyle w:val="HideTWBExt"/>
          <w:b w:val="0"/>
        </w:rPr>
        <w:t>&lt;RepeatBlock-By&gt;</w:t>
      </w:r>
      <w:r>
        <w:rPr>
          <w:rStyle w:val="HideTWBExt"/>
          <w:b w:val="0"/>
        </w:rPr>
        <w:t>&lt;Members&gt;</w:t>
      </w:r>
      <w:r>
        <w:t>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poudarja, da </w:t>
            </w:r>
            <w:r>
              <w:rPr>
                <w:b/>
                <w:i/>
              </w:rPr>
              <w:t>mora imeti evropski ščit za demokracijo močno zunanjo razsežnost;</w:t>
            </w:r>
            <w:r>
              <w:t xml:space="preserve"> </w:t>
            </w:r>
            <w:r>
              <w:rPr>
                <w:b/>
                <w:i/>
              </w:rPr>
              <w:t>pozdravlja vključitev</w:t>
            </w:r>
            <w:r>
              <w:t xml:space="preserve">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w:t>
            </w:r>
            <w:r>
              <w:rPr>
                <w:b/>
                <w:i/>
              </w:rPr>
              <w:t>, in s podpiranjem neodvisnih medijev ter novinarstva in</w:t>
            </w:r>
            <w:r>
              <w:t xml:space="preserve"> povečanjem njihove sposobnosti spremljanja dezinformacij na družbenih omrežjih pred volitvami in med njimi;</w:t>
            </w:r>
          </w:p>
        </w:tc>
        <w:tc>
          <w:tcPr>
            <w:tcW w:w="4876" w:type="dxa"/>
            <w:tcBorders>
              <w:top w:val="nil"/>
              <w:left w:val="nil"/>
              <w:bottom w:val="nil"/>
              <w:right w:val="nil"/>
            </w:tcBorders>
          </w:tcPr>
          <w:p>
            <w:pPr>
              <w:pStyle w:val="Normal6a"/>
            </w:pPr>
            <w:r>
              <w:t>55.</w:t>
            </w:r>
            <w:r>
              <w:tab/>
            </w:r>
            <w:r>
              <w:t xml:space="preserve">poudarja, da </w:t>
            </w:r>
            <w:r>
              <w:rPr>
                <w:b/>
                <w:i/>
              </w:rPr>
              <w:t>bi morala biti Unija pripravljena, da na zahtevo podpre države kandidatke pri obravnavanju dezinformacij, povezanih z volilnimi procesi, z izmenjavami informacij in znanja;</w:t>
            </w:r>
            <w:r>
              <w:t xml:space="preserve"> </w:t>
            </w:r>
            <w:r>
              <w:rPr>
                <w:b/>
                <w:i/>
              </w:rPr>
              <w:t>je seznanjen z vključitvijo</w:t>
            </w:r>
            <w:r>
              <w:t xml:space="preserve">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w:t>
            </w:r>
            <w:r>
              <w:rPr>
                <w:b/>
                <w:i/>
              </w:rPr>
              <w:t>in s</w:t>
            </w:r>
            <w:r>
              <w:t xml:space="preserve"> povečanjem njihove sposobnosti spremljanja dezinformacij na družbenih omrežjih pred volitvami in med njimi;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poudarja, da mora imeti evropski ščit za demokracijo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w:t>
            </w:r>
          </w:p>
        </w:tc>
        <w:tc>
          <w:tcPr>
            <w:tcW w:w="4876" w:type="dxa"/>
            <w:tcBorders>
              <w:top w:val="nil"/>
              <w:left w:val="nil"/>
              <w:bottom w:val="nil"/>
              <w:right w:val="nil"/>
            </w:tcBorders>
          </w:tcPr>
          <w:p>
            <w:pPr>
              <w:pStyle w:val="Normal6a"/>
            </w:pPr>
            <w:r>
              <w:t>55.</w:t>
            </w:r>
            <w:r>
              <w:tab/>
            </w:r>
            <w:r>
              <w:t xml:space="preserve">poudarja, da mora imeti evropski ščit za demokracijo </w:t>
            </w:r>
            <w:r>
              <w:rPr>
                <w:b/>
                <w:i/>
              </w:rPr>
              <w:t>predvsem</w:t>
            </w:r>
            <w:r>
              <w:t xml:space="preserve"> močno zunanjo razsežnost; pozdravlja vključitev posebnih ukrepov v skupno sporočilo, katerih cilj je podpreti države zunaj meja EU, zlasti z omogočanjem krepitve zmogljivosti za izboljšanje odpornosti držav kandidatk in potencialnih držav kandidatk proti tujemu manipuliranju z informacijami in vmešavanju ter hibridnemu vmešavanju, in s podpiranjem neodvisnih medijev ter novinarstva in povečanjem njihove sposobnosti spremljanja dezinformacij na družbenih omrežjih pred volitvami in med njimi;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55a.</w:t>
            </w:r>
            <w:r>
              <w:tab/>
            </w:r>
            <w:r>
              <w:rPr>
                <w:b/>
                <w:i/>
              </w:rPr>
              <w:t>poudarja, da bi bilo treba cilje in področje zaščite evropskega ščita za demokracijo izrecno razširiti na države kandidatke, pri čemer je potreben diferenciran in okoliščinam prilagojen pristop, saj so bolj izpostavljene tujemu manipuliranju z informacijami in vmešavanju, hibridnim grožnjam in poskusom spodkopavanja demokratičnih institucij;</w:t>
            </w:r>
            <w:r>
              <w:t xml:space="preserve"> </w:t>
            </w:r>
            <w:r>
              <w:rPr>
                <w:b/>
                <w:i/>
              </w:rPr>
              <w:t>poudarja, da krepitev demokratične odpornosti v teh državah ni bistvena le za verodostojnost širitvenega procesa EU, temveč tudi za varnost in demokratično stabilnost Unije kot celote;</w:t>
            </w:r>
            <w:r>
              <w:t xml:space="preserve"> </w:t>
            </w:r>
            <w:r>
              <w:rPr>
                <w:b/>
                <w:i/>
              </w:rPr>
              <w:t>poziva Komisijo in ESZD, naj zagotovita, da bodo države kandidatke sistematično vključene v ustrezne ukrepe, podporne mehanizme in ukrepe za krepitev zmogljivosti v okviru zunanje razsežnosti evropskega ščita za demokracijo;</w:t>
            </w:r>
            <w:r>
              <w:t xml:space="preserve"> </w:t>
            </w:r>
            <w:r>
              <w:rPr>
                <w:b/>
                <w:i/>
              </w:rPr>
              <w:t>poziva Komisijo, naj spodbuja in podpira dejavno sodelovanje držav kandidatk v vseh ustreznih instrumentih in pobudah v okviru evropskega ščita za demokracijo;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55a.</w:t>
            </w:r>
            <w:r>
              <w:tab/>
            </w:r>
            <w:r>
              <w:rPr>
                <w:b/>
                <w:i/>
              </w:rPr>
              <w:t>ugotavlja, da je dolgoletni cilj Moskve oslabiti čezatlantske vezi in Združene države Amerike potisniti iz Evrope, ter izraža zaskrbljenost glede vseh pobud, ki bi lahko ogrozile sodelovanje med Evropo in Združenimi državami Amerike;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55b.</w:t>
            </w:r>
            <w:r>
              <w:tab/>
            </w:r>
            <w:r>
              <w:rPr>
                <w:b/>
                <w:i/>
              </w:rPr>
              <w:t>poziva Komisijo, naj podpre države kandidatke in potencialne kandidatke pri razvoju in izvajanju digitalnih in medijskih pravilnikov EU ter olajša izmenjave z organi držav članic, da bi preprečila regulativne vrzeli in čezmejne učinke prelivanja;</w:t>
            </w:r>
            <w:r>
              <w:t xml:space="preserve"> </w:t>
            </w:r>
            <w:r>
              <w:rPr>
                <w:b/>
                <w:i/>
              </w:rPr>
              <w:t>poudarja potrebo po strukturiranem udejstvovanju Komisije v odnosih s spletnimi platformami v državah kandidatkah, zlasti v kontekstu volitev, da bi zagotovila odgovornost platform, blažitev tveganja in skladnost namesto ad hoc ukrepov ali ukrepov, ki jih narekuje kriza;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55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55c.</w:t>
            </w:r>
            <w:r>
              <w:tab/>
            </w:r>
            <w:r>
              <w:rPr>
                <w:b/>
                <w:i/>
              </w:rPr>
              <w:t>se zaveda vodilne vloge Tajvana pri visokotehnološkem razvoju in njegovih bogatih izkušenj z obrambo pred kitajskimi hibridnimi napadi ter tujim manipuliranjem z informacijami in vmešavanjem, ki bi jih bilo treba v prvi vrsti upoštevati pri ocenjevanju možnosti za krepitev večstranske izmenjave in sodelovanja;</w:t>
            </w:r>
            <w:r>
              <w:t xml:space="preserve"> </w:t>
            </w:r>
            <w:r>
              <w:rPr>
                <w:b/>
                <w:i/>
              </w:rPr>
              <w:t>poziva k rednim izmenjavam med EU in njenimi tajvanskimi sogovorniki o pomembnih varnostnih vprašanjih ter k tesnejšemu sodelovanju pri boju proti tujemu manipuliranju z informacijami in vmešavanju ter sabotaži podmorskih kablov;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1416</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podpira idejo o uporabi diplomatskih kanalov za krepitev zmogljivosti v prednostnih regijah; meni, da je vloga delegacij EU in veleposlaništev držav članic EU ključnega pomena za boljše razumevanje lokalnih okoliščin</w:t>
            </w:r>
            <w:r>
              <w:rPr>
                <w:b/>
                <w:i/>
              </w:rPr>
              <w:t>, ki lahko privedejo do tujega vmešavanja, in za zagotavljanje prilagojenega odziva</w:t>
            </w:r>
            <w:r>
              <w:t xml:space="preserve">; </w:t>
            </w:r>
            <w:r>
              <w:rPr>
                <w:b/>
                <w:i/>
              </w:rPr>
              <w:t>opozarja na možnost, da bi delegacije EU in veleposlaništva držav članic podprle organizacijo kampanj za ozaveščanje v državah gostiteljicah;</w:t>
            </w:r>
            <w:r>
              <w:t xml:space="preserve"> </w:t>
            </w:r>
            <w:r>
              <w:rPr>
                <w:b/>
                <w:i/>
              </w:rPr>
              <w:t>poudarja pomen vključevanja misij in operacij skupne varnostne in obrambne politike (SVOP) v ukrepe, predvidene v skupnem sporočilu;</w:t>
            </w:r>
            <w:r>
              <w:t xml:space="preserve"> </w:t>
            </w:r>
            <w:r>
              <w:rPr>
                <w:b/>
                <w:i/>
              </w:rPr>
              <w:t>poziva države članice in ESZD, naj v posamezne mandate misij in operacij vključijo dejavnosti za krepitev zmogljivosti in usposabljanje o hibridnih grožnjah, da bi povečale pripravljenost nacionalnih partnerjev;</w:t>
            </w:r>
          </w:p>
        </w:tc>
        <w:tc>
          <w:tcPr>
            <w:tcW w:w="4876" w:type="dxa"/>
            <w:tcBorders>
              <w:top w:val="nil"/>
              <w:left w:val="nil"/>
              <w:bottom w:val="nil"/>
              <w:right w:val="nil"/>
            </w:tcBorders>
          </w:tcPr>
          <w:p>
            <w:pPr>
              <w:pStyle w:val="Normal6a"/>
            </w:pPr>
            <w:r>
              <w:t>56.</w:t>
            </w:r>
            <w:r>
              <w:tab/>
            </w:r>
            <w:r>
              <w:t xml:space="preserve">podpira idejo o uporabi diplomatskih kanalov za krepitev </w:t>
            </w:r>
            <w:r>
              <w:rPr>
                <w:b/>
                <w:i/>
              </w:rPr>
              <w:t>diplomatskih</w:t>
            </w:r>
            <w:r>
              <w:t xml:space="preserve"> zmogljivosti v prednostnih regijah; meni, da je vloga delegacij EU in veleposlaništev držav članic EU ključnega pomena za boljše razumevanje lokalnih okoliščin;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w:t>
            </w:r>
            <w:r>
              <w:rPr>
                <w:b/>
                <w:i/>
              </w:rPr>
              <w:t>opozarja na možnost, da bi</w:t>
            </w:r>
            <w:r>
              <w:t xml:space="preserve"> delegacije EU in veleposlaništva držav članic </w:t>
            </w:r>
            <w:r>
              <w:rPr>
                <w:b/>
                <w:i/>
              </w:rPr>
              <w:t>podprle</w:t>
            </w:r>
            <w:r>
              <w:t xml:space="preserve"> organizacijo kampanj </w:t>
            </w:r>
            <w:r>
              <w:rPr>
                <w:b/>
                <w:i/>
              </w:rPr>
              <w:t>za ozaveščanje</w:t>
            </w:r>
            <w:r>
              <w:t xml:space="preserve"> v državah gostiteljicah; poudarja pomen vključevanja misij in operacij skupne varnostne in obrambne politike (SVOP) v ukrepe, predvidene v skupnem sporočilu; poziva države članice in </w:t>
            </w:r>
            <w:r>
              <w:rPr>
                <w:b/>
                <w:i/>
              </w:rPr>
              <w:t>ESZD, naj v posamezne mandate misij in operacij vključijo</w:t>
            </w:r>
            <w:r>
              <w:t xml:space="preserve"> dejavnosti za krepitev zmogljivosti in usposabljanje o hibridnih grožnjah, da bi </w:t>
            </w:r>
            <w:r>
              <w:rPr>
                <w:b/>
                <w:i/>
              </w:rPr>
              <w:t>povečale</w:t>
            </w:r>
            <w:r>
              <w:t xml:space="preserve"> pripravljenost nacionalnih partnerjev;</w:t>
            </w:r>
          </w:p>
        </w:tc>
        <w:tc>
          <w:tcPr>
            <w:tcW w:w="4876" w:type="dxa"/>
            <w:tcBorders>
              <w:top w:val="nil"/>
              <w:left w:val="nil"/>
              <w:bottom w:val="nil"/>
              <w:right w:val="nil"/>
            </w:tcBorders>
          </w:tcPr>
          <w:p>
            <w:pPr>
              <w:pStyle w:val="Normal6a"/>
            </w:pPr>
            <w:r>
              <w:t>56.</w:t>
            </w:r>
            <w:r>
              <w:tab/>
            </w:r>
            <w:r>
              <w:t xml:space="preserve">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w:t>
            </w:r>
            <w:r>
              <w:rPr>
                <w:b/>
                <w:i/>
              </w:rPr>
              <w:t>je seznanjen z možnostjo, da</w:t>
            </w:r>
            <w:r>
              <w:t xml:space="preserve"> delegacije EU in veleposlaništva držav članic </w:t>
            </w:r>
            <w:r>
              <w:rPr>
                <w:b/>
                <w:i/>
              </w:rPr>
              <w:t>podprejo</w:t>
            </w:r>
            <w:r>
              <w:t xml:space="preserve"> organizacijo kampanj </w:t>
            </w:r>
            <w:r>
              <w:rPr>
                <w:b/>
                <w:i/>
              </w:rPr>
              <w:t>ozaveščanja</w:t>
            </w:r>
            <w:r>
              <w:t xml:space="preserve"> v državah gostiteljicah</w:t>
            </w:r>
            <w:r>
              <w:rPr>
                <w:b/>
                <w:i/>
              </w:rPr>
              <w:t>, pod pogojem, da so te dejavnosti še naprej usmerjene izključno v dejstva, varnost in spoštovanje lokalnih političnih in družbenih razmer</w:t>
            </w:r>
            <w:r>
              <w:t xml:space="preserve">; poudarja pomen vključevanja misij in operacij skupne varnostne in obrambne politike (SVOP) v ukrepe, predvidene v skupnem sporočilu; poziva države članice in </w:t>
            </w:r>
            <w:r>
              <w:rPr>
                <w:b/>
                <w:i/>
              </w:rPr>
              <w:t>Evropsko službo za zunanje delovanje, naj</w:t>
            </w:r>
            <w:r>
              <w:t xml:space="preserve"> dejavnosti za krepitev zmogljivosti in usposabljanje o hibridnih grožnjah </w:t>
            </w:r>
            <w:r>
              <w:rPr>
                <w:b/>
                <w:i/>
              </w:rPr>
              <w:t>vključijo v posamezne mandate misij in operacij, kadar je to ustrezno in primerno, ob polnem spoštovanju njihove civilne ali vojaške narave in njihovih glavnih varnostnih ciljev</w:t>
            </w:r>
            <w:r>
              <w:t xml:space="preserve">, da bi </w:t>
            </w:r>
            <w:r>
              <w:rPr>
                <w:b/>
                <w:i/>
              </w:rPr>
              <w:t>povečali</w:t>
            </w:r>
            <w:r>
              <w:t xml:space="preserve"> pripravljenost nacionalnih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rPr>
                <w:b/>
                <w:i/>
              </w:rPr>
              <w:t>podpira idejo o uporabi diplomatskih kanalov za krepitev zmogljivosti v prednostnih regijah;</w:t>
            </w:r>
            <w:r>
              <w:t xml:space="preserve">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w:t>
            </w:r>
            <w:r>
              <w:rPr>
                <w:b/>
                <w:i/>
              </w:rPr>
              <w:t>poudarja pomen vključevanja misij in operacij skupne varnostne in obrambne politike (SVOP) v ukrepe, predvidene v skupnem sporočilu;</w:t>
            </w:r>
            <w:r>
              <w:t xml:space="preserve"> poziva države članice in ESZD, naj v posamezne mandate misij in operacij </w:t>
            </w:r>
            <w:r>
              <w:rPr>
                <w:b/>
                <w:i/>
              </w:rPr>
              <w:t>vključijo dejavnosti za krepitev zmogljivosti in</w:t>
            </w:r>
            <w:r>
              <w:t xml:space="preserve"> usposabljanje o hibridnih grožnjah, da bi </w:t>
            </w:r>
            <w:r>
              <w:rPr>
                <w:b/>
                <w:i/>
              </w:rPr>
              <w:t>povečale</w:t>
            </w:r>
            <w:r>
              <w:t xml:space="preserve"> pripravljenost nacionalnih partnerjev;</w:t>
            </w:r>
          </w:p>
        </w:tc>
        <w:tc>
          <w:tcPr>
            <w:tcW w:w="4876" w:type="dxa"/>
            <w:tcBorders>
              <w:top w:val="nil"/>
              <w:left w:val="nil"/>
              <w:bottom w:val="nil"/>
              <w:right w:val="nil"/>
            </w:tcBorders>
          </w:tcPr>
          <w:p>
            <w:pPr>
              <w:pStyle w:val="Normal6a"/>
            </w:pPr>
            <w:r>
              <w:t>56.</w:t>
            </w:r>
            <w:r>
              <w:tab/>
            </w:r>
            <w:r>
              <w:t xml:space="preserve">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poziva države članice in ESZD, naj </w:t>
            </w:r>
            <w:r>
              <w:rPr>
                <w:b/>
                <w:i/>
              </w:rPr>
              <w:t>poskrbijo, da bo</w:t>
            </w:r>
            <w:r>
              <w:t xml:space="preserve"> v posamezne mandate misij in operacij </w:t>
            </w:r>
            <w:r>
              <w:rPr>
                <w:b/>
                <w:i/>
              </w:rPr>
              <w:t>vključeno</w:t>
            </w:r>
            <w:r>
              <w:t xml:space="preserve"> usposabljanje o hibridnih grožnjah, da bi </w:t>
            </w:r>
            <w:r>
              <w:rPr>
                <w:b/>
                <w:i/>
              </w:rPr>
              <w:t>se povečala</w:t>
            </w:r>
            <w:r>
              <w:t xml:space="preserve"> pripravljenost nacionalnih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poudarja pomen vključevanja misij in operacij skupne varnostne in obrambne politike (SVOP) v ukrepe, predvidene v skupnem sporočilu; poziva države članice in ESZD, naj v posamezne mandate misij in operacij vključijo dejavnosti za krepitev zmogljivosti in usposabljanje o hibridnih grožnjah, da bi povečale pripravljenost nacionalnih partnerjev;</w:t>
            </w:r>
          </w:p>
        </w:tc>
        <w:tc>
          <w:tcPr>
            <w:tcW w:w="4876" w:type="dxa"/>
            <w:tcBorders>
              <w:top w:val="nil"/>
              <w:left w:val="nil"/>
              <w:bottom w:val="nil"/>
              <w:right w:val="nil"/>
            </w:tcBorders>
          </w:tcPr>
          <w:p>
            <w:pPr>
              <w:pStyle w:val="Normal6a"/>
            </w:pPr>
            <w:r>
              <w:t>56.</w:t>
            </w:r>
            <w:r>
              <w:tab/>
            </w:r>
            <w:r>
              <w:t xml:space="preserve">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w:t>
            </w:r>
            <w:r>
              <w:rPr>
                <w:b/>
                <w:i/>
              </w:rPr>
              <w:t>zato je zaskrbljen zaradi poročil o tveganju morebitnega krčenja delegacij EU in njihovega osebja, zlasti glede na vse večje mednarodne izzive in geopolitične napetosti;</w:t>
            </w:r>
            <w:r>
              <w:t xml:space="preserve"> poudarja pomen vključevanja misij in operacij skupne varnostne in obrambne politike (SVOP) v ukrepe, predvidene v skupnem sporočilu; poziva države članice in ESZD, naj v posamezne mandate misij in operacij vključijo dejavnosti za krepitev zmogljivosti in usposabljanje o hibridnih grožnjah, da bi povečale pripravljenost nacionalnih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1420</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podpira idejo o uporabi diplomatskih kanalov za krepitev zmogljivosti v prednostnih regijah; meni, da je vloga </w:t>
            </w:r>
            <w:r>
              <w:rPr>
                <w:b/>
                <w:i/>
              </w:rPr>
              <w:t>delegacij EU in</w:t>
            </w:r>
            <w:r>
              <w:t xml:space="preserve"> veleposlaništev držav članic EU ključnega pomena za boljše razumevanje lokalnih okoliščin, ki lahko privedejo do tujega vmešavanja, in za zagotavljanje prilagojenega odziva; opozarja na možnost, da bi </w:t>
            </w:r>
            <w:r>
              <w:rPr>
                <w:b/>
                <w:i/>
              </w:rPr>
              <w:t>delegacije EU in</w:t>
            </w:r>
            <w:r>
              <w:t xml:space="preserve"> veleposlaništva držav članic podprle organizacijo kampanj za ozaveščanje v državah gostiteljicah</w:t>
            </w:r>
            <w:r>
              <w:rPr>
                <w:b/>
                <w:i/>
              </w:rPr>
              <w:t>;</w:t>
            </w:r>
            <w:r>
              <w:t xml:space="preserve"> </w:t>
            </w:r>
            <w:r>
              <w:rPr>
                <w:b/>
                <w:i/>
              </w:rPr>
              <w:t>poudarja pomen vključevanja misij in operacij skupne varnostne in obrambne politike (SVOP) v ukrepe, predvidene v skupnem sporočilu</w:t>
            </w:r>
            <w:r>
              <w:t>; poziva države članice in ESZD, naj v posamezne mandate misij in operacij vključijo dejavnosti za krepitev zmogljivosti in usposabljanje o hibridnih grožnjah, da bi povečale pripravljenost nacionalnih partnerjev;</w:t>
            </w:r>
          </w:p>
        </w:tc>
        <w:tc>
          <w:tcPr>
            <w:tcW w:w="4876" w:type="dxa"/>
            <w:tcBorders>
              <w:top w:val="nil"/>
              <w:left w:val="nil"/>
              <w:bottom w:val="nil"/>
              <w:right w:val="nil"/>
            </w:tcBorders>
          </w:tcPr>
          <w:p>
            <w:pPr>
              <w:pStyle w:val="Normal6a"/>
            </w:pPr>
            <w:r>
              <w:t>56.</w:t>
            </w:r>
            <w:r>
              <w:tab/>
            </w:r>
            <w:r>
              <w:t>podpira idejo o uporabi diplomatskih kanalov za krepitev zmogljivosti v prednostnih regijah; meni, da je vloga veleposlaništev držav članic EU ključnega pomena za boljše razumevanje lokalnih okoliščin, ki lahko privedejo do tujega vmešavanja, in za zagotavljanje prilagojenega odziva; opozarja na možnost, da bi veleposlaništva držav članic podprle organizacijo kampanj za ozaveščanje v državah gostiteljicah; poziva države članice in ESZD, naj v posamezne mandate misij in operacij vključijo dejavnosti za krepitev zmogljivosti in usposabljanje o hibridnih grožnjah, da bi povečale pripravljenost nacionalnih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poudarja pomen vključevanja misij in operacij skupne varnostne in obrambne politike (SVOP) v ukrepe, predvidene v skupnem sporočilu; poziva države članice in ESZD, naj v posamezne mandate misij in operacij vključijo dejavnosti za krepitev zmogljivosti in usposabljanje o hibridnih grožnjah, da bi povečale pripravljenost nacionalnih partnerjev;</w:t>
            </w:r>
          </w:p>
        </w:tc>
        <w:tc>
          <w:tcPr>
            <w:tcW w:w="4876" w:type="dxa"/>
            <w:tcBorders>
              <w:top w:val="nil"/>
              <w:left w:val="nil"/>
              <w:bottom w:val="nil"/>
              <w:right w:val="nil"/>
            </w:tcBorders>
          </w:tcPr>
          <w:p>
            <w:pPr>
              <w:pStyle w:val="Normal6a"/>
            </w:pPr>
            <w:r>
              <w:t>56.</w:t>
            </w:r>
            <w:r>
              <w:tab/>
            </w:r>
            <w:r>
              <w:t xml:space="preserve">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poudarja pomen vključevanja misij in operacij skupne varnostne in obrambne politike (SVOP) v ukrepe, predvidene v skupnem sporočilu; poziva države članice in ESZD, naj v posamezne mandate misij in operacij vključijo dejavnosti za krepitev zmogljivosti in usposabljanje o hibridnih grožnjah, da bi povečale pripravljenost nacionalnih partnerjev </w:t>
            </w:r>
            <w:r>
              <w:rPr>
                <w:b/>
                <w:i/>
              </w:rPr>
              <w:t>ter uporabile delovanje agencije Frontex v tretjih državah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poudarja pomen vključevanja misij in operacij skupne varnostne in obrambne politike (SVOP) v ukrepe, predvidene v skupnem sporočilu; poziva države članice in ESZD, naj </w:t>
            </w:r>
            <w:r>
              <w:rPr>
                <w:b/>
                <w:i/>
              </w:rPr>
              <w:t>v posamezne mandate misij in operacij</w:t>
            </w:r>
            <w:r>
              <w:t xml:space="preserve"> vključijo dejavnosti za krepitev zmogljivosti in usposabljanje </w:t>
            </w:r>
            <w:r>
              <w:rPr>
                <w:b/>
                <w:i/>
              </w:rPr>
              <w:t>o hibridnih grožnjah</w:t>
            </w:r>
            <w:r>
              <w:t>, da bi povečale pripravljenost nacionalnih partnerjev;</w:t>
            </w:r>
          </w:p>
        </w:tc>
        <w:tc>
          <w:tcPr>
            <w:tcW w:w="4876" w:type="dxa"/>
            <w:tcBorders>
              <w:top w:val="nil"/>
              <w:left w:val="nil"/>
              <w:bottom w:val="nil"/>
              <w:right w:val="nil"/>
            </w:tcBorders>
          </w:tcPr>
          <w:p>
            <w:pPr>
              <w:pStyle w:val="Normal6a"/>
            </w:pPr>
            <w:r>
              <w:t>56.</w:t>
            </w:r>
            <w:r>
              <w:tab/>
            </w:r>
            <w:r>
              <w:t>podpira idejo o uporabi diplomatskih kanalov za krepitev zmogljivosti v prednostnih regijah; meni, da je vloga delegacij EU in veleposlaništev držav članic EU ključnega pomena za boljše razumevanje lokalnih okoliščin, ki lahko privedejo do tujega vmešavanja, in za zagotavljanje prilagojenega odziva; opozarja na možnost, da bi delegacije EU in veleposlaništva držav članic podprle organizacijo kampanj za ozaveščanje v državah gostiteljicah; poudarja pomen vključevanja misij in operacij skupne varnostne in obrambne politike (SVOP) v ukrepe, predvidene v skupnem sporočilu; poziva države članice in ESZD, naj vključijo dejavnosti za krepitev zmogljivosti in usposabljanje, da bi povečale pripravljenost nacionalnih partnerjev;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56a.</w:t>
            </w:r>
            <w:r>
              <w:tab/>
            </w:r>
            <w:r>
              <w:rPr>
                <w:b/>
                <w:i/>
              </w:rPr>
              <w:t>poudarja, da lahko strokovnjaki iz držav kandidatk in potencialnih kandidatk ponudijo edinstveno strokovno znanje in poglede na tuje vmešavanje in izvajanje pobud za demokracijo;</w:t>
            </w:r>
            <w:r>
              <w:t xml:space="preserve"> </w:t>
            </w:r>
            <w:r>
              <w:rPr>
                <w:b/>
                <w:i/>
              </w:rPr>
              <w:t>v zvezi s tem</w:t>
            </w:r>
            <w:r>
              <w:t xml:space="preserve"> </w:t>
            </w:r>
            <w:r>
              <w:rPr>
                <w:b/>
                <w:i/>
              </w:rPr>
              <w:t>poziva Komisijo, naj dejavno spodbuja in podpira sodelovanje držav kandidatk in potencialnih kandidatk v vseh instrumentih in pobudah v okviru evropskega ščita za demokracijo, vključno s prostovoljnimi mehanizmi, ter zagotovi sistematično vključevanje predstavnikov teh držav v vse predvidene neodvisne mreže strokovnjakov in oblike sodelovanja;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poziva k oblikovanju celovite strategije, v skladu s katero bi lahko delegacije EU ter misije in operacije SVOP v tesnem sodelovanju z diplomatskimi misijami držav članic EU učinkoviteje delovale kot prva obrambna črta pred hibridnimi napadi, vključno s kibernetskimi operacijami ter operacijami tujega manipuliranja z informacijami in vmešavanja;</w:t>
            </w:r>
            <w:r>
              <w:t xml:space="preserve"> </w:t>
            </w:r>
            <w:r>
              <w:rPr>
                <w:b/>
                <w:i/>
              </w:rPr>
              <w:t>meni, da so okrepljene zmogljivosti za strateško komuniciranje in javno diplomacijo v delegacijah EU ključnega pomena, s poudarkom na spodbujanju diskurza, ki temelji na dejstvih, državljanskem udejstvovanju in krepitvi zaupanja, zlasti med mladimi in izobraževalci;</w:t>
            </w:r>
            <w:r>
              <w:t xml:space="preserve"> </w:t>
            </w:r>
            <w:r>
              <w:rPr>
                <w:b/>
                <w:i/>
              </w:rPr>
              <w:t>poziva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poziva k oblikovanju celovite strategije, v skladu s katero bi lahko delegacije EU ter misije in operacije SVOP v tesnem sodelovanju z diplomatskimi misijami držav članic EU učinkoviteje delovale kot prva obrambna črta pred hibridnimi napadi, vključno s kibernetskimi operacijami ter operacijami tujega manipuliranja z informacijami in vmešavanja; meni, da so okrepljene zmogljivosti za strateško komuniciranje in javno diplomacijo v delegacijah EU ključnega pomena, s poudarkom na spodbujanju diskurza, ki temelji na dejstvih, državljanskem udejstvovanju in krepitvi zaupanja, zlasti med mladimi in izobraževalci; poziva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w:t>
            </w:r>
          </w:p>
        </w:tc>
        <w:tc>
          <w:tcPr>
            <w:tcW w:w="4876" w:type="dxa"/>
            <w:tcBorders>
              <w:top w:val="nil"/>
              <w:left w:val="nil"/>
              <w:bottom w:val="nil"/>
              <w:right w:val="nil"/>
            </w:tcBorders>
          </w:tcPr>
          <w:p>
            <w:pPr>
              <w:pStyle w:val="Normal6a"/>
            </w:pPr>
            <w:r>
              <w:t>57.</w:t>
            </w:r>
            <w:r>
              <w:tab/>
            </w:r>
            <w:r>
              <w:t>poziva k oblikovanju celovite strategije, v skladu s katero bi lahko delegacije EU ter misije in operacije SVOP v tesnem sodelovanju z diplomatskimi misijami držav članic EU učinkoviteje delovale kot prva obrambna črta pred hibridnimi napadi, vključno s kibernetskimi operacijami ter operacijami tujega manipuliranja z informacijami in vmešavanja; meni, da so okrepljene zmogljivosti za strateško komuniciranje in javno diplomacijo v delegacijah EU ključnega pomena, s poudarkom na spodbujanju diskurza, ki temelji na dejstvih, državljanskem udejstvovanju in krepitvi zaupanja, zlasti med mladimi in izobraževalci; poziva</w:t>
            </w:r>
            <w:r>
              <w:rPr>
                <w:b/>
                <w:i/>
              </w:rPr>
              <w:t>, naj se izvaja strateško komuniciranje misij in operacij SVOP po vsem svetu, zlasti v neposrednem sosedstvu EU in državah kandidatkah;</w:t>
            </w:r>
            <w:r>
              <w:t xml:space="preserve"> </w:t>
            </w:r>
            <w:r>
              <w:rPr>
                <w:b/>
                <w:i/>
              </w:rPr>
              <w:t>poziva, naj se povečata prepoznavnost koristi, prisotnosti in vloge misij in operacij SVOP ter strateško komuniciranje v zvezi z njimi;</w:t>
            </w:r>
            <w:r>
              <w:t xml:space="preserve"> </w:t>
            </w:r>
            <w:r>
              <w:rPr>
                <w:b/>
                <w:i/>
              </w:rPr>
              <w:t>poudarja, da misije in operacije SVOP najbolj oprijemljivo na zunaj kažejo moč EU, zato so izredno pomemben del strateških orodij EU;</w:t>
            </w:r>
            <w:r>
              <w:t xml:space="preserve"> </w:t>
            </w:r>
            <w:r>
              <w:rPr>
                <w:b/>
                <w:i/>
              </w:rPr>
              <w:t>poziva</w:t>
            </w:r>
            <w:r>
              <w:t xml:space="preserve">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 </w:t>
            </w:r>
            <w:r>
              <w:rPr>
                <w:b/>
                <w:i/>
              </w:rPr>
              <w:t>poudarja, da je treba poglobiti sodelovanje z Natom, njegovim centrom odličnosti za strateško komuniciranje in evropsko mrežo za kibernetsko varnost, da bi se borili proti dezinformacijam in kibernetskim napadom;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1426</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rPr>
                <w:b/>
                <w:i/>
              </w:rPr>
              <w:t>poziva k oblikovanju celovite strategije, v skladu s katero bi lahko delegacije EU ter misije in operacije SVOP v tesnem sodelovanju z diplomatskimi misijami držav članic EU učinkoviteje delovale kot prva obrambna črta pred hibridnimi napadi, vključno s kibernetskimi operacijami ter operacijami tujega manipuliranja z informacijami in vmešavanja;</w:t>
            </w:r>
            <w:r>
              <w:t xml:space="preserve"> </w:t>
            </w:r>
            <w:r>
              <w:rPr>
                <w:b/>
                <w:i/>
              </w:rPr>
              <w:t>meni, da so okrepljene zmogljivosti za strateško komuniciranje in javno diplomacijo v delegacijah EU ključnega pomena, s poudarkom na spodbujanju diskurza, ki temelji na dejstvih, državljanskem udejstvovanju in krepitvi zaupanja, zlasti med mladimi in izobraževalci;</w:t>
            </w:r>
            <w:r>
              <w:t xml:space="preserve"> poziva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w:t>
            </w:r>
          </w:p>
        </w:tc>
        <w:tc>
          <w:tcPr>
            <w:tcW w:w="4876" w:type="dxa"/>
            <w:tcBorders>
              <w:top w:val="nil"/>
              <w:left w:val="nil"/>
              <w:bottom w:val="nil"/>
              <w:right w:val="nil"/>
            </w:tcBorders>
          </w:tcPr>
          <w:p>
            <w:pPr>
              <w:pStyle w:val="Normal6a"/>
            </w:pPr>
            <w:r>
              <w:t>57.</w:t>
            </w:r>
            <w:r>
              <w:tab/>
            </w:r>
            <w:r>
              <w:t>poziva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1427</w:t>
      </w:r>
      <w:r>
        <w:rPr>
          <w:rStyle w:val="HideTWBExt"/>
        </w:rPr>
        <w:t>&lt;/NumAm&gt;</w:t>
      </w:r>
    </w:p>
    <w:p>
      <w:pPr>
        <w:pStyle w:val="NormalBold"/>
      </w:pPr>
      <w:r>
        <w:rPr>
          <w:rStyle w:val="HideTWBExt"/>
          <w:b w:val="0"/>
        </w:rPr>
        <w:t>&lt;RepeatBlock-By&gt;</w:t>
      </w:r>
      <w:r>
        <w:rPr>
          <w:rStyle w:val="HideTWBExt"/>
          <w:b w:val="0"/>
        </w:rPr>
        <w:t>&lt;Members&gt;</w:t>
      </w:r>
      <w:r>
        <w:t>Jaroslav Bžoch,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poziva k oblikovanju celovite strategije, v skladu s katero bi lahko delegacije </w:t>
            </w:r>
            <w:r>
              <w:rPr>
                <w:b/>
                <w:i/>
              </w:rPr>
              <w:t>EU ter</w:t>
            </w:r>
            <w:r>
              <w:t xml:space="preserve"> misije </w:t>
            </w:r>
            <w:r>
              <w:rPr>
                <w:b/>
                <w:i/>
              </w:rPr>
              <w:t>in operacije SVOP</w:t>
            </w:r>
            <w:r>
              <w:t xml:space="preserve"> v tesnem sodelovanju z diplomatskimi misijami držav članic EU učinkoviteje delovale kot prva obrambna črta pred hibridnimi napadi, vključno s kibernetskimi operacijami ter operacijami tujega manipuliranja z informacijami in vmešavanja; </w:t>
            </w:r>
            <w:r>
              <w:rPr>
                <w:b/>
                <w:i/>
              </w:rPr>
              <w:t>meni, da so okrepljene zmogljivosti za strateško komuniciranje in javno diplomacijo v delegacijah EU ključnega pomena, s poudarkom na spodbujanju diskurza, ki temelji na dejstvih, državljanskem udejstvovanju in krepitvi zaupanja, zlasti med mladimi in izobraževalci;</w:t>
            </w:r>
            <w:r>
              <w:t xml:space="preserve"> poziva podpredsednico Komisije/visoko predstavnico Unije za zunanje zadeve in varnostno politiko ter Svet, naj </w:t>
            </w:r>
            <w:r>
              <w:rPr>
                <w:b/>
                <w:i/>
              </w:rPr>
              <w:t>v misije SVOP vključita skupine za spremljanje dezinformacij in odzivanje nanje,</w:t>
            </w:r>
            <w:r>
              <w:t xml:space="preserve"> zagotovita usposabljanje celotnega osebja misije na temo tujega manipuliranja z informacijami in vmešavanja ter okrepita usklajevanje med civilnimi in vojaškimi operacijami za boj proti hibridnemu vplivanju;</w:t>
            </w:r>
          </w:p>
        </w:tc>
        <w:tc>
          <w:tcPr>
            <w:tcW w:w="4876" w:type="dxa"/>
            <w:tcBorders>
              <w:top w:val="nil"/>
              <w:left w:val="nil"/>
              <w:bottom w:val="nil"/>
              <w:right w:val="nil"/>
            </w:tcBorders>
          </w:tcPr>
          <w:p>
            <w:pPr>
              <w:pStyle w:val="Normal6a"/>
            </w:pPr>
            <w:r>
              <w:t>57.</w:t>
            </w:r>
            <w:r>
              <w:tab/>
            </w:r>
            <w:r>
              <w:t xml:space="preserve">poziva k oblikovanju celovite strategije, v skladu s katero bi lahko delegacije </w:t>
            </w:r>
            <w:r>
              <w:rPr>
                <w:b/>
                <w:i/>
              </w:rPr>
              <w:t>in</w:t>
            </w:r>
            <w:r>
              <w:t xml:space="preserve"> misije </w:t>
            </w:r>
            <w:r>
              <w:rPr>
                <w:b/>
                <w:i/>
              </w:rPr>
              <w:t>EU</w:t>
            </w:r>
            <w:r>
              <w:t xml:space="preserve"> v tesnem sodelovanju z diplomatskimi misijami držav članic EU učinkoviteje delovale kot prva obrambna črta pred hibridnimi napadi, vključno s kibernetskimi operacijami ter operacijami tujega manipuliranja z informacijami in vmešavanja; poziva podpredsednico Komisije/visoko predstavnico Unije za zunanje zadeve in varnostno politiko ter Svet, naj zagotovita usposabljanje celotnega osebja misije na temo tujega manipuliranja z informacijami in vmešavanja ter okrepita usklajevanje med civilnimi in vojaškimi operacijami za boj proti hibridnemu vplivanju;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poziva k oblikovanju celovite strategije, v skladu s katero bi lahko delegacije EU ter misije in operacije SVOP v tesnem sodelovanju z diplomatskimi misijami držav članic EU učinkoviteje delovale kot prva obrambna črta pred hibridnimi napadi, vključno s kibernetskimi operacijami ter operacijami tujega manipuliranja z informacijami in vmešavanja; meni, da </w:t>
            </w:r>
            <w:r>
              <w:rPr>
                <w:b/>
                <w:i/>
              </w:rPr>
              <w:t>so</w:t>
            </w:r>
            <w:r>
              <w:t xml:space="preserve"> okrepljene zmogljivosti za strateško komuniciranje in javno diplomacijo v delegacijah EU </w:t>
            </w:r>
            <w:r>
              <w:rPr>
                <w:b/>
                <w:i/>
              </w:rPr>
              <w:t>ključnega pomena</w:t>
            </w:r>
            <w:r>
              <w:t>, s poudarkom na spodbujanju diskurza, ki temelji na dejstvih, državljanskem udejstvovanju in krepitvi zaupanja, zlasti med mladimi in izobraževalci; poziva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w:t>
            </w:r>
          </w:p>
        </w:tc>
        <w:tc>
          <w:tcPr>
            <w:tcW w:w="4876" w:type="dxa"/>
            <w:tcBorders>
              <w:top w:val="nil"/>
              <w:left w:val="nil"/>
              <w:bottom w:val="nil"/>
              <w:right w:val="nil"/>
            </w:tcBorders>
          </w:tcPr>
          <w:p>
            <w:pPr>
              <w:pStyle w:val="Normal6a"/>
            </w:pPr>
            <w:r>
              <w:t>57.</w:t>
            </w:r>
            <w:r>
              <w:tab/>
            </w:r>
            <w:r>
              <w:t xml:space="preserve">poziva k oblikovanju celovite strategije, v skladu s katero bi lahko delegacije EU ter misije in operacije SVOP v tesnem sodelovanju z diplomatskimi misijami držav članic EU učinkoviteje delovale kot prva obrambna črta pred hibridnimi napadi, vključno s kibernetskimi operacijami ter operacijami tujega manipuliranja z informacijami in vmešavanja; meni, da </w:t>
            </w:r>
            <w:r>
              <w:rPr>
                <w:b/>
                <w:i/>
              </w:rPr>
              <w:t>je ključnega pomena, da bi morale</w:t>
            </w:r>
            <w:r>
              <w:t xml:space="preserve"> okrepljene zmogljivosti za strateško komuniciranje in javno diplomacijo v delegacijah EU </w:t>
            </w:r>
            <w:r>
              <w:rPr>
                <w:b/>
                <w:i/>
              </w:rPr>
              <w:t>ostati osredotočene na dejstva, usmerjene v varnost in nepristranske</w:t>
            </w:r>
            <w:r>
              <w:t>, s poudarkom na spodbujanju diskurza, ki temelji na dejstvih, državljanskem udejstvovanju in krepitvi zaupanja, zlasti med mladimi in izobraževalci; poziva podpredsednico Komisije/visoko predstavnico Unije za zunanje zadeve in varnostno politiko ter Svet, naj v misije SVOP vključita skupine za spremljanje dezinformacij in odzivanje nanje, zagotovita usposabljanje celotnega osebja misije na temo tujega manipuliranja z informacijami in vmešavanja ter okrepita usklajevanje med civilnimi in vojaškimi operacijami za boj proti hibridnemu vplivanju;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poudarja, da je pomembno v okviru širše strategije Unije za odpornost okrepiti udejstvovanje in dialog na podlagi vere ter spodbujati strukturirano in pregledno sodelovanje med EU, državami članicami in legitimnimi verskimi akterji, da bi se zoperstavili hibridnim grožnjam, dezinformacijam in instrumentalizaciji religije, hkrati pa v celoti spoštovali svobodo veroizpovedi ali prepričanja in pluralizem;</w:t>
            </w:r>
            <w:r>
              <w:t xml:space="preserve"> </w:t>
            </w:r>
            <w:r>
              <w:rPr>
                <w:b/>
                <w:i/>
              </w:rPr>
              <w:t>poziva k razvoju skladnih strategij na ravni EU za podporo lokalnim medverskim pobudam, izboljšanje medijske in informacijske pismenosti v verskih skupnostih ter okrepitev zaščitnih ukrepov proti tujemu izkoriščanju verskih institucij in diskurzov v politične namene ali za destabilizacijo;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poziva k celoviti preiskavi političnih, gospodarskih in institucionalnih gonilnih sil preteklih politik „ponovnega začetka“ odnosov z Rusko federacijo ter škode, ki so jo povzročili takšni naivni ali kratkovidni pristopi;</w:t>
            </w:r>
            <w:r>
              <w:t xml:space="preserve"> </w:t>
            </w:r>
            <w:r>
              <w:rPr>
                <w:b/>
                <w:i/>
              </w:rPr>
              <w:t>poudarja, da so ponavljajoči se poskusi normalizacije odnosov brez obravnavanja temeljne narave ruske države in njenih imperialističnih strateških ciljev prispevali k večji nestabilnosti, oslabili odvračanje ter ogrozili evropsko in svetovno varnost;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57b.</w:t>
            </w:r>
            <w:r>
              <w:tab/>
            </w:r>
            <w:r>
              <w:rPr>
                <w:b/>
                <w:i/>
              </w:rPr>
              <w:t>izraža resno zaskrbljenost zaradi poročil moldavskih oblasti in neodvisnih varnostnih ocen, ki kažejo, da so bile med parlamentarnimi volitvami leta 2025 v Republiki Moldaviji strukture, povezane z metropolijo Kišinjeva in vse Moldavije pod moskovskim patriarhatom, uporabljene v širši kampanji hibridnega vplivanja, ki je bila povezana z Rusijo in je imela za cilj širjenje dezinformacij, vplivanje na volivce in oblikovanje javnega mnenja v korist proruskih političnih sil;</w:t>
            </w:r>
            <w:r>
              <w:t xml:space="preserve"> </w:t>
            </w:r>
            <w:r>
              <w:rPr>
                <w:b/>
                <w:i/>
              </w:rPr>
              <w:t>opozarja, da so moldavski volilni organi zabeležili primere pravoslavnih duhovnikov iz metropolije Kišinjeva in vse Moldavije, ki so se udejstvovali v politični kampanji, ter da so strokovne analize to delovanje opredelile kot enega od več nosilcev vpliva, ki se je – poleg usklajene dejavnosti botov, lažnih medijskih hiš in domnevnega kupovanja glasov – uporabljal za spodkopavanje demokratičnih procesov in oviranje evropskega povezovanja Moldavije;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57b.</w:t>
            </w:r>
            <w:r>
              <w:tab/>
            </w:r>
            <w:r>
              <w:rPr>
                <w:b/>
                <w:i/>
              </w:rPr>
              <w:t>meni, da ruska država bodisi v carističnem ali sovjetskem sistemu bodisi v sedanjem putinističnem sistemu nenehno ogroža svoje sosede, mednarodno pravo in mednarodni red, ki temelji na pravilih, kar dokazuje dolgotrajen vzorec vojaških agresij, prisile in kršitev suverenosti;</w:t>
            </w:r>
            <w:r>
              <w:t xml:space="preserve"> </w:t>
            </w:r>
            <w:r>
              <w:rPr>
                <w:b/>
                <w:i/>
              </w:rPr>
              <w:t>poudarja, da morajo prihodnje politike EU in držav članic temeljiti na realistični oceni te zgodovinske kontinuitete, dajati prednost odvračanju, odpornosti in varnosti držav v ruskem sosedstvu pred kratkoročnimi gospodarskimi ali političnimi vidiki;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1433</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pozdravlja okrepljeno zavezo v skupnem sporočilu k razvoju zmogljivosti za ofenzivne informacijske operacije;</w:t>
            </w:r>
            <w:r>
              <w:t xml:space="preserve"> </w:t>
            </w:r>
            <w:r>
              <w:rPr>
                <w:b/>
                <w:i/>
              </w:rPr>
              <w:t>ugotavlja, da takšna zaveza zahteva namenska sredstva in dolgoročno načrtovanje;</w:t>
            </w:r>
            <w:r>
              <w:t xml:space="preserve"> </w:t>
            </w:r>
            <w:r>
              <w:rPr>
                <w:b/>
                <w:i/>
              </w:rPr>
              <w:t>poudarja, da bi morala v cilj biti vključena krepitev proaktivnih informacijskih ukrepov EU v njeni soseščini za boj proti destabilizacijskim prizadevanjem Rusije;</w:t>
            </w:r>
            <w:r>
              <w:t xml:space="preserve"> </w:t>
            </w:r>
            <w:r>
              <w:rPr>
                <w:b/>
                <w:i/>
              </w:rPr>
              <w:t>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w:t>
            </w:r>
            <w:r>
              <w:t xml:space="preserve"> </w:t>
            </w:r>
            <w:r>
              <w:rPr>
                <w:b/>
                <w:i/>
              </w:rPr>
              <w:t>poziva, da se za doseganje tega cilja čim bolj uporabljata digitalni in kibernetski prostor ter izkoristi njuna brezmejna narava;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pozdravlja okrepljeno zavezo v skupnem sporočilu k razvoju zmogljivosti za ofenzivne informacijske operacije;</w:t>
            </w:r>
            <w:r>
              <w:t xml:space="preserve"> </w:t>
            </w:r>
            <w:r>
              <w:rPr>
                <w:b/>
                <w:i/>
              </w:rPr>
              <w:t>ugotavlja, da takšna zaveza zahteva namenska sredstva in dolgoročno načrtovanje;</w:t>
            </w:r>
            <w:r>
              <w:t xml:space="preserve"> </w:t>
            </w:r>
            <w:r>
              <w:rPr>
                <w:b/>
                <w:i/>
              </w:rPr>
              <w:t>poudarja, da bi morala v cilj biti vključena krepitev proaktivnih informacijskih ukrepov EU v njeni soseščini za boj proti destabilizacijskim prizadevanjem Rusije;</w:t>
            </w:r>
            <w:r>
              <w:t xml:space="preserve"> </w:t>
            </w:r>
            <w:r>
              <w:rPr>
                <w:b/>
                <w:i/>
              </w:rPr>
              <w:t>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w:t>
            </w:r>
            <w:r>
              <w:t xml:space="preserve"> </w:t>
            </w:r>
            <w:r>
              <w:rPr>
                <w:b/>
                <w:i/>
              </w:rPr>
              <w:t>poziva, da se za doseganje tega cilja čim bolj uporabljata digitalni in kibernetski prostor ter izkoristi njuna brezmejna narava;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Rusije;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c>
          <w:tcPr>
            <w:tcW w:w="4876" w:type="dxa"/>
            <w:tcBorders>
              <w:top w:val="nil"/>
              <w:left w:val="nil"/>
              <w:bottom w:val="nil"/>
              <w:right w:val="nil"/>
            </w:tcBorders>
          </w:tcPr>
          <w:p>
            <w:pPr>
              <w:pStyle w:val="Normal6a"/>
            </w:pPr>
            <w:r>
              <w:t>58.</w:t>
            </w:r>
            <w:r>
              <w:tab/>
            </w:r>
            <w:r>
              <w:t xml:space="preserve">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Rusije;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w:t>
            </w:r>
            <w:r>
              <w:rPr>
                <w:b/>
                <w:i/>
              </w:rPr>
              <w:t>ugotavlja, da je ruski imperializem globoko zakoreninjen tudi v ruski družbi in ne le v institucijah caristične in sovjetske Rusije ter Rusije iz Putinove dobe;</w:t>
            </w:r>
            <w:r>
              <w:t xml:space="preserve"> poziva, da se za doseganje tega cilja čim bolj uporabljata digitalni in kibernetski prostor ter izkoristi njuna brezmejna narava; </w:t>
            </w:r>
            <w:r>
              <w:rPr>
                <w:b/>
                <w:i/>
              </w:rPr>
              <w:t>ugotavlja, da so pomanjkljive, naivne in na nekaterih področjih škodljive politike EU in nekaterih držav članic do Rusije poganjali posebni interesi, ki so prevladali nad legitimnimi varnostnimi pomisleki partnerjev in zaveznikov;</w:t>
            </w:r>
            <w:r>
              <w:t xml:space="preserve"> </w:t>
            </w:r>
            <w:r>
              <w:rPr>
                <w:b/>
                <w:i/>
              </w:rPr>
              <w:t>poudarja, da je treba iz teh neuspehov potegniti jasne izkušnje za oblikovanje bolj realistične, načelne in varnostno usmerjene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1436</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rPr>
                <w:b/>
                <w:i/>
              </w:rPr>
              <w:t>pozdravlja okrepljeno zavezo</w:t>
            </w:r>
            <w:r>
              <w:t xml:space="preserve"> v skupnem sporočilu k razvoju zmogljivosti za ofenzivne informacijske operacije</w:t>
            </w:r>
            <w:r>
              <w:rPr>
                <w:b/>
                <w:i/>
              </w:rPr>
              <w:t>;</w:t>
            </w:r>
            <w:r>
              <w:t xml:space="preserve"> </w:t>
            </w:r>
            <w:r>
              <w:rPr>
                <w:b/>
                <w:i/>
              </w:rPr>
              <w:t>ugotavlja, da takšna zaveza zahteva namenska sredstva in dolgoročno načrtovanje;</w:t>
            </w:r>
            <w:r>
              <w:t xml:space="preserve"> </w:t>
            </w:r>
            <w:r>
              <w:rPr>
                <w:b/>
                <w:i/>
              </w:rPr>
              <w:t>poudarja, da bi morala v cilj biti vključena krepitev proaktivnih informacijskih ukrepov EU v njeni soseščini za boj proti destabilizacijskim prizadevanjem Rusije;</w:t>
            </w:r>
            <w:r>
              <w:t xml:space="preserve"> </w:t>
            </w:r>
            <w:r>
              <w:rPr>
                <w:b/>
                <w:i/>
              </w:rPr>
              <w:t>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w:t>
            </w:r>
            <w:r>
              <w:t xml:space="preserve"> </w:t>
            </w:r>
            <w:r>
              <w:rPr>
                <w:b/>
                <w:i/>
              </w:rPr>
              <w:t>poziva, da se za doseganje tega cilja čim bolj uporabljata digitalni in kibernetski prostor ter izkoristi njuna brezmejna narava</w:t>
            </w:r>
            <w:r>
              <w:t>;</w:t>
            </w:r>
          </w:p>
        </w:tc>
        <w:tc>
          <w:tcPr>
            <w:tcW w:w="4876" w:type="dxa"/>
            <w:tcBorders>
              <w:top w:val="nil"/>
              <w:left w:val="nil"/>
              <w:bottom w:val="nil"/>
              <w:right w:val="nil"/>
            </w:tcBorders>
          </w:tcPr>
          <w:p>
            <w:pPr>
              <w:pStyle w:val="Normal6a"/>
            </w:pPr>
            <w:r>
              <w:t>58.</w:t>
            </w:r>
            <w:r>
              <w:tab/>
            </w:r>
            <w:r>
              <w:rPr>
                <w:b/>
                <w:i/>
              </w:rPr>
              <w:t>ima pomisleke glede izvajanja in uresničevanja zaveze</w:t>
            </w:r>
            <w:r>
              <w:t xml:space="preserve"> v skupnem sporočilu k razvoju zmogljivosti za ofenzivne informacijske operacije </w:t>
            </w:r>
            <w:r>
              <w:rPr>
                <w:b/>
                <w:i/>
              </w:rPr>
              <w:t>ter glede načina izvajanja te zaveze v praksi, saj bi se zaradi tega lahko poslabšali mednarodni odnosi in bi se pojavile verodostojne obtožbe o tujem vmešavanju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Rusije;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c>
          <w:tcPr>
            <w:tcW w:w="4876" w:type="dxa"/>
            <w:tcBorders>
              <w:top w:val="nil"/>
              <w:left w:val="nil"/>
              <w:bottom w:val="nil"/>
              <w:right w:val="nil"/>
            </w:tcBorders>
          </w:tcPr>
          <w:p>
            <w:pPr>
              <w:pStyle w:val="Normal6a"/>
            </w:pPr>
            <w:r>
              <w:t>58.</w:t>
            </w:r>
            <w:r>
              <w:tab/>
            </w:r>
            <w:r>
              <w:t xml:space="preserve">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Rusije </w:t>
            </w:r>
            <w:r>
              <w:rPr>
                <w:b/>
                <w:i/>
              </w:rPr>
              <w:t>ter drugim operacijam manipuliranja z informacijami in kognitivnega vojskovanja, ki jih izvajajo ali podpirajo sovražne države</w:t>
            </w:r>
            <w:r>
              <w:t>;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w:t>
            </w:r>
            <w:r>
              <w:rPr>
                <w:b/>
                <w:i/>
              </w:rPr>
              <w:t>Rusije</w:t>
            </w:r>
            <w:r>
              <w:t>;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c>
          <w:tcPr>
            <w:tcW w:w="4876" w:type="dxa"/>
            <w:tcBorders>
              <w:top w:val="nil"/>
              <w:left w:val="nil"/>
              <w:bottom w:val="nil"/>
              <w:right w:val="nil"/>
            </w:tcBorders>
          </w:tcPr>
          <w:p>
            <w:pPr>
              <w:pStyle w:val="Normal6a"/>
            </w:pPr>
            <w:r>
              <w:t>58.</w:t>
            </w:r>
            <w:r>
              <w:tab/>
            </w:r>
            <w:r>
              <w:t xml:space="preserve">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w:t>
            </w:r>
            <w:r>
              <w:rPr>
                <w:b/>
                <w:i/>
              </w:rPr>
              <w:t>ter usklajenemu manipuliranju z informacijami in sovražnim kampanjam vplivanja, ki jih izvajajo avtoritarni ali zlonamerni akterji</w:t>
            </w:r>
            <w:r>
              <w:t>;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1439</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pozdravlja okrepljeno zavezo v skupnem sporočilu k razvoju zmogljivosti za ofenzivne informacijske operacije; ugotavlja, da takšna zaveza zahteva namenska sredstva in dolgoročno načrtovanje; poudarja, da bi morala v cilj biti vključena krepitev proaktivnih informacijskih ukrepov EU v njeni soseščini za boj proti destabilizacijskim prizadevanjem Rusije; poudarja, da je treba razširjati dejanske in zanesljive informacije prebivalcem, ki živijo pod avtoritarnimi režimi, zlasti v Rusiji,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c>
          <w:tcPr>
            <w:tcW w:w="4876" w:type="dxa"/>
            <w:tcBorders>
              <w:top w:val="nil"/>
              <w:left w:val="nil"/>
              <w:bottom w:val="nil"/>
              <w:right w:val="nil"/>
            </w:tcBorders>
          </w:tcPr>
          <w:p>
            <w:pPr>
              <w:pStyle w:val="Normal6a"/>
            </w:pPr>
            <w:r>
              <w:t>58.</w:t>
            </w:r>
            <w:r>
              <w:tab/>
            </w:r>
            <w:r>
              <w:t xml:space="preserve">pozdravlja okrepljeno zavezo v skupnem sporočilu k razvoju zmogljivosti za ofenzivne informacijske operacije; ugotavlja, da takšna zaveza zahteva namenska sredstva in dolgoročno načrtovanje; poudarja, da bi morala v cilj biti vključena krepitev proaktivnih </w:t>
            </w:r>
            <w:r>
              <w:rPr>
                <w:b/>
                <w:i/>
              </w:rPr>
              <w:t>in okrepljenih</w:t>
            </w:r>
            <w:r>
              <w:t xml:space="preserve"> informacijskih ukrepov EU v njeni soseščini za boj proti destabilizacijskim prizadevanjem Rusije; poudarja, da je treba razširjati dejanske in zanesljive informacije prebivalcem, ki živijo pod avtoritarnimi režimi, zlasti v Rusiji </w:t>
            </w:r>
            <w:r>
              <w:rPr>
                <w:b/>
                <w:i/>
              </w:rPr>
              <w:t>in Belorusiji</w:t>
            </w:r>
            <w:r>
              <w:t>, da bi razkrili destruktivne prakse vladanja, ki jih izvajajo njihovih voditelji ter predstavljajo nevarnost za svobodo in mir ne le v sosednjih državah, ampak predvsem v njihovi lastni državi; poziva, da se za doseganje tega cilja čim bolj uporabljata digitalni in kibernetski prostor ter izkoristi njuna brezmejna narava;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poudarja, da ruska prizadevanja za destabilizacijo delujejo tudi v Uniji in za to izkoriščajo mreže političnega vpliva;</w:t>
            </w:r>
            <w:r>
              <w:t xml:space="preserve"> </w:t>
            </w:r>
            <w:r>
              <w:rPr>
                <w:b/>
                <w:i/>
              </w:rPr>
              <w:t>z veliko zaskrbljenostjo ugotavlja, da so v nekaterih državah članicah vladni ukrepi in strateške odločitve večkrat služili ruskim interesom;</w:t>
            </w:r>
            <w:r>
              <w:t xml:space="preserve"> </w:t>
            </w:r>
            <w:r>
              <w:rPr>
                <w:b/>
                <w:i/>
              </w:rPr>
              <w:t>v zvezi s tem želi opozoriti na primer madžarske vlade, ki večkrat ni ustrezno poročala o vdoru ruskih kibernetskih akterjev, povezanih z državo, v ministrstvo za zunanje zadeve in tega ni preiskala, je pa z Rusijo sklenila dolgoročne pogodbe o plinu po cenah, ki so znatno višje od tržnih ravni, sistematično ovira pomoč Unije Ukrajini in se pri ključnih odločitvah Unije na področju zunanje in varnostne politike dosledno usklajuje z ruskimi stališči, tudi v času mandata komisarja za sosedstvo in širitev Várhelyija;</w:t>
            </w:r>
            <w:r>
              <w:t xml:space="preserve"> </w:t>
            </w:r>
            <w:r>
              <w:rPr>
                <w:b/>
                <w:i/>
              </w:rPr>
              <w:t>poudarja, da tako ravnanje spodkopava enotnost, verodostojnost in varnost Unije ter povečuje učinkovitost ruske strategije destabiliziranja;</w:t>
            </w:r>
            <w:r>
              <w:t xml:space="preserve"> </w:t>
            </w:r>
            <w:r>
              <w:rPr>
                <w:b/>
                <w:i/>
              </w:rPr>
              <w:t>zato poziva k večji pozornosti, okrepljenemu spremljanju in polni uporabi instrumentov Unije za zaščito Unije pred notranjimi vektorji tujega vpliva in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59.</w:t>
            </w:r>
            <w:r>
              <w:tab/>
            </w:r>
            <w:r>
              <w:rPr>
                <w:b/>
                <w:i/>
              </w:rPr>
              <w:t>priznava, da se neposredne sosede EU, vključno z državami Zahodnega Balkana, Moldavijo in Ukrajino, soočajo z resnim tujim vmešavanjem;</w:t>
            </w:r>
            <w:r>
              <w:t xml:space="preserve"> </w:t>
            </w:r>
            <w:r>
              <w:rPr>
                <w:b/>
                <w:i/>
              </w:rPr>
              <w:t>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w:t>
            </w:r>
            <w:r>
              <w:t xml:space="preserve"> </w:t>
            </w:r>
            <w:r>
              <w:rPr>
                <w:b/>
                <w:i/>
              </w:rPr>
              <w:t>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w:t>
            </w:r>
            <w:r>
              <w:rPr>
                <w:b/>
                <w:i/>
              </w:rPr>
              <w:t>soočajo</w:t>
            </w:r>
            <w:r>
              <w:t xml:space="preserve">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w:t>
            </w:r>
            <w:r>
              <w:rPr>
                <w:b/>
                <w:i/>
              </w:rPr>
              <w:t>spoprijemajo</w:t>
            </w:r>
            <w:r>
              <w:t xml:space="preserve"> z resnim tujim </w:t>
            </w:r>
            <w:r>
              <w:rPr>
                <w:b/>
                <w:i/>
              </w:rPr>
              <w:t>in domačim manipuliranjem z informacijami,</w:t>
            </w:r>
            <w:r>
              <w:t xml:space="preserve"> vmešavanjem </w:t>
            </w:r>
            <w:r>
              <w:rPr>
                <w:b/>
                <w:i/>
              </w:rPr>
              <w:t>in hibridnimi grožnjami;</w:t>
            </w:r>
            <w:r>
              <w:t xml:space="preserve"> </w:t>
            </w:r>
            <w:r>
              <w:rPr>
                <w:b/>
                <w:i/>
              </w:rPr>
              <w:t>poziva Komisijo in ESZD, naj z ad hoc podpore preideta na sistematično in dolgoročno pomoč za krepitev institucionalne, pravne in državljanske odpornosti;</w:t>
            </w:r>
            <w:r>
              <w:t xml:space="preserve"> </w:t>
            </w:r>
            <w:r>
              <w:rPr>
                <w:b/>
                <w:i/>
              </w:rPr>
              <w:t>poudarja, da se mora EU še ogromno naučiti iz odpornosti Moldavije in Ukrajine;</w:t>
            </w:r>
            <w:r>
              <w:t xml:space="preserve"> </w:t>
            </w:r>
            <w:r>
              <w:rPr>
                <w:b/>
                <w:i/>
              </w:rPr>
              <w:t>poziva, naj se evropski ščit za demokracijo uporabi kot dvosmerni mehanizem za strokovno znanje, pri katerem bo Unija združila uspešne modele hitrega odzivanja, okvire civilno-vojaškega sodelovanja in tehnike odkrivanja v realnem času, ki so jih razvili ti najbolj obremenjeni partnerji, saj morajo v tem trenutku krmariti v „živem laboratoriju“ ruske agresije</w:t>
            </w:r>
            <w:r>
              <w:t xml:space="preserve">; poziva k financiranju regionalnih koordinacijskih vozlišč za boj </w:t>
            </w:r>
            <w:r>
              <w:rPr>
                <w:b/>
                <w:i/>
              </w:rPr>
              <w:t>proti grožnjam za spletno informacijsko celovitost ter</w:t>
            </w:r>
            <w:r>
              <w:t xml:space="preserve">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w:t>
            </w:r>
            <w:r>
              <w:rPr>
                <w:b/>
                <w:i/>
              </w:rPr>
              <w:t>soočajo</w:t>
            </w:r>
            <w:r>
              <w:t xml:space="preserve">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w:t>
            </w:r>
            <w:r>
              <w:rPr>
                <w:b/>
                <w:i/>
              </w:rPr>
              <w:t>spoprijemajo</w:t>
            </w:r>
            <w:r>
              <w:t xml:space="preserve"> z resnim tujim vmešavanjem</w:t>
            </w:r>
            <w:r>
              <w:rPr>
                <w:b/>
                <w:i/>
              </w:rPr>
              <w:t>;</w:t>
            </w:r>
            <w:r>
              <w:t xml:space="preserve"> </w:t>
            </w:r>
            <w:r>
              <w:rPr>
                <w:b/>
                <w:i/>
              </w:rPr>
              <w:t>ugotavlja, da so države kandidatke, potencialne države kandidatke in države v sosedstvu EU nedvomni osrednja tarča ruskih operacij tujega manipuliranja z informacijami in vmešavanja, pri čemer je bil eden od ciljev diskreditirati EU in zmanjšati zaznano vrednost povezovanja z EU</w:t>
            </w:r>
            <w:r>
              <w:t xml:space="preserve">;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w:t>
            </w:r>
            <w:r>
              <w:rPr>
                <w:b/>
                <w:i/>
              </w:rPr>
              <w:t>poziva Komisijo in ESZD, naj poglobita sodelovanje z ranljivimi državami širitve na področju informacijske odpornosti, kibernetske varnosti in hibridnih groženj;</w:t>
            </w:r>
            <w:r>
              <w:t xml:space="preserve"> </w:t>
            </w:r>
            <w:r>
              <w:rPr>
                <w:b/>
                <w:i/>
              </w:rPr>
              <w:t>poziva ESZD in delegacije EU v tretjih državah, naj okrepijo svoje zmogljivosti za boj proti dezinformacijam in propagandi, usmerjene proti skupni zunanji in varnostni politiki EU, tudi z vlaganjem v komunikacijske kampanje za boj proti tujemu vplivu;</w:t>
            </w:r>
            <w:r>
              <w:t xml:space="preserve"> poudarja, da je treba posebno pozornost nameniti pomoči za zagotavljanje integritete volitev v državah kandidatkah za članstvo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soočajo z resnim tujim </w:t>
            </w:r>
            <w:r>
              <w:rPr>
                <w:b/>
                <w:i/>
              </w:rPr>
              <w:t>vmešavanjem</w:t>
            </w:r>
            <w:r>
              <w:t xml:space="preserve">; poziva </w:t>
            </w:r>
            <w:r>
              <w:rPr>
                <w:b/>
                <w:i/>
              </w:rPr>
              <w:t>k financiranju</w:t>
            </w:r>
            <w:r>
              <w:t xml:space="preserve"> regionalnih koordinacijskih vozlišč za boj proti tujemu manipuliranju z informacijami in vmešavanju, </w:t>
            </w:r>
            <w:r>
              <w:rPr>
                <w:b/>
                <w:i/>
              </w:rPr>
              <w:t>k spodbujanju</w:t>
            </w:r>
            <w:r>
              <w:t xml:space="preserve"> podpore preiskovalnemu novinarstvu in medijskim regulatorjem ter </w:t>
            </w:r>
            <w:r>
              <w:rPr>
                <w:b/>
                <w:i/>
              </w:rPr>
              <w:t>k okrepitvi strateških komunikacij, ki temeljijo</w:t>
            </w:r>
            <w:r>
              <w:t xml:space="preserve"> na dejstvih</w:t>
            </w:r>
            <w:r>
              <w:rPr>
                <w:b/>
                <w:i/>
              </w:rPr>
              <w:t>,</w:t>
            </w:r>
            <w:r>
              <w:t xml:space="preserve"> prek delegacij EU za boj proti dezinformacijam, usmerjenim proti EU; 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soočajo z resnim tujim </w:t>
            </w:r>
            <w:r>
              <w:rPr>
                <w:b/>
                <w:i/>
              </w:rPr>
              <w:t>in domačim manipuliranjem z informacijami in hibridnimi grožnjami</w:t>
            </w:r>
            <w:r>
              <w:t xml:space="preserve">; poziva </w:t>
            </w:r>
            <w:r>
              <w:rPr>
                <w:b/>
                <w:i/>
              </w:rPr>
              <w:t>Komisijo in ESZD, naj z ad hoc podpore preideta na sistematično in dolgoročno pomoč za krepitev institucionalne, pravne in državljanske odpornosti;</w:t>
            </w:r>
            <w:r>
              <w:t xml:space="preserve"> </w:t>
            </w:r>
            <w:r>
              <w:rPr>
                <w:b/>
                <w:i/>
              </w:rPr>
              <w:t>poziva, naj EU še naprej podpira te države na področju krepitve odpornosti in boja proti tujemu manipuliranju z informacijami in vmešavanju, tudi s financiranjem</w:t>
            </w:r>
            <w:r>
              <w:t xml:space="preserve"> regionalnih koordinacijskih vozlišč za boj proti tujemu manipuliranju z informacijami in vmešavanju, </w:t>
            </w:r>
            <w:r>
              <w:rPr>
                <w:b/>
                <w:i/>
              </w:rPr>
              <w:t>povečanjem</w:t>
            </w:r>
            <w:r>
              <w:t xml:space="preserve"> podpore preiskovalnemu novinarstvu in medijskim regulatorjem ter </w:t>
            </w:r>
            <w:r>
              <w:rPr>
                <w:b/>
                <w:i/>
              </w:rPr>
              <w:t>s krepitvijo</w:t>
            </w:r>
            <w:r>
              <w:t xml:space="preserve"> na dejstvih </w:t>
            </w:r>
            <w:r>
              <w:rPr>
                <w:b/>
                <w:i/>
              </w:rPr>
              <w:t>temelječega strateškega komuniciranja</w:t>
            </w:r>
            <w:r>
              <w:t xml:space="preserve"> prek delegacij EU za boj proti dezinformacijam, usmerjenim proti EU; poudarja, da je treba posebno pozornost nameniti pomoči za zagotavljanje integritete volitev v državah kandidatkah za članstvo v EU</w:t>
            </w:r>
            <w:r>
              <w:rPr>
                <w:b/>
                <w:i/>
              </w:rPr>
              <w:t>, tudi zaradi umika financiranja USAID in s posebnim poudarkom na regijah, ki so prejele sorazmerno manj podpore, zlasti na Zahodnem Balkanu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soočajo z resnim tujim vmešavanjem; </w:t>
            </w:r>
            <w:r>
              <w:rPr>
                <w:b/>
                <w:i/>
              </w:rPr>
              <w:t>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w:t>
            </w:r>
            <w:r>
              <w:t xml:space="preserve"> </w:t>
            </w:r>
            <w:r>
              <w:rPr>
                <w:b/>
                <w:i/>
              </w:rPr>
              <w:t>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priznava, da se neposredne sosede EU, vključno z državami Zahodnega Balkana, Moldavijo in Ukrajino, soočajo z resnim tujim vmešavanjem;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w:t>
            </w:r>
            <w:r>
              <w:rPr>
                <w:b/>
                <w:i/>
              </w:rPr>
              <w:t>in</w:t>
            </w:r>
            <w:r>
              <w:t xml:space="preserve"> Ukrajino, soočajo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priznava, da se neposredne sosede EU, vključno z državami Zahodnega Balkana, Moldavijo</w:t>
            </w:r>
            <w:r>
              <w:rPr>
                <w:b/>
                <w:i/>
              </w:rPr>
              <w:t>,</w:t>
            </w:r>
            <w:r>
              <w:t xml:space="preserve"> Ukrajino</w:t>
            </w:r>
            <w:r>
              <w:rPr>
                <w:b/>
                <w:i/>
              </w:rPr>
              <w:t>, Armenijo in Gruzijo</w:t>
            </w:r>
            <w:r>
              <w:t xml:space="preserve">, soočajo z resnim tujim vmešavanjem </w:t>
            </w:r>
            <w:r>
              <w:rPr>
                <w:b/>
                <w:i/>
              </w:rPr>
              <w:t>ter domačim manipuliranjem z informacijami in hibridnimi grožnjami;</w:t>
            </w:r>
            <w:r>
              <w:t xml:space="preserve"> </w:t>
            </w:r>
            <w:r>
              <w:rPr>
                <w:b/>
                <w:i/>
              </w:rPr>
              <w:t>poziva Komisijo in ESZD, naj z ad hoc podpore preideta na sistematično in dolgoročno pomoč za krepitev institucionalne, pravne in državljanske odpornosti</w:t>
            </w:r>
            <w:r>
              <w:t xml:space="preserve">;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w:t>
            </w:r>
            <w:r>
              <w:rPr>
                <w:b/>
                <w:i/>
              </w:rPr>
              <w:t>ali potencialnih kandidatkah </w:t>
            </w:r>
            <w:r>
              <w:t>za članstvo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1447</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priznava, da se neposredne sosede EU, vključno z državami Zahodnega Balkana, Moldavijo in Ukrajino, soočajo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 xml:space="preserve">priznava, da se neposredne sosede EU, vključno z državami Zahodnega Balkana, Moldavijo in Ukrajino, soočajo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 </w:t>
            </w:r>
            <w:r>
              <w:rPr>
                <w:b/>
                <w:i/>
              </w:rPr>
              <w:t>poudarja, da morajo prizadevanja Evropske unije za podporo državam kandidatkam pri krepitvi odpornosti proti tujemu vmešavanju spremljati tudi dokazano izvajanje ustreznih reform in oprijemljivi rezultati z njihove strani;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priznava, da se neposredne sosede EU, vključno z državami Zahodnega Balkana, Moldavijo in Ukrajino, soočajo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c>
          <w:tcPr>
            <w:tcW w:w="4876" w:type="dxa"/>
            <w:tcBorders>
              <w:top w:val="nil"/>
              <w:left w:val="nil"/>
              <w:bottom w:val="nil"/>
              <w:right w:val="nil"/>
            </w:tcBorders>
          </w:tcPr>
          <w:p>
            <w:pPr>
              <w:pStyle w:val="Normal6a"/>
            </w:pPr>
            <w:r>
              <w:t>59.</w:t>
            </w:r>
            <w:r>
              <w:tab/>
            </w:r>
            <w:r>
              <w:t>priznava, da se neposredne sosede EU, vključno z državami Zahodnega Balkana, Moldavijo in Ukrajino</w:t>
            </w:r>
            <w:r>
              <w:rPr>
                <w:b/>
                <w:i/>
              </w:rPr>
              <w:t>, Gruzijo in Armenijo</w:t>
            </w:r>
            <w:r>
              <w:t>, soočajo z resnim tujim vmešavanjem; poziva k financiranju regionalnih koordinacijskih vozlišč za boj proti tujemu manipuliranju z informacijami in vmešavanju, k spodbujanju podpore preiskovalnemu novinarstvu in medijskim regulatorjem ter k okrepitvi strateških komunikacij, ki temeljijo na dejstvih, prek delegacij EU za boj proti dezinformacijam, usmerjenim proti EU; poudarja, da je treba posebno pozornost nameniti pomoči za zagotavljanje integritete volitev v državah kandidatkah za članstvo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z zaskrbljenostjo ugotavlja, da se Armenija pred parlamentarnimi volitvami v letu 2026 spoprijema z vse pogostejšimi hibridnimi grožnjami, povezanimi z Rusijo, katerih cilj je spodkopavanje njenih demokratičnih procesov, družbene kohezije in prizadevanj za izgradnjo miru, vključno z zlonamernimi kibernetskimi dejavnostmi, usklajenim manipuliranjem z informacijami in angažiranjem vplivanjskih mrež;</w:t>
            </w:r>
            <w:r>
              <w:t xml:space="preserve"> </w:t>
            </w:r>
            <w:r>
              <w:rPr>
                <w:b/>
                <w:i/>
              </w:rPr>
              <w:t>opozarja, da je armenska zunanja obveščevalna služba poročala o uporabi odkritih in prikritih informacijskih operacij, izkrivljajočih diskurzov in o prizadevanjih za manipulacijo javnega diskurza na škodo njenih državnih interesov, ter poudarja, da lahko v takih hibridnih pritiskih sodelujejo državni in nedržavni akterji, povezani s širšimi strategijami ruskega vpliva v regiji</w:t>
            </w:r>
            <w:r>
              <w:rPr>
                <w:b/>
                <w:i/>
                <w:vertAlign w:val="superscript"/>
              </w:rPr>
              <w:t>1a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1450</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poziva Komisijo, ESZD in Evropski center za demokratično odpornost, naj Republiki Moldaviji kot državi kandidatki za članstvo v EU zagotovijo okrepljeno, ciljno usmerjeno in trajno podporo, saj se spoprijema z vztrajnim in usklajenim tujim manipuliranjem z informacijami in vmešavanjem, vključno z dezinformacijami, ki jih podpirajo tuje države, in operacijami hibridnega vplivanja, katerih cilj je spodkopavanje demokratičnih institucij, volilne integritete in zaupanja javnosti v proces pristopa k EU;</w:t>
            </w:r>
            <w:r>
              <w:t xml:space="preserve"> </w:t>
            </w:r>
            <w:r>
              <w:rPr>
                <w:b/>
                <w:i/>
              </w:rPr>
              <w:t>poudarja, da so potrebni mehanizmi za hitro odzivanje, okrepljeno strateško komuniciranje, tesno usklajevanje s spletnimi platformami ter večja podpora neodvisnim medijem in civilni družbi, zlasti v volilnih obdobjih;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poziva Evropsko komisijo, naj strogo pristopa k pregledu napredovanja držav kandidatk pri pristopnih poglavjih o temeljnih pravicah, pravni državi in demokratični odpornosti;</w:t>
            </w:r>
            <w:r>
              <w:t xml:space="preserve"> </w:t>
            </w:r>
            <w:r>
              <w:rPr>
                <w:b/>
                <w:i/>
              </w:rPr>
              <w:t>poudarja, da pomanjkljivosti pri priznavanju in obravnavanju ključnih vprašanj, kot so korupcija, odsotnost neodvisnih medijev, kršitve človekovih pravic in pomanjkljivosti v demokratičnih procesih, spodkopavajo zaupanje državljanov v nacionalne in evropske institucije, s čimer se ustvarja evroskeptičen diskurz, kar lahko izkoristijo tretje države in akterji, ki se zatekajo k tujemu manipuliranju z informacijami in vmešavanju;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poudarja, da morajo pobude institucij Unije za podporo demokraciji in odpornost, zlasti ob volitvah v Uniji in sosednjih državah, ostati strogo nevtralne, pregledne in omejene na tehnično podporo, da se prepreči vsakršno dojemanje institucionalnega vpletanja v politično konkuriranje ali volilni izid;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priznava, da je Ukrajina sestavni del evropskega varnostnega okolja;</w:t>
            </w:r>
            <w:r>
              <w:t xml:space="preserve"> </w:t>
            </w:r>
            <w:r>
              <w:rPr>
                <w:b/>
                <w:i/>
              </w:rPr>
              <w:t>poziva, naj se Ukrajina kot strateška partnerica, ki prispeva k evropski varnosti, sistematično vključi v pobude EU za krepitev odpornosti, boj proti tujemu manipuliranju z informacijami in vmešavanju ter za pripravljenost;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poziva Komisijo, naj vzpostavi namensko regionalno vozlišče evropske opazovalnice digitalnih medijev, ki bo pokrivalo Zahodni Balkan, pri čemer naj upošteva, da tako vozlišče za Moldavijo že obstaja;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59b.</w:t>
            </w:r>
            <w:r>
              <w:tab/>
            </w:r>
            <w:r>
              <w:rPr>
                <w:b/>
                <w:i/>
              </w:rPr>
              <w:t>poudarja, da mora sodelovanje s tretjimi državami in državami kandidatkami v okviru zunanje razsežnosti evropskega ščita za demokracijo ostati osredotočeno na krepitev institucionalne odpornosti, preglednosti in zaščitnih ukrepov za pravno državo zoper jasno prepoznavno tuje vmešavanje, ne sme pa privesti do izvažanja modelov upravljanja, ki bi bili osredotočeni na spremljanje vsebin, poseganje v diskurz ali upravno usklajevanje s platformami;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1456</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60.</w:t>
            </w:r>
            <w:r>
              <w:tab/>
            </w:r>
            <w:r>
              <w:rPr>
                <w:b/>
                <w:i/>
              </w:rPr>
              <w:t>poziva Komisijo, naj programe medijske pismenosti vključi kot stalni del predpristopne pomoči in evropskega instrumenta sosedstva, in sicer z namenskimi nepovratnimi sredstvi EU za podporo raziskovalnemu novinarstvu v ranljivih regijah;</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poziva Komisijo, naj programe medijske pismenosti vključi kot stalni del predpristopne pomoči in evropskega instrumenta sosedstva, </w:t>
            </w:r>
            <w:r>
              <w:rPr>
                <w:b/>
                <w:i/>
              </w:rPr>
              <w:t>in sicer z namenskimi nepovratnimi sredstvi</w:t>
            </w:r>
            <w:r>
              <w:t xml:space="preserve"> EU za podporo raziskovalnemu novinarstvu v ranljivih regijah;</w:t>
            </w:r>
          </w:p>
        </w:tc>
        <w:tc>
          <w:tcPr>
            <w:tcW w:w="4876" w:type="dxa"/>
            <w:tcBorders>
              <w:top w:val="nil"/>
              <w:left w:val="nil"/>
              <w:bottom w:val="nil"/>
              <w:right w:val="nil"/>
            </w:tcBorders>
          </w:tcPr>
          <w:p>
            <w:pPr>
              <w:pStyle w:val="Normal6a"/>
            </w:pPr>
            <w:r>
              <w:t>60.</w:t>
            </w:r>
            <w:r>
              <w:tab/>
            </w:r>
            <w:r>
              <w:rPr>
                <w:b/>
                <w:i/>
              </w:rPr>
              <w:t>poudarja, da odprava tematskih programov in dodeljenih finančnih sredstev za človekove pravice in demokracijo ter za organizacije civilne družbe povzroča precejšnjo negotovost glede tega, kako naj bi se te obveznosti EU, ki temeljijo na Pogodbah, učinkovito vključevale, operacionalizirale in spremljale;</w:t>
            </w:r>
            <w:r>
              <w:t xml:space="preserve"> </w:t>
            </w:r>
            <w:r>
              <w:rPr>
                <w:b/>
                <w:i/>
              </w:rPr>
              <w:t>ponovno poziva Komisijo, naj utrdi in namensko veže sredstva programov, namenjenih smiselnemu angažiranju in podpiranju civilne družbe, zagovornikov človekovih pravic, novinarjev in preiskovalnih medijev v tretjih državah;</w:t>
            </w:r>
            <w:r>
              <w:t xml:space="preserve"> </w:t>
            </w:r>
            <w:r>
              <w:rPr>
                <w:b/>
                <w:i/>
              </w:rPr>
              <w:t>poudarja, da so ti akterji bistveni za zaščito državljanskega prostora, zagotavljanje demokratične preglednosti in preprečevanje drsenja v avtoritarnost;</w:t>
            </w:r>
            <w:r>
              <w:t xml:space="preserve"> </w:t>
            </w:r>
            <w:r>
              <w:rPr>
                <w:b/>
                <w:i/>
              </w:rPr>
              <w:t>vztraja, da je treba v novem večletnem finančnem okviru zagotoviti trajnostno, dostopno in prožno financiranje, ki bo omogočalo hitro odzivanje na grožnje temeljnim svoboščinam in podpiralo lokalne pobude;</w:t>
            </w:r>
            <w:r>
              <w:t xml:space="preserve"> poziva Komisijo, naj programe medijske pismenosti vključi kot stalni del predpristopne pomoči in evropskega instrumenta sosedstva, </w:t>
            </w:r>
            <w:r>
              <w:rPr>
                <w:b/>
                <w:i/>
              </w:rPr>
              <w:t>zagotovi pa naj tudi namenska nepovratna sredstva</w:t>
            </w:r>
            <w:r>
              <w:t xml:space="preserve"> EU za podporo raziskovalnemu novinarstvu v ranljivih regijah;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poziva Komisijo, naj programe medijske pismenosti vključi kot stalni del predpristopne pomoči in evropskega instrumenta sosedstva, in sicer z namenskimi nepovratnimi sredstvi EU za podporo raziskovalnemu novinarstvu v ranljivih regijah;</w:t>
            </w:r>
          </w:p>
        </w:tc>
        <w:tc>
          <w:tcPr>
            <w:tcW w:w="4876" w:type="dxa"/>
            <w:tcBorders>
              <w:top w:val="nil"/>
              <w:left w:val="nil"/>
              <w:bottom w:val="nil"/>
              <w:right w:val="nil"/>
            </w:tcBorders>
          </w:tcPr>
          <w:p>
            <w:pPr>
              <w:pStyle w:val="Normal6a"/>
            </w:pPr>
            <w:r>
              <w:t>60.</w:t>
            </w:r>
            <w:r>
              <w:tab/>
            </w:r>
            <w:r>
              <w:t xml:space="preserve">poziva Komisijo, naj programe medijske pismenosti vključi kot stalni del predpristopne pomoči in evropskega instrumenta sosedstva, in sicer z namenskimi nepovratnimi sredstvi EU za podporo raziskovalnemu novinarstvu v ranljivih regijah; </w:t>
            </w:r>
            <w:r>
              <w:rPr>
                <w:b/>
                <w:i/>
              </w:rPr>
              <w:t>poudarja, da bi moralo biti kulturno sodelovanje sestavni del teh instrumentov ter krepiti družbeno kohezijo, skupne vrednote in sodelovanje med ljudmi v državah pristopnicah in sosednjih državah;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1459</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poziva Komisijo, naj </w:t>
            </w:r>
            <w:r>
              <w:rPr>
                <w:b/>
                <w:i/>
              </w:rPr>
              <w:t>programe medijske pismenosti vključi kot stalni del predpristopne pomoči in evropskega instrumenta sosedstva, in sicer z namenskimi nepovratnimi sredstvi EU za podporo raziskovalnemu novinarstvu v ranljivih regijah</w:t>
            </w:r>
            <w:r>
              <w:t>;</w:t>
            </w:r>
          </w:p>
        </w:tc>
        <w:tc>
          <w:tcPr>
            <w:tcW w:w="4876" w:type="dxa"/>
            <w:tcBorders>
              <w:top w:val="nil"/>
              <w:left w:val="nil"/>
              <w:bottom w:val="nil"/>
              <w:right w:val="nil"/>
            </w:tcBorders>
          </w:tcPr>
          <w:p>
            <w:pPr>
              <w:pStyle w:val="Normal6a"/>
            </w:pPr>
            <w:r>
              <w:t>60.</w:t>
            </w:r>
            <w:r>
              <w:tab/>
            </w:r>
            <w:r>
              <w:t xml:space="preserve">poziva Komisijo, naj </w:t>
            </w:r>
            <w:r>
              <w:rPr>
                <w:b/>
                <w:i/>
              </w:rPr>
              <w:t>podpira preiskovalno novinarstvo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poziva Komisijo, naj programe medijske pismenosti vključi kot stalni del predpristopne pomoči in evropskega instrumenta sosedstva, in sicer z namenskimi nepovratnimi sredstvi EU za podporo raziskovalnemu novinarstvu v ranljivih regijah;</w:t>
            </w:r>
          </w:p>
        </w:tc>
        <w:tc>
          <w:tcPr>
            <w:tcW w:w="4876" w:type="dxa"/>
            <w:tcBorders>
              <w:top w:val="nil"/>
              <w:left w:val="nil"/>
              <w:bottom w:val="nil"/>
              <w:right w:val="nil"/>
            </w:tcBorders>
          </w:tcPr>
          <w:p>
            <w:pPr>
              <w:pStyle w:val="Normal6a"/>
            </w:pPr>
            <w:r>
              <w:t>60.</w:t>
            </w:r>
            <w:r>
              <w:tab/>
            </w:r>
            <w:r>
              <w:t xml:space="preserve">poziva Komisijo, naj </w:t>
            </w:r>
            <w:r>
              <w:rPr>
                <w:b/>
                <w:i/>
              </w:rPr>
              <w:t>ob polnem spoštovanju nacionalnih pristojnosti in lokalnih razmer</w:t>
            </w:r>
            <w:r>
              <w:t xml:space="preserve"> programe medijske pismenosti vključi kot stalni del predpristopne pomoči in evropskega instrumenta sosedstva, in sicer z namenskimi nepovratnimi sredstvi EU za podporo raziskovalnemu novinarstvu v ranljivih regijah;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poziva Komisijo, naj programe medijske pismenosti vključi kot stalni del predpristopne pomoči in evropskega instrumenta sosedstva, in sicer z namenskimi nepovratnimi sredstvi EU za podporo </w:t>
            </w:r>
            <w:r>
              <w:rPr>
                <w:b/>
                <w:i/>
              </w:rPr>
              <w:t>raziskovalnemu</w:t>
            </w:r>
            <w:r>
              <w:t xml:space="preserve"> novinarstvu v ranljivih regijah;</w:t>
            </w:r>
          </w:p>
        </w:tc>
        <w:tc>
          <w:tcPr>
            <w:tcW w:w="4876" w:type="dxa"/>
            <w:tcBorders>
              <w:top w:val="nil"/>
              <w:left w:val="nil"/>
              <w:bottom w:val="nil"/>
              <w:right w:val="nil"/>
            </w:tcBorders>
          </w:tcPr>
          <w:p>
            <w:pPr>
              <w:pStyle w:val="Normal6a"/>
            </w:pPr>
            <w:r>
              <w:t>60.</w:t>
            </w:r>
            <w:r>
              <w:tab/>
            </w:r>
            <w:r>
              <w:t xml:space="preserve">poziva Komisijo, naj programe medijske pismenosti vključi kot stalni del predpristopne pomoči in evropskega instrumenta sosedstva, in sicer z namenskimi nepovratnimi sredstvi EU za podporo novinarstvu </w:t>
            </w:r>
            <w:r>
              <w:rPr>
                <w:b/>
                <w:i/>
              </w:rPr>
              <w:t>v javnem interesu</w:t>
            </w:r>
            <w:r>
              <w:t xml:space="preserve"> v ranljivih regijah;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61.</w:t>
            </w:r>
            <w:r>
              <w:tab/>
            </w:r>
            <w:r>
              <w:rPr>
                <w:b/>
                <w:i/>
              </w:rPr>
              <w:t>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w:t>
            </w:r>
            <w:r>
              <w:t xml:space="preserve"> </w:t>
            </w:r>
            <w:r>
              <w:rPr>
                <w:b/>
                <w:i/>
              </w:rPr>
              <w:t>zlasti poudarja, da je treba še naprej razvijati vodilni projekt EUvsDisinfo;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1463</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61.</w:t>
            </w:r>
            <w:r>
              <w:tab/>
            </w:r>
            <w:r>
              <w:rPr>
                <w:b/>
                <w:i/>
              </w:rPr>
              <w:t>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w:t>
            </w:r>
            <w:r>
              <w:t xml:space="preserve"> </w:t>
            </w:r>
            <w:r>
              <w:rPr>
                <w:b/>
                <w:i/>
              </w:rPr>
              <w:t>zlasti poudarja, da je treba še naprej razvijati vodilni projekt EUvsDisinfo;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 zlasti poudarja, da je treba še naprej razvijati vodilni projekt EUvsDisinfo;</w:t>
            </w:r>
          </w:p>
        </w:tc>
        <w:tc>
          <w:tcPr>
            <w:tcW w:w="4876" w:type="dxa"/>
            <w:tcBorders>
              <w:top w:val="nil"/>
              <w:left w:val="nil"/>
              <w:bottom w:val="nil"/>
              <w:right w:val="nil"/>
            </w:tcBorders>
          </w:tcPr>
          <w:p>
            <w:pPr>
              <w:pStyle w:val="Normal6a"/>
            </w:pPr>
            <w:r>
              <w:t>61.</w:t>
            </w:r>
            <w:r>
              <w:tab/>
            </w:r>
            <w:r>
              <w:t xml:space="preserve">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 </w:t>
            </w:r>
            <w:r>
              <w:rPr>
                <w:b/>
                <w:i/>
              </w:rPr>
              <w:t>poudarja, da Rusija in Kitajska vse bolj sodelujeta pri širjenju revizionističnega diskurza o domnevnem nazadovanju Zahoda in „neokolonializmu“ v teh regijah, kar kaže na vrzel v strateškem komuniciranju, ki ogroža verodostojnost in vpliv Unije;</w:t>
            </w:r>
            <w:r>
              <w:t xml:space="preserve"> </w:t>
            </w:r>
            <w:r>
              <w:rPr>
                <w:b/>
                <w:i/>
              </w:rPr>
              <w:t>z zaskrbljenostjo ugotavlja, da so neodvisni mediji na številnih od teh območij omejeni pri svojem delovanju ali so jih od tam pregnali in da je zahodna javna diplomacija pogosto nedosledna, slabo financirana in premalo prilagojena lokalnim jezikom in kulturam, kar omejuje njeno učinkovitost v boju proti temu diskurzu;</w:t>
            </w:r>
            <w:r>
              <w:t xml:space="preserve"> zlasti poudarja, da je treba še naprej razvijati vodilni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 zlasti poudarja, da je treba še naprej razvijati vodilni projekt EUvsDisinfo;</w:t>
            </w:r>
          </w:p>
        </w:tc>
        <w:tc>
          <w:tcPr>
            <w:tcW w:w="4876" w:type="dxa"/>
            <w:tcBorders>
              <w:top w:val="nil"/>
              <w:left w:val="nil"/>
              <w:bottom w:val="nil"/>
              <w:right w:val="nil"/>
            </w:tcBorders>
          </w:tcPr>
          <w:p>
            <w:pPr>
              <w:pStyle w:val="Normal6a"/>
            </w:pPr>
            <w:r>
              <w:t>61.</w:t>
            </w:r>
            <w:r>
              <w:tab/>
            </w:r>
            <w:r>
              <w:t xml:space="preserve">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 zlasti poudarja, da </w:t>
            </w:r>
            <w:r>
              <w:rPr>
                <w:b/>
                <w:i/>
              </w:rPr>
              <w:t>spremembe, ki potekajo v severni Afriki in na območju Sahela, neposredno vplivajo na varnost in demokratično odpornost EU, ter ugotavlja, da so te regije še posebej ranljive za tuje manipuliranje z informacijami in vmešavanje, zlasti zaradi politične nestabilnosti in krhkih informacijskih ekosistemov;</w:t>
            </w:r>
            <w:r>
              <w:t xml:space="preserve"> </w:t>
            </w:r>
            <w:r>
              <w:rPr>
                <w:b/>
                <w:i/>
              </w:rPr>
              <w:t>zlasti poudarja, da</w:t>
            </w:r>
            <w:r>
              <w:t xml:space="preserve"> je treba še naprej razvijati </w:t>
            </w:r>
            <w:r>
              <w:rPr>
                <w:b/>
                <w:i/>
              </w:rPr>
              <w:t>ciljno usmerjene ukrepe za odpornost teh regij proti tujemu manipuliranju z informacijami in vmešavanju, med drugim s podporo neodvisnim medijem, civilni družbi, digitalni pismenosti, strateškemu komuniciranju ter okrepljenim mehanizmom spremljanja in odzivanja, kot je</w:t>
            </w:r>
            <w:r>
              <w:t xml:space="preserve"> vodilni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 zlasti poudarja, da je treba še naprej razvijati vodilni projekt EUvsDisinfo;</w:t>
            </w:r>
          </w:p>
        </w:tc>
        <w:tc>
          <w:tcPr>
            <w:tcW w:w="4876" w:type="dxa"/>
            <w:tcBorders>
              <w:top w:val="nil"/>
              <w:left w:val="nil"/>
              <w:bottom w:val="nil"/>
              <w:right w:val="nil"/>
            </w:tcBorders>
          </w:tcPr>
          <w:p>
            <w:pPr>
              <w:pStyle w:val="Normal6a"/>
            </w:pPr>
            <w:r>
              <w:t>61.</w:t>
            </w:r>
            <w:r>
              <w:tab/>
            </w:r>
            <w:r>
              <w:rPr>
                <w:b/>
                <w:i/>
              </w:rPr>
              <w:t>nujno</w:t>
            </w:r>
            <w:r>
              <w:t xml:space="preserve"> 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w:t>
            </w:r>
            <w:r>
              <w:rPr>
                <w:b/>
                <w:i/>
              </w:rPr>
              <w:t>, tudi z namenskim financiranjem v okviru naslednjega večletnega finančnega okvira</w:t>
            </w:r>
            <w:r>
              <w:t>; zlasti poudarja, da je treba še naprej razvijati vodilni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poziva k okrepitvi sedanjih prizadevanj EU za podporo partnerskim državam v sosedstvu ter prednostnim državam v podsaharski Afriki, azijsko-pacifiški regiji in Latinski Ameriki pri krepitvi odpornosti proti tujemu manipuliranju z informacijami in vmešavanju ter pri krepitvi demokratičnih procesov in zagotavljanju volilne integritete; zlasti poudarja, da je treba še naprej razvijati vodilni projekt EUvsDisinfo;</w:t>
            </w:r>
          </w:p>
        </w:tc>
        <w:tc>
          <w:tcPr>
            <w:tcW w:w="4876" w:type="dxa"/>
            <w:tcBorders>
              <w:top w:val="nil"/>
              <w:left w:val="nil"/>
              <w:bottom w:val="nil"/>
              <w:right w:val="nil"/>
            </w:tcBorders>
          </w:tcPr>
          <w:p>
            <w:pPr>
              <w:pStyle w:val="Normal6a"/>
            </w:pPr>
            <w:r>
              <w:t>61.</w:t>
            </w:r>
            <w:r>
              <w:tab/>
            </w:r>
            <w:r>
              <w:t xml:space="preserve">poziva k okrepitvi sedanjih prizadevanj EU za podporo partnerskim državam v </w:t>
            </w:r>
            <w:r>
              <w:rPr>
                <w:b/>
                <w:i/>
              </w:rPr>
              <w:t>vzhodnem in južnem</w:t>
            </w:r>
            <w:r>
              <w:t xml:space="preserve"> sosedstvu ter prednostnim državam v podsaharski Afriki, azijsko-pacifiški regiji in Latinski Ameriki pri krepitvi odpornosti proti tujemu manipuliranju z informacijami in vmešavanju ter pri krepitvi demokratičnih procesov in zagotavljanju volilne integritete; zlasti poudarja, da je treba še naprej razvijati vodilni projekt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61a.</w:t>
            </w:r>
            <w:r>
              <w:tab/>
            </w:r>
            <w:r>
              <w:rPr>
                <w:b/>
                <w:i/>
              </w:rPr>
              <w:t>priznava, da finančno motivirani akterji, ki se ukvarjajo z neavtentičnimi spletnimi dejavnostmi, prebivajo predvsem v regijah zunaj EU in da bi lahko prehod na storitve monetizacije platform ali njihovo prenehanje onemogočilo preživetje kohort akterjev, katerih dohodek je odvisen od izkoriščanja teh storitev monetizacije;</w:t>
            </w:r>
            <w:r>
              <w:t xml:space="preserve"> </w:t>
            </w:r>
            <w:r>
              <w:rPr>
                <w:b/>
                <w:i/>
              </w:rPr>
              <w:t>priznava, da imajo ti akterji strokovno znanje in infrastrukturo, da lahko uporabijo dejavnosti dezinformiranja za najem ali prevare, ki bi lahko bile usmerjene neposredno proti EU;</w:t>
            </w:r>
            <w:r>
              <w:t xml:space="preserve"> </w:t>
            </w:r>
            <w:r>
              <w:rPr>
                <w:b/>
                <w:i/>
              </w:rPr>
              <w:t>poziva k svetovnim naložbam v pripravo strategije, podobne „strategiji razoroževanja“, s katero bi zmanjšali tveganje, da bi se prej monetizirani akterji preusmerili v dezinformacije za najem ali druge prevare;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61a.</w:t>
            </w:r>
            <w:r>
              <w:tab/>
            </w:r>
            <w:r>
              <w:rPr>
                <w:b/>
                <w:i/>
              </w:rPr>
              <w:t>poudarja, da nadnacionalna represija pomeni resno zunanjo grožnjo demokratičnim svoboščinam, temeljnim pravicam in pravni državi v sami EU;</w:t>
            </w:r>
            <w:r>
              <w:t xml:space="preserve"> </w:t>
            </w:r>
            <w:r>
              <w:rPr>
                <w:b/>
                <w:i/>
              </w:rPr>
              <w:t>poziva Komisijo in ESZD, naj izrecno obravnavata nadnacionalno represijo kot del zunanje razsežnosti evropskega ščita za demokracijo, tudi z usklajenim diplomatskim odzivom, zaščitnimi in podpornimi mehanizmi za posameznike, na katere je usmerjena, ter strožjim spremljanjem praks tretjih držav, katerih namen je utišati nestrinjanje zunaj njihovih meja;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61a.</w:t>
            </w:r>
            <w:r>
              <w:tab/>
            </w:r>
            <w:r>
              <w:rPr>
                <w:b/>
                <w:i/>
              </w:rPr>
              <w:t>poudarja, da morajo mehanizmi za pripravljenost in odzivanje na krize v okviru evropskega ščita za demokracijo ostati izredni, jasno opredeljeni in časovno omejeni ter ne smejo privesti do normalizacije stalnega nadzora, stalnega spremljanja tveganja zakonitega diskurza ali preventivnega poseganja v demokratično razpravo;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62.</w:t>
            </w:r>
            <w:r>
              <w:tab/>
            </w:r>
            <w:r>
              <w:rPr>
                <w:b/>
                <w:i/>
              </w:rPr>
              <w:t>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w:t>
            </w:r>
            <w:r>
              <w:t xml:space="preserve"> </w:t>
            </w:r>
            <w:r>
              <w:rPr>
                <w:b/>
                <w:i/>
              </w:rPr>
              <w:t>meni, da bi morala Partnerska misija Evropske unije v Moldaviji služiti kot model za vključevanje boja proti hibridnim grožnjam v mandat obstoječih misij ali za vzpostavitev podobnih misij v drugih partnerskih državah;</w:t>
            </w:r>
            <w:r>
              <w:t xml:space="preserve"> </w:t>
            </w:r>
            <w:r>
              <w:rPr>
                <w:b/>
                <w:i/>
              </w:rPr>
              <w:t>je seznanjen s parlamentarnimi volitvami v Moldaviji, ki so potekale 28. septembra 2025, in z veliko zmago proevropske Stranke za ukrepanje in solidarnost (PAS);</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rPr>
                <w:b/>
                <w:i/>
              </w:rPr>
              <w:t>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w:t>
            </w:r>
            <w:r>
              <w:t xml:space="preserve"> </w:t>
            </w:r>
            <w:r>
              <w:rPr>
                <w:b/>
                <w:i/>
              </w:rPr>
              <w:t>meni, da bi morala Partnerska misija Evropske unije v Moldaviji služiti kot model za vključevanje boja proti hibridnim grožnjam v mandat obstoječih misij ali za vzpostavitev podobnih misij v drugih partnerskih državah;</w:t>
            </w:r>
            <w:r>
              <w:t xml:space="preserve"> je seznanjen s parlamentarnimi volitvami v Moldaviji, ki so potekale 28. septembra 2025, in z veliko zmago proevropske Stranke za ukrepanje in solidarnost (PAS);</w:t>
            </w:r>
          </w:p>
        </w:tc>
        <w:tc>
          <w:tcPr>
            <w:tcW w:w="4876" w:type="dxa"/>
            <w:tcBorders>
              <w:top w:val="nil"/>
              <w:left w:val="nil"/>
              <w:bottom w:val="nil"/>
              <w:right w:val="nil"/>
            </w:tcBorders>
          </w:tcPr>
          <w:p>
            <w:pPr>
              <w:pStyle w:val="Normal6a"/>
            </w:pPr>
            <w:r>
              <w:t>62.</w:t>
            </w:r>
            <w:r>
              <w:tab/>
            </w:r>
            <w:r>
              <w:t>je seznanjen s parlamentarnimi volitvami v Moldaviji, ki so potekale 28. septembra 2025, in z veliko zmago proevropske Stranke za ukrepanje in solidarnost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je seznanjen s parlamentarnimi volitvami v Moldaviji</w:t>
            </w:r>
            <w:r>
              <w:rPr>
                <w:b/>
                <w:i/>
              </w:rPr>
              <w:t>, ki so potekale</w:t>
            </w:r>
            <w:r>
              <w:t xml:space="preserve"> 28. septembra 2025, </w:t>
            </w:r>
            <w:r>
              <w:rPr>
                <w:b/>
                <w:i/>
              </w:rPr>
              <w:t>in z veliko</w:t>
            </w:r>
            <w:r>
              <w:t xml:space="preserve"> zmago </w:t>
            </w:r>
            <w:r>
              <w:rPr>
                <w:b/>
                <w:i/>
              </w:rPr>
              <w:t>proevropske Stranke za ukrepanje in solidarnost (PAS)</w:t>
            </w:r>
            <w:r>
              <w:t>;</w:t>
            </w:r>
          </w:p>
        </w:tc>
        <w:tc>
          <w:tcPr>
            <w:tcW w:w="4876" w:type="dxa"/>
            <w:tcBorders>
              <w:top w:val="nil"/>
              <w:left w:val="nil"/>
              <w:bottom w:val="nil"/>
              <w:right w:val="nil"/>
            </w:tcBorders>
          </w:tcPr>
          <w:p>
            <w:pPr>
              <w:pStyle w:val="Normal6a"/>
            </w:pPr>
            <w:r>
              <w:t>62.</w:t>
            </w:r>
            <w:r>
              <w:tab/>
            </w:r>
            <w:r>
              <w:t xml:space="preserve">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je seznanjen s parlamentarnimi volitvami v Moldaviji 28. septembra 2025, </w:t>
            </w:r>
            <w:r>
              <w:rPr>
                <w:b/>
                <w:i/>
              </w:rPr>
              <w:t>predsedniškimi volitvami 3. novembra 2024 in odločno</w:t>
            </w:r>
            <w:r>
              <w:t xml:space="preserve"> zmago </w:t>
            </w:r>
            <w:r>
              <w:rPr>
                <w:b/>
                <w:i/>
              </w:rPr>
              <w:t>proevropskih sil kljub znatnim prizadevanjem Rusije in sredstvom, ki jih je uporabila, da bi destabilizirala razmere v Moldaviji in jo skrenila z evropske in evroatlantske poti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je seznanjen s parlamentarnimi volitvami v Moldaviji, ki so potekale 28. septembra 2025, in z veliko zmago proevropske Stranke za ukrepanje in solidarnost (PAS);</w:t>
            </w:r>
          </w:p>
        </w:tc>
        <w:tc>
          <w:tcPr>
            <w:tcW w:w="4876" w:type="dxa"/>
            <w:tcBorders>
              <w:top w:val="nil"/>
              <w:left w:val="nil"/>
              <w:bottom w:val="nil"/>
              <w:right w:val="nil"/>
            </w:tcBorders>
          </w:tcPr>
          <w:p>
            <w:pPr>
              <w:pStyle w:val="Normal6a"/>
            </w:pPr>
            <w:r>
              <w:t>62.</w:t>
            </w:r>
            <w:r>
              <w:tab/>
            </w:r>
            <w:r>
              <w:t xml:space="preserve">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w:t>
            </w:r>
            <w:r>
              <w:rPr>
                <w:b/>
                <w:i/>
              </w:rPr>
              <w:t>meni, da bi morali biti taki sporazumi prednostno sklenjeni z državami, katerih notranja nestabilnost neposredno vpliva na varnost Evropske unije, kot so države na območju Sahela;</w:t>
            </w:r>
            <w:r>
              <w:t xml:space="preserve"> je seznanjen s parlamentarnimi volitvami v Moldaviji, ki so potekale 28. septembra 2025, in z veliko zmago proevropske Stranke za ukrepanje in solidarnost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je seznanjen s parlamentarnimi volitvami v Moldaviji, ki so potekale 28. septembra 2025, in z veliko zmago proevropske Stranke za ukrepanje in solidarnost (PAS);</w:t>
            </w:r>
          </w:p>
        </w:tc>
        <w:tc>
          <w:tcPr>
            <w:tcW w:w="4876" w:type="dxa"/>
            <w:tcBorders>
              <w:top w:val="nil"/>
              <w:left w:val="nil"/>
              <w:bottom w:val="nil"/>
              <w:right w:val="nil"/>
            </w:tcBorders>
          </w:tcPr>
          <w:p>
            <w:pPr>
              <w:pStyle w:val="Normal6a"/>
            </w:pPr>
            <w:r>
              <w:t>62.</w:t>
            </w:r>
            <w:r>
              <w:tab/>
            </w:r>
            <w:r>
              <w:t xml:space="preserve">priznava ustanovitev Partnerske misije Evropske unije v Moldaviji kot uspešen primer, kako lahko EU igra odločilno vlogo pri podpiranju struktur za krizno upravljanje partnerske države in krepitvi njene odpornosti proti hibridnim in kibernetskim grožnjam ter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je seznanjen s parlamentarnimi volitvami v Moldaviji, ki so potekale 28. septembra 2025, in z veliko zmago proevropske Stranke za ukrepanje in solidarnost (PAS); </w:t>
            </w:r>
            <w:r>
              <w:rPr>
                <w:b/>
                <w:i/>
              </w:rPr>
              <w:t>ponovno poudarja, da je treba Armenijo pred parlamentarnimi volitvami junija 2026 podpreti v boju proti ruskemu vmešavanju;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priznava ustanovitev Partnerske misije Evropske unije v Moldaviji kot uspešen primer, kako lahko EU igra odločilno vlogo pri podpiranju struktur za krizno upravljanje partnerske države in krepitvi njene odpornosti proti </w:t>
            </w:r>
            <w:r>
              <w:rPr>
                <w:b/>
                <w:i/>
              </w:rPr>
              <w:t>hibridnim in</w:t>
            </w:r>
            <w:r>
              <w:t xml:space="preserve"> kibernetskim grožnjam </w:t>
            </w:r>
            <w:r>
              <w:rPr>
                <w:b/>
                <w:i/>
              </w:rPr>
              <w:t>ter</w:t>
            </w:r>
            <w:r>
              <w:t xml:space="preserve"> grožnjam tujega manipuliranja z informacijami in vmešavanja; meni, da bi morala Partnerska misija Evropske unije v Moldaviji služiti kot model za vključevanje boja proti hibridnim grožnjam v mandat obstoječih misij ali za vzpostavitev podobnih misij v drugih partnerskih državah; je seznanjen s parlamentarnimi volitvami v Moldaviji, ki so potekale 28. septembra 2025, in z veliko zmago proevropske Stranke za ukrepanje in solidarnost (PAS);</w:t>
            </w:r>
          </w:p>
        </w:tc>
        <w:tc>
          <w:tcPr>
            <w:tcW w:w="4876" w:type="dxa"/>
            <w:tcBorders>
              <w:top w:val="nil"/>
              <w:left w:val="nil"/>
              <w:bottom w:val="nil"/>
              <w:right w:val="nil"/>
            </w:tcBorders>
          </w:tcPr>
          <w:p>
            <w:pPr>
              <w:pStyle w:val="Normal6a"/>
            </w:pPr>
            <w:r>
              <w:t>62.</w:t>
            </w:r>
            <w:r>
              <w:tab/>
            </w:r>
            <w:r>
              <w:t>priznava ustanovitev Partnerske misije Evropske unije v Moldaviji kot uspešen primer, kako lahko EU igra odločilno vlogo pri podpiranju struktur za krizno upravljanje partnerske države in krepitvi njene odpornosti proti kibernetskim grožnjam</w:t>
            </w:r>
            <w:r>
              <w:rPr>
                <w:b/>
                <w:i/>
              </w:rPr>
              <w:t>,</w:t>
            </w:r>
            <w:r>
              <w:t xml:space="preserve"> grožnjam tujega manipuliranja z informacijami in vmešavanja </w:t>
            </w:r>
            <w:r>
              <w:rPr>
                <w:b/>
                <w:i/>
              </w:rPr>
              <w:t>in drugim grožnjam</w:t>
            </w:r>
            <w:r>
              <w:t>; meni, da bi morala Partnerska misija Evropske unije v Moldaviji služiti kot model za vključevanje boja proti hibridnim grožnjam v mandat obstoječih misij ali za vzpostavitev podobnih misij v drugih partnerskih državah; je seznanjen s parlamentarnimi volitvami v Moldaviji, ki so potekale 28. septembra 2025, in z veliko zmago proevropske Stranke za ukrepanje in solidarnost (PAS);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opozarja, da so naslednje parlamentarne volitve v Armeniji načrtovane 7. junija 2026;</w:t>
            </w:r>
            <w:r>
              <w:t xml:space="preserve"> </w:t>
            </w:r>
            <w:r>
              <w:rPr>
                <w:b/>
                <w:i/>
              </w:rPr>
              <w:t>vztraja, da je treba državi zagotoviti takojšnjo in zadostno podporo, da bi se zoperstavili ruskemu vmešavanju in ruskim posrednikom v državi, bodisi s prilagoditvijo mandata misije EUAM Armenia bodisi prek ad hoc misije;</w:t>
            </w:r>
            <w:r>
              <w:t xml:space="preserve"> </w:t>
            </w:r>
            <w:r>
              <w:rPr>
                <w:b/>
                <w:i/>
              </w:rPr>
              <w:t>vztraja, da se lahko ta podpora zagotovi v obliki krepitve upravne zmogljivosti in temeljnega financiranja, da bo imela država na voljo orodje za odzivanje;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1478</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63.</w:t>
            </w:r>
            <w:r>
              <w:tab/>
            </w:r>
            <w:r>
              <w:rPr>
                <w:b/>
                <w:i/>
              </w:rPr>
              <w:t>pozdravlja napotitev hibridnih enot EU za hitro odzivanje, kot je pokazal nedavni primer Moldavije, kot koristnega instrumenta za krepitev zmogljivosti in odpornosti v državah, ki so tarča hibridnih, kibernetskih napadov ter napadov tujega manipuliranja z informacijami in vmešavanja, na podlagi posebnega in strokovnega znanja EU in njenih držav članic;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1479</w:t>
      </w:r>
      <w:r>
        <w:rPr>
          <w:rStyle w:val="HideTWBExt"/>
        </w:rPr>
        <w:t>&lt;/NumAm&gt;</w:t>
      </w:r>
    </w:p>
    <w:p>
      <w:pPr>
        <w:pStyle w:val="NormalBold"/>
      </w:pPr>
      <w:r>
        <w:rPr>
          <w:rStyle w:val="HideTWBExt"/>
          <w:b w:val="0"/>
        </w:rPr>
        <w:t>&lt;RepeatBlock-By&gt;</w:t>
      </w:r>
      <w:r>
        <w:rPr>
          <w:rStyle w:val="HideTWBExt"/>
          <w:b w:val="0"/>
        </w:rPr>
        <w:t>&lt;Members&gt;</w:t>
      </w:r>
      <w:r>
        <w:t>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rPr>
                <w:b/>
                <w:i/>
              </w:rPr>
              <w:t>pozdravlja napotitev hibridnih enot EU za hitro odzivanje, kot je pokazal nedavni primer Moldavije, kot koristnega instrumenta za krepitev zmogljivosti in odpornosti v državah, ki so tarča hibridnih, kibernetskih napadov ter napadov tujega manipuliranja z informacijami in vmešavanja,</w:t>
            </w:r>
            <w:r>
              <w:t xml:space="preserve"> na podlagi posebnega in strokovnega znanja EU in njenih držav članic;</w:t>
            </w:r>
          </w:p>
        </w:tc>
        <w:tc>
          <w:tcPr>
            <w:tcW w:w="4876" w:type="dxa"/>
            <w:tcBorders>
              <w:top w:val="nil"/>
              <w:left w:val="nil"/>
              <w:bottom w:val="nil"/>
              <w:right w:val="nil"/>
            </w:tcBorders>
          </w:tcPr>
          <w:p>
            <w:pPr>
              <w:pStyle w:val="Normal6a"/>
            </w:pPr>
            <w:r>
              <w:t>63.</w:t>
            </w:r>
            <w:r>
              <w:tab/>
            </w:r>
            <w:r>
              <w:rPr>
                <w:b/>
                <w:i/>
              </w:rPr>
              <w:t>ugotavlja, da so se</w:t>
            </w:r>
            <w:r>
              <w:t xml:space="preserve"> na podlagi posebnega in strokovnega znanja EU in njenih držav članic </w:t>
            </w:r>
            <w:r>
              <w:rPr>
                <w:b/>
                <w:i/>
              </w:rPr>
              <w:t>ukrepi EU med nedavnimi volitvami v Moldaviji izkazali za učinkovite</w:t>
            </w:r>
            <w:r>
              <w:t xml:space="preserve">; </w:t>
            </w:r>
            <w:r>
              <w:rPr>
                <w:b/>
                <w:i/>
              </w:rPr>
              <w:t>v zvezi s tem ugotavlja, da je bila ob soglasju Moldavije tja napotena skupina EU, da bi pomagala pri obrambi pred dezinformacijami in tujimi manipulacijami;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priznava, da finančno motivirani akterji, ki se ukvarjajo z neavtentičnimi spletnimi dejavnostmi, prebivajo predvsem v regijah zunaj EU in da bi lahko prehod na storitve monetizacije platform ali njihovo prenehanje onemogočilo preživetje kohort akterjev, katerih dohodek je odvisen od izkoriščanja teh storitev monetizacije.</w:t>
            </w:r>
            <w:r>
              <w:t xml:space="preserve"> </w:t>
            </w:r>
            <w:r>
              <w:rPr>
                <w:b/>
                <w:i/>
              </w:rPr>
              <w:t>priznava, da imajo ti akterji strokovno znanje in infrastrukturo, da lahko uporabijo dejavnosti dezinformiranja za najem ali prevare, ki bi lahko bile usmerjene neposredno proti EU;</w:t>
            </w:r>
            <w:r>
              <w:t xml:space="preserve"> </w:t>
            </w:r>
            <w:r>
              <w:rPr>
                <w:b/>
                <w:i/>
              </w:rPr>
              <w:t>poziva k svetovnim naložbam v pripravo strategije, podobni „strategiji razoroževanja“, s katero bi zmanjšali tveganje, da bi se prej monetizirani akterji preusmerili v dezinformacije za najem ali druge prevare;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potrjuje, da ima Nato glavno vlogo v boju proti hibridnemu vojskovanju, katerega tarča so politične institucije kolektivnega Zahoda, ki oblikuje javno mnenje in ogroža varnost državljanov zavezniških držav;</w:t>
            </w:r>
            <w:r>
              <w:t xml:space="preserve"> </w:t>
            </w:r>
            <w:r>
              <w:rPr>
                <w:b/>
                <w:i/>
              </w:rPr>
              <w:t>poudarja, da je po pristopu Finske in Švedske 23 od 27 držav članic EU tudi zaveznic Nata;</w:t>
            </w:r>
            <w:r>
              <w:t xml:space="preserve"> </w:t>
            </w:r>
            <w:r>
              <w:rPr>
                <w:b/>
                <w:i/>
              </w:rPr>
              <w:t>opozarja, da je Nato razvil namenske instrumente in strategije za boj proti hibridnim grožnjam;</w:t>
            </w:r>
            <w:r>
              <w:t xml:space="preserve"> </w:t>
            </w:r>
            <w:r>
              <w:rPr>
                <w:b/>
                <w:i/>
              </w:rPr>
              <w:t>vztraja, da mora vloga EU ostati strogo dopolnilna in podporna ter da se je treba izogibati podvajanju, institucionalni širitvi ali ustvarjanju vzporednih 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63b.</w:t>
            </w:r>
            <w:r>
              <w:tab/>
            </w:r>
            <w:r>
              <w:rPr>
                <w:b/>
                <w:i/>
              </w:rPr>
              <w:t>poudarja, da je zaradi hitrosti, obsega in intenzivnosti hibridnih groženj, ki jih omogočajo hitre tehnološke spremembe in globalna medsebojna povezljivost, potrebno čezatlantsko usklajevanje, ne pa podvajanje struktur na ravni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63c.</w:t>
            </w:r>
            <w:r>
              <w:tab/>
            </w:r>
            <w:r>
              <w:rPr>
                <w:b/>
                <w:i/>
              </w:rPr>
              <w:t>izraža resno zaskrbljenost zaradi poglabljanja strateških partnerstev med sovražnimi režimi v Moskvi in Minsku ter drugimi avtoritarnimi akterji, vključno s Kitajsko, Iranom, Severno Korejo, Kubo in Nikaragvo;</w:t>
            </w:r>
            <w:r>
              <w:t xml:space="preserve"> </w:t>
            </w:r>
            <w:r>
              <w:rPr>
                <w:b/>
                <w:i/>
              </w:rPr>
              <w:t>meni, da je nedosleden in politično selektiven pristop EU oslabil njeno verodostojnost;</w:t>
            </w:r>
            <w:r>
              <w:t xml:space="preserve"> </w:t>
            </w:r>
            <w:r>
              <w:rPr>
                <w:b/>
                <w:i/>
              </w:rPr>
              <w:t>opozarja zlasti na primer Kube, s katero EU ohranja sporazum o političnem dialogu in sodelovanju, ki ga je komunistični režim uporabil za finančno okrepitev in politično legitimizacijo, čeprav sistematično krši temeljna načela in zaveze iz sporazuma, tudi s hudim zatiranjem civilne družbe in napotitvijo kubanskega osebja v tujino v podporo avtoritarnim režimom;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poudarja, da je treba v mednarodnem sodelovanju s podobno mislečimi partnerji,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w:t>
            </w:r>
          </w:p>
        </w:tc>
        <w:tc>
          <w:tcPr>
            <w:tcW w:w="4876" w:type="dxa"/>
            <w:tcBorders>
              <w:top w:val="nil"/>
              <w:left w:val="nil"/>
              <w:bottom w:val="nil"/>
              <w:right w:val="nil"/>
            </w:tcBorders>
          </w:tcPr>
          <w:p>
            <w:pPr>
              <w:pStyle w:val="Normal6a"/>
            </w:pPr>
            <w:r>
              <w:t>64.</w:t>
            </w:r>
            <w:r>
              <w:tab/>
            </w:r>
            <w:r>
              <w:t xml:space="preserve">poudarja, da je treba v mednarodnem sodelovanju s podobno mislečimi partnerji,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 </w:t>
            </w:r>
            <w:r>
              <w:rPr>
                <w:b/>
                <w:i/>
              </w:rPr>
              <w:t>poudarja, da je treba poglobiti sodelovanje z Natom, njegovim centrom odličnosti za strateško komuniciranje in evropsko mrežo za kibernetsko varnost, da bi se borili proti dezinformacijam in kibernetskim napadom;</w:t>
            </w:r>
            <w:r>
              <w:t xml:space="preserve"> </w:t>
            </w:r>
            <w:r>
              <w:rPr>
                <w:b/>
                <w:i/>
              </w:rPr>
              <w:t>poziva Komisijo, naj v boju proti dezinformacijam ter tujemu manipuliranju z informacijami in vmešavanju po možnosti sodeluje z nacionalnimi organi in organizacijami civilne družbe iz podobno mislečih tretjih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poudarja, da je treba v mednarodnem sodelovanju s podobno mislečimi partnerji,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w:t>
            </w:r>
          </w:p>
        </w:tc>
        <w:tc>
          <w:tcPr>
            <w:tcW w:w="4876" w:type="dxa"/>
            <w:tcBorders>
              <w:top w:val="nil"/>
              <w:left w:val="nil"/>
              <w:bottom w:val="nil"/>
              <w:right w:val="nil"/>
            </w:tcBorders>
          </w:tcPr>
          <w:p>
            <w:pPr>
              <w:pStyle w:val="Normal6a"/>
            </w:pPr>
            <w:r>
              <w:t>64.</w:t>
            </w:r>
            <w:r>
              <w:tab/>
            </w:r>
            <w:r>
              <w:t>poudarja, da je treba v mednarodnem sodelovanju s podobno mislečimi partnerji, kot so G7, NATO</w:t>
            </w:r>
            <w:r>
              <w:rPr>
                <w:b/>
                <w:i/>
              </w:rPr>
              <w:t>, Tajvan</w:t>
            </w:r>
            <w:r>
              <w:t xml:space="preserve">,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 </w:t>
            </w:r>
            <w:r>
              <w:rPr>
                <w:b/>
                <w:i/>
              </w:rPr>
              <w:t>spodbuja nadaljnji razvoj skupnih odprtokodnih standardov, podatkovnih modelov, metodologij in taksonomij med podobno mislečimi partnerji, da bi omogočili učinkovitejše sodelovanje;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poudarja, da je treba v mednarodnem sodelovanju s podobno mislečimi partnerji,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w:t>
            </w:r>
          </w:p>
        </w:tc>
        <w:tc>
          <w:tcPr>
            <w:tcW w:w="4876" w:type="dxa"/>
            <w:tcBorders>
              <w:top w:val="nil"/>
              <w:left w:val="nil"/>
              <w:bottom w:val="nil"/>
              <w:right w:val="nil"/>
            </w:tcBorders>
          </w:tcPr>
          <w:p>
            <w:pPr>
              <w:pStyle w:val="Normal6a"/>
            </w:pPr>
            <w:r>
              <w:t>64.</w:t>
            </w:r>
            <w:r>
              <w:tab/>
            </w:r>
            <w:r>
              <w:t xml:space="preserve">poudarja, da je treba v mednarodnem sodelovanju s podobno mislečimi partnerji,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 </w:t>
            </w:r>
            <w:r>
              <w:rPr>
                <w:b/>
                <w:i/>
              </w:rPr>
              <w:t>spodbuja nadaljnji razvoj skupnih odprtokodnih standardov, podatkovnih modelov, metodologij in taksonomij med podobno mislečimi partnerji, da bi omogočili učinkovitejše sodelovanje;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poudarja, da je treba v mednarodnem sodelovanju s podobno mislečimi partnerji,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w:t>
            </w:r>
            <w:r>
              <w:rPr>
                <w:b/>
                <w:i/>
              </w:rPr>
              <w:t>;</w:t>
            </w:r>
          </w:p>
        </w:tc>
        <w:tc>
          <w:tcPr>
            <w:tcW w:w="4876" w:type="dxa"/>
            <w:tcBorders>
              <w:top w:val="nil"/>
              <w:left w:val="nil"/>
              <w:bottom w:val="nil"/>
              <w:right w:val="nil"/>
            </w:tcBorders>
          </w:tcPr>
          <w:p>
            <w:pPr>
              <w:pStyle w:val="Normal6a"/>
            </w:pPr>
            <w:r>
              <w:t>64.</w:t>
            </w:r>
            <w:r>
              <w:tab/>
            </w:r>
            <w:r>
              <w:t>poudarja, da je treba v mednarodnem sodelovanju s podobno mislečimi partnerji</w:t>
            </w:r>
            <w:r>
              <w:rPr>
                <w:b/>
                <w:i/>
              </w:rPr>
              <w:t>, kot so Združene države Amerike, Združeno kraljestvo, Kanada, Japonska in Tajvan ter organizacije</w:t>
            </w:r>
            <w:r>
              <w:t>, kot so G7, NATO, OZN, Organizacija za varnost in sodelovanje v Evropi ter Svet Evrope, dati prednost načelom in ciljem evropskega ščita za demokracijo; pozdravlja že sprejete ukrepe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rPr>
                <w:b/>
                <w:i/>
              </w:rPr>
              <w:t>poudarja, da je treba v</w:t>
            </w:r>
            <w:r>
              <w:t xml:space="preserve"> mednarodnem sodelovanju s podobno mislečimi partnerji, kot so G7, NATO, OZN, Organizacija za varnost in sodelovanje v Evropi ter Svet Evrope, </w:t>
            </w:r>
            <w:r>
              <w:rPr>
                <w:b/>
                <w:i/>
              </w:rPr>
              <w:t>dati prednost načelom in ciljem evropskega ščita za demokracijo;</w:t>
            </w:r>
            <w:r>
              <w:t xml:space="preserve"> </w:t>
            </w:r>
            <w:r>
              <w:rPr>
                <w:b/>
                <w:i/>
              </w:rPr>
              <w:t>pozdravlja že sprejete ukrepe</w:t>
            </w:r>
            <w:r>
              <w:t xml:space="preserv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 in razvoj skupnih odzivov na tuje manipuliranje z informacijami in vmešavanje;</w:t>
            </w:r>
          </w:p>
        </w:tc>
        <w:tc>
          <w:tcPr>
            <w:tcW w:w="4876" w:type="dxa"/>
            <w:tcBorders>
              <w:top w:val="nil"/>
              <w:left w:val="nil"/>
              <w:bottom w:val="nil"/>
              <w:right w:val="nil"/>
            </w:tcBorders>
          </w:tcPr>
          <w:p>
            <w:pPr>
              <w:pStyle w:val="Normal6a"/>
            </w:pPr>
            <w:r>
              <w:t>64.</w:t>
            </w:r>
            <w:r>
              <w:tab/>
            </w:r>
            <w:r>
              <w:rPr>
                <w:b/>
                <w:i/>
              </w:rPr>
              <w:t>ugotavlja, da so bili pri</w:t>
            </w:r>
            <w:r>
              <w:t xml:space="preserve"> mednarodnem sodelovanju s podobno mislečimi partnerji, kot so G7, NATO, OZN, Organizacija za varnost in sodelovanje v Evropi ter Svet Evrope, </w:t>
            </w:r>
            <w:r>
              <w:rPr>
                <w:b/>
                <w:i/>
              </w:rPr>
              <w:t>že sprejeti ukrepi</w:t>
            </w:r>
            <w:r>
              <w:t xml:space="preserve"> v okviru dvostranskega in večstranskega sodelovanja, zlasti kodeks ravnanja OZN za informacijsko integriteto na digitalnih platformah, zavezo držav članic Sveta Evrope iz Reykjaviške deklaracije o zaščiti volilnih sistemov pred tujim vmešavanjem, partnerstva na področju varnosti in obrambe ter nadaljnja prizadevanja mehanizma za hitro odzivanje skupine G7 za predvidevanje</w:t>
            </w:r>
            <w:r>
              <w:rPr>
                <w:b/>
                <w:i/>
              </w:rPr>
              <w:t>, obravnavo</w:t>
            </w:r>
            <w:r>
              <w:t xml:space="preserve"> in razvoj skupnih odzivov na tuje manipuliranje z informacijami in vmešavanje; </w:t>
            </w:r>
            <w:r>
              <w:rPr>
                <w:b/>
                <w:i/>
              </w:rPr>
              <w:t>vendar poudarja, da je treba vedno spoštovati suverenost držav članic in da se je treba o vseh sprejetih ukrepih posvetovati z zadevnimi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1489</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64a.</w:t>
            </w:r>
            <w:r>
              <w:tab/>
            </w:r>
            <w:r>
              <w:rPr>
                <w:b/>
                <w:i/>
              </w:rPr>
              <w:t>poziva, naj prihodnja struktura ščita za demokracijo vključuje specifične kazalnike tveganja v zvezi z instrumentalno uporabo trgovine, razvojne pomoči in državnega dolga kot orodja političnega pritiska s strani avtoritarnih režimov, zlasti na države kandidatke, sosedstvo in tako imenovani svetovni jug, da bi okrepili zunanje delovanje Unije pri varovanju demokratične integritete;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pozdravlja vzpostavitev partnerstva na področju varnosti in obrambe med EU in Združenim kraljestvom maja 2025; pozdravlja osredotočenost med drugim na sodelovanje pri spopadanju s kibernetskimi vprašanji, hibridnimi grožnja ter tujim manipuliranjem z informacijami in vmešavanjem ter na zaščito kritične infrastrukture;</w:t>
            </w:r>
          </w:p>
        </w:tc>
        <w:tc>
          <w:tcPr>
            <w:tcW w:w="4876" w:type="dxa"/>
            <w:tcBorders>
              <w:top w:val="nil"/>
              <w:left w:val="nil"/>
              <w:bottom w:val="nil"/>
              <w:right w:val="nil"/>
            </w:tcBorders>
          </w:tcPr>
          <w:p>
            <w:pPr>
              <w:pStyle w:val="Normal6a"/>
            </w:pPr>
            <w:r>
              <w:t>65.</w:t>
            </w:r>
            <w:r>
              <w:tab/>
            </w:r>
            <w:r>
              <w:t xml:space="preserve">pozdravlja vzpostavitev partnerstva na področju varnosti in obrambe med EU in Združenim kraljestvom maja 2025; pozdravlja osredotočenost med drugim na sodelovanje pri spopadanju s kibernetskimi vprašanji, hibridnimi grožnja ter tujim manipuliranjem z informacijami in vmešavanjem ter na zaščito kritične infrastrukture; </w:t>
            </w:r>
            <w:r>
              <w:rPr>
                <w:b/>
                <w:i/>
              </w:rPr>
              <w:t>ceni prizadevanja in prispevek Združenega kraljestva k varnosti Evrope;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pozdravlja vzpostavitev partnerstva na področju varnosti in obrambe med EU in Združenim kraljestvom maja 2025; pozdravlja osredotočenost med drugim na sodelovanje pri spopadanju s kibernetskimi vprašanji</w:t>
            </w:r>
            <w:r>
              <w:rPr>
                <w:b/>
                <w:i/>
              </w:rPr>
              <w:t>, hibridnimi grožnja</w:t>
            </w:r>
            <w:r>
              <w:t xml:space="preserve"> ter tujim manipuliranjem z informacijami in vmešavanjem ter na zaščito kritične infrastrukture;</w:t>
            </w:r>
          </w:p>
        </w:tc>
        <w:tc>
          <w:tcPr>
            <w:tcW w:w="4876" w:type="dxa"/>
            <w:tcBorders>
              <w:top w:val="nil"/>
              <w:left w:val="nil"/>
              <w:bottom w:val="nil"/>
              <w:right w:val="nil"/>
            </w:tcBorders>
          </w:tcPr>
          <w:p>
            <w:pPr>
              <w:pStyle w:val="Normal6a"/>
            </w:pPr>
            <w:r>
              <w:t>65.</w:t>
            </w:r>
            <w:r>
              <w:tab/>
            </w:r>
            <w:r>
              <w:t>pozdravlja vzpostavitev partnerstva na področju varnosti in obrambe med EU in Združenim kraljestvom maja 2025; pozdravlja osredotočenost med drugim na sodelovanje pri spopadanju s kibernetskimi vprašanji ter tujim manipuliranjem z informacijami in vmešavanjem ter na zaščito kritične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1492</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Bartłomiej Sienkiewicz, Michał Wawrykiewicz, Ana Miguel Pedro, Andrey Kovatchev</w:t>
      </w:r>
      <w:r>
        <w:rPr>
          <w:rStyle w:val="HideTWBExt"/>
          <w:b w:val="0"/>
        </w:rPr>
        <w:t>&lt;/Members&gt;</w:t>
      </w:r>
    </w:p>
    <w:p>
      <w:r>
        <w:rPr>
          <w:rStyle w:val="HideTWBExt"/>
          <w:b w:val="0"/>
        </w:rPr>
        <w:t>&lt;AuNomDe&gt;</w:t>
      </w:r>
      <w:r>
        <w:rPr>
          <w:rStyle w:val="HideTWBInt"/>
        </w:rPr>
        <w:t>{PPE}</w:t>
      </w:r>
      <w:r>
        <w:t>v imenu skupine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65a.</w:t>
            </w:r>
            <w:r>
              <w:tab/>
            </w:r>
            <w:r>
              <w:rPr>
                <w:b/>
                <w:i/>
              </w:rPr>
              <w:t>v zvezi s tem izraža zaskrbljenost zaradi dejstva, da nekateri elementi nove ameriške strategije državne varnosti zelo pomanjkljivo obravnavajo grožnjo, ki jo predstavlja Rusija, zlasti za evropsko varnost in s tem tudi za varnost ZDA;</w:t>
            </w:r>
            <w:r>
              <w:t xml:space="preserve"> </w:t>
            </w:r>
            <w:r>
              <w:rPr>
                <w:b/>
                <w:i/>
              </w:rPr>
              <w:t>poleg tega obžaluje, da je EU v tej strategiji napačno ocenjena kot politični sistem;</w:t>
            </w:r>
            <w:r>
              <w:t xml:space="preserve"> </w:t>
            </w:r>
            <w:r>
              <w:rPr>
                <w:b/>
                <w:i/>
              </w:rPr>
              <w:t>meni, da je ameriška strategija državne varnosti še dodaten pokazatelj, da mora Evropa povečati svojo strateško avtonomijo, zmanjšati odvisnost in diverzificirati partnerstva;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65a.</w:t>
            </w:r>
            <w:r>
              <w:tab/>
            </w:r>
            <w:r>
              <w:rPr>
                <w:b/>
                <w:i/>
              </w:rPr>
              <w:t>opozarja, da so države članice glavni akterji na področju obveščevalnih in diplomatskih služb;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poudarja, da bi moral biti glavni cilj evropskega ščita demokracije zaščititi integriteto volitev na lokalni, regionalni in nacionalni ravni ter na ravni EU; poziva Komisijo in države članice, naj ob polnem spoštovanju načela subsidiarnosti sodelujejo pri izvajanju reform, namenjenih krepitvi odpornosti volilnih procesov v Evropi, s posebnim poudarkom na ukrepih za preprečevanje tujega vmešavanja;</w:t>
            </w:r>
          </w:p>
        </w:tc>
        <w:tc>
          <w:tcPr>
            <w:tcW w:w="4876" w:type="dxa"/>
            <w:tcBorders>
              <w:top w:val="nil"/>
              <w:left w:val="nil"/>
              <w:bottom w:val="nil"/>
              <w:right w:val="nil"/>
            </w:tcBorders>
          </w:tcPr>
          <w:p>
            <w:pPr>
              <w:pStyle w:val="Normal6a"/>
            </w:pPr>
            <w:r>
              <w:t>66.</w:t>
            </w:r>
            <w:r>
              <w:tab/>
            </w:r>
            <w:r>
              <w:t xml:space="preserve">poudarja, da bi moral biti glavni cilj evropskega ščita demokracije zaščititi integriteto volitev na lokalni, regionalni in nacionalni ravni ter na ravni EU; poziva Komisijo in države članice, naj ob polnem spoštovanju načela subsidiarnosti sodelujejo pri izvajanju reform, namenjenih krepitvi odpornosti volilnih procesov v Evropi, s posebnim poudarkom na ukrepih za preprečevanje tujega vmešavanja; </w:t>
            </w:r>
            <w:r>
              <w:rPr>
                <w:b/>
                <w:i/>
              </w:rPr>
              <w:t>predlaga, naj ščit za demokracijo podpira sklicevanje, usklajevanje in financiranje prizadevanj za integriteto evropskih volitev na lokalni, regionalni, nacionalni in evropski ravni, na spletu in drugje, vključno z vidiki financiranja hibridnih groženj, kibernetskih groženj in manipuliranja z informacijami;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rPr>
                <w:b/>
                <w:i/>
              </w:rPr>
              <w:t>poudarja, da bi moral biti glavni cilj evropskega ščita demokracije zaščititi integriteto</w:t>
            </w:r>
            <w:r>
              <w:t xml:space="preserve"> volitev </w:t>
            </w:r>
            <w:r>
              <w:rPr>
                <w:b/>
                <w:i/>
              </w:rPr>
              <w:t>na lokalni, regionalni in nacionalni ravni ter na ravni EU;</w:t>
            </w:r>
            <w:r>
              <w:t xml:space="preserve"> </w:t>
            </w:r>
            <w:r>
              <w:rPr>
                <w:b/>
                <w:i/>
              </w:rPr>
              <w:t>poziva Komisijo in države članice, naj ob polnem spoštovanju načela subsidiarnosti sodelujejo pri izvajanju reform, namenjenih krepitvi odpornosti volilnih procesov v Evropi, s posebnim poudarkom na ukrepih za preprečevanje tujega vmešavanja</w:t>
            </w:r>
            <w:r>
              <w:t>;</w:t>
            </w:r>
          </w:p>
        </w:tc>
        <w:tc>
          <w:tcPr>
            <w:tcW w:w="4876" w:type="dxa"/>
            <w:tcBorders>
              <w:top w:val="nil"/>
              <w:left w:val="nil"/>
              <w:bottom w:val="nil"/>
              <w:right w:val="nil"/>
            </w:tcBorders>
          </w:tcPr>
          <w:p>
            <w:pPr>
              <w:pStyle w:val="Normal6a"/>
            </w:pPr>
            <w:r>
              <w:t>66.</w:t>
            </w:r>
            <w:r>
              <w:tab/>
            </w:r>
            <w:r>
              <w:rPr>
                <w:b/>
                <w:i/>
              </w:rPr>
              <w:t>opozarja, da so organizacija, izvedba in nadzor</w:t>
            </w:r>
            <w:r>
              <w:t xml:space="preserve"> volitev </w:t>
            </w:r>
            <w:r>
              <w:rPr>
                <w:b/>
                <w:i/>
              </w:rPr>
              <w:t>v izključni pristojnosti držav članic, in zavrača vsako razlago, ki bi razširila pristojnosti EU na to osrednje področje nacionalne demokratične suverenosti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rPr>
                <w:b/>
                <w:i/>
              </w:rPr>
              <w:t>poudarja</w:t>
            </w:r>
            <w:r>
              <w:t xml:space="preserve">, da bi moral biti glavni cilj evropskega ščita demokracije zaščititi integriteto volitev na lokalni, regionalni in nacionalni ravni ter na ravni EU; poziva Komisijo </w:t>
            </w:r>
            <w:r>
              <w:rPr>
                <w:b/>
                <w:i/>
              </w:rPr>
              <w:t>in države članice, naj ob polnem spoštovanju</w:t>
            </w:r>
            <w:r>
              <w:t xml:space="preserve"> načela subsidiarnosti </w:t>
            </w:r>
            <w:r>
              <w:rPr>
                <w:b/>
                <w:i/>
              </w:rPr>
              <w:t>sodelujejo pri izvajanju reform, namenjenih krepitvi odpornosti volilnih procesov v Evropi, s posebnim poudarkom na ukrepih za preprečevanje tujega vmešavanja</w:t>
            </w:r>
            <w:r>
              <w:t>;</w:t>
            </w:r>
          </w:p>
        </w:tc>
        <w:tc>
          <w:tcPr>
            <w:tcW w:w="4876" w:type="dxa"/>
            <w:tcBorders>
              <w:top w:val="nil"/>
              <w:left w:val="nil"/>
              <w:bottom w:val="nil"/>
              <w:right w:val="nil"/>
            </w:tcBorders>
          </w:tcPr>
          <w:p>
            <w:pPr>
              <w:pStyle w:val="Normal6a"/>
            </w:pPr>
            <w:r>
              <w:t>66.</w:t>
            </w:r>
            <w:r>
              <w:tab/>
            </w:r>
            <w:r>
              <w:rPr>
                <w:b/>
                <w:i/>
              </w:rPr>
              <w:t>izraža zaskrbljenost, ker Komisija navaja</w:t>
            </w:r>
            <w:r>
              <w:t>, da bi moral biti glavni cilj evropskega ščita demokracije zaščititi integriteto volitev na lokalni, regionalni in nacionalni ravni ter na ravni EU; poziva Komisijo</w:t>
            </w:r>
            <w:r>
              <w:rPr>
                <w:b/>
                <w:i/>
              </w:rPr>
              <w:t>, naj spoštuje Pogodbi in</w:t>
            </w:r>
            <w:r>
              <w:t xml:space="preserve"> načela </w:t>
            </w:r>
            <w:r>
              <w:rPr>
                <w:b/>
                <w:i/>
              </w:rPr>
              <w:t>prenosa pristojnosti,</w:t>
            </w:r>
            <w:r>
              <w:t xml:space="preserve"> subsidiarnosti </w:t>
            </w:r>
            <w:r>
              <w:rPr>
                <w:b/>
                <w:i/>
              </w:rPr>
              <w:t>in sorazmernosti ter upošteva pristojnosti držav članic na občutljivem področju volitev;</w:t>
            </w:r>
            <w:r>
              <w:t xml:space="preserve"> </w:t>
            </w:r>
            <w:r>
              <w:rPr>
                <w:b/>
                <w:i/>
              </w:rPr>
              <w:t>opozarja na resne pomisleke glede cenzure in neupravičenega omejevanja svobode govora ter pravice do obveščenosti in svobode izražanja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 xml:space="preserve">poudarja, da bi moral biti glavni cilj evropskega ščita demokracije zaščititi integriteto volitev na lokalni, regionalni in nacionalni ravni ter na ravni EU; poziva Komisijo in države članice, naj ob polnem spoštovanju načela subsidiarnosti sodelujejo pri </w:t>
            </w:r>
            <w:r>
              <w:rPr>
                <w:b/>
                <w:i/>
              </w:rPr>
              <w:t>izvajanju reform, namenjenih krepitvi</w:t>
            </w:r>
            <w:r>
              <w:t xml:space="preserve"> odpornosti volilnih procesov v Evropi, s posebnim poudarkom na ukrepih za preprečevanje tujega vmešavanja;</w:t>
            </w:r>
          </w:p>
        </w:tc>
        <w:tc>
          <w:tcPr>
            <w:tcW w:w="4876" w:type="dxa"/>
            <w:tcBorders>
              <w:top w:val="nil"/>
              <w:left w:val="nil"/>
              <w:bottom w:val="nil"/>
              <w:right w:val="nil"/>
            </w:tcBorders>
          </w:tcPr>
          <w:p>
            <w:pPr>
              <w:pStyle w:val="Normal6a"/>
            </w:pPr>
            <w:r>
              <w:t>66.</w:t>
            </w:r>
            <w:r>
              <w:tab/>
            </w:r>
            <w:r>
              <w:t xml:space="preserve">poudarja, da bi moral biti glavni cilj evropskega ščita demokracije zaščititi integriteto volitev na lokalni, regionalni in nacionalni ravni ter na ravni EU; </w:t>
            </w:r>
            <w:r>
              <w:rPr>
                <w:b/>
                <w:i/>
              </w:rPr>
              <w:t>poudarja, da so za organizacijo, izvedbo in nadzor volitev v prvi vrsti odgovorne države članice;</w:t>
            </w:r>
            <w:r>
              <w:t xml:space="preserve"> poziva Komisijo in države članice, naj ob polnem spoštovanju načela subsidiarnosti sodelujejo pri </w:t>
            </w:r>
            <w:r>
              <w:rPr>
                <w:b/>
                <w:i/>
              </w:rPr>
              <w:t>podpiranju prizadevanj za krepitev</w:t>
            </w:r>
            <w:r>
              <w:t xml:space="preserve"> odpornosti volilnih procesov v Evropi, s posebnim poudarkom na ukrepih za preprečevanje tujega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poudarja, da bi moral biti glavni cilj evropskega ščita demokracije zaščititi integriteto volitev na lokalni, regionalni in nacionalni ravni ter na ravni EU; poziva Komisijo in države članice, naj ob polnem spoštovanju načela subsidiarnosti sodelujejo pri izvajanju reform, namenjenih krepitvi odpornosti volilnih procesov v Evropi, s posebnim poudarkom na ukrepih za preprečevanje tujega vmešavanja;</w:t>
            </w:r>
          </w:p>
        </w:tc>
        <w:tc>
          <w:tcPr>
            <w:tcW w:w="4876" w:type="dxa"/>
            <w:tcBorders>
              <w:top w:val="nil"/>
              <w:left w:val="nil"/>
              <w:bottom w:val="nil"/>
              <w:right w:val="nil"/>
            </w:tcBorders>
          </w:tcPr>
          <w:p>
            <w:pPr>
              <w:pStyle w:val="Normal6a"/>
            </w:pPr>
            <w:r>
              <w:t>66.</w:t>
            </w:r>
            <w:r>
              <w:tab/>
            </w:r>
            <w:r>
              <w:t xml:space="preserve">poudarja, da bi moral biti glavni cilj evropskega ščita demokracije zaščititi integriteto volitev na lokalni, regionalni in nacionalni ravni ter na ravni EU; poziva Komisijo in države članice, naj ob polnem spoštovanju načela subsidiarnosti </w:t>
            </w:r>
            <w:r>
              <w:rPr>
                <w:b/>
                <w:i/>
              </w:rPr>
              <w:t>in nacionalne suverenosti, kot je določeno v Pogodbah EU, </w:t>
            </w:r>
            <w:r>
              <w:t>sodelujejo pri izvajanju reform, namenjenih krepitvi odpornosti volilnih procesov v Evropi, s posebnim poudarkom na ukrepih za preprečevanje tujega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1499</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poudarja, da bi moral biti glavni cilj evropskega ščita demokracije zaščititi integriteto volitev na lokalni, regionalni in nacionalni ravni ter na ravni EU; poziva Komisijo in države članice, naj ob polnem spoštovanju načela subsidiarnosti sodelujejo pri izvajanju reform, namenjenih krepitvi odpornosti volilnih procesov v Evropi, s posebnim poudarkom na ukrepih za preprečevanje tujega vmešavanja;</w:t>
            </w:r>
          </w:p>
        </w:tc>
        <w:tc>
          <w:tcPr>
            <w:tcW w:w="4876" w:type="dxa"/>
            <w:tcBorders>
              <w:top w:val="nil"/>
              <w:left w:val="nil"/>
              <w:bottom w:val="nil"/>
              <w:right w:val="nil"/>
            </w:tcBorders>
          </w:tcPr>
          <w:p>
            <w:pPr>
              <w:pStyle w:val="Normal6a"/>
            </w:pPr>
            <w:r>
              <w:t>66.</w:t>
            </w:r>
            <w:r>
              <w:tab/>
            </w:r>
            <w:r>
              <w:t>poudarja, da bi moral biti glavni cilj evropskega ščita demokracije zaščititi integriteto volitev na lokalni, regionalni in nacionalni ravni ter na ravni EU; poziva Komisijo in države članice, naj ob polnem spoštovanju načela subsidiarnosti sodelujejo</w:t>
            </w:r>
            <w:r>
              <w:rPr>
                <w:b/>
                <w:i/>
              </w:rPr>
              <w:t>, tudi v sodelovanju z državami kandidatkami,</w:t>
            </w:r>
            <w:r>
              <w:t xml:space="preserve"> pri izvajanju reform, namenjenih krepitvi odpornosti volilnih procesov v Evropi, s posebnim poudarkom na ukrepih za preprečevanje tujega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poudarja, da bi moral biti glavni cilj evropskega ščita demokracije zaščititi integriteto volitev na lokalni, regionalni in nacionalni ravni ter na ravni EU; poziva Komisijo in države članice, naj ob polnem spoštovanju načela subsidiarnosti sodelujejo pri izvajanju reform, namenjenih krepitvi odpornosti volilnih procesov v Evropi, s posebnim poudarkom na ukrepih za preprečevanje tujega vmešavanja;</w:t>
            </w:r>
          </w:p>
        </w:tc>
        <w:tc>
          <w:tcPr>
            <w:tcW w:w="4876" w:type="dxa"/>
            <w:tcBorders>
              <w:top w:val="nil"/>
              <w:left w:val="nil"/>
              <w:bottom w:val="nil"/>
              <w:right w:val="nil"/>
            </w:tcBorders>
          </w:tcPr>
          <w:p>
            <w:pPr>
              <w:pStyle w:val="Normal6a"/>
            </w:pPr>
            <w:r>
              <w:t>66.</w:t>
            </w:r>
            <w:r>
              <w:tab/>
            </w:r>
            <w:r>
              <w:t xml:space="preserve">poudarja, da bi moral biti glavni cilj evropskega ščita demokracije zaščititi integriteto volitev na lokalni, regionalni in nacionalni ravni ter na ravni EU; poziva Komisijo in države članice, naj ob polnem spoštovanju načela subsidiarnosti sodelujejo pri izvajanju reform, namenjenih krepitvi odpornosti volilnih procesov v Evropi, s posebnim poudarkom na ukrepih za preprečevanje tujega vmešavanja </w:t>
            </w:r>
            <w:r>
              <w:rPr>
                <w:b/>
                <w:i/>
              </w:rPr>
              <w:t>in manipulacij algoritmov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odločno obsoja vse ukrepe Evropske komisije, njenih služb ali agencij, ki neposredno ali posredno posegajo v volilne procese, politično razpravo ali svobodno oblikovanje mnenj volivcev;</w:t>
            </w:r>
            <w:r>
              <w:t xml:space="preserve"> </w:t>
            </w:r>
            <w:r>
              <w:rPr>
                <w:b/>
                <w:i/>
              </w:rPr>
              <w:t>poudarja, da vplivanje na moderiranje vsebin, pretok informacij ali politično razpravo v okviru volitev pomeni nesprejemljivo vmešavanje, ki ni združljivo z demokratičnimi načeli, Pogodbama in dolžnostjo Komisije, da zagotovi institucionalno nevtralnost;</w:t>
            </w:r>
            <w:r>
              <w:t xml:space="preserve"> </w:t>
            </w:r>
            <w:r>
              <w:rPr>
                <w:b/>
                <w:i/>
              </w:rPr>
              <w:t>opozarja, da demokracije ni mogoče zaščititi z upravnim ali regulativnim vplivom na politični govor;</w:t>
            </w:r>
            <w:r>
              <w:t xml:space="preserve"> </w:t>
            </w:r>
            <w:r>
              <w:rPr>
                <w:b/>
                <w:i/>
              </w:rPr>
              <w:t>poziva Komisijo, naj popolnoma pregledno razišče svoje morebitne nepravilnosti in se v prihodnje vzdrži vseh praks, ki bi se lahko dojemale kot vmešavanje v volitve ali spodbujanje politično prednostnega diskurza, poskrbi za popolno preglednost svojih stikov in izmenjav s spletnimi platformami ter strogo spoštuje pristojnosti držav članic in temeljne pravice državljanov, zlasti svobodo izražanja in politični pluralizem;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v volilnih okvirih identificira ponavljajoče se strateške vzorce v operacijah tujega manipuliranja z informacijami in vmešavanja:</w:t>
            </w:r>
            <w:r>
              <w:t xml:space="preserve"> </w:t>
            </w:r>
            <w:r>
              <w:rPr>
                <w:b/>
                <w:i/>
              </w:rPr>
              <w:t>umetno napredovanje ali diskreditacija določenih kandidatov ali političnih strank;</w:t>
            </w:r>
            <w:r>
              <w:t xml:space="preserve"> </w:t>
            </w:r>
            <w:r>
              <w:rPr>
                <w:b/>
                <w:i/>
              </w:rPr>
              <w:t>namerno spodkopavanje zaupanja v volilne postopke in institucije, odgovorne za zagotavljanje demokratične integritete;</w:t>
            </w:r>
            <w:r>
              <w:t xml:space="preserve"> </w:t>
            </w:r>
            <w:r>
              <w:rPr>
                <w:b/>
                <w:i/>
              </w:rPr>
              <w:t>instrumentalizacijo in krepitev polarizirajočih družbenih vprašanj, da bi okrepili delitve v družbi,</w:t>
            </w:r>
            <w:r>
              <w:t xml:space="preserve"> </w:t>
            </w:r>
            <w:r>
              <w:rPr>
                <w:b/>
                <w:i/>
              </w:rPr>
              <w:t>ter usklajena prizadevanja za spodkopavanje verodostojnosti uveljavljenih medijskih hiš in usmerjanje občinstva k nadzorovanim ali nezanesljivim virom informacij, s čimer se manjšata ozaveščena izbira volivcev in zaupanje javnosti v demokratične sisteme;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poudarja, da je treba ohraniti integriteto volilnih procesov v celotnem volilnem ciklu, tako na spletu kot zunaj njega;</w:t>
            </w:r>
            <w:r>
              <w:t xml:space="preserve"> </w:t>
            </w:r>
            <w:r>
              <w:rPr>
                <w:b/>
                <w:i/>
              </w:rPr>
              <w:t>poudarja, da grožnje za volitve vse bolj združujejo fizične, digitalne in informacijske napade;</w:t>
            </w:r>
            <w:r>
              <w:t xml:space="preserve"> </w:t>
            </w:r>
            <w:r>
              <w:rPr>
                <w:b/>
                <w:i/>
              </w:rPr>
              <w:t>poziva k usklajenemu pristopu Unije, ki bo hkrati obravnaval te razsežnosti;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66a.</w:t>
            </w:r>
            <w:r>
              <w:tab/>
            </w:r>
            <w:r>
              <w:rPr>
                <w:b/>
                <w:i/>
              </w:rPr>
              <w:t>meni, da ščit za demokracijo podpira sklicevanje, usklajevanje in financiranje prizadevanj za integriteto evropskih volitev na lokalni, regionalni, nacionalni in evropski ravni, na spletu in drugje, vključno z vidiki financiranja hibridnih groženj, kibernetskih groženj in manipuliranja z informacijami;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66b.</w:t>
            </w:r>
            <w:r>
              <w:tab/>
            </w:r>
            <w:r>
              <w:rPr>
                <w:b/>
                <w:i/>
              </w:rPr>
              <w:t>poziva Komisijo in države članice, naj okrepijo fizično in kibernetsko varnost volilnih tehnologij, vključno s sistemi za registracijo volivcev, glasovalnimi napravami, infrastrukturo za štetje glasov in sistemi za prenos rezultatov;</w:t>
            </w:r>
            <w:r>
              <w:t xml:space="preserve"> </w:t>
            </w:r>
            <w:r>
              <w:rPr>
                <w:b/>
                <w:i/>
              </w:rPr>
              <w:t>poudarja, da potrebujmo</w:t>
            </w:r>
            <w:r>
              <w:t xml:space="preserve"> </w:t>
            </w:r>
            <w:r>
              <w:rPr>
                <w:b/>
                <w:i/>
              </w:rPr>
              <w:t>minimalne varnostne standarde na ravni Unije,</w:t>
            </w:r>
            <w:r>
              <w:t xml:space="preserve"> </w:t>
            </w:r>
            <w:r>
              <w:rPr>
                <w:b/>
                <w:i/>
              </w:rPr>
              <w:t>redne neodvisne varnostne preglede in penetracijsko testiranje,</w:t>
            </w:r>
            <w:r>
              <w:t xml:space="preserve"> </w:t>
            </w:r>
            <w:r>
              <w:rPr>
                <w:b/>
                <w:i/>
              </w:rPr>
              <w:t>varne dobavne verige in zaščito pred tujim vplivom ali lastništvom,</w:t>
            </w:r>
            <w:r>
              <w:t xml:space="preserve"> </w:t>
            </w:r>
            <w:r>
              <w:rPr>
                <w:b/>
                <w:i/>
              </w:rPr>
              <w:t>načrtovanje ravnanja v nepredvidljivih razmerah in mehanizme za hitro odzivanje v primeru kibernetskih ali fizičnih incidentov;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poziva države članice, naj okrepijo prizadevanja za izvajanje priporočil Komisije o vključujočih, trdnih in odpornih volilnih procesih v EU; poudarja zlasti pomen vzpostavitve nacionalnih volilnih mrež, ki bodo nacionalnim in strokovnim organom pomagale, da bodo delovali v sinergiji;</w:t>
            </w:r>
          </w:p>
        </w:tc>
        <w:tc>
          <w:tcPr>
            <w:tcW w:w="4876" w:type="dxa"/>
            <w:tcBorders>
              <w:top w:val="nil"/>
              <w:left w:val="nil"/>
              <w:bottom w:val="nil"/>
              <w:right w:val="nil"/>
            </w:tcBorders>
          </w:tcPr>
          <w:p>
            <w:pPr>
              <w:pStyle w:val="Normal6a"/>
            </w:pPr>
            <w:r>
              <w:t>67.</w:t>
            </w:r>
            <w:r>
              <w:tab/>
            </w:r>
            <w:r>
              <w:t xml:space="preserve">poziva države članice, naj okrepijo prizadevanja za izvajanje priporočil Komisije o vključujočih, trdnih in odpornih volilnih procesih v EU; poudarja zlasti pomen vzpostavitve nacionalnih volilnih mrež, ki bodo nacionalnim in strokovnim organom pomagale, da bodo delovali v sinergiji; </w:t>
            </w:r>
            <w:r>
              <w:rPr>
                <w:b/>
                <w:i/>
              </w:rPr>
              <w:t>poziva k sistematičnemu razvoju in razširitvi stresnih testov, osredotočenih na volitve, na podlagi praktičnih izkušenj in spoznanj iz prejšnjih volilnih ciklov, da bi bolje predvideli, simulirali in ublažili tveganja, povezana z manipuliranjem z informacijami, kibernetskim vmešavanjem in ojačevanjem na podlagi platform;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poziva države članice, naj okrepijo prizadevanja za </w:t>
            </w:r>
            <w:r>
              <w:rPr>
                <w:b/>
                <w:i/>
              </w:rPr>
              <w:t>izvajanje</w:t>
            </w:r>
            <w:r>
              <w:t xml:space="preserve"> priporočil Komisije o </w:t>
            </w:r>
            <w:r>
              <w:rPr>
                <w:b/>
                <w:i/>
              </w:rPr>
              <w:t>vključujočih</w:t>
            </w:r>
            <w:r>
              <w:t xml:space="preserve">, </w:t>
            </w:r>
            <w:r>
              <w:rPr>
                <w:b/>
                <w:i/>
              </w:rPr>
              <w:t>trdnih in odpornih volilnih procesih v EU</w:t>
            </w:r>
            <w:r>
              <w:t xml:space="preserve">; poudarja </w:t>
            </w:r>
            <w:r>
              <w:rPr>
                <w:b/>
                <w:i/>
              </w:rPr>
              <w:t>zlasti pomen vzpostavitve nacionalnih volilnih mrež, ki bodo</w:t>
            </w:r>
            <w:r>
              <w:t xml:space="preserve"> nacionalnim in strokovnim organom pomagale, da bodo delovali v sinergiji;</w:t>
            </w:r>
          </w:p>
        </w:tc>
        <w:tc>
          <w:tcPr>
            <w:tcW w:w="4876" w:type="dxa"/>
            <w:tcBorders>
              <w:top w:val="nil"/>
              <w:left w:val="nil"/>
              <w:bottom w:val="nil"/>
              <w:right w:val="nil"/>
            </w:tcBorders>
          </w:tcPr>
          <w:p>
            <w:pPr>
              <w:pStyle w:val="Normal6a"/>
            </w:pPr>
            <w:r>
              <w:t>67.</w:t>
            </w:r>
            <w:r>
              <w:tab/>
            </w:r>
            <w:r>
              <w:t xml:space="preserve">poziva države članice, naj okrepijo </w:t>
            </w:r>
            <w:r>
              <w:rPr>
                <w:b/>
                <w:i/>
              </w:rPr>
              <w:t>prostovoljna</w:t>
            </w:r>
            <w:r>
              <w:t xml:space="preserve"> prizadevanja za </w:t>
            </w:r>
            <w:r>
              <w:rPr>
                <w:b/>
                <w:i/>
              </w:rPr>
              <w:t>upoštevanje</w:t>
            </w:r>
            <w:r>
              <w:t xml:space="preserve"> priporočil Komisije o </w:t>
            </w:r>
            <w:r>
              <w:rPr>
                <w:b/>
                <w:i/>
              </w:rPr>
              <w:t>vključevanju</w:t>
            </w:r>
            <w:r>
              <w:t xml:space="preserve">, </w:t>
            </w:r>
            <w:r>
              <w:rPr>
                <w:b/>
                <w:i/>
              </w:rPr>
              <w:t>in poudarja, da so ta priporočila nezavezujoča in jih je treba prilagoditi nacionalnim ustavnim, pravnim in volilnim tradicijam</w:t>
            </w:r>
            <w:r>
              <w:t>; poudarja</w:t>
            </w:r>
            <w:r>
              <w:rPr>
                <w:b/>
                <w:i/>
              </w:rPr>
              <w:t>, kako pomembno je vzpostaviti ali okrepiti nacionalne volilne mreže, kjer je to primerno, da bi</w:t>
            </w:r>
            <w:r>
              <w:t xml:space="preserve"> nacionalnim in strokovnim organom pomagale, da bodo delovali v sinergiji </w:t>
            </w:r>
            <w:r>
              <w:rPr>
                <w:b/>
                <w:i/>
              </w:rPr>
              <w:t>brez nadzora na ravni EU ali usklajevanja volilnih sistemov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1508</w:t>
      </w:r>
      <w:r>
        <w:rPr>
          <w:rStyle w:val="HideTWBExt"/>
        </w:rPr>
        <w:t>&lt;/NumAm&gt;</w:t>
      </w:r>
    </w:p>
    <w:p>
      <w:pPr>
        <w:pStyle w:val="NormalBold"/>
      </w:pPr>
      <w:r>
        <w:rPr>
          <w:rStyle w:val="HideTWBExt"/>
          <w:b w:val="0"/>
        </w:rPr>
        <w:t>&lt;RepeatBlock-By&gt;</w:t>
      </w:r>
      <w:r>
        <w:rPr>
          <w:rStyle w:val="HideTWBExt"/>
          <w:b w:val="0"/>
        </w:rPr>
        <w:t>&lt;Members&gt;</w:t>
      </w:r>
      <w:r>
        <w:t>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poziva države članice, naj okrepijo prizadevanja za </w:t>
            </w:r>
            <w:r>
              <w:rPr>
                <w:b/>
                <w:i/>
              </w:rPr>
              <w:t>izvajanje priporočil Komisije o vključujočih, trdnih in odpornih volilnih procesih v EU;</w:t>
            </w:r>
            <w:r>
              <w:t xml:space="preserve"> </w:t>
            </w:r>
            <w:r>
              <w:rPr>
                <w:b/>
                <w:i/>
              </w:rPr>
              <w:t>poudarja zlasti pomen vzpostavitve nacionalnih</w:t>
            </w:r>
            <w:r>
              <w:t xml:space="preserve"> volilnih </w:t>
            </w:r>
            <w:r>
              <w:rPr>
                <w:b/>
                <w:i/>
              </w:rPr>
              <w:t>mrež, ki bodo nacionalnim in strokovnim organom pomagale, da bodo delovali v sinergiji</w:t>
            </w:r>
            <w:r>
              <w:t>;</w:t>
            </w:r>
          </w:p>
        </w:tc>
        <w:tc>
          <w:tcPr>
            <w:tcW w:w="4876" w:type="dxa"/>
            <w:tcBorders>
              <w:top w:val="nil"/>
              <w:left w:val="nil"/>
              <w:bottom w:val="nil"/>
              <w:right w:val="nil"/>
            </w:tcBorders>
          </w:tcPr>
          <w:p>
            <w:pPr>
              <w:pStyle w:val="Normal6a"/>
            </w:pPr>
            <w:r>
              <w:t>67.</w:t>
            </w:r>
            <w:r>
              <w:tab/>
            </w:r>
            <w:r>
              <w:t xml:space="preserve">poziva države članice, naj okrepijo </w:t>
            </w:r>
            <w:r>
              <w:rPr>
                <w:b/>
                <w:i/>
              </w:rPr>
              <w:t>svoja</w:t>
            </w:r>
            <w:r>
              <w:t xml:space="preserve"> prizadevanja za </w:t>
            </w:r>
            <w:r>
              <w:rPr>
                <w:b/>
                <w:i/>
              </w:rPr>
              <w:t>obrambo pred dezinformacijami in tujem vmešavanju;</w:t>
            </w:r>
            <w:r>
              <w:t xml:space="preserve"> </w:t>
            </w:r>
            <w:r>
              <w:rPr>
                <w:b/>
                <w:i/>
              </w:rPr>
              <w:t>poziva Komisijo in institucije Unije, naj svetujejo in delijo vire, vključno s človeškimi in tehnološkimi zmogljivostmi, ter izkušnje, strokovno znanje in ustrezne informacije z državami članicami, da bi okrepili odpornost</w:t>
            </w:r>
            <w:r>
              <w:t xml:space="preserve"> volilnih </w:t>
            </w:r>
            <w:r>
              <w:rPr>
                <w:b/>
                <w:i/>
              </w:rPr>
              <w:t>procesov v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67a.</w:t>
            </w:r>
            <w:r>
              <w:tab/>
            </w:r>
            <w:r>
              <w:rPr>
                <w:b/>
                <w:i/>
              </w:rPr>
              <w:t>poudarja, da je za krepitev odpornosti volitev potreben smiseln in pravočasen dostop do ustreznih podatkov platforme za neodvisne raziskovalce, organizacije civilne družbe in akreditirane akademske ustanove, pri tem pa je treba v celoti spoštovati pravila o varstvu podatkov in zasebnosti;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1510</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poziva države članice, naj zagotovijo, da bodo volilni organi ali enakovredni organi, pristojni za dobro delujoče, svobodne in poštene volitve, zadostno financirani in opremljeni z ustreznimi orodji, ki jim bodo omogočila opravljanje njihovih nalog, bodisi v smislu zagotavljanja usposabljanja osebja in potrebnih digitalnih orodij bodisi v smislu zagotavljanja zadostnih naložb v volilne organe in volilno infrastrukturo;</w:t>
            </w:r>
          </w:p>
        </w:tc>
        <w:tc>
          <w:tcPr>
            <w:tcW w:w="4876" w:type="dxa"/>
            <w:tcBorders>
              <w:top w:val="nil"/>
              <w:left w:val="nil"/>
              <w:bottom w:val="nil"/>
              <w:right w:val="nil"/>
            </w:tcBorders>
          </w:tcPr>
          <w:p>
            <w:pPr>
              <w:pStyle w:val="Normal6a"/>
            </w:pPr>
            <w:r>
              <w:t>68.</w:t>
            </w:r>
            <w:r>
              <w:tab/>
            </w:r>
            <w:r>
              <w:t xml:space="preserve">poziva države članice, naj zagotovijo, da bodo volilni organi ali enakovredni organi, pristojni za dobro delujoče, svobodne in poštene volitve, zadostno financirani in opremljeni z ustreznimi orodji, ki jim bodo omogočila opravljanje njihovih nalog, bodisi v smislu zagotavljanja usposabljanja osebja in potrebnih digitalnih orodij bodisi v smislu zagotavljanja zadostnih naložb v volilne organe in volilno infrastrukturo; </w:t>
            </w:r>
            <w:r>
              <w:rPr>
                <w:b/>
                <w:i/>
              </w:rPr>
              <w:t>ugotavlja, da so napadi na integriteto volitev večplastni, celostni in dolgoročni kot del ekosistema groženj, ki jih je treba obravnavati z vsedružbenim pristopom;</w:t>
            </w:r>
            <w:r>
              <w:t xml:space="preserve"> </w:t>
            </w:r>
            <w:r>
              <w:rPr>
                <w:b/>
                <w:i/>
              </w:rPr>
              <w:t>poudarja, da je treba pri prizadevanjih za integriteto volitev uporabiti celosten pristop in se usklajeno boriti proti grožnjam, vključno s tujim manipuliranjem z informacijami in vmešavanjem ter dezinformacijskimi kampanjami, kibernetskimi grožnjami in kaznivimi dejanji;</w:t>
            </w:r>
            <w:r>
              <w:t xml:space="preserve"> </w:t>
            </w:r>
            <w:r>
              <w:rPr>
                <w:b/>
                <w:i/>
              </w:rPr>
              <w:t>poudarja, da je treba ta prizadevanja učinkovito financirati in zanje nameniti zadostna sredstva, ne le neposredno pred volitvami, temveč redno pred volitvami in po njih;</w:t>
            </w:r>
            <w:r>
              <w:t xml:space="preserve"> </w:t>
            </w:r>
            <w:r>
              <w:rPr>
                <w:b/>
                <w:i/>
              </w:rPr>
              <w:t>poudarja, da so potrebne naložbe v raziskovalne in analitične mreže obveščevalnih podatkov iz javnih virov, ter njihovo vlogo v boju proti operacijam vplivanja, tujemu manipuliranju z informacijami in vmešavanju ter hibridnim grožnjam;</w:t>
            </w:r>
            <w:r>
              <w:t xml:space="preserve"> </w:t>
            </w:r>
            <w:r>
              <w:rPr>
                <w:b/>
                <w:i/>
              </w:rPr>
              <w:t>poudarja, da se morajo prizadevanja za boj proti dezinformacijam, tujemu manipuliranju z informacijami in vmešavanju ter operacijam vplivanja na splošno osredotočiti na sistematično motenje teh groženj z obravnavanjem taktik, akterjev groženj in sistemskih tveganj;</w:t>
            </w:r>
            <w:r>
              <w:t xml:space="preserve"> </w:t>
            </w:r>
            <w:r>
              <w:rPr>
                <w:b/>
                <w:i/>
              </w:rPr>
              <w:t>ugotavlja, da bi se morali programi za boj proti manipulaciji z informacijami osredotočati na dejavno motenje informacijskih groženj;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poziva države članice, naj zagotovijo, da bodo volilni organi ali enakovredni organi, pristojni za dobro delujoče, svobodne in poštene volitve, zadostno financirani in opremljeni z ustreznimi orodji, ki jim bodo omogočila opravljanje njihovih nalog, bodisi v smislu zagotavljanja usposabljanja osebja in potrebnih digitalnih orodij bodisi v smislu zagotavljanja zadostnih naložb v volilne organe in volilno infrastrukturo;</w:t>
            </w:r>
          </w:p>
        </w:tc>
        <w:tc>
          <w:tcPr>
            <w:tcW w:w="4876" w:type="dxa"/>
            <w:tcBorders>
              <w:top w:val="nil"/>
              <w:left w:val="nil"/>
              <w:bottom w:val="nil"/>
              <w:right w:val="nil"/>
            </w:tcBorders>
          </w:tcPr>
          <w:p>
            <w:pPr>
              <w:pStyle w:val="Normal6a"/>
            </w:pPr>
            <w:r>
              <w:t>68.</w:t>
            </w:r>
            <w:r>
              <w:tab/>
            </w:r>
            <w:r>
              <w:t xml:space="preserve">poziva države članice, naj zagotovijo, da bodo volilni organi ali enakovredni organi, pristojni za dobro delujoče, svobodne in poštene volitve, zadostno financirani in opremljeni z ustreznimi orodji, ki jim bodo omogočila opravljanje njihovih nalog, bodisi v smislu zagotavljanja usposabljanja osebja in potrebnih digitalnih orodij bodisi v smislu zagotavljanja zadostnih naložb v volilne organe in volilno infrastrukturo; </w:t>
            </w:r>
            <w:r>
              <w:rPr>
                <w:b/>
                <w:i/>
              </w:rPr>
              <w:t>v zvezi s tem priznava, da so ta vprašanja v izključni pristojnosti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68a.</w:t>
            </w:r>
            <w:r>
              <w:tab/>
            </w:r>
            <w:r>
              <w:rPr>
                <w:b/>
                <w:i/>
              </w:rPr>
              <w:t>ugotavlja, da so napadi na integriteto volitev večplastni, celostni in dolgoročni kot del ekosistema groženj, ki jih je treba obravnavati z vsedružbenim pristopom;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68b.</w:t>
            </w:r>
            <w:r>
              <w:tab/>
            </w:r>
            <w:r>
              <w:rPr>
                <w:b/>
                <w:i/>
              </w:rPr>
              <w:t>poudarja, da je treba pri prizadevanjih za integriteto volitev uporabiti celosten pristop in se usklajeno boriti proti grožnjam, vključno s tujim manipuliranjem z informacijami in vmešavanjem ter dezinformacijskimi kampanjami, kibernetskimi grožnjami in kaznivimi dejanji;</w:t>
            </w:r>
            <w:r>
              <w:t xml:space="preserve"> </w:t>
            </w:r>
            <w:r>
              <w:rPr>
                <w:b/>
                <w:i/>
              </w:rPr>
              <w:t>poudarja, da je treba ta prizadevanja učinkovito financirati in zanje nameniti zadostna sredstva, ne le neposredno pred volitvami, temveč redno pred volitvami in po 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meni, da sovražne kampanje in nasilje, ki kandidatom otežujejo udeležbo v javni razpravi ali interakcijo z volivci, ogrožajo demokracijo; poudarja, da lahko takšne grožnje s poskusi destabilizacije EU spodbujajo države nečlanice EU; v zvezi s tem pozdravlja zavezo Komisije, da bo predstavila priporočila o varnosti v politiki; poziva države članice, naj okrepijo svoja prizadevanja za zaščito kandidatov, ki kandidirajo na volitvah, in izvoljenih predstavnikov;</w:t>
            </w:r>
          </w:p>
        </w:tc>
        <w:tc>
          <w:tcPr>
            <w:tcW w:w="4876" w:type="dxa"/>
            <w:tcBorders>
              <w:top w:val="nil"/>
              <w:left w:val="nil"/>
              <w:bottom w:val="nil"/>
              <w:right w:val="nil"/>
            </w:tcBorders>
          </w:tcPr>
          <w:p>
            <w:pPr>
              <w:pStyle w:val="Normal6a"/>
            </w:pPr>
            <w:r>
              <w:t>69.</w:t>
            </w:r>
            <w:r>
              <w:tab/>
            </w:r>
            <w:r>
              <w:t>meni, da sovražne kampanje in nasilje, ki kandidatom otežujejo udeležbo v javni razpravi ali interakcijo z volivci, ogrožajo demokracijo</w:t>
            </w:r>
            <w:r>
              <w:rPr>
                <w:b/>
                <w:i/>
              </w:rPr>
              <w:t>;</w:t>
            </w:r>
            <w:r>
              <w:t xml:space="preserve"> </w:t>
            </w:r>
            <w:r>
              <w:rPr>
                <w:b/>
                <w:i/>
              </w:rPr>
              <w:t>v zvezi s tem opozarja na nedavno sovražno kampanjo na Poljskem, ki je bila usmerjena proti konservativni vladi in je imela vulgarni slogan prikrit v osmih zvezdah</w:t>
            </w:r>
            <w:r>
              <w:t xml:space="preserve">; poudarja, da lahko takšne grožnje s poskusi destabilizacije EU spodbujajo države nečlanice EU; v zvezi s tem pozdravlja zavezo Komisije, da bo predstavila </w:t>
            </w:r>
            <w:r>
              <w:rPr>
                <w:b/>
                <w:i/>
              </w:rPr>
              <w:t>nezavezujoča</w:t>
            </w:r>
            <w:r>
              <w:t xml:space="preserve"> priporočila o varnosti v politiki; poziva države članice, naj okrepijo svoja prizadevanja za zaščito kandidatov, ki kandidirajo na volitvah, in izvoljenih predstavnikov;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meni, da sovražne kampanje in nasilje, ki kandidatom otežujejo udeležbo v javni razpravi ali interakcijo z volivci, ogrožajo demokracijo; poudarja, da lahko </w:t>
            </w:r>
            <w:r>
              <w:rPr>
                <w:b/>
                <w:i/>
              </w:rPr>
              <w:t>takšne</w:t>
            </w:r>
            <w:r>
              <w:t xml:space="preserve"> grožnje </w:t>
            </w:r>
            <w:r>
              <w:rPr>
                <w:b/>
                <w:i/>
              </w:rPr>
              <w:t>s poskusi destabilizacije EU spodbujajo</w:t>
            </w:r>
            <w:r>
              <w:t xml:space="preserve"> države </w:t>
            </w:r>
            <w:r>
              <w:rPr>
                <w:b/>
                <w:i/>
              </w:rPr>
              <w:t>nečlanice EU;</w:t>
            </w:r>
            <w:r>
              <w:t xml:space="preserve"> </w:t>
            </w:r>
            <w:r>
              <w:rPr>
                <w:b/>
                <w:i/>
              </w:rPr>
              <w:t>v zvezi s tem pozdravlja zavezo Komisije, da bo predstavila priporočila o varnosti v politiki</w:t>
            </w:r>
            <w:r>
              <w:t>; poziva države članice, naj okrepijo svoja prizadevanja za zaščito kandidatov, ki kandidirajo na volitvah, in izvoljenih predstavnikov;</w:t>
            </w:r>
          </w:p>
        </w:tc>
        <w:tc>
          <w:tcPr>
            <w:tcW w:w="4876" w:type="dxa"/>
            <w:tcBorders>
              <w:top w:val="nil"/>
              <w:left w:val="nil"/>
              <w:bottom w:val="nil"/>
              <w:right w:val="nil"/>
            </w:tcBorders>
          </w:tcPr>
          <w:p>
            <w:pPr>
              <w:pStyle w:val="Normal6a"/>
            </w:pPr>
            <w:r>
              <w:t>69.</w:t>
            </w:r>
            <w:r>
              <w:tab/>
            </w:r>
            <w:r>
              <w:t xml:space="preserve">meni, da sovražne kampanje in nasilje, ki kandidatom otežujejo udeležbo v javni razpravi ali interakcijo z volivci, ogrožajo demokracijo; poudarja, da lahko </w:t>
            </w:r>
            <w:r>
              <w:rPr>
                <w:b/>
                <w:i/>
              </w:rPr>
              <w:t>te</w:t>
            </w:r>
            <w:r>
              <w:t xml:space="preserve"> grožnje </w:t>
            </w:r>
            <w:r>
              <w:rPr>
                <w:b/>
                <w:i/>
              </w:rPr>
              <w:t>podžigajo tudi tretje</w:t>
            </w:r>
            <w:r>
              <w:t xml:space="preserve"> države; poziva države članice, naj okrepijo svoja prizadevanja za zaščito kandidatov, ki kandidirajo na volitvah, in izvoljenih predstavnikov;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1516</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meni, da sovražne kampanje in nasilje, ki kandidatom otežujejo udeležbo v javni razpravi ali interakcijo z volivci, ogrožajo demokracijo; poudarja, da lahko </w:t>
            </w:r>
            <w:r>
              <w:rPr>
                <w:b/>
                <w:i/>
              </w:rPr>
              <w:t>takšne</w:t>
            </w:r>
            <w:r>
              <w:t xml:space="preserve"> grožnje </w:t>
            </w:r>
            <w:r>
              <w:rPr>
                <w:b/>
                <w:i/>
              </w:rPr>
              <w:t>s poskusi destabilizacije EU spodbujajo</w:t>
            </w:r>
            <w:r>
              <w:t xml:space="preserve"> države </w:t>
            </w:r>
            <w:r>
              <w:rPr>
                <w:b/>
                <w:i/>
              </w:rPr>
              <w:t>nečlanice EU;</w:t>
            </w:r>
            <w:r>
              <w:t xml:space="preserve"> </w:t>
            </w:r>
            <w:r>
              <w:rPr>
                <w:b/>
                <w:i/>
              </w:rPr>
              <w:t>v zvezi s tem pozdravlja zavezo Komisije, da bo predstavila priporočila o varnosti v politiki</w:t>
            </w:r>
            <w:r>
              <w:t>; poziva države članice, naj okrepijo svoja prizadevanja za zaščito kandidatov, ki kandidirajo na volitvah, in izvoljenih predstavnikov;</w:t>
            </w:r>
          </w:p>
        </w:tc>
        <w:tc>
          <w:tcPr>
            <w:tcW w:w="4876" w:type="dxa"/>
            <w:tcBorders>
              <w:top w:val="nil"/>
              <w:left w:val="nil"/>
              <w:bottom w:val="nil"/>
              <w:right w:val="nil"/>
            </w:tcBorders>
          </w:tcPr>
          <w:p>
            <w:pPr>
              <w:pStyle w:val="Normal6a"/>
            </w:pPr>
            <w:r>
              <w:t>69.</w:t>
            </w:r>
            <w:r>
              <w:tab/>
            </w:r>
            <w:r>
              <w:t xml:space="preserve">meni, da sovražne kampanje in nasilje, ki kandidatom otežujejo udeležbo v javni razpravi ali interakcijo z volivci, ogrožajo demokracijo; poudarja, da lahko </w:t>
            </w:r>
            <w:r>
              <w:rPr>
                <w:b/>
                <w:i/>
              </w:rPr>
              <w:t>te</w:t>
            </w:r>
            <w:r>
              <w:t xml:space="preserve"> grožnje </w:t>
            </w:r>
            <w:r>
              <w:rPr>
                <w:b/>
                <w:i/>
              </w:rPr>
              <w:t>podžigajo tudi tretje</w:t>
            </w:r>
            <w:r>
              <w:t xml:space="preserve"> države </w:t>
            </w:r>
            <w:r>
              <w:rPr>
                <w:b/>
                <w:i/>
              </w:rPr>
              <w:t>in militantne organizacije</w:t>
            </w:r>
            <w:r>
              <w:t>; poziva države članice, naj okrepijo svoja prizadevanja za zaščito kandidatov, ki kandidirajo na volitvah, in izvoljenih predstavnikov;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meni, da sovražne kampanje in nasilje, ki kandidatom otežujejo udeležbo v javni razpravi ali interakcijo z volivci, ogrožajo demokracijo; poudarja, da lahko takšne grožnje s poskusi destabilizacije EU spodbujajo države nečlanice EU; v zvezi s tem pozdravlja zavezo Komisije, da bo predstavila priporočila o varnosti v politiki; poziva države članice, naj okrepijo svoja prizadevanja za zaščito kandidatov, ki kandidirajo na volitvah, in izvoljenih predstavnikov;</w:t>
            </w:r>
          </w:p>
        </w:tc>
        <w:tc>
          <w:tcPr>
            <w:tcW w:w="4876" w:type="dxa"/>
            <w:tcBorders>
              <w:top w:val="nil"/>
              <w:left w:val="nil"/>
              <w:bottom w:val="nil"/>
              <w:right w:val="nil"/>
            </w:tcBorders>
          </w:tcPr>
          <w:p>
            <w:pPr>
              <w:pStyle w:val="Normal6a"/>
            </w:pPr>
            <w:r>
              <w:t>69.</w:t>
            </w:r>
            <w:r>
              <w:tab/>
            </w:r>
            <w:r>
              <w:t>meni, da sovražne kampanje</w:t>
            </w:r>
            <w:r>
              <w:rPr>
                <w:b/>
                <w:i/>
              </w:rPr>
              <w:t>, ustrahovanje</w:t>
            </w:r>
            <w:r>
              <w:t xml:space="preserve"> in nasilje, ki kandidatom otežujejo udeležbo v javni razpravi ali interakcijo z volivci, ogrožajo demokracijo; poudarja, da lahko takšne grožnje s poskusi destabilizacije EU spodbujajo države nečlanice EU; v zvezi s tem pozdravlja zavezo Komisije, da bo predstavila priporočila o varnosti v politiki; poziva države članice, naj okrepijo svoja prizadevanja za zaščito kandidatov, ki kandidirajo na volitvah, in izvoljenih predstavnikov;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69a.</w:t>
            </w:r>
            <w:r>
              <w:tab/>
            </w:r>
            <w:r>
              <w:rPr>
                <w:b/>
                <w:i/>
              </w:rPr>
              <w:t>poudarja, da sta varnost in zaščita žensk v političnem življenju predpogoj za doseganje enake zastopanosti ter zaščito odporne in vključujoče demokracije;</w:t>
            </w:r>
            <w:r>
              <w:t xml:space="preserve"> </w:t>
            </w:r>
            <w:r>
              <w:rPr>
                <w:b/>
                <w:i/>
              </w:rPr>
              <w:t>obsoja uporabo spletnih dezinformacijskih kampanj za nadlegovanje in ustrahovanje kandidatk ter grožnje kandidatkam, ki se pogosto opirajo na mizoginistične diskurze, da bi izpodbijale njihove kompetence, verodostojnost in moralno integriteto;</w:t>
            </w:r>
            <w:r>
              <w:t xml:space="preserve"> </w:t>
            </w:r>
            <w:r>
              <w:rPr>
                <w:b/>
                <w:i/>
              </w:rPr>
              <w:t>opozarja na vmešavanje, zabeleženo med volilnimi procesi v Moldaviji in drugih evropskih državah, pri čemer so bile voditeljice nesorazmerno pogosto tarča teh hibridnih taktik, da bi ženske odvrnili od politične participacije in destabilizirali demokratične institucije;</w:t>
            </w:r>
            <w:r>
              <w:t xml:space="preserve"> </w:t>
            </w:r>
            <w:r>
              <w:rPr>
                <w:b/>
                <w:i/>
              </w:rPr>
              <w:t>poziva države članice in Komisijo, naj v okviru svojih strategij za integriteto volitev in demokratično odpornost sprejmejo ciljno usmerjene ukrepe za spremljanje in preprečevanje dezinformacij, povezanih s spolom, ter boj proti njim;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69b.</w:t>
            </w:r>
            <w:r>
              <w:tab/>
            </w:r>
            <w:r>
              <w:rPr>
                <w:b/>
                <w:i/>
              </w:rPr>
              <w:t>obsoja izdajanje za drugo osebo in poneverbo identitete politikov, novinarjev in drugih javnih osebnosti v goljufivih oglasih;</w:t>
            </w:r>
            <w:r>
              <w:t xml:space="preserve"> </w:t>
            </w:r>
            <w:r>
              <w:rPr>
                <w:b/>
                <w:i/>
              </w:rPr>
              <w:t>opozarja, da je glavni namen takih prevar sicer finančna korist, a nedovoljena uporaba podobe in podobnosti javne osebnosti škoduje ugledu, prispeva k eroziji meje med pristnimi informacijami in izmišljenimi vsebinami ter dodatno spodkopava zaupanje javnosti v demokratične procese in politične akterje;</w:t>
            </w:r>
            <w:r>
              <w:t xml:space="preserve"> </w:t>
            </w:r>
            <w:r>
              <w:rPr>
                <w:b/>
                <w:i/>
              </w:rPr>
              <w:t>poziva Komisijo k preiskavi skladnosti spletnih platform, kar zadeva njihove postopke odstranjevanja nezakonitih oglasov;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1520</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70.</w:t>
            </w:r>
            <w:r>
              <w:tab/>
            </w:r>
            <w:r>
              <w:rPr>
                <w:b/>
                <w:i/>
              </w:rPr>
              <w:t>poudarja ključno vlogo evropske mreže za volilno sodelovanje pri zagotavljanju izmenjave najboljše prakse v zvezi z odpornostjo volitev v EU in njenih državah članicah;</w:t>
            </w:r>
            <w:r>
              <w:t xml:space="preserve"> </w:t>
            </w:r>
            <w:r>
              <w:rPr>
                <w:b/>
                <w:i/>
              </w:rPr>
              <w:t>vendar ugotavlja, da so njene dejavnosti trenutno omejene;</w:t>
            </w:r>
            <w:r>
              <w:t xml:space="preserve"> </w:t>
            </w:r>
            <w:r>
              <w:rPr>
                <w:b/>
                <w:i/>
              </w:rPr>
              <w:t>pozdravlja zavezo Komisije, da bo okrepila evropsko mrežo za volilno sodelovanje, vključno z reformami, kot je vzpostavitev zbirke skupnih referenc in standardov za volilne procese;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poudarja ključno vlogo evropske mreže za volilno sodelovanje pri zagotavljanju izmenjave najboljše prakse v zvezi z odpornostjo volitev v EU in njenih državah članicah; vendar ugotavlja, da so njene dejavnosti trenutno omejene; </w:t>
            </w:r>
            <w:r>
              <w:rPr>
                <w:b/>
                <w:i/>
              </w:rPr>
              <w:t>pozdravlja zavezo Komisije, da bo okrepila evropsko mrežo za volilno sodelovanje, vključno z reformami, kot je vzpostavitev zbirke skupnih referenc in standardov za volilne procese;</w:t>
            </w:r>
          </w:p>
        </w:tc>
        <w:tc>
          <w:tcPr>
            <w:tcW w:w="4876" w:type="dxa"/>
            <w:tcBorders>
              <w:top w:val="nil"/>
              <w:left w:val="nil"/>
              <w:bottom w:val="nil"/>
              <w:right w:val="nil"/>
            </w:tcBorders>
          </w:tcPr>
          <w:p>
            <w:pPr>
              <w:pStyle w:val="Normal6a"/>
            </w:pPr>
            <w:r>
              <w:t>70.</w:t>
            </w:r>
            <w:r>
              <w:tab/>
            </w:r>
            <w:r>
              <w:t>poudarja ključno vlogo evropske mreže za volilno sodelovanje pri zagotavljanju izmenjave najboljše prakse v zvezi z odpornostjo volitev v EU in njenih državah članicah; vendar ugotavlja, da so njene dejavnosti trenutno omejene;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poudarja ključno vlogo evropske mreže za volilno sodelovanje pri zagotavljanju izmenjave najboljše prakse v zvezi z odpornostjo volitev v EU in njenih državah članicah; vendar ugotavlja, da so njene dejavnosti trenutno omejene; </w:t>
            </w:r>
            <w:r>
              <w:rPr>
                <w:b/>
                <w:i/>
              </w:rPr>
              <w:t>pozdravlja</w:t>
            </w:r>
            <w:r>
              <w:t xml:space="preserve"> zavezo Komisije, da bo okrepila evropsko mrežo za volilno sodelovanje, vključno z reformami, kot je vzpostavitev zbirke skupnih referenc in standardov za volilne procese;</w:t>
            </w:r>
          </w:p>
        </w:tc>
        <w:tc>
          <w:tcPr>
            <w:tcW w:w="4876" w:type="dxa"/>
            <w:tcBorders>
              <w:top w:val="nil"/>
              <w:left w:val="nil"/>
              <w:bottom w:val="nil"/>
              <w:right w:val="nil"/>
            </w:tcBorders>
          </w:tcPr>
          <w:p>
            <w:pPr>
              <w:pStyle w:val="Normal6a"/>
            </w:pPr>
            <w:r>
              <w:t>70.</w:t>
            </w:r>
            <w:r>
              <w:tab/>
            </w:r>
            <w:r>
              <w:t xml:space="preserve">poudarja ključno vlogo evropske mreže za volilno sodelovanje pri zagotavljanju izmenjave najboljše prakse v zvezi z odpornostjo volitev v EU in njenih državah članicah; vendar ugotavlja, da so njene dejavnosti trenutno omejene; </w:t>
            </w:r>
            <w:r>
              <w:rPr>
                <w:b/>
                <w:i/>
              </w:rPr>
              <w:t>je seznanjen z</w:t>
            </w:r>
            <w:r>
              <w:t xml:space="preserve"> zavezo Komisije, da bo okrepila evropsko mrežo za volilno sodelovanje, vključno z reformami, kot je vzpostavitev zbirke skupnih referenc in standardov za volilne procese;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1523</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 xml:space="preserve">poziva Komisijo, naj </w:t>
            </w:r>
            <w:r>
              <w:rPr>
                <w:b/>
                <w:i/>
              </w:rPr>
              <w:t>poveča svoje ambicije v zvezi z reformo evropske mreže za volilno sodelovanje, vključno s pregledom njenih virov in stalnega osebja ter nadaljnjim razvojem skupnega mehanizma za odpornost volitev;</w:t>
            </w:r>
            <w:r>
              <w:t xml:space="preserve"> </w:t>
            </w:r>
            <w:r>
              <w:rPr>
                <w:b/>
                <w:i/>
              </w:rPr>
              <w:t>poudarja pomen izvajanja konkretnih ukrepov za večjo vključenost držav kandidatk v dejavnosti evropske mreže za volilno sodelovanje;</w:t>
            </w:r>
            <w:r>
              <w:t xml:space="preserve"> </w:t>
            </w:r>
            <w:r>
              <w:rPr>
                <w:b/>
                <w:i/>
              </w:rPr>
              <w:t>poziva Komisijo, naj v okviru evropske mreže</w:t>
            </w:r>
            <w:r>
              <w:t xml:space="preserve"> za volilno sodelovanje </w:t>
            </w:r>
            <w:r>
              <w:rPr>
                <w:b/>
                <w:i/>
              </w:rPr>
              <w:t>ustanovi stalno skupino za spremljanje, ki bo odgovorna za nadzor izvajanja priporočil Komisije o vključujočih in odpornih volilnih procesih v EU ter prihodnjih priporočil o varnosti političnih akterjev</w:t>
            </w:r>
            <w:r>
              <w:t xml:space="preserve">; </w:t>
            </w:r>
            <w:r>
              <w:rPr>
                <w:b/>
                <w:i/>
              </w:rPr>
              <w:t>meni, da bi morala biti takšna skupina za spremljanje pooblaščena tudi za pripravo predlogov za prihodnje posodobitve teh priporočil;</w:t>
            </w:r>
          </w:p>
        </w:tc>
        <w:tc>
          <w:tcPr>
            <w:tcW w:w="4876" w:type="dxa"/>
            <w:tcBorders>
              <w:top w:val="nil"/>
              <w:left w:val="nil"/>
              <w:bottom w:val="nil"/>
              <w:right w:val="nil"/>
            </w:tcBorders>
          </w:tcPr>
          <w:p>
            <w:pPr>
              <w:pStyle w:val="Normal6a"/>
            </w:pPr>
            <w:r>
              <w:t>71.</w:t>
            </w:r>
            <w:r>
              <w:tab/>
            </w:r>
            <w:r>
              <w:t xml:space="preserve">poziva Komisijo, naj </w:t>
            </w:r>
            <w:r>
              <w:rPr>
                <w:b/>
                <w:i/>
              </w:rPr>
              <w:t>pregleda evropsko mrežo</w:t>
            </w:r>
            <w:r>
              <w:t xml:space="preserve"> za volilno sodelovanje </w:t>
            </w:r>
            <w:r>
              <w:rPr>
                <w:b/>
                <w:i/>
              </w:rPr>
              <w:t>ter njene dosedanje dejavnosti in rezultate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rPr>
                <w:b/>
                <w:i/>
              </w:rPr>
              <w:t>poziva Komisijo, naj poveča svoje ambicije v zvezi z reformo evropske mreže za volilno sodelovanje, vključno s pregledom njenih virov in stalnega osebja ter nadaljnjim razvojem skupnega mehanizma za odpornost volitev;</w:t>
            </w:r>
            <w:r>
              <w:t xml:space="preserve"> poudarja pomen izvajanja konkretnih ukrepov za večjo vključenost držav kandidatk v dejavnosti evropske mreže za volilno sodelovanje; </w:t>
            </w:r>
            <w:r>
              <w:rPr>
                <w:b/>
                <w:i/>
              </w:rPr>
              <w:t>poziva Komisijo, naj v okviru evropske mreže za volilno sodelovanje ustanovi stalno skupino za spremljanje, ki bo odgovorna za nadzor izvajanja priporočil Komisije o vključujočih in odpornih volilnih procesih v EU ter prihodnjih priporočil o varnosti političnih akterjev;</w:t>
            </w:r>
            <w:r>
              <w:t xml:space="preserve"> </w:t>
            </w:r>
            <w:r>
              <w:rPr>
                <w:b/>
                <w:i/>
              </w:rPr>
              <w:t>meni, da bi morala biti takšna skupina za spremljanje pooblaščena tudi za pripravo predlogov za prihodnje posodobitve teh priporočil;</w:t>
            </w:r>
          </w:p>
        </w:tc>
        <w:tc>
          <w:tcPr>
            <w:tcW w:w="4876" w:type="dxa"/>
            <w:tcBorders>
              <w:top w:val="nil"/>
              <w:left w:val="nil"/>
              <w:bottom w:val="nil"/>
              <w:right w:val="nil"/>
            </w:tcBorders>
          </w:tcPr>
          <w:p>
            <w:pPr>
              <w:pStyle w:val="Normal6a"/>
            </w:pPr>
            <w:r>
              <w:t>71.</w:t>
            </w:r>
            <w:r>
              <w:tab/>
            </w:r>
            <w:r>
              <w:t>poudarja pomen izvajanja konkretnih ukrepov za večjo vključenost držav kandidatk v dejavnosti evropske mreže za volilno sodelovanje;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71a.</w:t>
            </w:r>
            <w:r>
              <w:tab/>
            </w:r>
            <w:r>
              <w:rPr>
                <w:b/>
                <w:i/>
              </w:rPr>
              <w:t>poudarja, da mora Komisija še naprej strukturirano sodelovati s spletnimi platformami, ki delujejo v državah kandidatkah in potencialnih kandidatkah, zlasti v povezavi z volitvami, da bi zagotovila odgovornost platform, blažitev tveganj in skladnost z ustreznimi zavezami, namesto da bi se zanašala na enkratne ukrepe ali ukrepe, ki jih narekuje kriza;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72.</w:t>
            </w:r>
            <w:r>
              <w:tab/>
            </w:r>
            <w:r>
              <w:rPr>
                <w:b/>
                <w:i/>
              </w:rPr>
              <w:t>poziva Komisijo, naj vključi Parlament in Organ za evropske politične stranke in evropske politične fundacije kot stalna partnerja na vseh srečanjih evropske mreže za volilno sodelovanje;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72.</w:t>
            </w:r>
            <w:r>
              <w:tab/>
            </w:r>
            <w:r>
              <w:t xml:space="preserve">poziva Komisijo, naj vključi Parlament in Organ za evropske politične stranke </w:t>
            </w:r>
            <w:r>
              <w:rPr>
                <w:b/>
                <w:i/>
              </w:rPr>
              <w:t>in evropske politične fundacije kot stalna partnerja</w:t>
            </w:r>
            <w:r>
              <w:t xml:space="preserve"> na vseh srečanjih evropske mreže za volilno sodelovanje;</w:t>
            </w:r>
          </w:p>
        </w:tc>
        <w:tc>
          <w:tcPr>
            <w:tcW w:w="4876" w:type="dxa"/>
            <w:tcBorders>
              <w:top w:val="nil"/>
              <w:left w:val="nil"/>
              <w:bottom w:val="nil"/>
              <w:right w:val="nil"/>
            </w:tcBorders>
          </w:tcPr>
          <w:p>
            <w:pPr>
              <w:pStyle w:val="Normal6a"/>
            </w:pPr>
            <w:r>
              <w:t>72.</w:t>
            </w:r>
            <w:r>
              <w:tab/>
            </w:r>
            <w:r>
              <w:t xml:space="preserve">poziva Komisijo, naj vključi Parlament in Organ za evropske politične stranke </w:t>
            </w:r>
            <w:r>
              <w:rPr>
                <w:b/>
                <w:i/>
              </w:rPr>
              <w:t>ter pristojne organe držav članic kot stalne partnerje</w:t>
            </w:r>
            <w:r>
              <w:t xml:space="preserve"> na vseh srečanjih evropske mreže za volilno sodelovanje;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pozdravlja cilj Komisije, da z obstoječo zakonodajo in orodji izboljša zaščito infrastrukture, povezane z volitvami; poziva Komisijo</w:t>
            </w:r>
            <w:r>
              <w:rPr>
                <w:b/>
                <w:i/>
              </w:rPr>
              <w:t>, naj ta prizadevanja dopolni s ciljno usmerjeno revizijo direktive</w:t>
            </w:r>
            <w:r>
              <w:t xml:space="preserve"> o odpornosti kritičnih subjektov, da bi </w:t>
            </w:r>
            <w:r>
              <w:rPr>
                <w:b/>
                <w:i/>
              </w:rPr>
              <w:t>volilno infrastrukturo vključila na seznam bistvenih storitev javne uprave iz direktive</w:t>
            </w:r>
            <w:r>
              <w:t>;</w:t>
            </w:r>
          </w:p>
        </w:tc>
        <w:tc>
          <w:tcPr>
            <w:tcW w:w="4876" w:type="dxa"/>
            <w:tcBorders>
              <w:top w:val="nil"/>
              <w:left w:val="nil"/>
              <w:bottom w:val="nil"/>
              <w:right w:val="nil"/>
            </w:tcBorders>
          </w:tcPr>
          <w:p>
            <w:pPr>
              <w:pStyle w:val="Normal6a"/>
            </w:pPr>
            <w:r>
              <w:t>73.</w:t>
            </w:r>
            <w:r>
              <w:tab/>
            </w:r>
            <w:r>
              <w:rPr>
                <w:b/>
                <w:i/>
              </w:rPr>
              <w:t>poudarja, da je volilna infrastruktura temeljni element demokratične odpornosti Unije in jo je treba učinkovito zaščititi pred rastočimi grožnjami fizične in kibernetske narave;</w:t>
            </w:r>
            <w:r>
              <w:t xml:space="preserve"> </w:t>
            </w:r>
            <w:r>
              <w:rPr>
                <w:b/>
                <w:i/>
              </w:rPr>
              <w:t>zato</w:t>
            </w:r>
            <w:r>
              <w:t xml:space="preserve"> pozdravlja cilj Komisije, da z obstoječo zakonodajo in orodji izboljša zaščito infrastrukture, povezane z volitvami; poziva Komisijo </w:t>
            </w:r>
            <w:r>
              <w:rPr>
                <w:b/>
                <w:i/>
              </w:rPr>
              <w:t>in države članice, naj zagotovijo, da se bo volilna infrastruktura v pravnem redu EU obravnavala kot kritična, tako da jo uradno vključijo med kritične subjekte v skladu z direktivo</w:t>
            </w:r>
            <w:r>
              <w:t xml:space="preserve"> o odpornosti kritičnih subjektov </w:t>
            </w:r>
            <w:r>
              <w:rPr>
                <w:b/>
                <w:i/>
              </w:rPr>
              <w:t>in jo izrecno obravnavajo kot bistven ali pomemben subjekt v skladu z direktivo NIS 2</w:t>
            </w:r>
            <w:r>
              <w:t xml:space="preserve">, da bi </w:t>
            </w:r>
            <w:r>
              <w:rPr>
                <w:b/>
                <w:i/>
              </w:rPr>
              <w:t>zagotovile visoko skupno raven varnosti in odpornosti volilnih procesov po vsej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1529</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v imenu skupine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pozdravlja cilj Komisije, da z obstoječo zakonodajo in orodji izboljša zaščito infrastrukture, povezane z volitvami; poziva Komisijo, naj ta prizadevanja dopolni s ciljno usmerjeno revizijo direktive o odpornosti kritičnih subjektov, da bi volilno infrastrukturo vključila na seznam bistvenih storitev javne uprave iz direktive;</w:t>
            </w:r>
          </w:p>
        </w:tc>
        <w:tc>
          <w:tcPr>
            <w:tcW w:w="4876" w:type="dxa"/>
            <w:tcBorders>
              <w:top w:val="nil"/>
              <w:left w:val="nil"/>
              <w:bottom w:val="nil"/>
              <w:right w:val="nil"/>
            </w:tcBorders>
          </w:tcPr>
          <w:p>
            <w:pPr>
              <w:pStyle w:val="Normal6a"/>
            </w:pPr>
            <w:r>
              <w:t>73.</w:t>
            </w:r>
            <w:r>
              <w:tab/>
            </w:r>
            <w:r>
              <w:t xml:space="preserve">pozdravlja cilj Komisije, da z obstoječo zakonodajo in orodji izboljša zaščito infrastrukture, povezane z volitvami; poziva Komisijo, naj ta prizadevanja dopolni s ciljno usmerjeno revizijo direktive o odpornosti kritičnih subjektov, da bi volilno infrastrukturo vključila na seznam bistvenih storitev javne uprave iz direktive; </w:t>
            </w:r>
            <w:r>
              <w:rPr>
                <w:b/>
                <w:i/>
              </w:rPr>
              <w:t>poziva Komisijo, naj v sodelovanju z agencijo ENISA in državami članicami razvije in sprejme standarde kibernetske varnosti za volilno infrastrukturo na ravni EU, s katerimi zagotovi, da bodo kritični demokratični sistemi pred volitvami v Evropski parlament leta 2029 izpolnjevali obvezne zahteve glede certificiranja visoke zanesljivosti in obveznosti glede varnosti dobavne verige;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 xml:space="preserve">pozdravlja cilj Komisije, da z obstoječo zakonodajo in orodji izboljša zaščito infrastrukture, povezane z volitvami; </w:t>
            </w:r>
            <w:r>
              <w:rPr>
                <w:b/>
                <w:i/>
              </w:rPr>
              <w:t>poziva Komisijo, naj ta prizadevanja dopolni s ciljno usmerjeno revizijo direktive o odpornosti kritičnih subjektov, da bi volilno infrastrukturo vključila na seznam bistvenih storitev javne uprave iz direktive;</w:t>
            </w:r>
          </w:p>
        </w:tc>
        <w:tc>
          <w:tcPr>
            <w:tcW w:w="4876" w:type="dxa"/>
            <w:tcBorders>
              <w:top w:val="nil"/>
              <w:left w:val="nil"/>
              <w:bottom w:val="nil"/>
              <w:right w:val="nil"/>
            </w:tcBorders>
          </w:tcPr>
          <w:p>
            <w:pPr>
              <w:pStyle w:val="Normal6a"/>
            </w:pPr>
            <w:r>
              <w:t>73.</w:t>
            </w:r>
            <w:r>
              <w:tab/>
            </w:r>
            <w:r>
              <w:t>pozdravlja cilj Komisije, da z obstoječo zakonodajo in orodji izboljša zaščito infrastrukture, povezane z volitvami;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73.</w:t>
            </w:r>
            <w:r>
              <w:tab/>
            </w:r>
            <w:r>
              <w:t xml:space="preserve">pozdravlja cilj Komisije, da z obstoječo zakonodajo in orodji izboljša zaščito infrastrukture, povezane z volitvami; poziva </w:t>
            </w:r>
            <w:r>
              <w:rPr>
                <w:b/>
                <w:i/>
              </w:rPr>
              <w:t>Komisijo, naj ta</w:t>
            </w:r>
            <w:r>
              <w:t xml:space="preserve"> prizadevanja </w:t>
            </w:r>
            <w:r>
              <w:rPr>
                <w:b/>
                <w:i/>
              </w:rPr>
              <w:t>dopolni s ciljno usmerjeno revizijo direktive o odpornosti kritičnih subjektov, da bi volilno</w:t>
            </w:r>
            <w:r>
              <w:t xml:space="preserve"> infrastrukturo </w:t>
            </w:r>
            <w:r>
              <w:rPr>
                <w:b/>
                <w:i/>
              </w:rPr>
              <w:t>vključila na seznam bistvenih storitev javne uprave iz direktive</w:t>
            </w:r>
            <w:r>
              <w:t>;</w:t>
            </w:r>
          </w:p>
        </w:tc>
        <w:tc>
          <w:tcPr>
            <w:tcW w:w="4876" w:type="dxa"/>
            <w:tcBorders>
              <w:top w:val="nil"/>
              <w:left w:val="nil"/>
              <w:bottom w:val="nil"/>
              <w:right w:val="nil"/>
            </w:tcBorders>
          </w:tcPr>
          <w:p>
            <w:pPr>
              <w:pStyle w:val="Normal6a"/>
            </w:pPr>
            <w:r>
              <w:t>73.</w:t>
            </w:r>
            <w:r>
              <w:tab/>
            </w:r>
            <w:r>
              <w:t xml:space="preserve">pozdravlja cilj Komisije, da z obstoječo zakonodajo in orodji izboljša zaščito infrastrukture, povezane z volitvami; </w:t>
            </w:r>
            <w:r>
              <w:rPr>
                <w:b/>
                <w:i/>
              </w:rPr>
              <w:t>poudarja, da so za organizacijo in zaščito svojih volilnih postopkov pristojne izključno države članice;</w:t>
            </w:r>
            <w:r>
              <w:t xml:space="preserve"> poziva </w:t>
            </w:r>
            <w:r>
              <w:rPr>
                <w:b/>
                <w:i/>
              </w:rPr>
              <w:t>države članice, naj okrepijo</w:t>
            </w:r>
            <w:r>
              <w:t xml:space="preserve"> prizadevanja </w:t>
            </w:r>
            <w:r>
              <w:rPr>
                <w:b/>
                <w:i/>
              </w:rPr>
              <w:t>za zagotovitev celovitosti in varnosti volilne infrastrukture ter jo priznajo kot kritično</w:t>
            </w:r>
            <w:r>
              <w:t xml:space="preserve"> infrastrukturo;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poziva Komisijo in države članice, naj obravnavajo vprašanje vključevanja tujih akterjev v strankarsko politično okolje v Evropi; z zaskrbljenostjo ugotavlja, da obstajajo različni primeri financiranja ekstremističnih gibanj v EU s strani držav nečlanic EU; meni, da je finančna preglednost pomembno orodje za osvetlitev tega vprašanja, in v zvezi s tem poziva k boljši izmenjavi med zasebnimi in javnimi subjekti; poudarja zlasti, da se je treba boriti proti prikritemu političnemu komuniciranju, vključno z nepreglednimi strukturami financiranja in skritimi sponzorji, da bi zaščitili demokratično integriteto in zagotovili preglednost za državljane;</w:t>
            </w:r>
          </w:p>
        </w:tc>
        <w:tc>
          <w:tcPr>
            <w:tcW w:w="4876" w:type="dxa"/>
            <w:tcBorders>
              <w:top w:val="nil"/>
              <w:left w:val="nil"/>
              <w:bottom w:val="nil"/>
              <w:right w:val="nil"/>
            </w:tcBorders>
          </w:tcPr>
          <w:p>
            <w:pPr>
              <w:pStyle w:val="Normal6a"/>
            </w:pPr>
            <w:r>
              <w:t>74.</w:t>
            </w:r>
            <w:r>
              <w:tab/>
            </w:r>
            <w:r>
              <w:t xml:space="preserve">poziva Komisijo in države članice, naj obravnavajo vprašanje vključevanja tujih akterjev v strankarsko politično okolje v Evropi; z zaskrbljenostjo ugotavlja, da obstajajo različni primeri financiranja ekstremističnih gibanj </w:t>
            </w:r>
            <w:r>
              <w:rPr>
                <w:b/>
                <w:i/>
              </w:rPr>
              <w:t>in strank</w:t>
            </w:r>
            <w:r>
              <w:t xml:space="preserve"> v EU s strani držav nečlanic EU; meni, da je finančna preglednost pomembno orodje za osvetlitev tega vprašanja, in v zvezi s tem poziva k boljši izmenjavi med zasebnimi in javnimi subjekti; </w:t>
            </w:r>
            <w:r>
              <w:rPr>
                <w:b/>
                <w:i/>
              </w:rPr>
              <w:t>je zaskrbljen zaradi stalnih pomanjkljivosti v delujočih registrih dejanskih lastnikov v državah članicah, vključno s kakovostjo podatkov ali tveganjem pretirano omejenega dostopa do registrov dejanskih lastnikov za osebe z zakonitimi interesi, kot so novinarji ali organizacije civilne družbe;</w:t>
            </w:r>
            <w:r>
              <w:t xml:space="preserve"> </w:t>
            </w:r>
            <w:r>
              <w:rPr>
                <w:b/>
                <w:i/>
              </w:rPr>
              <w:t>poziva države članice, naj v celoti in zvesto prenesejo Direktivo (EU) 2024/1640 (šesta direktiva o preprečevanju pranja denarja), ki harmonizira pravila za dostop do registrov dejanskega lastništva, tudi z domnevo, da imajo novinarji in organizacije civilne družbe legitimen interes;</w:t>
            </w:r>
            <w:r>
              <w:t xml:space="preserve"> </w:t>
            </w:r>
            <w:r>
              <w:rPr>
                <w:b/>
                <w:i/>
              </w:rPr>
              <w:t>poziva Komisijo, naj začne postopke za ugotavljanje kršitev, če države članice ne bodo prenesle šeste direktive o preprečevanju pranja denarja;</w:t>
            </w:r>
            <w:r>
              <w:t xml:space="preserve"> poudarja zlasti, da se je treba boriti proti prikritemu političnemu komuniciranju, vključno z nepreglednimi strukturami financiranja in </w:t>
            </w:r>
            <w:r>
              <w:rPr>
                <w:b/>
                <w:i/>
              </w:rPr>
              <w:t>finančnimi tokovi ter</w:t>
            </w:r>
            <w:r>
              <w:t xml:space="preserve"> skritimi sponzorji, da bi zaščitili demokratično integriteto in zagotovili preglednost za državljane; </w:t>
            </w:r>
            <w:r>
              <w:rPr>
                <w:b/>
                <w:i/>
              </w:rPr>
              <w:t>poziva Komisijo, naj predlaga zakonodajo EU o kampanjah in financiranju strank;</w:t>
            </w:r>
            <w:r>
              <w:t xml:space="preserve"> </w:t>
            </w:r>
            <w:r>
              <w:rPr>
                <w:b/>
                <w:i/>
              </w:rPr>
              <w:t>poziva države članice, naj uvedejo prepoved donacij iz tujine, ki bo zajemala prispevke oziroma prejemke v naravi in v denarju, ter omejitev donacij političnim strankam in kandidatom;</w:t>
            </w:r>
            <w:r>
              <w:t xml:space="preserve"> </w:t>
            </w:r>
            <w:r>
              <w:rPr>
                <w:b/>
                <w:i/>
              </w:rPr>
              <w:t>meni, da morajo politični akterji, ki jim je tuji akter ponudil finančni prispevek ali prispevek v naravi in/ali so sprejeli tak prispevek od tujega akterja, o tem obvezno poročati pristojnim organom, o tem pa je nato treba poročati na ravni EU, da se omogoči nadzor po vsej EU;</w:t>
            </w:r>
            <w:r>
              <w:t xml:space="preserve"> </w:t>
            </w:r>
            <w:r>
              <w:rPr>
                <w:b/>
                <w:i/>
              </w:rPr>
              <w:t>v tem smislu poziva Komisijo in države članice, naj preučijo možnosti, ki so na voljo za izboljšanje sodelovanja med protikorupcijskimi organi in neodvisnimi volilnimi komisijami v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1533</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Sander Smit,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poziva Komisijo in države članice, naj obravnavajo vprašanje vključevanja tujih akterjev v strankarsko politično okolje v Evropi; z zaskrbljenostjo ugotavlja, da obstajajo različni primeri financiranja ekstremističnih gibanj v EU s strani držav nečlanic EU; meni, da je finančna preglednost pomembno orodje za osvetlitev tega vprašanja, in v zvezi s tem poziva k boljši izmenjavi med zasebnimi in javnimi subjekti; poudarja </w:t>
            </w:r>
            <w:r>
              <w:rPr>
                <w:b/>
                <w:i/>
              </w:rPr>
              <w:t>zlasti, da se je treba boriti proti prikritemu političnemu komuniciranju, vključno z nepreglednimi strukturami</w:t>
            </w:r>
            <w:r>
              <w:t xml:space="preserve"> financiranja in </w:t>
            </w:r>
            <w:r>
              <w:rPr>
                <w:b/>
                <w:i/>
              </w:rPr>
              <w:t>skritimi sponzorji, da bi zaščitili demokratično integriteto in zagotovili preglednost za državljane</w:t>
            </w:r>
            <w:r>
              <w:t>;</w:t>
            </w:r>
          </w:p>
        </w:tc>
        <w:tc>
          <w:tcPr>
            <w:tcW w:w="4876" w:type="dxa"/>
            <w:tcBorders>
              <w:top w:val="nil"/>
              <w:left w:val="nil"/>
              <w:bottom w:val="nil"/>
              <w:right w:val="nil"/>
            </w:tcBorders>
          </w:tcPr>
          <w:p>
            <w:pPr>
              <w:pStyle w:val="Normal6a"/>
            </w:pPr>
            <w:r>
              <w:t>74.</w:t>
            </w:r>
            <w:r>
              <w:tab/>
            </w:r>
            <w:r>
              <w:t xml:space="preserve">poziva Komisijo in države članice, naj </w:t>
            </w:r>
            <w:r>
              <w:rPr>
                <w:b/>
                <w:i/>
              </w:rPr>
              <w:t>pregledno</w:t>
            </w:r>
            <w:r>
              <w:t xml:space="preserve"> obravnavajo vprašanje vključevanja tujih akterjev v strankarsko politično okolje v Evropi; z zaskrbljenostjo ugotavlja, da obstajajo različni primeri financiranja ekstremističnih gibanj v EU s strani držav nečlanic EU; meni, da je finančna preglednost pomembno orodje za osvetlitev tega vprašanja, in v zvezi s tem poziva k boljši izmenjavi med zasebnimi in javnimi subjekti; poudarja</w:t>
            </w:r>
            <w:r>
              <w:rPr>
                <w:b/>
                <w:i/>
              </w:rPr>
              <w:t>, da mora za politično oglaševanje in politično komuniciranje v spletnem okolju veljati popolna preglednost, kar zadeva končni vir financiranja;</w:t>
            </w:r>
            <w:r>
              <w:t xml:space="preserve"> </w:t>
            </w:r>
            <w:r>
              <w:rPr>
                <w:b/>
                <w:i/>
              </w:rPr>
              <w:t>poziva k izrecni prepovedi posredniškega financiranja, posredniških struktur</w:t>
            </w:r>
            <w:r>
              <w:t xml:space="preserve"> financiranja in </w:t>
            </w:r>
            <w:r>
              <w:rPr>
                <w:b/>
                <w:i/>
              </w:rPr>
              <w:t>drugih shem, namenjenih prikrivanju dejanskega sponzorja, vključno z uporabo slamnatih subjektov, vplivnežev ali oglaševalskih mrež tretjih oseb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1534</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poziva Komisijo in države članice, naj obravnavajo vprašanje vključevanja tujih akterjev v </w:t>
            </w:r>
            <w:r>
              <w:rPr>
                <w:b/>
                <w:i/>
              </w:rPr>
              <w:t>strankarsko</w:t>
            </w:r>
            <w:r>
              <w:t xml:space="preserve"> politično okolje v Evropi; z zaskrbljenostjo ugotavlja, da obstajajo različni primeri financiranja </w:t>
            </w:r>
            <w:r>
              <w:rPr>
                <w:b/>
                <w:i/>
              </w:rPr>
              <w:t>ekstremističnih gibanj v EU</w:t>
            </w:r>
            <w:r>
              <w:t xml:space="preserve"> s strani držav nečlanic EU; meni, da je finančna preglednost pomembno orodje za osvetlitev tega vprašanja, in v zvezi s tem poziva k boljši izmenjavi med zasebnimi in javnimi subjekti; poudarja zlasti, da se je treba boriti proti prikritemu političnemu komuniciranju, vključno z nepreglednimi strukturami financiranja in skritimi sponzorji, da bi zaščitili demokratično integriteto in zagotovili preglednost za državljane;</w:t>
            </w:r>
          </w:p>
        </w:tc>
        <w:tc>
          <w:tcPr>
            <w:tcW w:w="4876" w:type="dxa"/>
            <w:tcBorders>
              <w:top w:val="nil"/>
              <w:left w:val="nil"/>
              <w:bottom w:val="nil"/>
              <w:right w:val="nil"/>
            </w:tcBorders>
          </w:tcPr>
          <w:p>
            <w:pPr>
              <w:pStyle w:val="Normal6a"/>
            </w:pPr>
            <w:r>
              <w:t>74.</w:t>
            </w:r>
            <w:r>
              <w:tab/>
            </w:r>
            <w:r>
              <w:t xml:space="preserve">poziva Komisijo in države članice, naj obravnavajo vprašanje vključevanja tujih akterjev v politično okolje v Evropi; z zaskrbljenostjo ugotavlja, da obstajajo različni primeri financiranja </w:t>
            </w:r>
            <w:r>
              <w:rPr>
                <w:b/>
                <w:i/>
              </w:rPr>
              <w:t>političnih akterjev EU, tudi v Evropskem parlamentu,</w:t>
            </w:r>
            <w:r>
              <w:t xml:space="preserve"> s strani držav nečlanic EU; meni, da je finančna preglednost pomembno orodje za osvetlitev tega vprašanja, in v zvezi s tem poziva k boljši izmenjavi med zasebnimi in javnimi subjekti; poudarja zlasti, da se je treba boriti proti prikritemu političnemu komuniciranju, vključno z nepreglednimi strukturami financiranja in skritimi sponzorji, da bi zaščitili demokratično integriteto in zagotovili preglednost za državljane; </w:t>
            </w:r>
            <w:r>
              <w:rPr>
                <w:b/>
                <w:i/>
              </w:rPr>
              <w:t>poziva k preglednosti pri financiranju civilne družbe, zlasti v zvezi s tako imenovanimi „političnimi nevladnimi organizacijami“;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poziva Komisijo in države članice, naj obravnavajo vprašanje vključevanja tujih akterjev v strankarsko politično okolje v Evropi; z zaskrbljenostjo ugotavlja, da obstajajo različni primeri financiranja ekstremističnih gibanj v EU s strani držav nečlanic EU; meni, da je finančna preglednost pomembno orodje za osvetlitev tega vprašanja, in v zvezi s tem poziva k boljši izmenjavi med zasebnimi in javnimi subjekti; poudarja zlasti, da se je treba boriti proti prikritemu političnemu komuniciranju, vključno z nepreglednimi strukturami financiranja in skritimi sponzorji, da bi zaščitili demokratično integriteto in zagotovili preglednost za državljane;</w:t>
            </w:r>
          </w:p>
        </w:tc>
        <w:tc>
          <w:tcPr>
            <w:tcW w:w="4876" w:type="dxa"/>
            <w:tcBorders>
              <w:top w:val="nil"/>
              <w:left w:val="nil"/>
              <w:bottom w:val="nil"/>
              <w:right w:val="nil"/>
            </w:tcBorders>
          </w:tcPr>
          <w:p>
            <w:pPr>
              <w:pStyle w:val="Normal6a"/>
            </w:pPr>
            <w:r>
              <w:t>74.</w:t>
            </w:r>
            <w:r>
              <w:tab/>
            </w:r>
            <w:r>
              <w:t xml:space="preserve">poziva Komisijo in države članice, naj obravnavajo vprašanje vključevanja tujih akterjev v strankarsko politično okolje v Evropi </w:t>
            </w:r>
            <w:r>
              <w:rPr>
                <w:b/>
                <w:i/>
              </w:rPr>
              <w:t>v smislu tako retorične kot finančne podpore</w:t>
            </w:r>
            <w:r>
              <w:t>; z zaskrbljenostjo ugotavlja, da obstajajo različni primeri financiranja ekstremističnih gibanj v EU s strani držav nečlanic EU; meni, da je finančna preglednost pomembno orodje za osvetlitev tega vprašanja, in v zvezi s tem poziva k boljši izmenjavi med zasebnimi in javnimi subjekti; poudarja zlasti, da se je treba boriti proti prikritemu političnemu komuniciranju, vključno z nepreglednimi strukturami financiranja in skritimi sponzorji, da bi zaščitili demokratično integriteto in zagotovili preglednost za državljane;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74a.</w:t>
            </w:r>
            <w:r>
              <w:tab/>
            </w:r>
            <w:r>
              <w:rPr>
                <w:b/>
                <w:i/>
              </w:rPr>
              <w:t>opozarja, da so v preteklosti in veliko pred ustanovitvijo fundacije za odprto družbo številne organizacije, naklonjene Bruslju, vključno z odborom, ki ga je ustanovil Jean Monnet, neposredno ali posredno prejemale tajno tuje financiranje, ne da bi o tem seznanile evropske državljane;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75.</w:t>
            </w:r>
            <w:r>
              <w:tab/>
            </w:r>
            <w:r>
              <w:t>z zaskrbljenostjo ugotavlja, da je vse več dokazov o tujem vmešavanju in vohunjenju v evropskem političnem sistemu; pozdravlja preiskovalna prizadevanja v državah članicah, ki so privedla do obsodb in tekočih postopkov v zvezi s podkupovanjem, vohunjenjem in spodbujanjem tujih državnih interesov; poudarja resna tveganja, ki jih predstavljajo neustrezni zaščitni ukrepi pri zaposlovanju osebja in sodelavcev s tesnimi povezavami z avtoritarnimi režimi;</w:t>
            </w:r>
          </w:p>
        </w:tc>
        <w:tc>
          <w:tcPr>
            <w:tcW w:w="4876" w:type="dxa"/>
            <w:tcBorders>
              <w:top w:val="nil"/>
              <w:left w:val="nil"/>
              <w:bottom w:val="nil"/>
              <w:right w:val="nil"/>
            </w:tcBorders>
          </w:tcPr>
          <w:p>
            <w:pPr>
              <w:pStyle w:val="Normal6a"/>
            </w:pPr>
            <w:r>
              <w:t>75.</w:t>
            </w:r>
            <w:r>
              <w:tab/>
            </w:r>
            <w:r>
              <w:t>z zaskrbljenostjo ugotavlja, da je vse več dokazov o tujem vmešavanju in vohunjenju v evropskem političnem sistemu</w:t>
            </w:r>
            <w:r>
              <w:rPr>
                <w:b/>
                <w:i/>
              </w:rPr>
              <w:t>;</w:t>
            </w:r>
            <w:r>
              <w:t xml:space="preserve"> </w:t>
            </w:r>
            <w:r>
              <w:rPr>
                <w:b/>
                <w:i/>
              </w:rPr>
              <w:t>poudarja, da takšno vohunjenje ni bilo odkrito le na ravni držav članic, temveč tudi v samih institucijah EU, vključno s tistimi, ki so zadolžene za oblikovanje in zastopanje evropske demokracije, kot so Evropski parlament in drugi organi EU</w:t>
            </w:r>
            <w:r>
              <w:t>; pozdravlja preiskovalna prizadevanja v državah članicah, ki so privedla do obsodb in tekočih postopkov v zvezi s podkupovanjem, vohunjenjem in spodbujanjem tujih državnih interesov; poudarja resna tveganja, ki jih predstavljajo neustrezni zaščitni ukrepi pri zaposlovanju osebja in sodelavcev s tesnimi povezavami z avtoritarnimi režimi</w:t>
            </w:r>
            <w:r>
              <w:rPr>
                <w:b/>
                <w:i/>
              </w:rPr>
              <w:t>, pa tudi uporaba programske in strojne opreme z visokim tveganjem, ki jo dobavljajo subjekti, ki niso iz EU, vključno s prodajalci na področju kibernetske varnosti, glede na verodostojne pomisleke v zvezi z njihovimi povezavami s tujimi državnimi obveščevalnimi službami in njihovo vlogo pri operacijah vohunjenja in obveščanja, zaradi česar so institucije EU izpostavljene tveganju nepooblaščenega dostopa, nadzora in uhajanja podatkov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1538</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75.</w:t>
            </w:r>
            <w:r>
              <w:tab/>
            </w:r>
            <w:r>
              <w:t xml:space="preserve">z zaskrbljenostjo ugotavlja, da je vse več dokazov o tujem vmešavanju in vohunjenju v evropskem političnem sistemu; pozdravlja preiskovalna prizadevanja v državah članicah, ki so privedla do obsodb in tekočih postopkov v zvezi s podkupovanjem, vohunjenjem in spodbujanjem tujih državnih interesov; poudarja resna tveganja, ki jih predstavljajo neustrezni zaščitni ukrepi pri zaposlovanju osebja </w:t>
            </w:r>
            <w:r>
              <w:rPr>
                <w:b/>
                <w:i/>
              </w:rPr>
              <w:t>in sodelavcev s tesnimi povezavami z avtoritarnimi režimi</w:t>
            </w:r>
            <w:r>
              <w:t>;</w:t>
            </w:r>
          </w:p>
        </w:tc>
        <w:tc>
          <w:tcPr>
            <w:tcW w:w="4876" w:type="dxa"/>
            <w:tcBorders>
              <w:top w:val="nil"/>
              <w:left w:val="nil"/>
              <w:bottom w:val="nil"/>
              <w:right w:val="nil"/>
            </w:tcBorders>
          </w:tcPr>
          <w:p>
            <w:pPr>
              <w:pStyle w:val="Normal6a"/>
            </w:pPr>
            <w:r>
              <w:t>75.</w:t>
            </w:r>
            <w:r>
              <w:tab/>
            </w:r>
            <w:r>
              <w:t>z zaskrbljenostjo ugotavlja, da je vse več dokazov o tujem vmešavanju in vohunjenju v evropskem političnem sistemu; pozdravlja preiskovalna prizadevanja v državah članicah, ki so privedla do obsodb in tekočih postopkov v zvezi s podkupovanjem, vohunjenjem in spodbujanjem tujih državnih interesov; poudarja resna tveganja, ki jih predstavljajo neustrezni zaščitni ukrepi pri zaposlovanju osebja;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75a.</w:t>
            </w:r>
            <w:r>
              <w:tab/>
            </w:r>
            <w:r>
              <w:rPr>
                <w:b/>
                <w:i/>
              </w:rPr>
              <w:t>je zelo zaskrbljen zaradi resnih in dobro evidentiranih obtožb, da so madžarske obveščevalne službe izvajale vohunske dejavnosti proti institucijam EU, vključno s poročili o nadzorovanju preiskovalcev Evropskega urada za boj proti goljufijam (OLAF) med misijami za ugotavljanje dejstev na Madžarskem in nedavnimi obtožbami o poskusih novačenja uradnikov EU v Bruslju, da bi pridobile zaupne informacije in vnaprejšnja opozorila o občutljivih postopkih;</w:t>
            </w:r>
            <w:r>
              <w:t xml:space="preserve"> </w:t>
            </w:r>
            <w:r>
              <w:rPr>
                <w:b/>
                <w:i/>
              </w:rPr>
              <w:t>poudarja, da bi taka dejanja, če bi bila potrjena, pomenila nesprejemljiv napad na integriteto in varnost institucij Unije ter očitno kršitev načela lojalnega sodelovanja iz člena 4(3) PEU, kar bi ogrozilo medsebojno zaupanje med državami članicami in pravilno delovanje Unije;</w:t>
            </w:r>
            <w:r>
              <w:t xml:space="preserve"> </w:t>
            </w:r>
            <w:r>
              <w:rPr>
                <w:b/>
                <w:i/>
              </w:rPr>
              <w:t>poziva Komisijo, naj izvaja temeljite, hitre in pregledne nadaljnje ukrepe, tudi prek svojih služb za notranjo varnost, ter po potrebi postopke za ugotavljanje kršitev in druge ukrepe za zaščito osebja in informacij EU;</w:t>
            </w:r>
            <w:r>
              <w:t xml:space="preserve"> </w:t>
            </w:r>
            <w:r>
              <w:rPr>
                <w:b/>
                <w:i/>
              </w:rPr>
              <w:t>poziva k vzpostavitvi okrepljenih protiobveščevalnih zaščitnih ukrepov in obveznih varnostnih protokolov za stike s predstavniki tretjih držav in držav članic v primeru ugotovljenih tveganj;</w:t>
            </w:r>
            <w:r>
              <w:t xml:space="preserve"> </w:t>
            </w:r>
            <w:r>
              <w:rPr>
                <w:b/>
                <w:i/>
              </w:rPr>
              <w:t>poudarja, da mora biti obravnavanje poskusov vohunjenja in infiltracije proti institucijam EU ter odvračanje od njih sestavni del pristopa evropskega ščita za demokracijo do hibridnih groženj in sovražnega vmešavanja;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1540</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75a.</w:t>
            </w:r>
            <w:r>
              <w:tab/>
            </w:r>
            <w:r>
              <w:rPr>
                <w:b/>
                <w:i/>
              </w:rPr>
              <w:t>se sprašuje, ali lahko nekdanji uradniki Združenega kraljestva ostanejo na strateških in vodilnih položajih v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1541</w:t>
      </w:r>
      <w:r>
        <w:rPr>
          <w:rStyle w:val="HideTWBExt"/>
        </w:rPr>
        <w:t>&lt;/NumAm&gt;</w:t>
      </w:r>
    </w:p>
    <w:p>
      <w:pPr>
        <w:pStyle w:val="NormalBold"/>
      </w:pPr>
      <w:r>
        <w:rPr>
          <w:rStyle w:val="HideTWBExt"/>
          <w:b w:val="0"/>
        </w:rPr>
        <w:t>&lt;RepeatBlock-By&gt;</w:t>
      </w:r>
      <w:r>
        <w:rPr>
          <w:rStyle w:val="HideTWBExt"/>
          <w:b w:val="0"/>
        </w:rPr>
        <w:t>&lt;Members&gt;</w:t>
      </w:r>
      <w:r>
        <w:t>Nathalie Loiseau,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pozdravlja nedavno sprejeto uredbo o revidiranih pravilih za statut in financiranje evropskih političnih strank in evropskih političnih fundacij; je seznanjen z določbami o financiranju in sodelovanju strank iz držav nečlanic EU; poziva sozakonodajalca, naj zagotovita njeno popolno in učinkovito izvajanje;</w:t>
            </w:r>
          </w:p>
        </w:tc>
        <w:tc>
          <w:tcPr>
            <w:tcW w:w="4876" w:type="dxa"/>
            <w:tcBorders>
              <w:top w:val="nil"/>
              <w:left w:val="nil"/>
              <w:bottom w:val="nil"/>
              <w:right w:val="nil"/>
            </w:tcBorders>
          </w:tcPr>
          <w:p>
            <w:pPr>
              <w:pStyle w:val="Normal6a"/>
            </w:pPr>
            <w:r>
              <w:t>76.</w:t>
            </w:r>
            <w:r>
              <w:tab/>
            </w:r>
            <w:r>
              <w:t>pozdravlja nedavno sprejeto uredbo o revidiranih pravilih za statut in financiranje evropskih političnih strank in evropskih političnih fundacij; je seznanjen z določbami o financiranju in sodelovanju strank iz držav nečlanic EU</w:t>
            </w:r>
            <w:r>
              <w:rPr>
                <w:b/>
                <w:i/>
              </w:rPr>
              <w:t>, zlasti glede dejstva, da stranke, ki niso iz EU, ne bi smele imeti pravice veta oziroma nadzora nad evropskimi strankami</w:t>
            </w:r>
            <w:r>
              <w:t xml:space="preserve">; poziva sozakonodajalca, naj zagotovita njeno popolno in učinkovito izvajanje; </w:t>
            </w:r>
            <w:r>
              <w:rPr>
                <w:b/>
                <w:i/>
              </w:rPr>
              <w:t>meni, da bi bilo treba v ustreznem časovnem okviru določiti strožja pravila za preprečevanje kakršnega koli financiranja s strani akterjev, ki niso iz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pozdravlja nedavno sprejeto uredbo o revidiranih pravilih za statut in financiranje evropskih političnih strank in evropskih političnih fundacij; je seznanjen z določbami o financiranju in sodelovanju strank iz držav nečlanic EU; poziva sozakonodajalca, naj zagotovita njeno popolno in učinkovito izvajanje;</w:t>
            </w:r>
          </w:p>
        </w:tc>
        <w:tc>
          <w:tcPr>
            <w:tcW w:w="4876" w:type="dxa"/>
            <w:tcBorders>
              <w:top w:val="nil"/>
              <w:left w:val="nil"/>
              <w:bottom w:val="nil"/>
              <w:right w:val="nil"/>
            </w:tcBorders>
          </w:tcPr>
          <w:p>
            <w:pPr>
              <w:pStyle w:val="Normal6a"/>
            </w:pPr>
            <w:r>
              <w:t>76.</w:t>
            </w:r>
            <w:r>
              <w:tab/>
            </w:r>
            <w:r>
              <w:t xml:space="preserve">pozdravlja nedavno sprejeto uredbo o revidiranih pravilih za statut in financiranje evropskih političnih strank in evropskih političnih fundacij; je seznanjen z določbami o financiranju in sodelovanju strank iz držav nečlanic EU; poziva sozakonodajalca, naj zagotovita njeno popolno in učinkovito izvajanje; </w:t>
            </w:r>
            <w:r>
              <w:rPr>
                <w:b/>
                <w:i/>
              </w:rPr>
              <w:t>ugotavlja, da morajo biti v postopek zaposlovanja organa vključeni tudi člani opozicijskih strank, sicer bo organ izgubil verodostojnost;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rPr>
                <w:b/>
                <w:i/>
              </w:rPr>
              <w:t>pozdravlja</w:t>
            </w:r>
            <w:r>
              <w:t xml:space="preserve"> nedavno sprejeto uredbo o revidiranih pravilih za statut in financiranje evropskih političnih strank in evropskih političnih fundacij; je seznanjen z določbami o financiranju in sodelovanju strank iz držav nečlanic EU; poziva sozakonodajalca, naj zagotovita njeno popolno in učinkovito izvajanje;</w:t>
            </w:r>
          </w:p>
        </w:tc>
        <w:tc>
          <w:tcPr>
            <w:tcW w:w="4876" w:type="dxa"/>
            <w:tcBorders>
              <w:top w:val="nil"/>
              <w:left w:val="nil"/>
              <w:bottom w:val="nil"/>
              <w:right w:val="nil"/>
            </w:tcBorders>
          </w:tcPr>
          <w:p>
            <w:pPr>
              <w:pStyle w:val="Normal6a"/>
            </w:pPr>
            <w:r>
              <w:t>76.</w:t>
            </w:r>
            <w:r>
              <w:tab/>
            </w:r>
            <w:r>
              <w:rPr>
                <w:b/>
                <w:i/>
              </w:rPr>
              <w:t>je seznanjen z</w:t>
            </w:r>
            <w:r>
              <w:t xml:space="preserve"> nedavno sprejeto uredbo o revidiranih pravilih za statut in financiranje evropskih političnih strank in evropskih političnih fundacij; je seznanjen z določbami o financiranju in sodelovanju strank iz držav nečlanic EU; poziva sozakonodajalca, naj zagotovita njeno popolno in učinkovito izvajanje</w:t>
            </w:r>
            <w:r>
              <w:rPr>
                <w:b/>
                <w:i/>
              </w:rPr>
              <w:t>, in sicer na način, na katerega v celoti spoštujeta nacionalne pristojnosti in ne posegata v notranje zadeve nacionalnih političnih strank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 xml:space="preserve">pozdravlja nedavno sprejeto uredbo o revidiranih pravilih za statut in financiranje evropskih političnih strank in evropskih političnih fundacij; </w:t>
            </w:r>
            <w:r>
              <w:rPr>
                <w:b/>
                <w:i/>
              </w:rPr>
              <w:t>je seznanjen z določbami o financiranju in sodelovanju strank iz držav nečlanic EU;</w:t>
            </w:r>
            <w:r>
              <w:t xml:space="preserve"> poziva sozakonodajalca, naj zagotovita njeno popolno in učinkovito izvajanje;</w:t>
            </w:r>
          </w:p>
        </w:tc>
        <w:tc>
          <w:tcPr>
            <w:tcW w:w="4876" w:type="dxa"/>
            <w:tcBorders>
              <w:top w:val="nil"/>
              <w:left w:val="nil"/>
              <w:bottom w:val="nil"/>
              <w:right w:val="nil"/>
            </w:tcBorders>
          </w:tcPr>
          <w:p>
            <w:pPr>
              <w:pStyle w:val="Normal6a"/>
            </w:pPr>
            <w:r>
              <w:t>76.</w:t>
            </w:r>
            <w:r>
              <w:tab/>
            </w:r>
            <w:r>
              <w:t>pozdravlja nedavno sprejeto uredbo o revidiranih pravilih za statut in financiranje evropskih političnih strank in evropskih političnih fundacij; poziva sozakonodajalca, naj zagotovita njeno popolno in učinkovito izvajanje;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poudarja, da je treba okrepiti naše demokracije proti tujemu vmešavanju in avtoritarnim težnjam;</w:t>
            </w:r>
            <w:r>
              <w:t xml:space="preserve"> </w:t>
            </w:r>
            <w:r>
              <w:rPr>
                <w:b/>
                <w:i/>
              </w:rPr>
              <w:t>poziva Komisijo, naj razširi področje letnega poročila o stanju pravne države z vključitvijo demokracije in temeljnih pravic ter predstavi priporočila za države članice o krepitvi njihovih demokracij s trdnimi pravnimi jamstvi, kar zadeva svobodne in poštene volitve ter sistem zavor in ravnovesij proti ukrepom, namenjenim uničevanju pravic in svoboščin;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1546</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76a.</w:t>
            </w:r>
            <w:r>
              <w:tab/>
            </w:r>
            <w:r>
              <w:rPr>
                <w:b/>
                <w:i/>
              </w:rPr>
              <w:t>poudarja, da je za zaščito integritete volitev potrebna tudi ustrezna pripravljenost na področju kibernetske varnosti, podprta z industrijsko dokazanimi zmogljivostmi za spremljanje, preskušanje in krepitev odpornosti volilne infrastrukture proti vmešavanju, ki ga omogoča kibernetski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ugotavlja, da razvoj kriptovalut ustvarja potencialno ranljivost v smislu pomanjkanja preglednosti ter tudi zmožnosti nadzora financiranja političnih strank in gibanj v Evropi; priznava zavezo Komisije, da bo v tesnem sodelovanju z drugimi mrežami EU in deležniki združila nacionalne strokovnjake pod okriljem evropske mreže za volilno sodelovanje, da bi v zvezi s tem izmenjali dobro prakso, pripravili morebitne smernice in spodbujali skupne ukrepe; poziva Komisijo, naj še naprej spremlja izvajanje svežnja o preprečevanju pranja denarja in uredbe o trgih kriptosredstev </w:t>
            </w:r>
            <w:r>
              <w:rPr>
                <w:b/>
                <w:i/>
              </w:rPr>
              <w:t>ter</w:t>
            </w:r>
            <w:r>
              <w:t xml:space="preserve"> obravnava morebitne vrzeli v zakonodaji, ki jih bo morda treba odpraviti;</w:t>
            </w:r>
          </w:p>
        </w:tc>
        <w:tc>
          <w:tcPr>
            <w:tcW w:w="4876" w:type="dxa"/>
            <w:tcBorders>
              <w:top w:val="nil"/>
              <w:left w:val="nil"/>
              <w:bottom w:val="nil"/>
              <w:right w:val="nil"/>
            </w:tcBorders>
          </w:tcPr>
          <w:p>
            <w:pPr>
              <w:pStyle w:val="Normal6a"/>
            </w:pPr>
            <w:r>
              <w:t>77.</w:t>
            </w:r>
            <w:r>
              <w:tab/>
            </w:r>
            <w:r>
              <w:t xml:space="preserve">ugotavlja, da </w:t>
            </w:r>
            <w:r>
              <w:rPr>
                <w:b/>
                <w:i/>
              </w:rPr>
              <w:t>hiter</w:t>
            </w:r>
            <w:r>
              <w:t xml:space="preserve"> razvoj kriptovalut</w:t>
            </w:r>
            <w:r>
              <w:rPr>
                <w:b/>
                <w:i/>
              </w:rPr>
              <w:t>, tudi prek decentraliziranih financ (DeFI) in platform ali ponudnikov storitev, ki delujejo zunaj Unije,</w:t>
            </w:r>
            <w:r>
              <w:t xml:space="preserve"> ustvarja potencialno </w:t>
            </w:r>
            <w:r>
              <w:rPr>
                <w:b/>
                <w:i/>
              </w:rPr>
              <w:t>občutno</w:t>
            </w:r>
            <w:r>
              <w:t xml:space="preserve"> ranljivost v smislu pomanjkanja preglednosti ter tudi zmožnosti nadzora financiranja političnih strank in gibanj v Evropi</w:t>
            </w:r>
            <w:r>
              <w:rPr>
                <w:b/>
                <w:i/>
              </w:rPr>
              <w:t>;</w:t>
            </w:r>
            <w:r>
              <w:t xml:space="preserve"> </w:t>
            </w:r>
            <w:r>
              <w:rPr>
                <w:b/>
                <w:i/>
              </w:rPr>
              <w:t>zlasti poudarja, da je mogoče kriptosredstva zaradi njihove psevdonimne narave, globalnega dosega ter možnosti opiranja na tehnike in storitve anonimizacije zlahka izkoristiti za prikrivanje resničnega vira političnih donacij in lažje tuje vplivanje v demokratičnih procesih</w:t>
            </w:r>
            <w:r>
              <w:t>; priznava zavezo Komisije, da bo v tesnem sodelovanju z drugimi mrežami EU in deležniki združila nacionalne strokovnjake pod okriljem evropske mreže za volilno sodelovanje, da bi v zvezi s tem izmenjali dobro prakso, pripravili morebitne smernice in spodbujali skupne ukrepe; poziva Komisijo, naj še naprej spremlja izvajanje svežnja o preprečevanju pranja denarja in uredbe o trgih kriptosredstev</w:t>
            </w:r>
            <w:r>
              <w:rPr>
                <w:b/>
                <w:i/>
              </w:rPr>
              <w:t>, poskrbi za učinkovito in dosledno izvrševanje ter brez kakršnega koli nadaljnjega odlašanja</w:t>
            </w:r>
            <w:r>
              <w:t xml:space="preserve"> obravnava </w:t>
            </w:r>
            <w:r>
              <w:rPr>
                <w:b/>
                <w:i/>
              </w:rPr>
              <w:t>vse</w:t>
            </w:r>
            <w:r>
              <w:t xml:space="preserve"> morebitne vrzeli v zakonodaji, ki jih bo morda treba odpraviti</w:t>
            </w:r>
            <w:r>
              <w:rPr>
                <w:b/>
                <w:i/>
              </w:rPr>
              <w:t>, zlasti tiste, ki jih je že ugotovil Evropski odbor za sistemska tveganja (ESRB) v zvezi s čezmejnimi tokovi stabilnih kovancev, saj dodatno povečujejo tveganje, da bi se kriptosredstva uporabila kot stranska vrata za nezakonito tuje politično financiranje in tuji vpliv, premoženjske koristi, pridobljene s kaznivimi dejanji, in druge nezakonite finančne tokove, s čimer bi se spodkopala demokratična odgovornost in zaupanje javnosti</w:t>
            </w:r>
            <w:r>
              <w:t xml:space="preserve">; </w:t>
            </w:r>
            <w:r>
              <w:rPr>
                <w:b/>
                <w:i/>
              </w:rPr>
              <w:t>nadalje poziva Komisijo, naj predlaga okrepljene ukrepe za zagotovitev, da za politične donacije, ki vključujejo kriptosredstva, velja načelo poznavanja svojega donatorja, ter naj poskrbi za enake standarde preglednosti in odgovornosti kot pri tradicionalnih finančnih prispevkih;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ugotavlja, da razvoj kriptovalut ustvarja potencialno ranljivost v smislu pomanjkanja preglednosti ter tudi zmožnosti nadzora financiranja političnih strank in gibanj v Evropi; priznava zavezo Komisije, da bo v tesnem sodelovanju z drugimi mrežami EU in deležniki združila nacionalne strokovnjake pod okriljem evropske mreže za volilno sodelovanje, da bi v zvezi s tem izmenjali dobro prakso, pripravili </w:t>
            </w:r>
            <w:r>
              <w:rPr>
                <w:b/>
                <w:i/>
              </w:rPr>
              <w:t>morebitne</w:t>
            </w:r>
            <w:r>
              <w:t xml:space="preserve"> smernice in spodbujali skupne ukrepe; poziva Komisijo, naj še naprej spremlja izvajanje svežnja o preprečevanju pranja denarja in uredbe o trgih kriptosredstev ter obravnava morebitne vrzeli v zakonodaji, ki jih bo morda treba odpraviti;</w:t>
            </w:r>
          </w:p>
        </w:tc>
        <w:tc>
          <w:tcPr>
            <w:tcW w:w="4876" w:type="dxa"/>
            <w:tcBorders>
              <w:top w:val="nil"/>
              <w:left w:val="nil"/>
              <w:bottom w:val="nil"/>
              <w:right w:val="nil"/>
            </w:tcBorders>
          </w:tcPr>
          <w:p>
            <w:pPr>
              <w:pStyle w:val="Normal6a"/>
            </w:pPr>
            <w:r>
              <w:t>77.</w:t>
            </w:r>
            <w:r>
              <w:tab/>
            </w:r>
            <w:r>
              <w:t xml:space="preserve">ugotavlja, da razvoj kriptovalut ustvarja potencialno ranljivost v smislu pomanjkanja preglednosti ter tudi zmožnosti nadzora financiranja političnih strank in gibanj v Evropi; priznava zavezo Komisije, da bo v tesnem sodelovanju z drugimi mrežami EU in deležniki združila nacionalne strokovnjake pod okriljem evropske mreže za volilno sodelovanje, da bi v zvezi s tem izmenjali dobro prakso, pripravili </w:t>
            </w:r>
            <w:r>
              <w:rPr>
                <w:b/>
                <w:i/>
              </w:rPr>
              <w:t>nezavezujoče</w:t>
            </w:r>
            <w:r>
              <w:t xml:space="preserve"> smernice in spodbujali skupne ukrepe; poziva Komisijo, naj še naprej spremlja izvajanje svežnja o preprečevanju pranja denarja in uredbe o trgih kriptosredstev ter obravnava morebitne vrzeli v zakonodaji, ki jih bo morda treba odpraviti;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1549</w:t>
      </w:r>
      <w:r>
        <w:rPr>
          <w:rStyle w:val="HideTWBExt"/>
        </w:rPr>
        <w:t>&lt;/NumAm&gt;</w:t>
      </w:r>
    </w:p>
    <w:p>
      <w:pPr>
        <w:pStyle w:val="NormalBold"/>
      </w:pPr>
      <w:r>
        <w:rPr>
          <w:rStyle w:val="HideTWBExt"/>
          <w:b w:val="0"/>
        </w:rPr>
        <w:t>&lt;RepeatBlock-By&gt;</w:t>
      </w:r>
      <w:r>
        <w:rPr>
          <w:rStyle w:val="HideTWBExt"/>
          <w:b w:val="0"/>
        </w:rPr>
        <w:t>&lt;Members&gt;</w:t>
      </w:r>
      <w:r>
        <w:t>Nathalie Loiseau,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opozarja na vlogo Organa za evropske politične stranke in evropske politične fundacije pri nadzoru financiranja evropskih političnih strank;</w:t>
            </w:r>
            <w:r>
              <w:t xml:space="preserve"> </w:t>
            </w:r>
            <w:r>
              <w:rPr>
                <w:b/>
                <w:i/>
              </w:rPr>
              <w:t>ugotavlja, da razlike v pravilu financiranja političnih strank s strani oseb in subjektov iz tretjih držav na nacionalni ravni ustvarjajo zakonodajne vrzeli, ki omogočajo prenos sredstev od nacionalnih na evropske stranke, ki sicer ne bi bil dovoljen;</w:t>
            </w:r>
            <w:r>
              <w:t xml:space="preserve"> </w:t>
            </w:r>
            <w:r>
              <w:rPr>
                <w:b/>
                <w:i/>
              </w:rPr>
              <w:t>vztraja, da je potrebno boljše sodelovanje med nacionalnimi organi, pristojnimi za nadzor financ nacionalnih političnih strank;</w:t>
            </w:r>
            <w:r>
              <w:t xml:space="preserve"> </w:t>
            </w:r>
            <w:r>
              <w:rPr>
                <w:b/>
                <w:i/>
              </w:rPr>
              <w:t>je zaskrbljen, ker se nekatere organizacije na nacionalni ravni ne zavedajo obstoja drugih ali si ne izmenjujejo informacij, kar povzroča razmejevanje;</w:t>
            </w:r>
            <w:r>
              <w:t xml:space="preserve"> </w:t>
            </w:r>
            <w:r>
              <w:rPr>
                <w:b/>
                <w:i/>
              </w:rPr>
              <w:t>poziva države članice, naj med seboj sprejmejo dobro prakso, da bi zagotovile neodvisen nadzor nad financiranjem političnih strank;</w:t>
            </w:r>
            <w:r>
              <w:t xml:space="preserve"> </w:t>
            </w:r>
            <w:r>
              <w:rPr>
                <w:b/>
                <w:i/>
              </w:rPr>
              <w:t>je zaskrbljen, ker nekatere finančnoobveščevalne enote niso pooblaščene za posredovanje informacij, ki jih zberejo o vmešavanju v nacionalne in evropske volitve;</w:t>
            </w:r>
            <w:r>
              <w:t xml:space="preserve"> </w:t>
            </w:r>
            <w:r>
              <w:rPr>
                <w:b/>
                <w:i/>
              </w:rPr>
              <w:t>poziva države članice, naj pregledajo njihova pooblastila in izboljšajo pretok informacij;</w:t>
            </w:r>
            <w:r>
              <w:t xml:space="preserve"> </w:t>
            </w:r>
            <w:r>
              <w:rPr>
                <w:b/>
                <w:i/>
              </w:rPr>
              <w:t>poziva k okrepitvi Organa za evropske politične stranke in evropske politične fundacije, da bi bolje usklajevali nacionalne in evropske organizacije, pristojne za nadzor financiranja političnih strank;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je globoko zaskrbljen zaradi nedavnih sankcij, ki jih je ameriška administracija Donalda Trumpa uvedla proti posameznikom, povezanim z mednarodnimi organizacijami, zlasti proti poročevalki OZN Francesci Albanese in več sodnikom Mednarodnega kazenskega sodišča, kar ovira njihov dostop do vsakodnevnih storitev, zlasti finančnih;</w:t>
            </w:r>
            <w:r>
              <w:t xml:space="preserve"> </w:t>
            </w:r>
            <w:r>
              <w:rPr>
                <w:b/>
                <w:i/>
              </w:rPr>
              <w:t>je globoko zaskrbljen zaradi nedavnih sankcij, ki jih je Trumpova administracija uvedla proti nekdanjemu komisarju EU Thierryju Bretonu in posameznikom iz civilne družbe, da bi na ta način izvajala pritisk na uradnike in civilno družbo, ki sodelujejo v razpravah o aktu o digitalnih storitvah in njegovem izvajanju, ter ogrozila regulativno suverenost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meni, da </w:t>
            </w:r>
            <w:r>
              <w:rPr>
                <w:b/>
                <w:i/>
              </w:rPr>
              <w:t>so</w:t>
            </w:r>
            <w:r>
              <w:t xml:space="preserve"> sankcije proti tujim subjektom, državam ali posameznikom</w:t>
            </w:r>
            <w:r>
              <w:rPr>
                <w:b/>
                <w:i/>
              </w:rPr>
              <w:t>, ki sodelujejo pri ravnanju</w:t>
            </w:r>
            <w:r>
              <w:t xml:space="preserve">, katerega cilj je spodkopavanje demokratične integritete EU ali njenih držav članic, pomemben element ciljev evropskega ščita za demokracijo; </w:t>
            </w:r>
            <w:r>
              <w:rPr>
                <w:b/>
                <w:i/>
              </w:rPr>
              <w:t>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w:t>
            </w:r>
          </w:p>
        </w:tc>
        <w:tc>
          <w:tcPr>
            <w:tcW w:w="4876" w:type="dxa"/>
            <w:tcBorders>
              <w:top w:val="nil"/>
              <w:left w:val="nil"/>
              <w:bottom w:val="nil"/>
              <w:right w:val="nil"/>
            </w:tcBorders>
          </w:tcPr>
          <w:p>
            <w:pPr>
              <w:pStyle w:val="Normal6a"/>
            </w:pPr>
            <w:r>
              <w:t>78.</w:t>
            </w:r>
            <w:r>
              <w:tab/>
            </w:r>
            <w:r>
              <w:t xml:space="preserve">meni, da </w:t>
            </w:r>
            <w:r>
              <w:rPr>
                <w:b/>
                <w:i/>
              </w:rPr>
              <w:t>bi bilo treba</w:t>
            </w:r>
            <w:r>
              <w:t xml:space="preserve"> sankcije proti tujim subjektom, državam ali posameznikom </w:t>
            </w:r>
            <w:r>
              <w:rPr>
                <w:b/>
                <w:i/>
              </w:rPr>
              <w:t>uvajati le kot neposreden in sorazmeren odziv na nedvomno ugotovljeno in dokazano ravnanje</w:t>
            </w:r>
            <w:r>
              <w:t>, katerega cilj je spodkopavanje demokratične integritete EU ali njenih držav članic, pomemben element ciljev evropskega ščita za demokracijo;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meni, da so sankcije proti </w:t>
            </w:r>
            <w:r>
              <w:rPr>
                <w:b/>
                <w:i/>
              </w:rPr>
              <w:t>tujim subjektom, državam ali</w:t>
            </w:r>
            <w:r>
              <w:t xml:space="preserve"> posameznikom, ki sodelujejo pri </w:t>
            </w:r>
            <w:r>
              <w:rPr>
                <w:b/>
                <w:i/>
              </w:rPr>
              <w:t>ravnanju, katerega</w:t>
            </w:r>
            <w:r>
              <w:t xml:space="preserve"> cilj je spodkopavanje </w:t>
            </w:r>
            <w:r>
              <w:rPr>
                <w:b/>
                <w:i/>
              </w:rPr>
              <w:t>demokratične</w:t>
            </w:r>
            <w:r>
              <w:t xml:space="preserve"> integritete EU </w:t>
            </w:r>
            <w:r>
              <w:rPr>
                <w:b/>
                <w:i/>
              </w:rPr>
              <w:t>ali njenih</w:t>
            </w:r>
            <w:r>
              <w:t xml:space="preserve"> držav članic, </w:t>
            </w:r>
            <w:r>
              <w:rPr>
                <w:b/>
                <w:i/>
              </w:rPr>
              <w:t>pomemben element ciljev</w:t>
            </w:r>
            <w:r>
              <w:t xml:space="preserve"> evropskega ščita za demokracijo; nadalje poudarja, da morajo </w:t>
            </w:r>
            <w:r>
              <w:rPr>
                <w:b/>
                <w:i/>
              </w:rPr>
              <w:t>učinkovite</w:t>
            </w:r>
            <w:r>
              <w:t xml:space="preserve"> sankcije vključevati celovit sklop </w:t>
            </w:r>
            <w:r>
              <w:rPr>
                <w:b/>
                <w:i/>
              </w:rPr>
              <w:t>dejavnosti</w:t>
            </w:r>
            <w:r>
              <w:t xml:space="preserve">, vključno z zamrznitvijo sredstev in zaplembo premoženja, pripisovanjem in izpostavljenostjo, </w:t>
            </w:r>
            <w:r>
              <w:rPr>
                <w:b/>
                <w:i/>
              </w:rPr>
              <w:t>povečanjem</w:t>
            </w:r>
            <w:r>
              <w:t xml:space="preserve"> stroškov </w:t>
            </w:r>
            <w:r>
              <w:rPr>
                <w:b/>
                <w:i/>
              </w:rPr>
              <w:t>in</w:t>
            </w:r>
            <w:r>
              <w:t xml:space="preserve"> zmanjšanjem prihodkov, prepovedjo uvoza in izvoza, zavrnitvijo dostopa in drugimi </w:t>
            </w:r>
            <w:r>
              <w:rPr>
                <w:b/>
                <w:i/>
              </w:rPr>
              <w:t>ustreznimi</w:t>
            </w:r>
            <w:r>
              <w:t xml:space="preserve"> omejevalnimi ukrepi;</w:t>
            </w:r>
          </w:p>
        </w:tc>
        <w:tc>
          <w:tcPr>
            <w:tcW w:w="4876" w:type="dxa"/>
            <w:tcBorders>
              <w:top w:val="nil"/>
              <w:left w:val="nil"/>
              <w:bottom w:val="nil"/>
              <w:right w:val="nil"/>
            </w:tcBorders>
          </w:tcPr>
          <w:p>
            <w:pPr>
              <w:pStyle w:val="Normal6a"/>
            </w:pPr>
            <w:r>
              <w:t>78.</w:t>
            </w:r>
            <w:r>
              <w:tab/>
            </w:r>
            <w:r>
              <w:t xml:space="preserve">meni, da so sankcije proti </w:t>
            </w:r>
            <w:r>
              <w:rPr>
                <w:b/>
                <w:i/>
              </w:rPr>
              <w:t>državnim in nedržavnim akterjem ter</w:t>
            </w:r>
            <w:r>
              <w:t xml:space="preserve"> posameznikom, ki sodelujejo pri </w:t>
            </w:r>
            <w:r>
              <w:rPr>
                <w:b/>
                <w:i/>
              </w:rPr>
              <w:t>dejanjih, katerih</w:t>
            </w:r>
            <w:r>
              <w:t xml:space="preserve"> cilj je spodkopavanje integritete EU</w:t>
            </w:r>
            <w:r>
              <w:rPr>
                <w:b/>
                <w:i/>
              </w:rPr>
              <w:t>, demokracije, suverenosti in ustavnega reda</w:t>
            </w:r>
            <w:r>
              <w:t xml:space="preserve"> držav članic, </w:t>
            </w:r>
            <w:r>
              <w:rPr>
                <w:b/>
                <w:i/>
              </w:rPr>
              <w:t>osrednji sestavni del</w:t>
            </w:r>
            <w:r>
              <w:t xml:space="preserve"> evropskega ščita za demokracijo; nadalje poudarja, da morajo </w:t>
            </w:r>
            <w:r>
              <w:rPr>
                <w:b/>
                <w:i/>
              </w:rPr>
              <w:t>biti take</w:t>
            </w:r>
            <w:r>
              <w:t xml:space="preserve"> sankcije </w:t>
            </w:r>
            <w:r>
              <w:rPr>
                <w:b/>
                <w:i/>
              </w:rPr>
              <w:t>hitre, usmerjene in odvračilne ter morajo</w:t>
            </w:r>
            <w:r>
              <w:t xml:space="preserve"> vključevati celovit sklop </w:t>
            </w:r>
            <w:r>
              <w:rPr>
                <w:b/>
                <w:i/>
              </w:rPr>
              <w:t>ukrepov</w:t>
            </w:r>
            <w:r>
              <w:t xml:space="preserve">, vključno z zamrznitvijo sredstev in zaplembo premoženja, </w:t>
            </w:r>
            <w:r>
              <w:rPr>
                <w:b/>
                <w:i/>
              </w:rPr>
              <w:t>jasnim</w:t>
            </w:r>
            <w:r>
              <w:t xml:space="preserve"> pripisovanjem in </w:t>
            </w:r>
            <w:r>
              <w:rPr>
                <w:b/>
                <w:i/>
              </w:rPr>
              <w:t>javno</w:t>
            </w:r>
            <w:r>
              <w:t xml:space="preserve"> izpostavljenostjo, </w:t>
            </w:r>
            <w:r>
              <w:rPr>
                <w:b/>
                <w:i/>
              </w:rPr>
              <w:t>nalaganjem precejšnjih ekonomskih in finančnih</w:t>
            </w:r>
            <w:r>
              <w:t xml:space="preserve"> stroškov</w:t>
            </w:r>
            <w:r>
              <w:rPr>
                <w:b/>
                <w:i/>
              </w:rPr>
              <w:t>,</w:t>
            </w:r>
            <w:r>
              <w:t xml:space="preserve"> zmanjšanjem prihodkov, prepovedjo uvoza in izvoza, </w:t>
            </w:r>
            <w:r>
              <w:rPr>
                <w:b/>
                <w:i/>
              </w:rPr>
              <w:t>prepovedjo potovanj,</w:t>
            </w:r>
            <w:r>
              <w:t xml:space="preserve"> zavrnitvijo dostopa </w:t>
            </w:r>
            <w:r>
              <w:rPr>
                <w:b/>
                <w:i/>
              </w:rPr>
              <w:t>do trgov in finančnih sistemov EU</w:t>
            </w:r>
            <w:r>
              <w:t xml:space="preserve"> in drugimi </w:t>
            </w:r>
            <w:r>
              <w:rPr>
                <w:b/>
                <w:i/>
              </w:rPr>
              <w:t>učinkovitimi, zanesljivimi in vplivnimi</w:t>
            </w:r>
            <w:r>
              <w:t xml:space="preserve"> omejevalnimi ukrepi;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meni, da so sankcije proti tujim subjektom, državam ali posameznikom, ki sodelujejo pri ravnanju, katerega cilj je spodkopavanje demokratične integritete EU ali njenih držav članic, pomemben element ciljev evropskega ščita za demokracijo; 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w:t>
            </w:r>
          </w:p>
        </w:tc>
        <w:tc>
          <w:tcPr>
            <w:tcW w:w="4876" w:type="dxa"/>
            <w:tcBorders>
              <w:top w:val="nil"/>
              <w:left w:val="nil"/>
              <w:bottom w:val="nil"/>
              <w:right w:val="nil"/>
            </w:tcBorders>
          </w:tcPr>
          <w:p>
            <w:pPr>
              <w:pStyle w:val="Normal6a"/>
            </w:pPr>
            <w:r>
              <w:t>78.</w:t>
            </w:r>
            <w:r>
              <w:tab/>
            </w:r>
            <w:r>
              <w:t xml:space="preserve">meni, da so sankcije proti tujim subjektom, državam ali posameznikom, ki sodelujejo pri ravnanju, katerega cilj je spodkopavanje demokratične integritete EU ali njenih držav članic, pomemben element ciljev evropskega ščita za demokracijo; 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 </w:t>
            </w:r>
            <w:r>
              <w:rPr>
                <w:b/>
                <w:i/>
              </w:rPr>
              <w:t>ponovno poziva Svet, naj postopno preide na glasovanje s kvalificirano večino pri odločitvah v okviru režima sankcij;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meni, da so sankcije proti tujim subjektom, državam ali posameznikom, ki sodelujejo pri ravnanju, katerega cilj je spodkopavanje demokratične integritete EU ali njenih držav članic, pomemben element ciljev evropskega ščita za demokracijo; 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w:t>
            </w:r>
          </w:p>
        </w:tc>
        <w:tc>
          <w:tcPr>
            <w:tcW w:w="4876" w:type="dxa"/>
            <w:tcBorders>
              <w:top w:val="nil"/>
              <w:left w:val="nil"/>
              <w:bottom w:val="nil"/>
              <w:right w:val="nil"/>
            </w:tcBorders>
          </w:tcPr>
          <w:p>
            <w:pPr>
              <w:pStyle w:val="Normal6a"/>
            </w:pPr>
            <w:r>
              <w:t>78.</w:t>
            </w:r>
            <w:r>
              <w:tab/>
            </w:r>
            <w:r>
              <w:t>meni, da so sankcije proti tujim subjektom, državam ali posameznikom, ki sodelujejo pri ravnanju, katerega cilj je spodkopavanje demokratične integritete EU ali njenih držav članic, pomemben element ciljev evropskega ščita za demokracijo</w:t>
            </w:r>
            <w:r>
              <w:rPr>
                <w:b/>
                <w:i/>
              </w:rPr>
              <w:t>, če je ocena za vse vključene deležnike nepristranska in dosledna</w:t>
            </w:r>
            <w:r>
              <w:t>; 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meni, da so sankcije proti tujim subjektom, državam ali posameznikom, ki sodelujejo pri ravnanju, katerega cilj je spodkopavanje demokratične integritete EU ali njenih držav članic, pomemben element </w:t>
            </w:r>
            <w:r>
              <w:rPr>
                <w:b/>
                <w:i/>
              </w:rPr>
              <w:t>ciljev evropskega ščita za demokracijo</w:t>
            </w:r>
            <w:r>
              <w:t>; 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w:t>
            </w:r>
          </w:p>
        </w:tc>
        <w:tc>
          <w:tcPr>
            <w:tcW w:w="4876" w:type="dxa"/>
            <w:tcBorders>
              <w:top w:val="nil"/>
              <w:left w:val="nil"/>
              <w:bottom w:val="nil"/>
              <w:right w:val="nil"/>
            </w:tcBorders>
          </w:tcPr>
          <w:p>
            <w:pPr>
              <w:pStyle w:val="Normal6a"/>
            </w:pPr>
            <w:r>
              <w:t>78.</w:t>
            </w:r>
            <w:r>
              <w:tab/>
            </w:r>
            <w:r>
              <w:t xml:space="preserve">meni, da so sankcije proti tujim subjektom, državam ali posameznikom, ki sodelujejo pri </w:t>
            </w:r>
            <w:r>
              <w:rPr>
                <w:b/>
                <w:i/>
              </w:rPr>
              <w:t>dokazljivem</w:t>
            </w:r>
            <w:r>
              <w:t xml:space="preserve"> ravnanju, katerega cilj je spodkopavanje demokratične integritete EU ali njenih držav članic, pomemben element </w:t>
            </w:r>
            <w:r>
              <w:rPr>
                <w:b/>
                <w:i/>
              </w:rPr>
              <w:t>pri zaščiti Unije in držav članic</w:t>
            </w:r>
            <w:r>
              <w:t>; nadalje poudarja, da morajo učinkovite sankcije vključevati celovit sklop dejavnosti, vključno z zamrznitvijo sredstev in zaplembo premoženja, pripisovanjem in izpostavljenostjo, povečanjem stroškov in zmanjšanjem prihodkov, prepovedjo uvoza in izvoza, zavrnitvijo dostopa in drugimi ustreznimi omejevalnimi ukrepi;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1556</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 xml:space="preserve">meni, da so sankcije proti tujim subjektom, državam ali posameznikom, ki sodelujejo pri ravnanju, katerega cilj je spodkopavanje demokratične integritete EU ali njenih držav članic, pomemben element ciljev evropskega ščita za demokracijo; nadalje poudarja, da morajo učinkovite sankcije vključevati celovit sklop dejavnosti, </w:t>
            </w:r>
            <w:r>
              <w:rPr>
                <w:b/>
                <w:i/>
              </w:rPr>
              <w:t>vključno z zamrznitvijo sredstev in zaplembo premoženja, pripisovanjem in izpostavljenostjo, povečanjem</w:t>
            </w:r>
            <w:r>
              <w:t xml:space="preserve"> stroškov in </w:t>
            </w:r>
            <w:r>
              <w:rPr>
                <w:b/>
                <w:i/>
              </w:rPr>
              <w:t>zmanjšanjem</w:t>
            </w:r>
            <w:r>
              <w:t xml:space="preserve"> prihodkov, </w:t>
            </w:r>
            <w:r>
              <w:rPr>
                <w:b/>
                <w:i/>
              </w:rPr>
              <w:t>prepovedjo</w:t>
            </w:r>
            <w:r>
              <w:t xml:space="preserve"> uvoza in izvoza, </w:t>
            </w:r>
            <w:r>
              <w:rPr>
                <w:b/>
                <w:i/>
              </w:rPr>
              <w:t>zavrnitvijo</w:t>
            </w:r>
            <w:r>
              <w:t xml:space="preserve"> dostopa in </w:t>
            </w:r>
            <w:r>
              <w:rPr>
                <w:b/>
                <w:i/>
              </w:rPr>
              <w:t>drugimi ustreznimi omejevalnimi ukrepi</w:t>
            </w:r>
            <w:r>
              <w:t>;</w:t>
            </w:r>
          </w:p>
        </w:tc>
        <w:tc>
          <w:tcPr>
            <w:tcW w:w="4876" w:type="dxa"/>
            <w:tcBorders>
              <w:top w:val="nil"/>
              <w:left w:val="nil"/>
              <w:bottom w:val="nil"/>
              <w:right w:val="nil"/>
            </w:tcBorders>
          </w:tcPr>
          <w:p>
            <w:pPr>
              <w:pStyle w:val="Normal6a"/>
            </w:pPr>
            <w:r>
              <w:t>78.</w:t>
            </w:r>
            <w:r>
              <w:tab/>
            </w:r>
            <w:r>
              <w:t xml:space="preserve">meni, da so sankcije proti tujim subjektom, državam ali posameznikom, ki sodelujejo pri ravnanju, katerega cilj je spodkopavanje demokratične integritete EU ali njenih držav članic, pomemben element ciljev evropskega ščita za demokracijo; nadalje poudarja, da morajo učinkovite sankcije vključevati celovit sklop dejavnosti, </w:t>
            </w:r>
            <w:r>
              <w:rPr>
                <w:b/>
                <w:i/>
              </w:rPr>
              <w:t>pripisovanje in izpostavljenost, povečanje</w:t>
            </w:r>
            <w:r>
              <w:t xml:space="preserve"> stroškov in </w:t>
            </w:r>
            <w:r>
              <w:rPr>
                <w:b/>
                <w:i/>
              </w:rPr>
              <w:t>zmanjšanje</w:t>
            </w:r>
            <w:r>
              <w:t xml:space="preserve"> prihodkov, </w:t>
            </w:r>
            <w:r>
              <w:rPr>
                <w:b/>
                <w:i/>
              </w:rPr>
              <w:t>prepoved</w:t>
            </w:r>
            <w:r>
              <w:t xml:space="preserve"> uvoza in izvoza, </w:t>
            </w:r>
            <w:r>
              <w:rPr>
                <w:b/>
                <w:i/>
              </w:rPr>
              <w:t>zavrnitev</w:t>
            </w:r>
            <w:r>
              <w:t xml:space="preserve"> dostopa in </w:t>
            </w:r>
            <w:r>
              <w:rPr>
                <w:b/>
                <w:i/>
              </w:rPr>
              <w:t>druge ustrezne omejevalne ukrepe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poudarja, da je učinkovitost nabora orodij evropskega ščita za demokracijo za sankcije odvisna od njegove zmožnosti, da obravnava ne le hibridne dejavnosti, ki jih podpirajo države, temveč tudi nedržavne akterje, mreže in posrednike, ki izvajajo, omogočajo ali monetizirajo take dejavnosti;</w:t>
            </w:r>
            <w:r>
              <w:t xml:space="preserve"> </w:t>
            </w:r>
            <w:r>
              <w:rPr>
                <w:b/>
                <w:i/>
              </w:rPr>
              <w:t>opozarja, da omejevalni ukrepi Unije proti terorizmu veljajo za osebe, skupine in subjekte;</w:t>
            </w:r>
            <w:r>
              <w:t xml:space="preserve"> </w:t>
            </w:r>
            <w:r>
              <w:rPr>
                <w:b/>
                <w:i/>
              </w:rPr>
              <w:t>poziva Komisijo, Evropsko službo za zunanje delovanje in države članice, naj poskrbijo, da se ustrezni instrumenti sankcij, kadar je to pravno utemeljeno, dosledno uporabljajo proti finančnim, logističnim in tehničnim spodbujevalcem hibridnega vmešavanja, tudi s spletno monetizacijo in prikritimi tokovi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1558</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sicer v celoti priznava legitimni cilj, da se sprejmejo politike za boj proti dezinformacijam in manipuliranju z njimi, vendar poziva Komisijo, naj oceni, ali so sankcije EU za boj proti dezinformacijam skladne z zahtevo za sorazmernost v skladu s pravom EU in členom 11 Listine;</w:t>
            </w:r>
            <w:r>
              <w:t xml:space="preserve"> </w:t>
            </w:r>
            <w:r>
              <w:rPr>
                <w:b/>
                <w:i/>
              </w:rPr>
              <w:t>meni, da morajo biti zagotovljeni pravica do zaslišanja in ustrezna pravna jamstva, preden Svet uvede te ukrepe, zlasti kadar bi lahko bile ogrožene pravice državljanov EU, zlasti novinarjev;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1559</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ugotavlja, da so subvencionirani preverjevalci dejstev, kot je organizacija EU Disinfo Lab, še naprej prejemali sredstva ter bili vabljeni kot strokovnjaki v evropske institucije, čeprav sta jih francoski in belgijski organ za varstvo podatkov obsodila v zadevi Benall in v zadevi v zvezi s političnim profiliranjem računov na Twitterju;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poziva Svet in Komisijo, naj povečata uspešnost in učinek sankcij proti Rusiji, da zanesljivo ne več mogla nadaljevati brutalne vojaške agresije proti Ukrajini in ogrožati varnosti drugih sosednjih držav;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78b.</w:t>
            </w:r>
            <w:r>
              <w:tab/>
            </w:r>
            <w:r>
              <w:rPr>
                <w:b/>
                <w:i/>
              </w:rPr>
              <w:t>opozarja na škandal v zvezi s skladom Marianne, ki je bil posvečen obglavljenemu profesorju Samuelu Patyju, katerega sredstva so bila zapravljena na sumljiv način;</w:t>
            </w:r>
            <w:r>
              <w:t xml:space="preserve"> </w:t>
            </w:r>
            <w:r>
              <w:rPr>
                <w:b/>
                <w:i/>
              </w:rPr>
              <w:t>poziva k strogemu nadzoru sredstev, namenjenih boju proti sovraštvu in za demokracijo;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78c.</w:t>
            </w:r>
            <w:r>
              <w:tab/>
            </w:r>
            <w:r>
              <w:rPr>
                <w:b/>
                <w:i/>
              </w:rPr>
              <w:t>ugotavlja, da je bil en novinar odpuščen, potem ko je postavil vprašanje Evropski komisiji;</w:t>
            </w:r>
            <w:r>
              <w:t xml:space="preserve"> </w:t>
            </w:r>
            <w:r>
              <w:rPr>
                <w:b/>
                <w:i/>
              </w:rPr>
              <w:t>je zaskrbljen zaradi stalnega pritiska na opozicijske medije v Franciji (CNews, C8, France Soir);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1563</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poziva Komisijo in države članice, naj redno in natančno ocenjujejo naložene sankcije v smislu optimalne učinkovitosti in morebitne nadaljnje širitve, vključno s sekundarnimi sankcijami za subjekte, ki se izogibajo sankcijam; meni, da bi morala EU dodatno razširiti svoj režim sankcij, zlasti na področju ruskih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w:t>
            </w:r>
            <w:r>
              <w:rPr>
                <w:b/>
                <w:i/>
              </w:rPr>
              <w:t>, hkrati pa bi onemogočala ruske posredniške mreže v državah nečlanicah EU, zlasti v Afriki in na Bližnjem vzhodu, in sicer z uvedbo sankcij za medijske hiše, logistična vozlišča in akterje, povezane s skupino Wagner, ki spodbujajo negativno nastrojenost do EU</w:t>
            </w:r>
            <w:r>
              <w:t xml:space="preserve">; </w:t>
            </w:r>
            <w:r>
              <w:rPr>
                <w:b/>
                <w:i/>
              </w:rPr>
              <w:t>meni, da bi morala EU za nadaljnje povečanje stroškov hibridne agresije sekundarne sankcije razširiti na podjetja, ki niso iz EU, zlasti na kitajska podjetja, ki omogočajo ruske operacije, in da bi morala ruskim kibernetskim plačancem prepovedati uporabo storitev s sedežem v EU, kot so storitve gostovanja, domenskih imen in storitve v oblaku, ter javno razkriti politike ali lobiste iz EU, ki jih na skrivaj financira Moskva, in uvesti sankcije proti njim;</w:t>
            </w:r>
          </w:p>
        </w:tc>
        <w:tc>
          <w:tcPr>
            <w:tcW w:w="4876" w:type="dxa"/>
            <w:tcBorders>
              <w:top w:val="nil"/>
              <w:left w:val="nil"/>
              <w:bottom w:val="nil"/>
              <w:right w:val="nil"/>
            </w:tcBorders>
          </w:tcPr>
          <w:p>
            <w:pPr>
              <w:pStyle w:val="Normal6a"/>
            </w:pPr>
            <w:r>
              <w:t>79.</w:t>
            </w:r>
            <w:r>
              <w:tab/>
            </w:r>
            <w:r>
              <w:t>poziva Komisijo in države članice, naj redno in natančno ocenjujejo naložene sankcije v smislu optimalne učinkovitosti in morebitne nadaljnje širitve, vključno s sekundarnimi sankcijami za subjekte, ki se izogibajo sankcijam; meni, da bi morala EU dodatno razširiti svoj režim sankcij, zlasti na področju ruskih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poziva Komisijo in države članice, naj redno in natančno ocenjujejo naložene sankcije v smislu optimalne učinkovitosti in morebitne nadaljnje širitve, vključno s sekundarnimi sankcijami za subjekte, ki se izogibajo sankcijam; meni, da bi morala EU dodatno razširiti svoj režim sankcij, zlasti na področju ruskih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 hkrati pa bi onemogočala ruske posredniške mreže v državah nečlanicah EU, zlasti v Afriki </w:t>
            </w:r>
            <w:r>
              <w:rPr>
                <w:b/>
                <w:i/>
              </w:rPr>
              <w:t>in</w:t>
            </w:r>
            <w:r>
              <w:t xml:space="preserve"> na Bližnjem vzhodu, in sicer z uvedbo sankcij za medijske hiše, logistična vozlišča in </w:t>
            </w:r>
            <w:r>
              <w:rPr>
                <w:b/>
                <w:i/>
              </w:rPr>
              <w:t>akterje,</w:t>
            </w:r>
            <w:r>
              <w:t xml:space="preserve"> povezane </w:t>
            </w:r>
            <w:r>
              <w:rPr>
                <w:b/>
                <w:i/>
              </w:rPr>
              <w:t>s skupino</w:t>
            </w:r>
            <w:r>
              <w:t xml:space="preserve"> Wagner, ki </w:t>
            </w:r>
            <w:r>
              <w:rPr>
                <w:b/>
                <w:i/>
              </w:rPr>
              <w:t>spodbujajo negativno nastrojenost do EU</w:t>
            </w:r>
            <w:r>
              <w:t>; meni, da bi morala EU za nadaljnje povečanje stroškov hibridne agresije sekundarne sankcije razširiti na podjetja, ki niso iz EU, zlasti na kitajska podjetja, ki omogočajo ruske operacije, in da bi morala ruskim kibernetskim plačancem prepovedati uporabo storitev s sedežem v EU, kot so storitve gostovanja, domenskih imen in storitve v oblaku, ter javno razkriti politike ali lobiste iz EU, ki jih na skrivaj financira Moskva, in uvesti sankcije proti njim;</w:t>
            </w:r>
          </w:p>
        </w:tc>
        <w:tc>
          <w:tcPr>
            <w:tcW w:w="4876" w:type="dxa"/>
            <w:tcBorders>
              <w:top w:val="nil"/>
              <w:left w:val="nil"/>
              <w:bottom w:val="nil"/>
              <w:right w:val="nil"/>
            </w:tcBorders>
          </w:tcPr>
          <w:p>
            <w:pPr>
              <w:pStyle w:val="Normal6a"/>
            </w:pPr>
            <w:r>
              <w:t>79.</w:t>
            </w:r>
            <w:r>
              <w:tab/>
            </w:r>
            <w:r>
              <w:t>poziva Komisijo in države članice, naj redno in natančno ocenjujejo naložene sankcije v smislu optimalne učinkovitosti in morebitne nadaljnje širitve, vključno s sekundarnimi sankcijami za subjekte, ki se izogibajo sankcijam; meni, da bi morala EU dodatno razširiti svoj režim sankcij, zlasti na področju ruskih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 hkrati pa bi onemogočala ruske posredniške mreže v državah nečlanicah EU, zlasti v Afriki</w:t>
            </w:r>
            <w:r>
              <w:rPr>
                <w:b/>
                <w:i/>
              </w:rPr>
              <w:t>,</w:t>
            </w:r>
            <w:r>
              <w:t xml:space="preserve"> na Bližnjem vzhodu </w:t>
            </w:r>
            <w:r>
              <w:rPr>
                <w:b/>
                <w:i/>
              </w:rPr>
              <w:t>in v Latinski Ameriki, še posebej na Kubi in v Nikaragvi</w:t>
            </w:r>
            <w:r>
              <w:t xml:space="preserve">, in sicer z uvedbo sankcij za medijske hiše, logistična vozlišča in </w:t>
            </w:r>
            <w:r>
              <w:rPr>
                <w:b/>
                <w:i/>
              </w:rPr>
              <w:t>s Kremljem</w:t>
            </w:r>
            <w:r>
              <w:t xml:space="preserve"> povezane</w:t>
            </w:r>
            <w:r>
              <w:rPr>
                <w:b/>
                <w:i/>
              </w:rPr>
              <w:t>, posredniške paravojaške formacije, kot je skupina</w:t>
            </w:r>
            <w:r>
              <w:t xml:space="preserve"> Wagner, ki </w:t>
            </w:r>
            <w:r>
              <w:rPr>
                <w:b/>
                <w:i/>
              </w:rPr>
              <w:t>izvaja teroristična dejanja in sovražne destabilizacijske dejavnosti</w:t>
            </w:r>
            <w:r>
              <w:t>; meni, da bi morala EU za nadaljnje povečanje stroškov hibridne agresije sekundarne sankcije razširiti na podjetja, ki niso iz EU, zlasti na kitajska podjetja, </w:t>
            </w:r>
            <w:r>
              <w:rPr>
                <w:b/>
                <w:i/>
              </w:rPr>
              <w:t>tudi tista s sedežem v Hongkongu,</w:t>
            </w:r>
            <w:r>
              <w:t xml:space="preserve"> ki omogočajo ruske operacije, in da bi morala ruskim</w:t>
            </w:r>
            <w:r>
              <w:rPr>
                <w:b/>
                <w:i/>
              </w:rPr>
              <w:t>, severnokorejskim, iranskim, kitajskim in drugim sovražnim</w:t>
            </w:r>
            <w:r>
              <w:t xml:space="preserve"> kibernetskim plačancem prepovedati uporabo storitev s sedežem v EU, kot so storitve gostovanja, domenskih imen in storitve v oblaku, ter javno razkriti politike ali lobiste iz EU, ki jih na skrivaj financira Moskva, in uvesti sankcije proti njim;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1565</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poziva Komisijo in države članice, naj redno in natančno ocenjujejo naložene sankcije v smislu optimalne učinkovitosti in morebitne nadaljnje širitve, vključno s sekundarnimi sankcijami za subjekte, ki se izogibajo sankcijam; meni, da bi morala EU dodatno razširiti svoj režim sankcij, zlasti na področju </w:t>
            </w:r>
            <w:r>
              <w:rPr>
                <w:b/>
                <w:i/>
              </w:rPr>
              <w:t>ruskih</w:t>
            </w:r>
            <w:r>
              <w:t xml:space="preserve">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 hkrati pa bi onemogočala </w:t>
            </w:r>
            <w:r>
              <w:rPr>
                <w:b/>
                <w:i/>
              </w:rPr>
              <w:t>ruske</w:t>
            </w:r>
            <w:r>
              <w:t xml:space="preserve"> posredniške mreže v državah nečlanicah EU</w:t>
            </w:r>
            <w:r>
              <w:rPr>
                <w:b/>
                <w:i/>
              </w:rPr>
              <w:t>, zlasti v Afriki in na Bližnjem vzhodu</w:t>
            </w:r>
            <w:r>
              <w:t xml:space="preserve">, in sicer z uvedbo sankcij za medijske hiše, logistična vozlišča in </w:t>
            </w:r>
            <w:r>
              <w:rPr>
                <w:b/>
                <w:i/>
              </w:rPr>
              <w:t>akterje, povezane s skupino Wagner</w:t>
            </w:r>
            <w:r>
              <w:t xml:space="preserve">, ki spodbujajo negativno nastrojenost do EU; meni, da bi morala EU za nadaljnje povečanje stroškov hibridne agresije sekundarne sankcije razširiti na </w:t>
            </w:r>
            <w:r>
              <w:rPr>
                <w:b/>
                <w:i/>
              </w:rPr>
              <w:t>podjetja</w:t>
            </w:r>
            <w:r>
              <w:t xml:space="preserve">, ki niso iz EU, </w:t>
            </w:r>
            <w:r>
              <w:rPr>
                <w:b/>
                <w:i/>
              </w:rPr>
              <w:t>zlasti na kitajska podjetja, ki omogočajo ruske operacije,</w:t>
            </w:r>
            <w:r>
              <w:t xml:space="preserve"> in da bi morala </w:t>
            </w:r>
            <w:r>
              <w:rPr>
                <w:b/>
                <w:i/>
              </w:rPr>
              <w:t>ruskim</w:t>
            </w:r>
            <w:r>
              <w:t xml:space="preserve"> kibernetskim plačancem prepovedati uporabo storitev s sedežem v EU, kot so storitve gostovanja, domenskih imen in storitve v oblaku, ter javno razkriti politike ali lobiste iz EU, </w:t>
            </w:r>
            <w:r>
              <w:rPr>
                <w:b/>
                <w:i/>
              </w:rPr>
              <w:t>ki</w:t>
            </w:r>
            <w:r>
              <w:t xml:space="preserve"> jih na skrivaj </w:t>
            </w:r>
            <w:r>
              <w:rPr>
                <w:b/>
                <w:i/>
              </w:rPr>
              <w:t>financira Moskva</w:t>
            </w:r>
            <w:r>
              <w:t xml:space="preserve">, </w:t>
            </w:r>
            <w:r>
              <w:rPr>
                <w:b/>
                <w:i/>
              </w:rPr>
              <w:t>in uvesti sankcije proti njim</w:t>
            </w:r>
            <w:r>
              <w:t>;</w:t>
            </w:r>
          </w:p>
        </w:tc>
        <w:tc>
          <w:tcPr>
            <w:tcW w:w="4876" w:type="dxa"/>
            <w:tcBorders>
              <w:top w:val="nil"/>
              <w:left w:val="nil"/>
              <w:bottom w:val="nil"/>
              <w:right w:val="nil"/>
            </w:tcBorders>
          </w:tcPr>
          <w:p>
            <w:pPr>
              <w:pStyle w:val="Normal6a"/>
            </w:pPr>
            <w:r>
              <w:t>79.</w:t>
            </w:r>
            <w:r>
              <w:tab/>
            </w:r>
            <w:r>
              <w:t xml:space="preserve">poziva Komisijo in države članice, naj redno in natančno ocenjujejo naložene sankcije v smislu optimalne učinkovitosti in morebitne nadaljnje širitve, vključno s sekundarnimi sankcijami za subjekte, ki se izogibajo sankcijam; meni, da bi morala EU dodatno razširiti svoj režim sankcij, zlasti na področju hibridnih groženj in destabilizacijskih dejavnosti </w:t>
            </w:r>
            <w:r>
              <w:rPr>
                <w:b/>
                <w:i/>
              </w:rPr>
              <w:t>sovražnih tretjih držav</w:t>
            </w:r>
            <w:r>
              <w:t>, tako da bi se osredotočila na finančne in tehnične spodbujevalce, ki podpirajo dezinformacije, kibernetske napade in vmešavanje v volitve, kot so ponudniki storitev izmenjave kriptosredstev, oglaševalska omrežja in ponudniki storitev gostovanja, hkrati pa bi onemogočala posredniške mreže</w:t>
            </w:r>
            <w:r>
              <w:rPr>
                <w:b/>
                <w:i/>
              </w:rPr>
              <w:t>, ki jih upravljajo sovražne tretje države in so vzpostavljene</w:t>
            </w:r>
            <w:r>
              <w:t xml:space="preserve"> v državah nečlanicah EU, in sicer z uvedbo sankcij za medijske hiše, logistična vozlišča in </w:t>
            </w:r>
            <w:r>
              <w:rPr>
                <w:b/>
                <w:i/>
              </w:rPr>
              <w:t>take skupine</w:t>
            </w:r>
            <w:r>
              <w:t xml:space="preserve">, ki spodbujajo negativno nastrojenost do EU </w:t>
            </w:r>
            <w:r>
              <w:rPr>
                <w:b/>
                <w:i/>
              </w:rPr>
              <w:t>in to predstavlja usklajene operacije sovražnega vplivanja in ne legitimne svobode izražanja</w:t>
            </w:r>
            <w:r>
              <w:t xml:space="preserve">; meni, da bi morala EU za nadaljnje povečanje stroškov hibridne agresije sekundarne sankcije razširiti na </w:t>
            </w:r>
            <w:r>
              <w:rPr>
                <w:b/>
                <w:i/>
              </w:rPr>
              <w:t>subjekte</w:t>
            </w:r>
            <w:r>
              <w:t>, ki niso iz EU, in da bi morala kibernetskim plačancem</w:t>
            </w:r>
            <w:r>
              <w:rPr>
                <w:b/>
                <w:i/>
              </w:rPr>
              <w:t>, ki delujejo v imenu sovražnih tretjih držav</w:t>
            </w:r>
            <w:r>
              <w:t xml:space="preserve"> prepovedati uporabo storitev s sedežem v EU, kot so storitve gostovanja, domenskih imen in storitve v oblaku, ter javno razkriti politike ali lobiste iz EU, </w:t>
            </w:r>
            <w:r>
              <w:rPr>
                <w:b/>
                <w:i/>
              </w:rPr>
              <w:t>za katere se je verodostojno ugotovilo, da</w:t>
            </w:r>
            <w:r>
              <w:t xml:space="preserve"> jih na skrivaj </w:t>
            </w:r>
            <w:r>
              <w:rPr>
                <w:b/>
                <w:i/>
              </w:rPr>
              <w:t>financirajo sovražne tretje države</w:t>
            </w:r>
            <w:r>
              <w:t xml:space="preserve">, </w:t>
            </w:r>
            <w:r>
              <w:rPr>
                <w:b/>
                <w:i/>
              </w:rPr>
              <w:t>ob čemer je treba v celoti spoštovati dolžno postopanje in domnevo nedolžnosti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poziva Komisijo in države članice, naj redno in natančno ocenjujejo naložene sankcije v smislu optimalne učinkovitosti in morebitne nadaljnje širitve, vključno s </w:t>
            </w:r>
            <w:r>
              <w:rPr>
                <w:b/>
                <w:i/>
              </w:rPr>
              <w:t>sekundarnimi</w:t>
            </w:r>
            <w:r>
              <w:t xml:space="preserve"> sankcijami za subjekte, </w:t>
            </w:r>
            <w:r>
              <w:rPr>
                <w:b/>
                <w:i/>
              </w:rPr>
              <w:t>ki se izogibajo sankcijam</w:t>
            </w:r>
            <w:r>
              <w:t xml:space="preserve">; meni, da bi morala EU dodatno razširiti svoj režim sankcij, zlasti na področju ruskih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 hkrati pa bi onemogočala ruske posredniške mreže v državah nečlanicah EU, zlasti v Afriki in na Bližnjem vzhodu, in sicer z uvedbo sankcij za medijske hiše, logistična vozlišča in akterje, povezane s skupino Wagner, ki spodbujajo negativno nastrojenost do EU; meni, da bi morala EU za nadaljnje povečanje stroškov hibridne agresije </w:t>
            </w:r>
            <w:r>
              <w:rPr>
                <w:b/>
                <w:i/>
              </w:rPr>
              <w:t>sekundarne</w:t>
            </w:r>
            <w:r>
              <w:t xml:space="preserve"> sankcije </w:t>
            </w:r>
            <w:r>
              <w:rPr>
                <w:b/>
                <w:i/>
              </w:rPr>
              <w:t>razširiti na podjetja, ki niso iz EU</w:t>
            </w:r>
            <w:r>
              <w:t xml:space="preserve">, zlasti </w:t>
            </w:r>
            <w:r>
              <w:rPr>
                <w:b/>
                <w:i/>
              </w:rPr>
              <w:t>na kitajska podjetja,</w:t>
            </w:r>
            <w:r>
              <w:t xml:space="preserve"> ki omogočajo ruske operacije, in da bi morala ruskim kibernetskim plačancem prepovedati uporabo storitev s sedežem v EU, kot so storitve gostovanja, domenskih imen in storitve v oblaku, ter javno razkriti politike ali lobiste iz EU, ki jih na skrivaj financira Moskva, in uvesti sankcije proti njim;</w:t>
            </w:r>
          </w:p>
        </w:tc>
        <w:tc>
          <w:tcPr>
            <w:tcW w:w="4876" w:type="dxa"/>
            <w:tcBorders>
              <w:top w:val="nil"/>
              <w:left w:val="nil"/>
              <w:bottom w:val="nil"/>
              <w:right w:val="nil"/>
            </w:tcBorders>
          </w:tcPr>
          <w:p>
            <w:pPr>
              <w:pStyle w:val="Normal6a"/>
            </w:pPr>
            <w:r>
              <w:t>79.</w:t>
            </w:r>
            <w:r>
              <w:tab/>
            </w:r>
            <w:r>
              <w:t xml:space="preserve">poziva Komisijo in države članice, naj redno in natančno ocenjujejo naložene sankcije v smislu optimalne učinkovitosti in morebitne nadaljnje širitve, vključno s sankcijami za </w:t>
            </w:r>
            <w:r>
              <w:rPr>
                <w:b/>
                <w:i/>
              </w:rPr>
              <w:t>posameznike in</w:t>
            </w:r>
            <w:r>
              <w:t xml:space="preserve"> subjekte, </w:t>
            </w:r>
            <w:r>
              <w:rPr>
                <w:b/>
                <w:i/>
              </w:rPr>
              <w:t>odgovorne za dejavno izogibanje učinkovitosti sankcij EU proti Rusiji</w:t>
            </w:r>
            <w:r>
              <w:t xml:space="preserve">; meni, da bi morala EU dodatno razširiti svoj režim sankcij, zlasti na področju ruskih hibridnih groženj in destabilizacijskih dejavnosti, tako da bi se osredotočila na finančne in tehnične spodbujevalce, ki podpirajo dezinformacije, kibernetske napade in vmešavanje v volitve, kot so ponudniki storitev izmenjave kriptosredstev, oglaševalska omrežja in ponudniki storitev gostovanja, hkrati pa bi onemogočala ruske posredniške mreže v državah nečlanicah EU, zlasti v Afriki in na Bližnjem vzhodu, in sicer z uvedbo sankcij za medijske hiše, logistična vozlišča in akterje, povezane s skupino Wagner, ki spodbujajo negativno nastrojenost do EU; meni, da bi morala EU za nadaljnje povečanje stroškov hibridne agresije </w:t>
            </w:r>
            <w:r>
              <w:rPr>
                <w:b/>
                <w:i/>
              </w:rPr>
              <w:t>razširiti</w:t>
            </w:r>
            <w:r>
              <w:t xml:space="preserve"> sankcije </w:t>
            </w:r>
            <w:r>
              <w:rPr>
                <w:b/>
                <w:i/>
              </w:rPr>
              <w:t>proti posameznikom in subjektom iz tretjih držav, ki so odgovorni za dejavno izogibanje sankcijam</w:t>
            </w:r>
            <w:r>
              <w:t xml:space="preserve">, zlasti </w:t>
            </w:r>
            <w:r>
              <w:rPr>
                <w:b/>
                <w:i/>
              </w:rPr>
              <w:t>kitajskim, in</w:t>
            </w:r>
            <w:r>
              <w:t xml:space="preserve"> ki omogočajo ruske operacije, in da bi morala ruskim kibernetskim plačancem prepovedati uporabo storitev s sedežem v EU, kot so storitve gostovanja, domenskih imen in storitve v oblaku, ter javno razkriti politike ali lobiste iz EU, ki jih na skrivaj financira Moskva, in uvesti sankcije proti njim;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1567</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79a.</w:t>
            </w:r>
            <w:r>
              <w:tab/>
            </w:r>
            <w:r>
              <w:rPr>
                <w:b/>
                <w:i/>
              </w:rPr>
              <w:t>meni, da bi morale institucije EU in države članice avtomatsko javno pripisovati in opozarjati na napadalne kibernetske incidente ter incidente tujega manipuliranja z informacijami in vmešavanja, usmerjene proti Uniji;</w:t>
            </w:r>
            <w:r>
              <w:t xml:space="preserve"> </w:t>
            </w:r>
            <w:r>
              <w:rPr>
                <w:b/>
                <w:i/>
              </w:rPr>
              <w:t>meni, da je v nasprotnem primeru zamujena priložnost za obveščanje širše javnosti o obsegu in trdovratnosti kibernetskih groženj ter groženj tujega manipuliranja z informacijami in vmešavanja, s katerimi se sooča EU;</w:t>
            </w:r>
            <w:r>
              <w:t xml:space="preserve"> </w:t>
            </w:r>
            <w:r>
              <w:rPr>
                <w:b/>
                <w:i/>
              </w:rPr>
              <w:t>poleg tega meni, da bi morala Unija zapreti zanko pripisovanja odgovornosti ter sistematično nalagati stroške takim zlonamernim operacijam, tudi z dejavnejšo uporabo kibernetskih orodij in orodij manipuliranja z informacijami in vmešavanja, z uporabo sektorskih sankcij in s povezovanjem upravičenosti pri okvirih EU za javna naročila s pripisovanjem odgovornosti za napadalne kibernetske operacije, ki jih tuje sile izvajajo proti EU, v skladu z izvedbenim aktom, ki določa predizbirna merila in merila za dodelitev za dražbe na podlagi akta o neto ničelni industriji;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79a.</w:t>
            </w:r>
            <w:r>
              <w:tab/>
            </w:r>
            <w:r>
              <w:rPr>
                <w:b/>
                <w:i/>
              </w:rPr>
              <w:t>poziva Komisijo, naj nujno izda smernice o ravni potrebne skrbnosti, ki se pričakuje od spletnih platform, zlasti pri storitvah oglaševanja in monetizacije, ki jih lahko sankcionirani subjekti ali njihovi namestniki neposredno ali posredno zlorabijo, tudi prek posrednikov ali nepreglednih plačilnih in distribucijskih ureditev;</w:t>
            </w:r>
            <w:r>
              <w:t xml:space="preserve"> </w:t>
            </w:r>
            <w:r>
              <w:rPr>
                <w:b/>
                <w:i/>
              </w:rPr>
              <w:t>poleg tega meni, da bi bilo treba v teh smernicah določiti pogoje, pod katerimi lahko platforme po potrebi izkoristijo izjeme od odgovornosti iz akta o digitalnih storitvah, in jasno opredeliti, katere dejavnosti platform ne sodijo na področje uporabe teh izjem;</w:t>
            </w:r>
            <w:r>
              <w:t xml:space="preserve"> </w:t>
            </w:r>
            <w:r>
              <w:rPr>
                <w:b/>
                <w:i/>
              </w:rPr>
              <w:t>nadalje poziva Komisijo, naj pojasni, v katerih okoliščinah se te dejavnosti štejejo za posredniške storitve v smislu akta o digitalnih storitvah;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1569</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79a.</w:t>
            </w:r>
            <w:r>
              <w:tab/>
            </w:r>
            <w:r>
              <w:rPr>
                <w:b/>
                <w:i/>
              </w:rPr>
              <w:t>opozarja, da brez sodnega postopka pred sodišči države članice ni mogoče izreči evropske sankcije za zaščito demokracije zoper državljana ali prebivalca države članice;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1570</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79b.</w:t>
            </w:r>
            <w:r>
              <w:tab/>
            </w:r>
            <w:r>
              <w:rPr>
                <w:b/>
                <w:i/>
              </w:rPr>
              <w:t>poziva države članice, naj sprejmejo sankcije proti potrošniškim bankam, ki ne želijo odobriti posojil pooblaščenim političnim strankam, pa tudi njihovim izvoljenim predstavnikom in kandidatom 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79c.</w:t>
            </w:r>
            <w:r>
              <w:tab/>
            </w:r>
            <w:r>
              <w:rPr>
                <w:b/>
                <w:i/>
              </w:rPr>
              <w:t>ugotavlja, da brez komercialnih razlogov zapirajo bančne račune izvoljenih predstavnikov in političnih vplivnežev, da je ta pojav vse pogostejši in da bi se morale oblasti proti njemu boriti, da bi spodbudili mirno demokratično razpravo;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meni, da bi lahko bila opredelitev in poimenovanje držav izvora namesto posameznikov ali podjetij pomemben korak k priznanju problema jasnega sistematičnega, večplastnega in pogosto državno podprtega vmešavanja, ki ga po vsej Evropi izvajajo države, kot sta Rusija ali Iran; pozdravlja odločitev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w:t>
            </w:r>
          </w:p>
        </w:tc>
        <w:tc>
          <w:tcPr>
            <w:tcW w:w="4876" w:type="dxa"/>
            <w:tcBorders>
              <w:top w:val="nil"/>
              <w:left w:val="nil"/>
              <w:bottom w:val="nil"/>
              <w:right w:val="nil"/>
            </w:tcBorders>
          </w:tcPr>
          <w:p>
            <w:pPr>
              <w:pStyle w:val="Normal6a"/>
            </w:pPr>
            <w:r>
              <w:t>80.</w:t>
            </w:r>
            <w:r>
              <w:tab/>
            </w:r>
            <w:r>
              <w:t xml:space="preserve">meni, da bi lahko bila opredelitev in poimenovanje držav izvora namesto posameznikov ali podjetij pomemben korak k priznanju problema jasnega sistematičnega, večplastnega in pogosto državno podprtega vmešavanja, ki ga po vsej Evropi izvajajo države, kot sta Rusija ali Iran; pozdravlja odločitev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 </w:t>
            </w:r>
            <w:r>
              <w:rPr>
                <w:b/>
                <w:i/>
              </w:rPr>
              <w:t>poziva Komisijo, naj v tesnem sodelovanju z nacionalnimi finančnoobveščevalnimi enotami preuči vlogo Organa za preprečevanje pranja denarja in financiranja terorizma (AMLA) pri podpori za odkrivanje in usklajevanje primerov v zvezi z izogibanjem sankcijam;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1573</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rPr>
                <w:b/>
                <w:i/>
              </w:rPr>
              <w:t>meni, da bi lahko bila opredelitev in poimenovanje držav izvora namesto posameznikov ali podjetij pomemben korak k priznanju problema jasnega sistematičnega, večplastnega in pogosto državno podprtega vmešavanja, ki ga po vsej Evropi izvajajo države, kot sta Rusija ali Iran;</w:t>
            </w:r>
            <w:r>
              <w:t xml:space="preserve"> </w:t>
            </w:r>
            <w:r>
              <w:rPr>
                <w:b/>
                <w:i/>
              </w:rPr>
              <w:t>pozdravlja odločitev</w:t>
            </w:r>
            <w:r>
              <w:t xml:space="preserve">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w:t>
            </w:r>
          </w:p>
        </w:tc>
        <w:tc>
          <w:tcPr>
            <w:tcW w:w="4876" w:type="dxa"/>
            <w:tcBorders>
              <w:top w:val="nil"/>
              <w:left w:val="nil"/>
              <w:bottom w:val="nil"/>
              <w:right w:val="nil"/>
            </w:tcBorders>
          </w:tcPr>
          <w:p>
            <w:pPr>
              <w:pStyle w:val="Normal6a"/>
            </w:pPr>
            <w:r>
              <w:t>80.</w:t>
            </w:r>
            <w:r>
              <w:tab/>
            </w:r>
            <w:r>
              <w:rPr>
                <w:b/>
                <w:i/>
              </w:rPr>
              <w:t>je seznanjen z odločitvijo</w:t>
            </w:r>
            <w:r>
              <w:t xml:space="preserve">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 xml:space="preserve">meni, da bi lahko bila opredelitev in poimenovanje držav izvora </w:t>
            </w:r>
            <w:r>
              <w:rPr>
                <w:b/>
                <w:i/>
              </w:rPr>
              <w:t>namesto posameznikov ali podjetij</w:t>
            </w:r>
            <w:r>
              <w:t xml:space="preserve"> pomemben korak k priznanju problema jasnega sistematičnega, večplastnega in pogosto državno podprtega vmešavanja, ki ga po vsej Evropi izvajajo države, kot sta Rusija ali Iran; pozdravlja odločitev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w:t>
            </w:r>
          </w:p>
        </w:tc>
        <w:tc>
          <w:tcPr>
            <w:tcW w:w="4876" w:type="dxa"/>
            <w:tcBorders>
              <w:top w:val="nil"/>
              <w:left w:val="nil"/>
              <w:bottom w:val="nil"/>
              <w:right w:val="nil"/>
            </w:tcBorders>
          </w:tcPr>
          <w:p>
            <w:pPr>
              <w:pStyle w:val="Normal6a"/>
            </w:pPr>
            <w:r>
              <w:t>80.</w:t>
            </w:r>
            <w:r>
              <w:tab/>
            </w:r>
            <w:r>
              <w:t xml:space="preserve">meni, da bi lahko bila opredelitev in poimenovanje držav izvora </w:t>
            </w:r>
            <w:r>
              <w:rPr>
                <w:b/>
                <w:i/>
              </w:rPr>
              <w:t>poleg pripisovanja odgovornosti posameznikom ali podjetjem</w:t>
            </w:r>
            <w:r>
              <w:t xml:space="preserve"> pomemben korak k priznanju problema jasnega sistematičnega, večplastnega in pogosto državno podprtega vmešavanja, ki ga po vsej Evropi izvajajo države, kot sta Rusija ali Iran; pozdravlja odločitev Komisije, da Rusijo uvrsti na seznam tretjih držav z visokim tveganjem v okviru EU za preprečevanje pranja denarja in financiranja terorizma, da bi ohranila celovitost finančnega sistema EU</w:t>
            </w:r>
            <w:r>
              <w:rPr>
                <w:b/>
                <w:i/>
              </w:rPr>
              <w:t>, ter poziva, naj se na ta seznam uvrsti tudi Belorusija, ki je namestnica Kremlja in dejavno sodeluje v operacijah, usmerjenih proti državam članicam, tudi s sabotažami</w:t>
            </w:r>
            <w:r>
              <w:t>; opozarja, da bo nova uredba o preprečevanju pranja denarja zagotovila dodatno pravno podlago za prepoznavanje nevarnih držav, vključno s tistimi, ki sodelujejo pri širjenju orožja za množično uničevanje;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80.</w:t>
            </w:r>
            <w:r>
              <w:tab/>
            </w:r>
            <w:r>
              <w:t xml:space="preserve">meni, da bi lahko bila opredelitev in poimenovanje držav izvora namesto posameznikov ali podjetij pomemben korak k priznanju problema jasnega sistematičnega, večplastnega in pogosto državno podprtega vmešavanja, ki ga po vsej Evropi </w:t>
            </w:r>
            <w:r>
              <w:rPr>
                <w:b/>
                <w:i/>
              </w:rPr>
              <w:t>izvajajo države, kot sta Rusija ali Iran;</w:t>
            </w:r>
            <w:r>
              <w:t xml:space="preserve"> </w:t>
            </w:r>
            <w:r>
              <w:rPr>
                <w:b/>
                <w:i/>
              </w:rPr>
              <w:t>pozdravlja odločitev</w:t>
            </w:r>
            <w:r>
              <w:t xml:space="preserve">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w:t>
            </w:r>
          </w:p>
        </w:tc>
        <w:tc>
          <w:tcPr>
            <w:tcW w:w="4876" w:type="dxa"/>
            <w:tcBorders>
              <w:top w:val="nil"/>
              <w:left w:val="nil"/>
              <w:bottom w:val="nil"/>
              <w:right w:val="nil"/>
            </w:tcBorders>
          </w:tcPr>
          <w:p>
            <w:pPr>
              <w:pStyle w:val="Normal6a"/>
            </w:pPr>
            <w:r>
              <w:t>80.</w:t>
            </w:r>
            <w:r>
              <w:tab/>
            </w:r>
            <w:r>
              <w:t xml:space="preserve">meni, da bi lahko bila opredelitev in poimenovanje držav izvora namesto posameznikov ali podjetij pomemben korak k priznanju problema jasnega sistematičnega, večplastnega in pogosto državno podprtega vmešavanja </w:t>
            </w:r>
            <w:r>
              <w:rPr>
                <w:b/>
                <w:i/>
              </w:rPr>
              <w:t>tretjih držav</w:t>
            </w:r>
            <w:r>
              <w:t xml:space="preserve">, ki ga </w:t>
            </w:r>
            <w:r>
              <w:rPr>
                <w:b/>
                <w:i/>
              </w:rPr>
              <w:t>izvajajo</w:t>
            </w:r>
            <w:r>
              <w:t xml:space="preserve"> po vsej Evropi</w:t>
            </w:r>
            <w:r>
              <w:rPr>
                <w:b/>
                <w:i/>
              </w:rPr>
              <w:t>;</w:t>
            </w:r>
            <w:r>
              <w:t xml:space="preserve"> </w:t>
            </w:r>
            <w:r>
              <w:rPr>
                <w:b/>
                <w:i/>
              </w:rPr>
              <w:t>je seznanjen z odločitvijo</w:t>
            </w:r>
            <w:r>
              <w:t xml:space="preserve"> Komisije, da Rusijo uvrsti na seznam tretjih držav z visokim tveganjem v okviru EU za preprečevanje pranja denarja in financiranja terorizma, da bi ohranila celovitost finančnega sistema EU; opozarja, da bo nova uredba o preprečevanju pranja denarja zagotovila dodatno pravno podlago za prepoznavanje nevarnih držav, vključno s tistimi, ki sodelujejo pri širjenju orožja za množično uničevanje;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1576</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80a.</w:t>
            </w:r>
            <w:r>
              <w:tab/>
            </w:r>
            <w:r>
              <w:rPr>
                <w:b/>
                <w:i/>
              </w:rPr>
              <w:t>v zvezi s tem ugotavlja, da se Bruselj ni odzval na zadevo Alstom v Franciji, čeprav je francoskega državljana zaprla tretja država in je bilo zaplenjeno premoženje strateškega evropskega podjetja;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w:t>
            </w:r>
          </w:p>
        </w:tc>
        <w:tc>
          <w:tcPr>
            <w:tcW w:w="4876" w:type="dxa"/>
            <w:tcBorders>
              <w:top w:val="nil"/>
              <w:left w:val="nil"/>
              <w:bottom w:val="nil"/>
              <w:right w:val="nil"/>
            </w:tcBorders>
          </w:tcPr>
          <w:p>
            <w:pPr>
              <w:pStyle w:val="Normal6a"/>
            </w:pPr>
            <w:r>
              <w:t>81.</w:t>
            </w:r>
            <w:r>
              <w:tab/>
            </w:r>
            <w:r>
              <w:t xml:space="preserve">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 </w:t>
            </w:r>
            <w:r>
              <w:rPr>
                <w:b/>
                <w:i/>
              </w:rPr>
              <w:t>poudarja, da je verodostojnost omejevalnih ukrepov EU odvisna od strogega in doslednega izvrševanja;</w:t>
            </w:r>
            <w:r>
              <w:t xml:space="preserve"> </w:t>
            </w:r>
            <w:r>
              <w:rPr>
                <w:b/>
                <w:i/>
              </w:rPr>
              <w:t>podpira razširitev mandata Evropskega javnega tožilstva na preiskovanje in pregon hudih čezmejnih kaznivih dejanj, povezanih z izogibanjem sankcijam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w:t>
            </w:r>
          </w:p>
        </w:tc>
        <w:tc>
          <w:tcPr>
            <w:tcW w:w="4876" w:type="dxa"/>
            <w:tcBorders>
              <w:top w:val="nil"/>
              <w:left w:val="nil"/>
              <w:bottom w:val="nil"/>
              <w:right w:val="nil"/>
            </w:tcBorders>
          </w:tcPr>
          <w:p>
            <w:pPr>
              <w:pStyle w:val="Normal6a"/>
            </w:pPr>
            <w:r>
              <w:t>81.</w:t>
            </w:r>
            <w:r>
              <w:tab/>
            </w:r>
            <w:r>
              <w:t xml:space="preserve">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 </w:t>
            </w:r>
            <w:r>
              <w:rPr>
                <w:b/>
                <w:i/>
              </w:rPr>
              <w:t>opozarja komercialne akterje zunaj Unije, ki delujejo na enotnem trgu, da lahko nespoštovanje pravil Unije, vključno s kršitvami konkurenčnega prava in pravil enotnega trga, privede do izključitve z enotnega trga;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w:t>
            </w:r>
          </w:p>
        </w:tc>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w:t>
            </w:r>
            <w:r>
              <w:rPr>
                <w:b/>
                <w:i/>
              </w:rPr>
              <w:t>;</w:t>
            </w:r>
            <w:r>
              <w:t xml:space="preserve"> </w:t>
            </w:r>
            <w:r>
              <w:rPr>
                <w:b/>
                <w:i/>
              </w:rPr>
              <w:t>zato poziva države članice, naj izboljšajo usklajevanje izvrševanja, si prizadevajo za odpravo vrzeli ter dodatno uskladijo postopke in izvršilne ukrepe</w:t>
            </w:r>
            <w:r>
              <w:t>; poudarja, da napovedana revizija mandata Evropskega javnega tožilstva (EJT) ponuja priložnost za okrepitev njegove vloge, da bi vključevala preiskovanje in pregon kršitev sankcij;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1580</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v imenu skupine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w:t>
            </w:r>
          </w:p>
        </w:tc>
        <w:tc>
          <w:tcPr>
            <w:tcW w:w="4876" w:type="dxa"/>
            <w:tcBorders>
              <w:top w:val="nil"/>
              <w:left w:val="nil"/>
              <w:bottom w:val="nil"/>
              <w:right w:val="nil"/>
            </w:tcBorders>
          </w:tcPr>
          <w:p>
            <w:pPr>
              <w:pStyle w:val="Normal6a"/>
            </w:pPr>
            <w:r>
              <w:t>81.</w:t>
            </w:r>
            <w:r>
              <w:tab/>
            </w:r>
            <w:r>
              <w:t xml:space="preserve">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 </w:t>
            </w:r>
            <w:r>
              <w:rPr>
                <w:b/>
                <w:i/>
              </w:rPr>
              <w:t>poudarja tudi, da bi bilo treba tako reformo pospremiti z ustreznim in večjim financiranjem, da bi lahko Evropsko javno tožilstvo učinkovito uresničevalo večje odgovornosti;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 poudarja, da napovedana revizija mandata Evropskega javnega tožilstva (EJT) ponuja priložnost za okrepitev njegove vloge, da bi vključevala preiskovanje in pregon kršitev sankcij;</w:t>
            </w:r>
          </w:p>
        </w:tc>
        <w:tc>
          <w:tcPr>
            <w:tcW w:w="4876" w:type="dxa"/>
            <w:tcBorders>
              <w:top w:val="nil"/>
              <w:left w:val="nil"/>
              <w:bottom w:val="nil"/>
              <w:right w:val="nil"/>
            </w:tcBorders>
          </w:tcPr>
          <w:p>
            <w:pPr>
              <w:pStyle w:val="Normal6a"/>
            </w:pPr>
            <w:r>
              <w:t>81.</w:t>
            </w:r>
            <w:r>
              <w:tab/>
            </w:r>
            <w:r>
              <w:t>poudarja, da sta učinkovitost in verodostojnost sankcij EU odvisni od strogega in doslednega izvrševanja</w:t>
            </w:r>
            <w:r>
              <w:rPr>
                <w:b/>
                <w:i/>
              </w:rPr>
              <w:t>, strogih zaščitnih ukrepov zoper samovoljno uporabo in zlorabo ter popolnega spoštovanja človekovih pravic</w:t>
            </w:r>
            <w:r>
              <w:t>; poudarja, da napovedana revizija mandata Evropskega javnega tožilstva (EJT) ponuja priložnost za okrepitev njegove vloge, da bi vključevala preiskovanje in pregon kršitev sankcij;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poziva države članice in Komisijo, naj proaktivno sodelujejo z Interpolom in drugimi ustreznimi organizacijami in organi ter izboljšajo sodelovanje z njimi, da bi odpravili sistematično, nepošteno in politično motivirano uporabo rdečih tiralic, modrih tiralic, poizvedb in zahtev za izročitev s strani avtoritarnih režimov;</w:t>
            </w:r>
            <w:r>
              <w:t xml:space="preserve"> </w:t>
            </w:r>
            <w:r>
              <w:rPr>
                <w:b/>
                <w:i/>
              </w:rPr>
              <w:t>poudarja, da se ti instrumenti vse pogosteje uporabljajo kot orožje za preganjanje političnih nasprotnikov, zagovornikov človekovih pravic, skupnosti diaspore in državljanov EU, ki so tarča napadov zaradi nasprotovanja diktatorskim režimom in njihovim zlonamernim politikam;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81a.</w:t>
            </w:r>
            <w:r>
              <w:tab/>
            </w:r>
            <w:r>
              <w:rPr>
                <w:b/>
                <w:i/>
              </w:rPr>
              <w:t>opozarja, da instrumenti za odvračanje od prisilnih ukrepov Evropski uniji omogočajo sprejetje širokega nabora ukrepov, kadar tretja država uporablja ali grozi, da bo uporabila ukrep tretje države, ki vpliva na trgovino ali naložbe, da bi preprečila ali dosegla, da Unija ali država članica preneha, spremeni ali sprejme določen akt, s čimer ta tretja država posega v legitimne suverene odločitve Unije ali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81b.</w:t>
            </w:r>
            <w:r>
              <w:tab/>
            </w:r>
            <w:r>
              <w:rPr>
                <w:b/>
                <w:i/>
              </w:rPr>
              <w:t>obsoja, da Rusija, Belorusija, Iran, Kitajska in drugi sovražni akterji uporabljajo mednarodno represijo, usmerjeno proti zagovornikom človekovih pravic, oporečnikom, pripadnikom diaspore in državljanom EU;</w:t>
            </w:r>
            <w:r>
              <w:t xml:space="preserve"> </w:t>
            </w:r>
            <w:r>
              <w:rPr>
                <w:b/>
                <w:i/>
              </w:rPr>
              <w:t>poudarja, da so te prakse del širših kampanj tujega vmešavanja in hibridnega prevratnega delovanja, ki se izvajajo v Evropski uniji in so namenjene utišanju kritikov, manipulaciji demokratičnih procesov in zmanjšanju zaupanja javnosti v institucije;</w:t>
            </w:r>
            <w:r>
              <w:t xml:space="preserve"> </w:t>
            </w:r>
            <w:r>
              <w:rPr>
                <w:b/>
                <w:i/>
              </w:rPr>
              <w:t>meni, da ta sovražna dejanja vključujejo načrtne uboje, ugrabitve, nasilje, nadlegovanje, prisilno vračanje, izginotja in deportacije, pa tudi strateško zlorabo pravnih instrumentov, vključno z zlorabo konzularnih storitev, postopki izročitve, rdečimi tiralicami in aretacijami, ter nefizične metode, kot so digitalni nadzor, ustrahovanje, izsiljevanje in grožnje družinam zagovornikov človekovih pravic;</w:t>
            </w:r>
            <w:r>
              <w:t xml:space="preserve"> </w:t>
            </w:r>
            <w:r>
              <w:rPr>
                <w:b/>
                <w:i/>
              </w:rPr>
              <w:t>ugotavlja, da te prakse tujim državnim akterjem omogočajo ustrahovanje, prisilo in nadzor zunaj njihovih meja, ogrožajo varnost, suverenost in pravni red držav članic ter sistemsko in dolgoročno ogrožajo državljanski prostor, demokratične institucije in pravno državo na mednarodni ravni in v zadevni državi, kot je razvidno iz poročil obveščevalnih služb držav članic;</w:t>
            </w:r>
            <w:r>
              <w:t xml:space="preserve"> </w:t>
            </w:r>
            <w:r>
              <w:rPr>
                <w:b/>
                <w:i/>
              </w:rPr>
              <w:t>ugotavlja tudi, da je večina dokumentiranih primerov na evropskih tleh pripisana Rusiji, Kitajski, Iranu in Belorusiji;</w:t>
            </w:r>
            <w:r>
              <w:t xml:space="preserve"> </w:t>
            </w:r>
            <w:r>
              <w:rPr>
                <w:b/>
                <w:i/>
              </w:rPr>
              <w:t>poziva k odločnemu, usklajenemu in solidarnemu odzivu EU, vključno z odvračanjem, ukrepi za odgovornost in sankcijami proti odgovornim;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81c.</w:t>
            </w:r>
            <w:r>
              <w:tab/>
            </w:r>
            <w:r>
              <w:rPr>
                <w:b/>
                <w:i/>
              </w:rPr>
              <w:t>poziva države članice, naj bodo izjemno previdne in izvajajo okrepljen nadzor pri obravnavi zahtev za prijetje, pridržanje ali izročitev, ki jih izdajo režimi z dokumentirano zlorabo mehanizmov mednarodnega sodelovanja na področju kazenskega pregona, ter naj sistematično zavračajo take zahteve, kadar obstaja verjetno tveganje političnega preganjanja, mučenja ali drugih hudih kršitev človekovih pravic, tudi v primerih, ki vključujejo državljane EU;</w:t>
            </w:r>
            <w:r>
              <w:t xml:space="preserve"> </w:t>
            </w:r>
            <w:r>
              <w:rPr>
                <w:b/>
                <w:i/>
              </w:rPr>
              <w:t>v zvezi s tem poudarja politično motivirane poskuse ruskih oblasti, da bi napadle poljskega predsednika Karola Nawrockega in sodnike Mednarodnega kazenskega sodišča, kar so značilni primeri zlorabe pravnih instrumentov in instrumentov kazenskega pregona za ustrahovanje in povračilne ukrepe zoper demokratične uradnike in mednarodne pravosodne akterje, ki se pogumno zoperstavljajo Vladimirju Putinu;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 xml:space="preserve">obsoja politično motivirano uporabo „črnih seznamov“ </w:t>
            </w:r>
            <w:r>
              <w:rPr>
                <w:b/>
                <w:i/>
              </w:rPr>
              <w:t>s strani Rusije</w:t>
            </w:r>
            <w:r>
              <w:t>,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c>
          <w:tcPr>
            <w:tcW w:w="4876" w:type="dxa"/>
            <w:tcBorders>
              <w:top w:val="nil"/>
              <w:left w:val="nil"/>
              <w:bottom w:val="nil"/>
              <w:right w:val="nil"/>
            </w:tcBorders>
          </w:tcPr>
          <w:p>
            <w:pPr>
              <w:pStyle w:val="Normal6a"/>
            </w:pPr>
            <w:r>
              <w:t>82.</w:t>
            </w:r>
            <w:r>
              <w:tab/>
            </w:r>
            <w:r>
              <w:t>obsoja politično motivirano uporabo „črnih seznamov“</w:t>
            </w:r>
            <w:r>
              <w:rPr>
                <w:b/>
                <w:i/>
              </w:rPr>
              <w:t>, prepoved izdajanja vizumov in druge omejevalne ali povračilne ukrepe</w:t>
            </w:r>
            <w:r>
              <w:t>, ki so usmerjeni proti državljanom EU, predstavnikom državnih organov in gospodarskih organizacij, novinarjem, akterjem civilne družbe in političnim uradnikom, vključno z demokratično izvoljenimi poslanci Evropskega parlamenta</w:t>
            </w:r>
            <w:r>
              <w:rPr>
                <w:b/>
                <w:i/>
              </w:rPr>
              <w:t>;</w:t>
            </w:r>
            <w:r>
              <w:t xml:space="preserve"> </w:t>
            </w:r>
            <w:r>
              <w:rPr>
                <w:b/>
                <w:i/>
              </w:rPr>
              <w:t>je zaskrbljen, da take prakse, kadar jih izvajajo avtoritarni režimi ali strateški partnerji, spodkopavajo diplomatska pravila in načelo medsebojnega spoštovanja med jurisdikcijami; poudarja, da lahko taki ukrepi pomenijo neprimeren politični pritisk na regulativno avtonomijo Unije ter okvir za temeljne pravice</w:t>
            </w:r>
            <w:r>
              <w:t>; poziva k bolj usklajenemu in odločnemu odzivu EU na te samovoljne ukrepe, s čimer bi zagotovili zaščito in varnost tistih, ki so na črnem seznamu, ter pokazali solidarnost z njimi in jim omogočili potrebno podporo; v celoti podpira vse prizadete posameznike;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obsoja politično motivirano uporabo „črnih seznamov“ s strani Rusije,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c>
          <w:tcPr>
            <w:tcW w:w="4876" w:type="dxa"/>
            <w:tcBorders>
              <w:top w:val="nil"/>
              <w:left w:val="nil"/>
              <w:bottom w:val="nil"/>
              <w:right w:val="nil"/>
            </w:tcBorders>
          </w:tcPr>
          <w:p>
            <w:pPr>
              <w:pStyle w:val="Normal6a"/>
            </w:pPr>
            <w:r>
              <w:t>82.</w:t>
            </w:r>
            <w:r>
              <w:tab/>
            </w:r>
            <w:r>
              <w:t xml:space="preserve">obsoja politično motivirano uporabo „črnih seznamov“ s strani Rusije,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 </w:t>
            </w:r>
            <w:r>
              <w:rPr>
                <w:b/>
                <w:i/>
              </w:rPr>
              <w:t>vendar meni, da je prepoved vstopa v Rusijo – državo, ki tudi zaradi blodnjave imperialistične politike sedanjih voditeljev civilizacijsko, tehnološko in infrastrukturno nazaduje, prej vzrok za ponos kot pa dejanska nevšečnost;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1588</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Sander Smit,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obsoja politično motivirano uporabo „črnih seznamov“ s strani Rusije,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c>
          <w:tcPr>
            <w:tcW w:w="4876" w:type="dxa"/>
            <w:tcBorders>
              <w:top w:val="nil"/>
              <w:left w:val="nil"/>
              <w:bottom w:val="nil"/>
              <w:right w:val="nil"/>
            </w:tcBorders>
          </w:tcPr>
          <w:p>
            <w:pPr>
              <w:pStyle w:val="Normal6a"/>
            </w:pPr>
            <w:r>
              <w:t>82.</w:t>
            </w:r>
            <w:r>
              <w:tab/>
            </w:r>
            <w:r>
              <w:t xml:space="preserve">obsoja politično motivirano uporabo „črnih seznamov“ s strani Rusije,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 </w:t>
            </w:r>
            <w:r>
              <w:rPr>
                <w:b/>
                <w:i/>
              </w:rPr>
              <w:t>poziva k vzpostavitvi mehanizmov za učinkovitejše spremljanje izvrševanja sankcij, tudi s sodelovanjem s civilno družbo in akademskimi krogi;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obsoja politično motivirano uporabo „črnih seznamov“ s strani Rusije,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c>
          <w:tcPr>
            <w:tcW w:w="4876" w:type="dxa"/>
            <w:tcBorders>
              <w:top w:val="nil"/>
              <w:left w:val="nil"/>
              <w:bottom w:val="nil"/>
              <w:right w:val="nil"/>
            </w:tcBorders>
          </w:tcPr>
          <w:p>
            <w:pPr>
              <w:pStyle w:val="Normal6a"/>
            </w:pPr>
            <w:r>
              <w:t>82.</w:t>
            </w:r>
            <w:r>
              <w:tab/>
            </w:r>
            <w:r>
              <w:t xml:space="preserve">obsoja </w:t>
            </w:r>
            <w:r>
              <w:rPr>
                <w:b/>
                <w:i/>
              </w:rPr>
              <w:t>vsakršno</w:t>
            </w:r>
            <w:r>
              <w:t xml:space="preserve"> politično motivirano uporabo „črnih seznamov“</w:t>
            </w:r>
            <w:r>
              <w:rPr>
                <w:b/>
                <w:i/>
              </w:rPr>
              <w:t>, zlasti</w:t>
            </w:r>
            <w:r>
              <w:t xml:space="preserve"> s strani Rusije </w:t>
            </w:r>
            <w:r>
              <w:rPr>
                <w:b/>
                <w:i/>
              </w:rPr>
              <w:t>in Izraela</w:t>
            </w:r>
            <w:r>
              <w:t>, ki so usmerjeni proti državljanom EU, predstavnikom državnih organov in gospodarskih organizacij, novinarjem, akterjem civilne družbe</w:t>
            </w:r>
            <w:r>
              <w:rPr>
                <w:b/>
                <w:i/>
              </w:rPr>
              <w:t>, humanitarnim organizacijam</w:t>
            </w:r>
            <w:r>
              <w:t xml:space="preserv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 xml:space="preserve">obsoja politično motivirano uporabo „črnih seznamov“ s strani </w:t>
            </w:r>
            <w:r>
              <w:rPr>
                <w:b/>
                <w:i/>
              </w:rPr>
              <w:t>Rusije</w:t>
            </w:r>
            <w:r>
              <w:t>,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c>
          <w:tcPr>
            <w:tcW w:w="4876" w:type="dxa"/>
            <w:tcBorders>
              <w:top w:val="nil"/>
              <w:left w:val="nil"/>
              <w:bottom w:val="nil"/>
              <w:right w:val="nil"/>
            </w:tcBorders>
          </w:tcPr>
          <w:p>
            <w:pPr>
              <w:pStyle w:val="Normal6a"/>
            </w:pPr>
            <w:r>
              <w:t>82.</w:t>
            </w:r>
            <w:r>
              <w:tab/>
            </w:r>
            <w:r>
              <w:t xml:space="preserve">obsoja politično motivirano uporabo „črnih seznamov“ s strani </w:t>
            </w:r>
            <w:r>
              <w:rPr>
                <w:b/>
                <w:i/>
              </w:rPr>
              <w:t>tujih vlad</w:t>
            </w:r>
            <w:r>
              <w:t>, ki so usmerjeni proti državljanom EU, predstavnikom državnih organov in gospodarskih organizacij, novinarjem, akterjem civilne družbe in političnim uradnikom, vključno z demokratično izvoljenimi poslanci Evropskega parlamenta; poziva k bolj usklajenemu in odločnemu odzivu EU na te samovoljne ukrepe, s čimer bi zagotovili zaščito in varnost tistih, ki so na črnem seznamu, ter pokazali solidarnost z njimi in jim omogočili potrebno podporo; v celoti podpira vse prizadete posameznike;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izraža zaskrbljenost zaradi pogajanj ali dogovorov, ki bi lahko tretjim državam omogočili širok ali neposreden dostop do nacionalnih zbirk biometričnih ali identifikacijskih podatkov državljanov Unije v okviru upravljanja meja ali sodelovanja na področju vizumov;</w:t>
            </w:r>
            <w:r>
              <w:t xml:space="preserve"> </w:t>
            </w:r>
            <w:r>
              <w:rPr>
                <w:b/>
                <w:i/>
              </w:rPr>
              <w:t>poudarja, da obsežne izmenjave občutljivih osebnih podatkov pomembno vplivajo na temeljne pravice, varstvo podatkov, demokratični nadzor in strateško avtonomijo;</w:t>
            </w:r>
            <w:r>
              <w:t xml:space="preserve"> </w:t>
            </w:r>
            <w:r>
              <w:rPr>
                <w:b/>
                <w:i/>
              </w:rPr>
              <w:t>poudarja, da morajo za vse take pobude veljati popolna preglednost, strogi preskusi nujnosti in sorazmernosti, zanesljivi zaščitni ukrepi in ploden parlamentarni nadzor v skladu s členom 218 PDEU;</w:t>
            </w:r>
            <w:r>
              <w:t xml:space="preserve"> </w:t>
            </w:r>
            <w:r>
              <w:rPr>
                <w:b/>
                <w:i/>
              </w:rPr>
              <w:t>poziva Komisijo, naj pri pogajanjih, ki bi lahko vplivala na pravice državljanov Unije in varnost kritične podatkovne infrastrukture, v celoti izkoristi geopolitično in gospodarsko težo Unije;</w:t>
            </w:r>
            <w:r>
              <w:t xml:space="preserve"> </w:t>
            </w:r>
            <w:r>
              <w:rPr>
                <w:b/>
                <w:i/>
              </w:rPr>
              <w:t>poudarja, da je zaščita celovitosti, suverenosti in varnosti evropskih sistemov identifikacijskih in biometričnih podatkov bistven sestavni del evropskega ščita za demokracijo in širših prizadevanj Unije za zaščito demokratične odpornosti in temeljnih pravic v digitalni dobi;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ugotavlja, da je namen glob v višini 120 milijonov EUR, ki jih je Komisija naložila podjetju X na podlagi akta o digitalnih storitvah, osebno kaznovati Elona Muska in ga odvrniti od delovanja;</w:t>
            </w:r>
            <w:r>
              <w:t xml:space="preserve"> </w:t>
            </w:r>
            <w:r>
              <w:rPr>
                <w:b/>
                <w:i/>
              </w:rPr>
              <w:t>je zaskrbljen zaradi uporabe študentske raziskave, v kateri je sodelovalo 300 ameriških državljanov, ki so bili plačani 3,75 USD, kot podlage za tak postopek;</w:t>
            </w:r>
            <w:r>
              <w:t xml:space="preserve"> </w:t>
            </w:r>
            <w:r>
              <w:rPr>
                <w:b/>
                <w:i/>
              </w:rPr>
              <w:t>obsoja politično instrumentalizacijo te uredbe, ki jo izvaja Bruselj, da bi prepovedali oporečno retoriko, in poskuse vmešavanja v volitve v Evropi in tujini;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1593</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poudarja, da bi morali mednarodne odnose usmerjati predvsem diplomacija in diplomatska prizadevanja ter da bi morala biti uvedba sankcij vedno ustrezno utemeljena, sorazmerna in pregledna ter se ne bi smela zlorabljati ali instrumentalizirati za kratkoročne politične interese;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obsoja sankcije ZDA proti petim evropskim posameznikom, ki sodelujejo v boju proti dezinformacijam;</w:t>
            </w:r>
            <w:r>
              <w:t xml:space="preserve"> </w:t>
            </w:r>
            <w:r>
              <w:rPr>
                <w:b/>
                <w:i/>
              </w:rPr>
              <w:t>meni, da pomenijo napad na svobodo mnenja in svobodo govora;</w:t>
            </w:r>
            <w:r>
              <w:t xml:space="preserve"> </w:t>
            </w:r>
            <w:r>
              <w:rPr>
                <w:b/>
                <w:i/>
              </w:rPr>
              <w:t>poziva administracijo ZDA, naj jih prekliče;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poziva k vzpostavitvi mehanizmov za učinkovitejše spremljanje izvrševanja sankcij, tudi s sodelovanjem s civilno družbo in akademskimi krogi;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82b.</w:t>
            </w:r>
            <w:r>
              <w:tab/>
            </w:r>
            <w:r>
              <w:rPr>
                <w:b/>
                <w:i/>
              </w:rPr>
              <w:t>ugotavlja, da je Komisija na več kot 90 srečanjih, organiziranih v okviru kodeksa za boj proti dezinformacijam med letoma 2022 in 2024, pritiskala na platforme, naj spremenijo splošna pravila za moderiranje vsebin in cenzurirajo več vsebin;</w:t>
            </w:r>
            <w:r>
              <w:t xml:space="preserve"> </w:t>
            </w:r>
            <w:r>
              <w:rPr>
                <w:b/>
                <w:i/>
              </w:rPr>
              <w:t>ugotavlja, da se je TikTok po srečanju s Komisijo pred volitvami na Slovaškem moral zavezati, da bo prepovedal vsebine, "ker je treba ustaviti seksualizacijo otrok";</w:t>
            </w:r>
            <w:r>
              <w:t xml:space="preserve"> </w:t>
            </w:r>
            <w:r>
              <w:rPr>
                <w:b/>
                <w:i/>
              </w:rPr>
              <w:t>ugotavlja, da si je Komisija morda prizadevala za cenzuro vsebin v zvezi s covidom-19 med otroki in da se je ta kampanja cenzure začela veliko pred sprejetjem akta o digitalnih storitvah;</w:t>
            </w:r>
            <w:r>
              <w:t xml:space="preserve"> </w:t>
            </w:r>
            <w:r>
              <w:rPr>
                <w:b/>
                <w:i/>
              </w:rPr>
              <w:t>ugotavlja, da sta predsednica Evropske komisije Ursula von der Leyen in podpredsednica Vera Jourova že leta 2020 pozvali platforme, naj spremenijo svoja pravila in odstranijo vsebine, ki preizprašujejo uveljavljene diskurze o pandemiji covida-19 in cepljenju</w:t>
            </w:r>
            <w:r>
              <w:rPr>
                <w:b/>
                <w:i/>
                <w:vertAlign w:val="superscript"/>
              </w:rPr>
              <w:t>1 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1597</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82b.</w:t>
            </w:r>
            <w:r>
              <w:tab/>
            </w:r>
            <w:r>
              <w:rPr>
                <w:b/>
                <w:i/>
              </w:rPr>
              <w:t>opozarja, da so bile od začetka Trumpove administracije razpuščene skoraj vse institucije ZDA, katerih cilj je državo zaščititi pred tujim vmešavanjem;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82c.</w:t>
            </w:r>
            <w:r>
              <w:tab/>
            </w:r>
            <w:r>
              <w:rPr>
                <w:b/>
                <w:i/>
              </w:rPr>
              <w:t>obsoja nadnacionalno represijo nad političnimi nasprotniki, novinarji in aktivisti;</w:t>
            </w:r>
            <w:r>
              <w:t xml:space="preserve"> </w:t>
            </w:r>
            <w:r>
              <w:rPr>
                <w:b/>
                <w:i/>
              </w:rPr>
              <w:t>poziva, naj se oblikuje celovit okvir za odpravo razdrobljenosti med nacionalnimi odzivi ter naj se uskladijo kazni za zastopnike, ki sodelujejo pri takih dejanjih;</w:t>
            </w:r>
            <w:r>
              <w:t xml:space="preserve"> </w:t>
            </w:r>
            <w:r>
              <w:rPr>
                <w:b/>
                <w:i/>
              </w:rPr>
              <w:t>poziva k pregledu rdečih tiralic, da jih avtokratske države ne bi zlorabljale za napade na politične nasprotnike v izgnanstvu;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zaznava, da se povečujeta tuje vmešavanje in hibridne grožnje zlonamernih tujih akterjev, ki želijo razbiti naše družbe, na primer s širjenjem dezinformacij, podpiranjem skrajne desnice, vnašanjem motenj v našo infrastrukturo in povečevanjem političnih delitev;</w:t>
            </w:r>
            <w:r>
              <w:t xml:space="preserve"> </w:t>
            </w:r>
            <w:r>
              <w:rPr>
                <w:b/>
                <w:i/>
              </w:rPr>
              <w:t>z zaskrbljenostjo ugotavlja, da algoritmi velikih tehnoloških družb te informacije nato intenzivno širijo;</w:t>
            </w:r>
            <w:r>
              <w:t xml:space="preserve"> </w:t>
            </w:r>
            <w:r>
              <w:rPr>
                <w:b/>
                <w:i/>
              </w:rPr>
              <w:t>poudarja, da zlonamerni tuji akterji upajo, da se bo pripravljenost za zaščito ozemlja Nata zmanjšala, če bodo na njegovem domačem ozemlju zavladali nemiri in strah;</w:t>
            </w:r>
            <w:r>
              <w:t xml:space="preserve"> </w:t>
            </w:r>
            <w:r>
              <w:rPr>
                <w:b/>
                <w:i/>
              </w:rPr>
              <w:t>poudarja, da je cilj zasejati zamere, razdeliti in razdvajati ljudi;</w:t>
            </w:r>
            <w:r>
              <w:t xml:space="preserve"> </w:t>
            </w:r>
            <w:r>
              <w:rPr>
                <w:b/>
                <w:i/>
              </w:rPr>
              <w:t>priporoča, da za zaščito naše fizične varnosti ne bodo potrebne le naložbe v obrambo, temveč tudi v odpornost naše družbe;</w:t>
            </w:r>
            <w:r>
              <w:t xml:space="preserve"> </w:t>
            </w:r>
            <w:r>
              <w:rPr>
                <w:b/>
                <w:i/>
              </w:rPr>
              <w:t>poudarja, da je bistvenega pomena, da EU vlaga v varnost v širšem smislu;</w:t>
            </w:r>
            <w:r>
              <w:t xml:space="preserve"> </w:t>
            </w:r>
            <w:r>
              <w:rPr>
                <w:b/>
                <w:i/>
              </w:rPr>
              <w:t>poziva Komisijo in države članice, naj zagotovijo, da bomo poleg 3,5 % porabe za obrambo vlagali tudi v varnost v najširšem smislu, in sicer 1,5 %, kakor zahtevajo standardi Nata,</w:t>
            </w:r>
            <w:r>
              <w:t xml:space="preserve"> </w:t>
            </w:r>
            <w:r>
              <w:rPr>
                <w:b/>
                <w:i/>
              </w:rPr>
              <w:t>namreč v odpornost naše družbe;</w:t>
            </w:r>
            <w:r>
              <w:t xml:space="preserve"> </w:t>
            </w:r>
            <w:r>
              <w:rPr>
                <w:b/>
                <w:i/>
              </w:rPr>
              <w:t>poudarja, da to pomeni naložbe v civilno odpornost, trdne socialne temelje in zmanjševanje ranljive odvisnosti na področju energije in tehnologije;</w:t>
            </w:r>
            <w:r>
              <w:t xml:space="preserve"> </w:t>
            </w:r>
            <w:r>
              <w:rPr>
                <w:b/>
                <w:i/>
              </w:rPr>
              <w:t>poudarja, da bo to edini način, da bodo EU in njeni državljani postali manj dovzetni za hibridne grožnje;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pozdravlja strategijo EU za unijo pripravljenosti in poudarja, da so cilji, določeni v strategiji, tesno povezani s cilji evropskega ščita za demokracijo; nadalje poudarja, da demokratična odpornost zahteva, da so družbe sposobne delovati v izrednih razmerah ali razmerah z motnjami, in da bi zato morale biti reforme, namenjene krepitvi pripravljenosti, sestavni del evropskega ščita za demokracijo;</w:t>
            </w:r>
          </w:p>
        </w:tc>
        <w:tc>
          <w:tcPr>
            <w:tcW w:w="4876" w:type="dxa"/>
            <w:tcBorders>
              <w:top w:val="nil"/>
              <w:left w:val="nil"/>
              <w:bottom w:val="nil"/>
              <w:right w:val="nil"/>
            </w:tcBorders>
          </w:tcPr>
          <w:p>
            <w:pPr>
              <w:pStyle w:val="Normal6a"/>
            </w:pPr>
            <w:r>
              <w:t>83.</w:t>
            </w:r>
            <w:r>
              <w:tab/>
            </w:r>
            <w:r>
              <w:t xml:space="preserve">pozdravlja strategijo EU za unijo pripravljenosti in poudarja, da so cilji, določeni v strategiji, tesno povezani s cilji evropskega ščita za demokracijo; nadalje poudarja, da demokratična odpornost zahteva, da so družbe sposobne delovati v izrednih razmerah ali razmerah z motnjami, in da bi zato morale biti reforme, namenjene krepitvi pripravljenosti, sestavni del evropskega ščita za demokracijo; </w:t>
            </w:r>
            <w:r>
              <w:rPr>
                <w:b/>
                <w:i/>
              </w:rPr>
              <w:t>pozdravlja politiko v državah članicah, kot sta Švedska in Finska, za spodbujanje široke socialne pripravljenosti, sodelovanja med vlado in družbo ter jasnega obveščanja o odgovornostih državljanov;</w:t>
            </w:r>
            <w:r>
              <w:t xml:space="preserve"> </w:t>
            </w:r>
            <w:r>
              <w:rPr>
                <w:b/>
                <w:i/>
              </w:rPr>
              <w:t>ugotavlja, da je mogoče za zagotavljanje energije ali pomoč pri razdeljevanju hrane in vode uporabiti na tisoče podjetij;</w:t>
            </w:r>
            <w:r>
              <w:t xml:space="preserve"> </w:t>
            </w:r>
            <w:r>
              <w:rPr>
                <w:b/>
                <w:i/>
              </w:rPr>
              <w:t>poudarja, da imajo lahko združenja določeno vlogo pri komuniciranju s sosednjimi državami in da lahko mnogi (pol)strokovnjaki, veterani in upokojenci zagotovijo potrebno telesno in duševno oskrbo;</w:t>
            </w:r>
            <w:r>
              <w:t xml:space="preserve"> </w:t>
            </w:r>
            <w:r>
              <w:rPr>
                <w:b/>
                <w:i/>
              </w:rPr>
              <w:t>poudarja, da morajo ljudje za organizacijo tovrstne civilne odpornosti vedeti, kako in kdaj lahko prispevajo;</w:t>
            </w:r>
            <w:r>
              <w:t xml:space="preserve"> </w:t>
            </w:r>
            <w:r>
              <w:rPr>
                <w:b/>
                <w:i/>
              </w:rPr>
              <w:t>ugotavlja, da bi morale vse države članice začeti evidentirati različne organizacije, vodje usposabljanja organizacij in podjetij z vajami o scenarijih in obveščanjem državljanov o tem, kam se lahko obrnejo, ko potrebujejo pomoč;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pozdravlja strategijo EU za unijo pripravljenosti in poudarja, da so cilji, določeni v strategiji, tesno povezani s cilji evropskega ščita za demokracijo; nadalje poudarja, da demokratična odpornost zahteva, da so družbe sposobne delovati v izrednih razmerah ali razmerah z motnjami, in da bi zato morale biti reforme, namenjene krepitvi pripravljenosti, sestavni del evropskega ščita za demokracijo;</w:t>
            </w:r>
          </w:p>
        </w:tc>
        <w:tc>
          <w:tcPr>
            <w:tcW w:w="4876" w:type="dxa"/>
            <w:tcBorders>
              <w:top w:val="nil"/>
              <w:left w:val="nil"/>
              <w:bottom w:val="nil"/>
              <w:right w:val="nil"/>
            </w:tcBorders>
          </w:tcPr>
          <w:p>
            <w:pPr>
              <w:pStyle w:val="Normal6a"/>
            </w:pPr>
            <w:r>
              <w:t>83.</w:t>
            </w:r>
            <w:r>
              <w:tab/>
            </w:r>
            <w:r>
              <w:t xml:space="preserve">pozdravlja strategijo EU za unijo pripravljenosti in poudarja, da so cilji, določeni v strategiji, tesno povezani s cilji evropskega ščita za demokracijo; nadalje poudarja, da demokratična odpornost zahteva, da so družbe sposobne delovati v izrednih razmerah ali razmerah z motnjami, in da bi zato morale biti reforme, namenjene krepitvi pripravljenosti, sestavni del evropskega ščita za demokracijo; </w:t>
            </w:r>
            <w:r>
              <w:rPr>
                <w:b/>
                <w:i/>
              </w:rPr>
              <w:t>poudarja, da bi si bilo treba pri vseh pobudah v okviru ščita za demokracijo prizadevati za presečnost in vključitev vseh starostnih skupin, skupnosti ter družbenih in gospodarskih 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pozdravlja strategijo EU za unijo pripravljenosti in poudarja, da so cilji, določeni v strategiji, tesno povezani s cilji evropskega ščita za demokracijo; nadalje poudarja, da </w:t>
            </w:r>
            <w:r>
              <w:rPr>
                <w:b/>
                <w:i/>
              </w:rPr>
              <w:t>demokratična</w:t>
            </w:r>
            <w:r>
              <w:t xml:space="preserve"> odpornost zahteva, da so družbe sposobne delovati v izrednih razmerah ali razmerah z motnjami, in da bi zato morale biti reforme, namenjene krepitvi pripravljenosti, sestavni del evropskega ščita za demokracijo;</w:t>
            </w:r>
          </w:p>
        </w:tc>
        <w:tc>
          <w:tcPr>
            <w:tcW w:w="4876" w:type="dxa"/>
            <w:tcBorders>
              <w:top w:val="nil"/>
              <w:left w:val="nil"/>
              <w:bottom w:val="nil"/>
              <w:right w:val="nil"/>
            </w:tcBorders>
          </w:tcPr>
          <w:p>
            <w:pPr>
              <w:pStyle w:val="Normal6a"/>
            </w:pPr>
            <w:r>
              <w:t>83.</w:t>
            </w:r>
            <w:r>
              <w:tab/>
            </w:r>
            <w:r>
              <w:t xml:space="preserve">pozdravlja strategijo EU za unijo pripravljenosti in poudarja, da so cilji, določeni v strategiji, tesno povezani s cilji evropskega ščita za demokracijo; nadalje poudarja, da </w:t>
            </w:r>
            <w:r>
              <w:rPr>
                <w:b/>
                <w:i/>
              </w:rPr>
              <w:t>vsakršna</w:t>
            </w:r>
            <w:r>
              <w:t xml:space="preserve"> odpornost zahteva, da so družbe sposobne delovati v izrednih razmerah ali razmerah z motnjami, in da bi zato morale biti reforme, namenjene krepitvi pripravljenosti, sestavni del evropskega ščita za demokracijo;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1603</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poudarja, da je za krepitev odpornosti in pripravljenosti potrebna vešča, zaščitena in dobro usposobljena delovna sila v kritičnih sektorjih;</w:t>
            </w:r>
            <w:r>
              <w:t xml:space="preserve"> </w:t>
            </w:r>
            <w:r>
              <w:rPr>
                <w:b/>
                <w:i/>
              </w:rPr>
              <w:t>poziva, naj programi za odpornost in pripravljenost, ki jih financira EU, vključujejo usposabljanje, preusposabljanje in socialno pogojenost v skladu z delovnimi standardi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poziva Komisijo, naj izvede revizijo, da bi ocenila vse ranljivosti in odvisnosti od rešitev tretjih držav na področju digitalnih tehnologij in plačil v evropskih upravah in institucijah;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poziva k hitremu razvoju in uvedbi vseevropske interoperabilne aplikacije za opozarjanje na krize, ki bi državljanom v izrednih razmerah zagotavljala zanesljive večjezične informacije v realnem času; priporoča, da se ta aplikacija vključi v nacionalne sisteme in sisteme EU za zgodnje opozarjanje, ki so dostopni ranljivim skupinam, in da se redno posodablja glede na tehnološki napredek in dobro prakso na področju kriznega upravljanja;</w:t>
            </w:r>
          </w:p>
        </w:tc>
        <w:tc>
          <w:tcPr>
            <w:tcW w:w="4876" w:type="dxa"/>
            <w:tcBorders>
              <w:top w:val="nil"/>
              <w:left w:val="nil"/>
              <w:bottom w:val="nil"/>
              <w:right w:val="nil"/>
            </w:tcBorders>
          </w:tcPr>
          <w:p>
            <w:pPr>
              <w:pStyle w:val="Normal6a"/>
            </w:pPr>
            <w:r>
              <w:t>84.</w:t>
            </w:r>
            <w:r>
              <w:tab/>
            </w:r>
            <w:r>
              <w:t xml:space="preserve">poziva k hitremu razvoju in uvedbi vseevropske interoperabilne aplikacije za opozarjanje na krize, ki bi državljanom v izrednih razmerah zagotavljala zanesljive večjezične informacije v realnem času; priporoča, da se ta aplikacija vključi v nacionalne sisteme in sisteme EU za zgodnje opozarjanje, ki so dostopni ranljivim skupinam, in da se redno posodablja glede na tehnološki napredek in dobro prakso na področju kriznega upravljanja; </w:t>
            </w:r>
            <w:r>
              <w:rPr>
                <w:b/>
                <w:i/>
              </w:rPr>
              <w:t>poudarja, da je treba pripraviti krizne načrte in alternativna komunikacijska orodja za krizne razmere, ko digitalne storitve niso na voljo ali jih ni mogoče uporabljati, tudi zaradi izpadov električne energije ali nedostopa do električne energije;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 xml:space="preserve">poziva </w:t>
            </w:r>
            <w:r>
              <w:rPr>
                <w:b/>
                <w:i/>
              </w:rPr>
              <w:t>k hitremu</w:t>
            </w:r>
            <w:r>
              <w:t xml:space="preserve"> razvoju in uvedbi vseevropske interoperabilne aplikacije za opozarjanje na krize, ki bi državljanom v izrednih razmerah zagotavljala zanesljive večjezične informacije v realnem času; priporoča, da se ta aplikacija vključi v nacionalne sisteme in sisteme EU za zgodnje opozarjanje, ki so dostopni </w:t>
            </w:r>
            <w:r>
              <w:rPr>
                <w:b/>
                <w:i/>
              </w:rPr>
              <w:t>ranljivim skupinam</w:t>
            </w:r>
            <w:r>
              <w:t>, in da se redno posodablja glede na tehnološki napredek in dobro prakso na področju kriznega upravljanja;</w:t>
            </w:r>
          </w:p>
        </w:tc>
        <w:tc>
          <w:tcPr>
            <w:tcW w:w="4876" w:type="dxa"/>
            <w:tcBorders>
              <w:top w:val="nil"/>
              <w:left w:val="nil"/>
              <w:bottom w:val="nil"/>
              <w:right w:val="nil"/>
            </w:tcBorders>
          </w:tcPr>
          <w:p>
            <w:pPr>
              <w:pStyle w:val="Normal6a"/>
            </w:pPr>
            <w:r>
              <w:t>84.</w:t>
            </w:r>
            <w:r>
              <w:tab/>
            </w:r>
            <w:r>
              <w:t>poziva</w:t>
            </w:r>
            <w:r>
              <w:rPr>
                <w:b/>
                <w:i/>
              </w:rPr>
              <w:t>, naj se ocenijo obstoječi sistemi opozarjanja ter analizirajo potrebe (in izvedljivost) po hitrem</w:t>
            </w:r>
            <w:r>
              <w:t xml:space="preserve"> razvoju in uvedbi vseevropske interoperabilne aplikacije za opozarjanje na krize, ki bi državljanom v izrednih razmerah zagotavljala zanesljive </w:t>
            </w:r>
            <w:r>
              <w:rPr>
                <w:b/>
                <w:i/>
              </w:rPr>
              <w:t>in</w:t>
            </w:r>
            <w:r>
              <w:t xml:space="preserve"> večjezične informacije v realnem času; priporoča, da se ta aplikacija vključi v nacionalne sisteme in sisteme EU za zgodnje opozarjanje, ki so dostopni </w:t>
            </w:r>
            <w:r>
              <w:rPr>
                <w:b/>
                <w:i/>
              </w:rPr>
              <w:t>vsem osebam na prizadetem območju, s posebnim poudarkom na ranljivih skupinah</w:t>
            </w:r>
            <w:r>
              <w:t>, in da se redno posodablja glede na tehnološki napredek in dobro prakso na področju kriznega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84.</w:t>
            </w:r>
            <w:r>
              <w:tab/>
            </w:r>
            <w:r>
              <w:t xml:space="preserve">poziva k hitremu razvoju in uvedbi vseevropske interoperabilne aplikacije za opozarjanje na krize, ki bi </w:t>
            </w:r>
            <w:r>
              <w:rPr>
                <w:b/>
                <w:i/>
              </w:rPr>
              <w:t>državljanom</w:t>
            </w:r>
            <w:r>
              <w:t xml:space="preserve"> v izrednih razmerah zagotavljala zanesljive večjezične informacije v realnem času; priporoča, da se ta aplikacija vključi v nacionalne sisteme in sisteme EU za zgodnje opozarjanje, ki so dostopni ranljivim skupinam, in da se redno posodablja glede na tehnološki napredek in dobro prakso na področju kriznega upravljanja;</w:t>
            </w:r>
          </w:p>
        </w:tc>
        <w:tc>
          <w:tcPr>
            <w:tcW w:w="4876" w:type="dxa"/>
            <w:tcBorders>
              <w:top w:val="nil"/>
              <w:left w:val="nil"/>
              <w:bottom w:val="nil"/>
              <w:right w:val="nil"/>
            </w:tcBorders>
          </w:tcPr>
          <w:p>
            <w:pPr>
              <w:pStyle w:val="Normal6a"/>
            </w:pPr>
            <w:r>
              <w:t>84.</w:t>
            </w:r>
            <w:r>
              <w:tab/>
            </w:r>
            <w:r>
              <w:t xml:space="preserve">poziva k hitremu razvoju in uvedbi vseevropske interoperabilne aplikacije za opozarjanje na krize, ki bi </w:t>
            </w:r>
            <w:r>
              <w:rPr>
                <w:b/>
                <w:i/>
              </w:rPr>
              <w:t>prebivalcem</w:t>
            </w:r>
            <w:r>
              <w:t xml:space="preserve"> v izrednih razmerah zagotavljala zanesljive večjezične informacije v realnem času; priporoča, da se ta aplikacija vključi v nacionalne sisteme in sisteme EU za zgodnje opozarjanje, ki so dostopni ranljivim skupinam, in da se redno posodablja glede na tehnološki napredek in dobro prakso na področju kriznega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85.</w:t>
            </w:r>
            <w:r>
              <w:tab/>
            </w:r>
            <w:r>
              <w:rPr>
                <w:b/>
                <w:i/>
              </w:rPr>
              <w:t>pozdravlja</w:t>
            </w:r>
            <w:r>
              <w:t xml:space="preserve"> pobude v več državah članicah za razdeljevanje brošure o pripravljenosti gospodinjstev, ki ponuja jasne in praktične smernice, prilagojene različnim družbenim in geografskim razmeram v Evropi, da bi se državljani lažje pripravili na izredne razmere; poziva Komisijo, naj </w:t>
            </w:r>
            <w:r>
              <w:rPr>
                <w:b/>
                <w:i/>
              </w:rPr>
              <w:t>pripravi brošuro na ravni EU, ki bo odražala čezmejni in večnacionalni okvir, vključno s priporočenimi potrebščinami za nujne primere, praktičnimi navodili za samozadostnost za vsaj 72 ur, osnovnimi nasveti za prvo pomoč in posebnimi smernicami za ranljive skupine, vključno s starejšimi, invalidi in družinami z otroki</w:t>
            </w:r>
            <w:r>
              <w:t>;</w:t>
            </w:r>
          </w:p>
        </w:tc>
        <w:tc>
          <w:tcPr>
            <w:tcW w:w="4876" w:type="dxa"/>
            <w:tcBorders>
              <w:top w:val="nil"/>
              <w:left w:val="nil"/>
              <w:bottom w:val="nil"/>
              <w:right w:val="nil"/>
            </w:tcBorders>
          </w:tcPr>
          <w:p>
            <w:pPr>
              <w:pStyle w:val="Normal6a"/>
            </w:pPr>
            <w:r>
              <w:t>85.</w:t>
            </w:r>
            <w:r>
              <w:tab/>
            </w:r>
            <w:r>
              <w:rPr>
                <w:b/>
                <w:i/>
              </w:rPr>
              <w:t>ve za</w:t>
            </w:r>
            <w:r>
              <w:t xml:space="preserve"> pobude v več državah članicah za razdeljevanje brošure o pripravljenosti gospodinjstev, ki ponuja jasne in praktične smernice, prilagojene različnim družbenim in geografskim razmeram v Evropi, da bi se državljani lažje pripravili na izredne razmere; poziva Komisijo, naj </w:t>
            </w:r>
            <w:r>
              <w:rPr>
                <w:b/>
                <w:i/>
              </w:rPr>
              <w:t>državam članicam na zahtevo pomaga pripraviti in posodobiti brošure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85.</w:t>
            </w:r>
            <w:r>
              <w:tab/>
            </w:r>
            <w:r>
              <w:t xml:space="preserve">pozdravlja pobude v več državah članicah za razdeljevanje </w:t>
            </w:r>
            <w:r>
              <w:rPr>
                <w:b/>
                <w:i/>
              </w:rPr>
              <w:t>brošure</w:t>
            </w:r>
            <w:r>
              <w:t xml:space="preserve"> o pripravljenosti gospodinjstev, ki </w:t>
            </w:r>
            <w:r>
              <w:rPr>
                <w:b/>
                <w:i/>
              </w:rPr>
              <w:t>ponuja</w:t>
            </w:r>
            <w:r>
              <w:t xml:space="preserve"> jasne in praktične smernice</w:t>
            </w:r>
            <w:r>
              <w:rPr>
                <w:b/>
                <w:i/>
              </w:rPr>
              <w:t>, prilagojene različnim družbenim in geografskim razmeram v Evropi, da bi se državljani</w:t>
            </w:r>
            <w:r>
              <w:t xml:space="preserve"> lažje pripravili na izredne razmere; poziva Komisijo, naj </w:t>
            </w:r>
            <w:r>
              <w:rPr>
                <w:b/>
                <w:i/>
              </w:rPr>
              <w:t>pripravi brošuro</w:t>
            </w:r>
            <w:r>
              <w:t xml:space="preserve"> na ravni EU, ki </w:t>
            </w:r>
            <w:r>
              <w:rPr>
                <w:b/>
                <w:i/>
              </w:rPr>
              <w:t>bo odražala čezmejni in večnacionalni okvir</w:t>
            </w:r>
            <w:r>
              <w:t xml:space="preserve">, vključno s priporočenimi potrebščinami za nujne </w:t>
            </w:r>
            <w:r>
              <w:rPr>
                <w:b/>
                <w:i/>
              </w:rPr>
              <w:t>primere</w:t>
            </w:r>
            <w:r>
              <w:t xml:space="preserve">, praktičnimi navodili za samozadostnost za </w:t>
            </w:r>
            <w:r>
              <w:rPr>
                <w:b/>
                <w:i/>
              </w:rPr>
              <w:t>vsaj</w:t>
            </w:r>
            <w:r>
              <w:t xml:space="preserve"> 72 ur, osnovnimi nasveti za prvo pomoč in posebnimi smernicami za ranljive skupine, vključno s starejšimi, invalidi in družinami z otroki;</w:t>
            </w:r>
          </w:p>
        </w:tc>
        <w:tc>
          <w:tcPr>
            <w:tcW w:w="4876" w:type="dxa"/>
            <w:tcBorders>
              <w:top w:val="nil"/>
              <w:left w:val="nil"/>
              <w:bottom w:val="nil"/>
              <w:right w:val="nil"/>
            </w:tcBorders>
          </w:tcPr>
          <w:p>
            <w:pPr>
              <w:pStyle w:val="Normal6a"/>
            </w:pPr>
            <w:r>
              <w:t>85.</w:t>
            </w:r>
            <w:r>
              <w:tab/>
            </w:r>
            <w:r>
              <w:t xml:space="preserve">pozdravlja pobude v več državah članicah za razdeljevanje </w:t>
            </w:r>
            <w:r>
              <w:rPr>
                <w:b/>
                <w:i/>
              </w:rPr>
              <w:t>brošur</w:t>
            </w:r>
            <w:r>
              <w:t xml:space="preserve"> o pripravljenosti gospodinjstev, ki </w:t>
            </w:r>
            <w:r>
              <w:rPr>
                <w:b/>
                <w:i/>
              </w:rPr>
              <w:t>ponujajo</w:t>
            </w:r>
            <w:r>
              <w:t xml:space="preserve"> jasne in praktične smernice </w:t>
            </w:r>
            <w:r>
              <w:rPr>
                <w:b/>
                <w:i/>
              </w:rPr>
              <w:t>za državljane, da se bodo</w:t>
            </w:r>
            <w:r>
              <w:t xml:space="preserve"> lažje pripravili na izredne razmere; poziva Komisijo, naj </w:t>
            </w:r>
            <w:r>
              <w:rPr>
                <w:b/>
                <w:i/>
              </w:rPr>
              <w:t>oceni potrebo po tovrstnih brošurah (in njihovo izvedljivost)</w:t>
            </w:r>
            <w:r>
              <w:t xml:space="preserve"> na ravni EU, ki </w:t>
            </w:r>
            <w:r>
              <w:rPr>
                <w:b/>
                <w:i/>
              </w:rPr>
              <w:t>bodo odražale čezmejne in regionalne okoliščine ter bodo prilagojene raznolikim družbenim in geografskim razmeram v Evropi in posledični raznolikosti groženj</w:t>
            </w:r>
            <w:r>
              <w:t xml:space="preserve">, vključno s priporočenimi potrebščinami za nujne </w:t>
            </w:r>
            <w:r>
              <w:rPr>
                <w:b/>
                <w:i/>
              </w:rPr>
              <w:t>potrebe</w:t>
            </w:r>
            <w:r>
              <w:t xml:space="preserve">, praktičnimi navodili za samozadostnost za </w:t>
            </w:r>
            <w:r>
              <w:rPr>
                <w:b/>
                <w:i/>
              </w:rPr>
              <w:t>najmanj</w:t>
            </w:r>
            <w:r>
              <w:t xml:space="preserve"> 72 ur, osnovnimi nasveti za prvo pomoč in posebnimi smernicami za ranljive skupine, vključno s starejšimi, invalidi in družinami z otroki;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85a.</w:t>
            </w:r>
            <w:r>
              <w:tab/>
            </w:r>
            <w:r>
              <w:rPr>
                <w:b/>
                <w:i/>
              </w:rPr>
              <w:t>meni, da je nesprejemljivo, da vlade opozicijskim medijem onemogočajo dostop do tiskovnih konferenc;</w:t>
            </w:r>
            <w:r>
              <w:t xml:space="preserve"> </w:t>
            </w:r>
            <w:r>
              <w:rPr>
                <w:b/>
                <w:i/>
              </w:rPr>
              <w:t>poudarja, da je to še posebej nevarno, kadar oblasti iz izključno političnih razlogov izključijo medijske hiše z informativnih sestankov o kriznih razmerah, kot se je zgodilo med poplavami na Poljskem, ko je Donald Tusk vztrajno zavračal udeležbo TV Republika, največjega novičarskega televizijskega kanala, na sestankih kriznega upravljanja, s čimer je velik del družbe izključil iz prejemanja kriznih sporočil v realnem času, kar bi lahko neposredno vplivalo na njeno varnost;</w:t>
            </w:r>
            <w:r>
              <w:t xml:space="preserve"> </w:t>
            </w:r>
            <w:r>
              <w:rPr>
                <w:b/>
                <w:i/>
              </w:rPr>
              <w:t>obsoja ta neodgovorna in nedemokratična dejanja ter svari, naj se ne sledi zgledu Donalda Tuska;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1611</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86.</w:t>
            </w:r>
            <w:r>
              <w:tab/>
            </w:r>
            <w:r>
              <w:rPr>
                <w:b/>
                <w:i/>
              </w:rPr>
              <w:t>poziva k organizaciji rednih obsežnih vaj pripravljenosti, usklajenih na ravni EU, ki bi vključevale institucije EU, države članice, regionalne in lokalne organe, zasebni sektor in civilno družbo;</w:t>
            </w:r>
            <w:r>
              <w:t xml:space="preserve"> </w:t>
            </w:r>
            <w:r>
              <w:rPr>
                <w:b/>
                <w:i/>
              </w:rPr>
              <w:t>priporoča, naj te vaje simulirajo zapletene in realistične scenarije, vključno s kibernetskimi napadi, motnjami v kritični infrastrukturi, usklajenimi dezinformacijami in hibridnimi krizami, da bi ocenili odzivne zmogljivosti, izboljšali interoperabilnost med ravnmi upravljanja in spodbujali kulturo pripravljenosti na vseh ravneh;</w:t>
            </w:r>
            <w:r>
              <w:t xml:space="preserve"> </w:t>
            </w:r>
            <w:r>
              <w:rPr>
                <w:b/>
                <w:i/>
              </w:rPr>
              <w:t>v ta namen poziva k ustanovitvi evropskega dneva pripravljenosti;</w:t>
            </w:r>
            <w:r>
              <w:t xml:space="preserve"> </w:t>
            </w:r>
            <w:r>
              <w:rPr>
                <w:b/>
                <w:i/>
              </w:rPr>
              <w:t>meni, da bi moral biti datum tega dogodka 24. februar, kar je datum začetka neizzvane obsežne vojaške invazije Rusije na Ukrajino leta 2022, kot simbol solidarnosti EU z Ukrajino in močan opomnik na potrebo po okrepljeni civilni in obrambni pripravljenosti proti vse večjim grožnjam avtoritarnih režimov;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 xml:space="preserve">poziva k </w:t>
            </w:r>
            <w:r>
              <w:rPr>
                <w:b/>
                <w:i/>
              </w:rPr>
              <w:t>organizaciji</w:t>
            </w:r>
            <w:r>
              <w:t xml:space="preserve"> rednih obsežnih vaj pripravljenosti</w:t>
            </w:r>
            <w:r>
              <w:rPr>
                <w:b/>
                <w:i/>
              </w:rPr>
              <w:t>, usklajenih na ravni EU</w:t>
            </w:r>
            <w:r>
              <w:t xml:space="preserve">, ki bi vključevale institucije EU, države članice, regionalne in lokalne organe, zasebni sektor in civilno družbo; priporoča, naj te vaje simulirajo zapletene in realistične scenarije, vključno s kibernetskimi napadi, motnjami v kritični infrastrukturi, usklajenimi </w:t>
            </w:r>
            <w:r>
              <w:rPr>
                <w:b/>
                <w:i/>
              </w:rPr>
              <w:t>dezinformacijami</w:t>
            </w:r>
            <w:r>
              <w:t xml:space="preserve"> in hibridnimi krizami, da bi ocenili odzivne zmogljivosti, izboljšali interoperabilnost med ravnmi upravljanja in spodbujali kulturo pripravljenosti na vseh ravneh; v ta namen poziva k ustanovitvi evropskega dneva pripravljenosti; meni, da bi moral biti datum tega dogodka 24. februar, kar je datum začetka neizzvane obsežne </w:t>
            </w:r>
            <w:r>
              <w:rPr>
                <w:b/>
                <w:i/>
              </w:rPr>
              <w:t>vojaške</w:t>
            </w:r>
            <w:r>
              <w:t xml:space="preserve"> invazije Rusije na Ukrajino leta 2022, kot simbol solidarnosti EU z Ukrajino in močan opomnik na potrebo po okrepljeni civilni in obrambni pripravljenosti proti vse večjim grožnjam avtoritarnih režimov;</w:t>
            </w:r>
          </w:p>
        </w:tc>
        <w:tc>
          <w:tcPr>
            <w:tcW w:w="4876" w:type="dxa"/>
            <w:tcBorders>
              <w:top w:val="nil"/>
              <w:left w:val="nil"/>
              <w:bottom w:val="nil"/>
              <w:right w:val="nil"/>
            </w:tcBorders>
          </w:tcPr>
          <w:p>
            <w:pPr>
              <w:pStyle w:val="Normal6a"/>
            </w:pPr>
            <w:r>
              <w:t>86.</w:t>
            </w:r>
            <w:r>
              <w:tab/>
            </w:r>
            <w:r>
              <w:t xml:space="preserve">poziva k </w:t>
            </w:r>
            <w:r>
              <w:rPr>
                <w:b/>
                <w:i/>
              </w:rPr>
              <w:t>nadaljevanju</w:t>
            </w:r>
            <w:r>
              <w:t xml:space="preserve"> rednih obsežnih vaj pripravljenosti, ki bi vključevale institucije EU, države članice, regionalne in lokalne organe, zasebni sektor in civilno družbo</w:t>
            </w:r>
            <w:r>
              <w:rPr>
                <w:b/>
                <w:i/>
              </w:rPr>
              <w:t>;</w:t>
            </w:r>
            <w:r>
              <w:t xml:space="preserve"> </w:t>
            </w:r>
            <w:r>
              <w:rPr>
                <w:b/>
                <w:i/>
              </w:rPr>
              <w:t>meni, da bi bilo treba razširiti nabor scenarijev, ki že zajema poplave, gozdne požare, kemične, biološke, radiološke in jedrske (KBRJ) nesreče, potrese in izredne zdravstvene razmere, tako da bo zajel še grožnje, ki so posledica ruske agresije proti Ukrajini, ter hibridne napade na kolektivni Zahod</w:t>
            </w:r>
            <w:r>
              <w:t xml:space="preserve">; priporoča, naj te vaje simulirajo zapletene in realistične scenarije, vključno s kibernetskimi napadi, motnjami v kritični infrastrukturi, usklajenimi </w:t>
            </w:r>
            <w:r>
              <w:rPr>
                <w:b/>
                <w:i/>
              </w:rPr>
              <w:t>dezinformacijskimi kampanjami</w:t>
            </w:r>
            <w:r>
              <w:t xml:space="preserve"> in hibridnimi krizami, da bi ocenili odzivne zmogljivosti, izboljšali interoperabilnost med ravnmi upravljanja</w:t>
            </w:r>
            <w:r>
              <w:rPr>
                <w:b/>
                <w:i/>
              </w:rPr>
              <w:t>, izmenjevali dobro prakso</w:t>
            </w:r>
            <w:r>
              <w:t xml:space="preserve"> in spodbujali kulturo pripravljenosti na vseh ravneh</w:t>
            </w:r>
            <w:r>
              <w:rPr>
                <w:b/>
                <w:i/>
              </w:rPr>
              <w:t>;</w:t>
            </w:r>
            <w:r>
              <w:t xml:space="preserve"> </w:t>
            </w:r>
            <w:r>
              <w:rPr>
                <w:b/>
                <w:i/>
              </w:rPr>
              <w:t>meni, da bi morale take vaje prednostno temeljiti na izkušnjah držav, kot je Poljska, ki so zlasti v obdobju takoj v začetku ruske agresije učinkovito obvladovale več hkratnih kriznih razmer s povezovanjem državnih institucij, lokalnih organov, zasebnega sektorja in civilne družbe</w:t>
            </w:r>
            <w:r>
              <w:t xml:space="preserve">; v ta namen poziva k ustanovitvi evropskega dneva pripravljenosti; meni, da bi moral biti datum tega dogodka 24. februar, kar je datum začetka neizzvane obsežne </w:t>
            </w:r>
            <w:r>
              <w:rPr>
                <w:b/>
                <w:i/>
              </w:rPr>
              <w:t>surove</w:t>
            </w:r>
            <w:r>
              <w:t xml:space="preserve"> invazije Rusije na Ukrajino leta 2022, kot simbol solidarnosti EU z Ukrajino in močan opomnik na potrebo po okrepljeni civilni in obrambni pripravljenosti proti vse večjim grožnjam avtoritarnih režimov;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 xml:space="preserve">poziva k organizaciji rednih obsežnih vaj pripravljenosti, usklajenih na ravni </w:t>
            </w:r>
            <w:r>
              <w:rPr>
                <w:b/>
                <w:i/>
              </w:rPr>
              <w:t>EU</w:t>
            </w:r>
            <w:r>
              <w:t xml:space="preserve">, ki bi vključevale institucije EU, države članice, regionalne in lokalne organe, zasebni sektor in civilno družbo; priporoča, naj te vaje simulirajo zapletene in realistične scenarije, vključno s kibernetskimi napadi, motnjami v kritični infrastrukturi, usklajenimi dezinformacijami in hibridnimi krizami, da bi ocenili odzivne zmogljivosti, izboljšali interoperabilnost med ravnmi upravljanja in spodbujali kulturo pripravljenosti na vseh ravneh; </w:t>
            </w:r>
            <w:r>
              <w:rPr>
                <w:b/>
                <w:i/>
              </w:rPr>
              <w:t>v ta namen poziva k ustanovitvi evropskega dneva pripravljenosti;</w:t>
            </w:r>
            <w:r>
              <w:t xml:space="preserve"> </w:t>
            </w:r>
            <w:r>
              <w:rPr>
                <w:b/>
                <w:i/>
              </w:rPr>
              <w:t>meni, da bi moral biti datum tega dogodka 24. februar, kar je datum začetka neizzvane obsežne vojaške invazije Rusije na Ukrajino leta 2022, kot simbol solidarnosti EU z Ukrajino in močan opomnik na potrebo po okrepljeni civilni in obrambni pripravljenosti proti vse večjim grožnjam avtoritarnih režimov;</w:t>
            </w:r>
          </w:p>
        </w:tc>
        <w:tc>
          <w:tcPr>
            <w:tcW w:w="4876" w:type="dxa"/>
            <w:tcBorders>
              <w:top w:val="nil"/>
              <w:left w:val="nil"/>
              <w:bottom w:val="nil"/>
              <w:right w:val="nil"/>
            </w:tcBorders>
          </w:tcPr>
          <w:p>
            <w:pPr>
              <w:pStyle w:val="Normal6a"/>
            </w:pPr>
            <w:r>
              <w:t>86.</w:t>
            </w:r>
            <w:r>
              <w:tab/>
            </w:r>
            <w:r>
              <w:t xml:space="preserve">poziva k organizaciji rednih obsežnih vaj pripravljenosti, usklajenih na ravni </w:t>
            </w:r>
            <w:r>
              <w:rPr>
                <w:b/>
                <w:i/>
              </w:rPr>
              <w:t>držav članic</w:t>
            </w:r>
            <w:r>
              <w:t>, ki bi vključevale institucije EU, države članice, regionalne in lokalne organe, zasebni sektor in civilno družbo; priporoča, naj te vaje simulirajo zapletene in realistične scenarije, vključno s kibernetskimi napadi, motnjami v kritični infrastrukturi, usklajenimi dezinformacijami in hibridnimi krizami, da bi ocenili odzivne zmogljivosti, izboljšali interoperabilnost med ravnmi upravljanja in spodbujali kulturo pripravljenosti na vseh ravneh;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 xml:space="preserve">poziva k organizaciji rednih obsežnih vaj pripravljenosti, usklajenih na ravni EU, </w:t>
            </w:r>
            <w:r>
              <w:rPr>
                <w:b/>
                <w:i/>
              </w:rPr>
              <w:t>ki bi vključevale</w:t>
            </w:r>
            <w:r>
              <w:t xml:space="preserve"> institucije EU, države članice, </w:t>
            </w:r>
            <w:r>
              <w:rPr>
                <w:b/>
                <w:i/>
              </w:rPr>
              <w:t>regionalne in lokalne organe</w:t>
            </w:r>
            <w:r>
              <w:t xml:space="preserve">, zasebni sektor in </w:t>
            </w:r>
            <w:r>
              <w:rPr>
                <w:b/>
                <w:i/>
              </w:rPr>
              <w:t>civilno družbo</w:t>
            </w:r>
            <w:r>
              <w:t>; priporoča, naj te vaje simulirajo zapletene in realistične scenarije, vključno s kibernetskimi napadi, motnjami v kritični infrastrukturi, usklajenimi dezinformacijami in hibridnimi krizami, da bi ocenili odzivne zmogljivosti, izboljšali interoperabilnost med ravnmi upravljanja in spodbujali kulturo pripravljenosti na vseh ravneh; v ta namen poziva k ustanovitvi evropskega dneva pripravljenosti; meni, da bi moral biti datum tega dogodka 24. februar, kar je datum začetka neizzvane obsežne vojaške invazije Rusije na Ukrajino leta 2022, kot simbol solidarnosti EU z Ukrajino in močan opomnik na potrebo po okrepljeni civilni in obrambni pripravljenosti proti vse večjim grožnjam avtoritarnih režimov;</w:t>
            </w:r>
          </w:p>
        </w:tc>
        <w:tc>
          <w:tcPr>
            <w:tcW w:w="4876" w:type="dxa"/>
            <w:tcBorders>
              <w:top w:val="nil"/>
              <w:left w:val="nil"/>
              <w:bottom w:val="nil"/>
              <w:right w:val="nil"/>
            </w:tcBorders>
          </w:tcPr>
          <w:p>
            <w:pPr>
              <w:pStyle w:val="Normal6a"/>
            </w:pPr>
            <w:r>
              <w:t>86.</w:t>
            </w:r>
            <w:r>
              <w:tab/>
            </w:r>
            <w:r>
              <w:t xml:space="preserve">poziva k organizaciji rednih obsežnih vaj pripravljenosti, usklajenih na ravni EU, </w:t>
            </w:r>
            <w:r>
              <w:rPr>
                <w:b/>
                <w:i/>
              </w:rPr>
              <w:t>v katerih bi sodelovale</w:t>
            </w:r>
            <w:r>
              <w:t xml:space="preserve"> institucije </w:t>
            </w:r>
            <w:r>
              <w:rPr>
                <w:b/>
                <w:i/>
              </w:rPr>
              <w:t>in agencije</w:t>
            </w:r>
            <w:r>
              <w:t xml:space="preserve"> EU, države članice, </w:t>
            </w:r>
            <w:r>
              <w:rPr>
                <w:b/>
                <w:i/>
              </w:rPr>
              <w:t>regionalni in lokalni organi</w:t>
            </w:r>
            <w:r>
              <w:t xml:space="preserve">, zasebni sektor in </w:t>
            </w:r>
            <w:r>
              <w:rPr>
                <w:b/>
                <w:i/>
              </w:rPr>
              <w:t>civilna družba</w:t>
            </w:r>
            <w:r>
              <w:t>; priporoča, naj te vaje simulirajo zapletene in realistične scenarije, vključno s kibernetskimi napadi, motnjami v kritični infrastrukturi, usklajenimi dezinformacijami in hibridnimi krizami, da bi ocenili odzivne zmogljivosti, izboljšali interoperabilnost med ravnmi upravljanja in spodbujali kulturo pripravljenosti na vseh ravneh; v ta namen poziva k ustanovitvi evropskega dneva pripravljenosti; meni, da bi moral biti datum tega dogodka 24. februar, kar je datum začetka neizzvane obsežne vojaške invazije Rusije na Ukrajino leta 2022, kot simbol solidarnosti EU z Ukrajino in močan opomnik na potrebo po okrepljeni civilni in obrambni pripravljenosti proti vse večjim grožnjam avtoritarnih režimov;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86a.</w:t>
            </w:r>
            <w:r>
              <w:tab/>
            </w:r>
            <w:r>
              <w:rPr>
                <w:b/>
                <w:i/>
              </w:rPr>
              <w:t>priporoča, naj se protokoli za krizno usklajevanje pred obveznim izvajanjem vedno preizkusijo in izpopolnijo v sodelovanju s partnerji v gospodarskih panogah, da bodo zares učinkoviti in praktično izvedljivi;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1616</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poziva Komisijo, naj preuči možnost razširitve programa Erasmus+ ali podobnih programov, da bi vključevali čezmejne pobude za usposabljanje na področju pripravljenosti za delavce v kritičnih sektorjih, kot so gasilci, zdravstveni delavci, prostovoljci na področju civilne zaščite, javni uslužbenci in predstavniki organizacij civilne družbe ter širša javnost; priporoča, naj ti programi spodbujajo čezmejno in medsektorsko izmenjavo znanja, skupne vaje in usposabljanje o hibridnih grožnjah in izrednih razmerah ter krepijo lokalne zmogljivosti za pripravljenost v vseh državah članicah, s posebnim poudarkom na ranljivih regijah;</w:t>
            </w:r>
          </w:p>
        </w:tc>
        <w:tc>
          <w:tcPr>
            <w:tcW w:w="4876" w:type="dxa"/>
            <w:tcBorders>
              <w:top w:val="nil"/>
              <w:left w:val="nil"/>
              <w:bottom w:val="nil"/>
              <w:right w:val="nil"/>
            </w:tcBorders>
          </w:tcPr>
          <w:p>
            <w:pPr>
              <w:pStyle w:val="Normal6a"/>
            </w:pPr>
            <w:r>
              <w:t>87.</w:t>
            </w:r>
            <w:r>
              <w:tab/>
            </w:r>
            <w:r>
              <w:t>poziva Komisijo, naj preuči možnost razširitve programa Erasmus+ ali podobnih programov, da bi vključevali čezmejne pobude za usposabljanje na področju pripravljenosti za delavce v kritičnih sektorjih, kot so gasilci, zdravstveni delavci, prostovoljci na področju civilne zaščite, javni uslužbenci in predstavniki organizacij civilne družbe ter širša javnost; priporoča, naj ti programi spodbujajo čezmejno in medsektorsko izmenjavo znanja, skupne vaje in usposabljanje o hibridnih grožnjah in izrednih razmerah</w:t>
            </w:r>
            <w:r>
              <w:rPr>
                <w:b/>
                <w:i/>
              </w:rPr>
              <w:t>, vključno s praktičnimi komponentami digitalne pismenosti in kibernetske higiene, na primer z ozaveščanjem o zvabljanju in socialnem inženiringu, varnih komunikacijah in prepoznavanju spletnega manipuliranja,</w:t>
            </w:r>
            <w:r>
              <w:t xml:space="preserve"> ter krepijo lokalne zmogljivosti za pripravljenost v vseh državah članicah, s posebnim poudarkom na ranljivih regijah;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rPr>
                <w:b/>
                <w:i/>
              </w:rPr>
              <w:t>poziva Komisijo, naj preuči</w:t>
            </w:r>
            <w:r>
              <w:t xml:space="preserve"> možnost razširitve programa Erasmus+ ali podobnih programov, </w:t>
            </w:r>
            <w:r>
              <w:rPr>
                <w:b/>
                <w:i/>
              </w:rPr>
              <w:t>da bi vključevali</w:t>
            </w:r>
            <w:r>
              <w:t xml:space="preserve"> čezmejne pobude za usposabljanje na področju pripravljenosti za delavce v kritičnih sektorjih, kot so gasilci, zdravstveni delavci, prostovoljci na področju civilne zaščite, javni uslužbenci in predstavniki organizacij civilne družbe ter širša javnost; priporoča, naj ti programi spodbujajo čezmejno in medsektorsko izmenjavo znanja, skupne vaje in usposabljanje o hibridnih grožnjah in izrednih razmerah ter krepijo lokalne zmogljivosti za pripravljenost v vseh državah članicah, s posebnim poudarkom na ranljivih regijah;</w:t>
            </w:r>
          </w:p>
        </w:tc>
        <w:tc>
          <w:tcPr>
            <w:tcW w:w="4876" w:type="dxa"/>
            <w:tcBorders>
              <w:top w:val="nil"/>
              <w:left w:val="nil"/>
              <w:bottom w:val="nil"/>
              <w:right w:val="nil"/>
            </w:tcBorders>
          </w:tcPr>
          <w:p>
            <w:pPr>
              <w:pStyle w:val="Normal6a"/>
            </w:pPr>
            <w:r>
              <w:t>87.</w:t>
            </w:r>
            <w:r>
              <w:tab/>
            </w:r>
            <w:r>
              <w:rPr>
                <w:b/>
                <w:i/>
              </w:rPr>
              <w:t>želi spomniti na</w:t>
            </w:r>
            <w:r>
              <w:t xml:space="preserve"> možnost razširitve </w:t>
            </w:r>
            <w:r>
              <w:rPr>
                <w:b/>
                <w:i/>
              </w:rPr>
              <w:t>in okrepitve</w:t>
            </w:r>
            <w:r>
              <w:t xml:space="preserve"> programa Erasmus+ ali podobnih programov, </w:t>
            </w:r>
            <w:r>
              <w:rPr>
                <w:b/>
                <w:i/>
              </w:rPr>
              <w:t>ki vključujejo</w:t>
            </w:r>
            <w:r>
              <w:t xml:space="preserve"> čezmejne pobude za usposabljanje na področju pripravljenosti za delavce v kritičnih sektorjih, kot so gasilci, zdravstveni delavci, prostovoljci na področju civilne zaščite, javni uslužbenci in predstavniki organizacij civilne družbe ter širša javnost; priporoča, naj ti programi spodbujajo čezmejno in medsektorsko izmenjavo znanja, skupne vaje in usposabljanje o hibridnih grožnjah in izrednih razmerah ter krepijo lokalne zmogljivosti za pripravljenost v vseh državah članicah, s posebnim poudarkom na ranljivih regijah; </w:t>
            </w:r>
            <w:r>
              <w:rPr>
                <w:b/>
                <w:i/>
              </w:rPr>
              <w:t>svari, da tovrstni ukrepi ne bi smeli povzročiti zmanjšanja sredstev, dodeljenih študentom;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1618</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poziva Komisijo, naj preuči možnost razširitve programa Erasmus+ ali podobnih programov, da bi vključevali čezmejne pobude za usposabljanje na področju pripravljenosti za delavce v kritičnih sektorjih, kot so gasilci, zdravstveni delavci, prostovoljci na področju civilne zaščite, javni uslužbenci in predstavniki organizacij civilne družbe ter širša javnost; priporoča, naj ti programi spodbujajo čezmejno in medsektorsko izmenjavo znanja, skupne vaje in usposabljanje o </w:t>
            </w:r>
            <w:r>
              <w:rPr>
                <w:b/>
                <w:i/>
              </w:rPr>
              <w:t>hibridnih</w:t>
            </w:r>
            <w:r>
              <w:t xml:space="preserve"> grožnjah in izrednih razmerah ter krepijo lokalne zmogljivosti za pripravljenost v vseh državah članicah, s posebnim poudarkom na ranljivih regijah;</w:t>
            </w:r>
          </w:p>
        </w:tc>
        <w:tc>
          <w:tcPr>
            <w:tcW w:w="4876" w:type="dxa"/>
            <w:tcBorders>
              <w:top w:val="nil"/>
              <w:left w:val="nil"/>
              <w:bottom w:val="nil"/>
              <w:right w:val="nil"/>
            </w:tcBorders>
          </w:tcPr>
          <w:p>
            <w:pPr>
              <w:pStyle w:val="Normal6a"/>
            </w:pPr>
            <w:r>
              <w:t>87.</w:t>
            </w:r>
            <w:r>
              <w:tab/>
            </w:r>
            <w:r>
              <w:t>poziva Komisijo, naj preuči možnost razširitve programa Erasmus+ ali podobnih programov, da bi vključevali čezmejne pobude za usposabljanje na področju pripravljenosti za delavce v kritičnih sektorjih, kot so gasilci, zdravstveni delavci, prostovoljci na področju civilne zaščite, javni uslužbenci in predstavniki organizacij civilne družbe ter širša javnost; priporoča, naj ti programi spodbujajo čezmejno in medsektorsko izmenjavo znanja, skupne vaje in usposabljanje o grožnjah in izrednih razmerah ter krepijo lokalne zmogljivosti za pripravljenost v vseh državah članicah, s posebnim poudarkom na ranljivih regijah;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1619</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87.</w:t>
            </w:r>
            <w:r>
              <w:tab/>
            </w:r>
            <w:r>
              <w:t xml:space="preserve">poziva Komisijo, naj preuči možnost razširitve programa Erasmus+ ali podobnih programov, da bi vključevali čezmejne pobude za usposabljanje na področju pripravljenosti za delavce v kritičnih sektorjih, kot so gasilci, zdravstveni delavci, prostovoljci na področju civilne zaščite, javni uslužbenci in </w:t>
            </w:r>
            <w:r>
              <w:rPr>
                <w:b/>
                <w:i/>
              </w:rPr>
              <w:t>predstavniki organizacij civilne družbe ter</w:t>
            </w:r>
            <w:r>
              <w:t xml:space="preserve"> širša javnost; priporoča, naj ti programi spodbujajo čezmejno in medsektorsko izmenjavo znanja, skupne vaje in usposabljanje o hibridnih grožnjah in izrednih razmerah ter krepijo lokalne zmogljivosti za pripravljenost v vseh državah članicah, s posebnim poudarkom na ranljivih regijah;</w:t>
            </w:r>
          </w:p>
        </w:tc>
        <w:tc>
          <w:tcPr>
            <w:tcW w:w="4876" w:type="dxa"/>
            <w:tcBorders>
              <w:top w:val="nil"/>
              <w:left w:val="nil"/>
              <w:bottom w:val="nil"/>
              <w:right w:val="nil"/>
            </w:tcBorders>
          </w:tcPr>
          <w:p>
            <w:pPr>
              <w:pStyle w:val="Normal6a"/>
            </w:pPr>
            <w:r>
              <w:t>87.</w:t>
            </w:r>
            <w:r>
              <w:tab/>
            </w:r>
            <w:r>
              <w:t xml:space="preserve">poziva Komisijo, naj preuči možnost razširitve programa Erasmus+ ali podobnih programov </w:t>
            </w:r>
            <w:r>
              <w:rPr>
                <w:b/>
                <w:i/>
              </w:rPr>
              <w:t>na študente, ki so evropski državljani</w:t>
            </w:r>
            <w:r>
              <w:t>, da bi vključevali čezmejne pobude za usposabljanje na področju pripravljenosti za delavce v kritičnih sektorjih, kot so gasilci, zdravstveni delavci, prostovoljci na področju civilne zaščite, javni uslužbenci in širša javnost; priporoča, naj ti programi spodbujajo čezmejno in medsektorsko izmenjavo znanja, skupne vaje in usposabljanje o hibridnih grožnjah in izrednih razmerah ter krepijo lokalne zmogljivosti za pripravljenost v vseh državah članicah, s posebnim poudarkom na ranljivih regijah;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1620</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poziva k pospešenemu uvajanju varnih komunikacijskih sistemov, kot sta IRIS² in evropski kritični komunikacijski sistem; poudarja, da te pobude zagotavljajo odpornost telekomunikacij, kontinuiteto osnovnih storitev v času kriz, zmanjšanje zunanjih odvisnosti v strateških sektorjih in okrepljeno kibernetsko varnost za te infrastrukture;</w:t>
            </w:r>
          </w:p>
        </w:tc>
        <w:tc>
          <w:tcPr>
            <w:tcW w:w="4876" w:type="dxa"/>
            <w:tcBorders>
              <w:top w:val="nil"/>
              <w:left w:val="nil"/>
              <w:bottom w:val="nil"/>
              <w:right w:val="nil"/>
            </w:tcBorders>
          </w:tcPr>
          <w:p>
            <w:pPr>
              <w:pStyle w:val="Normal6a"/>
            </w:pPr>
            <w:r>
              <w:t>88.</w:t>
            </w:r>
            <w:r>
              <w:tab/>
            </w:r>
            <w:r>
              <w:t xml:space="preserve">poziva k pospešenemu uvajanju varnih komunikacijskih sistemov, kot sta IRIS² in evropski kritični komunikacijski sistem; poudarja, da te pobude zagotavljajo odpornost telekomunikacij, kontinuiteto osnovnih storitev v času kriz, zmanjšanje zunanjih odvisnosti v strateških sektorjih in okrepljeno kibernetsko varnost za te infrastrukture; </w:t>
            </w:r>
            <w:r>
              <w:rPr>
                <w:b/>
                <w:i/>
              </w:rPr>
              <w:t>glede tega želi opozoriti, da je družba Salt Typhoon, povezana s Kitajsko, ciljala na evropska telekomunikacijska podjetja;</w:t>
            </w:r>
            <w:r>
              <w:t xml:space="preserve"> </w:t>
            </w:r>
            <w:r>
              <w:rPr>
                <w:b/>
                <w:i/>
              </w:rPr>
              <w:t>vztraja, da morajo podjetja povečati lastno kibernetsko varnost, da bi zagotovila digitalno varnost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poziva k pospešenemu uvajanju varnih komunikacijskih sistemov, kot sta IRIS² in evropski kritični komunikacijski sistem; poudarja, da te pobude zagotavljajo odpornost telekomunikacij, kontinuiteto osnovnih storitev v času kriz, zmanjšanje zunanjih odvisnosti v strateških sektorjih in okrepljeno kibernetsko varnost za te infrastrukture;</w:t>
            </w:r>
          </w:p>
        </w:tc>
        <w:tc>
          <w:tcPr>
            <w:tcW w:w="4876" w:type="dxa"/>
            <w:tcBorders>
              <w:top w:val="nil"/>
              <w:left w:val="nil"/>
              <w:bottom w:val="nil"/>
              <w:right w:val="nil"/>
            </w:tcBorders>
          </w:tcPr>
          <w:p>
            <w:pPr>
              <w:pStyle w:val="Normal6a"/>
            </w:pPr>
            <w:r>
              <w:t>88.</w:t>
            </w:r>
            <w:r>
              <w:tab/>
            </w:r>
            <w:r>
              <w:t>poziva k pospešenemu uvajanju varnih komunikacijskih sistemov, kot sta IRIS² in evropski kritični komunikacijski sistem</w:t>
            </w:r>
            <w:r>
              <w:rPr>
                <w:b/>
                <w:i/>
              </w:rPr>
              <w:t>, ob spoštovanju pristojnosti držav članic in učinkovitih rešitev, ki se v več državah članicah že dolgo uporabljajo in so bile preskušene v več krizah</w:t>
            </w:r>
            <w:r>
              <w:t>; poudarja, da te pobude zagotavljajo odpornost telekomunikacij, kontinuiteto osnovnih storitev v času kriz, zmanjšanje zunanjih odvisnosti v strateških sektorjih in okrepljeno kibernetsko varnost za te infrastrukture;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1622</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v imenu skupine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poziva k pospešenemu uvajanju varnih komunikacijskih sistemov, kot sta IRIS² in evropski kritični komunikacijski sistem; poudarja, da te pobude zagotavljajo odpornost telekomunikacij, kontinuiteto osnovnih storitev v času kriz, zmanjšanje zunanjih odvisnosti v strateških sektorjih in okrepljeno kibernetsko varnost za te infrastrukture;</w:t>
            </w:r>
          </w:p>
        </w:tc>
        <w:tc>
          <w:tcPr>
            <w:tcW w:w="4876" w:type="dxa"/>
            <w:tcBorders>
              <w:top w:val="nil"/>
              <w:left w:val="nil"/>
              <w:bottom w:val="nil"/>
              <w:right w:val="nil"/>
            </w:tcBorders>
          </w:tcPr>
          <w:p>
            <w:pPr>
              <w:pStyle w:val="Normal6a"/>
            </w:pPr>
            <w:r>
              <w:t>88.</w:t>
            </w:r>
            <w:r>
              <w:tab/>
            </w:r>
            <w:r>
              <w:t>poziva k pospešenemu uvajanju varnih komunikacijskih sistemov, kot sta IRIS² in evropski kritični komunikacijski sistem; poudarja, da te pobude zagotavljajo odpornost telekomunikacij, kontinuiteto osnovnih storitev v času kriz, zmanjšanje zunanjih odvisnosti v strateških sektorjih in okrepljeno kibernetsko varnost za te infrastrukture</w:t>
            </w:r>
            <w:r>
              <w:rPr>
                <w:b/>
                <w:i/>
              </w:rPr>
              <w:t> z usklajenimi odobritvami spektra, certificiranjem kibernetske varnosti in varnostnimi ukrepi za dobavno verigo IKT v skladu s predlogoma Komisije o aktu o digitalnih omrežjih in aktu o kibernetski varnosti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skladen, prožen in usklajen odziv na hibridne grožnje, izboljšujejo predvidevanje tveganj ter krepijo kolektivno pripravljenost in odpornost EU;</w:t>
            </w:r>
          </w:p>
        </w:tc>
        <w:tc>
          <w:tcPr>
            <w:tcW w:w="4876" w:type="dxa"/>
            <w:tcBorders>
              <w:top w:val="nil"/>
              <w:left w:val="nil"/>
              <w:bottom w:val="nil"/>
              <w:right w:val="nil"/>
            </w:tcBorders>
          </w:tcPr>
          <w:p>
            <w:pPr>
              <w:pStyle w:val="Normal6a"/>
            </w:pPr>
            <w:r>
              <w:t>89.</w:t>
            </w:r>
            <w:r>
              <w:tab/>
            </w:r>
            <w:r>
              <w:t xml:space="preserve">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skladen, prožen in usklajen odziv na hibridne grožnje, izboljšujejo predvidevanje tveganj ter krepijo kolektivno pripravljenost in odpornost EU; </w:t>
            </w:r>
            <w:r>
              <w:rPr>
                <w:b/>
                <w:i/>
              </w:rPr>
              <w:t>v zvezi s tem poudarja dodano vrednost, ki jo ima strukturirano sodelovanje z demokratičnimi partnerji, izpostavljenimi podobnim grožnjam, zlasti Tajvanom, ki ima bogate izkušnje z bojem proti kampanjam tujega manipuliranja z informacijami in vmešavanja, vključno s tistimi, ki so usmerjene proti volitvam in socialni koheziji;</w:t>
            </w:r>
            <w:r>
              <w:t xml:space="preserve"> </w:t>
            </w:r>
            <w:r>
              <w:rPr>
                <w:b/>
                <w:i/>
              </w:rPr>
              <w:t>priznava, da lahko tajvanski vsedružbeni pristop in dobra praksa prispevajo pomagajo povečati skupno situacijsko zavedanje, zmogljivosti zgodnjega opozarjanja in splošno učinkovitost evropskega ščita za demokracijo;</w:t>
            </w:r>
            <w:r>
              <w:t xml:space="preserve"> </w:t>
            </w:r>
            <w:r>
              <w:rPr>
                <w:b/>
                <w:i/>
              </w:rPr>
              <w:t>zato spodbuja EU in države članice, naj še naprej sodelujejo s Tajvanom pri krepitvi socialne odpornosti in boju proti tujemu manipuliranju z informacijami in vmešavanju;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skladen, prožen in usklajen odziv na hibridne grožnje, izboljšujejo predvidevanje tveganj ter krepijo kolektivno pripravljenost in odpornost EU;</w:t>
            </w:r>
          </w:p>
        </w:tc>
        <w:tc>
          <w:tcPr>
            <w:tcW w:w="4876" w:type="dxa"/>
            <w:tcBorders>
              <w:top w:val="nil"/>
              <w:left w:val="nil"/>
              <w:bottom w:val="nil"/>
              <w:right w:val="nil"/>
            </w:tcBorders>
          </w:tcPr>
          <w:p>
            <w:pPr>
              <w:pStyle w:val="Normal6a"/>
            </w:pPr>
            <w:r>
              <w:t>89.</w:t>
            </w:r>
            <w:r>
              <w:tab/>
            </w:r>
            <w:r>
              <w:t>poziva k okrepljenemu usklajevanju med institucijami, organi, uradi in agencijami EU, državami članicami in</w:t>
            </w:r>
            <w:r>
              <w:rPr>
                <w:b/>
                <w:i/>
              </w:rPr>
              <w:t> podobno mislečimi</w:t>
            </w:r>
            <w:r>
              <w:t xml:space="preserve"> mednarodnimi partnerji prek skupnih platform za situacijsko zavedanje, skupnih metodologij ter hitrih in varnih mehanizmov za izmenjavo informacij; poudarja, da ta orodja omogočajo skladen, prožen in usklajen odziv na hibridne grožnje, izboljšujejo predvidevanje tveganj ter krepijo kolektivno pripravljenost in odpornost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 xml:space="preserve">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w:t>
            </w:r>
            <w:r>
              <w:rPr>
                <w:b/>
                <w:i/>
              </w:rPr>
              <w:t>skladen, prožen in usklajen odziv na hibridne grožnje</w:t>
            </w:r>
            <w:r>
              <w:t>, izboljšujejo predvidevanje tveganj ter krepijo kolektivno pripravljenost in odpornost EU;</w:t>
            </w:r>
          </w:p>
        </w:tc>
        <w:tc>
          <w:tcPr>
            <w:tcW w:w="4876" w:type="dxa"/>
            <w:tcBorders>
              <w:top w:val="nil"/>
              <w:left w:val="nil"/>
              <w:bottom w:val="nil"/>
              <w:right w:val="nil"/>
            </w:tcBorders>
          </w:tcPr>
          <w:p>
            <w:pPr>
              <w:pStyle w:val="Normal6a"/>
            </w:pPr>
            <w:r>
              <w:t>89.</w:t>
            </w:r>
            <w:r>
              <w:tab/>
            </w:r>
            <w:r>
              <w:t xml:space="preserve">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w:t>
            </w:r>
            <w:r>
              <w:rPr>
                <w:b/>
                <w:i/>
              </w:rPr>
              <w:t>stalno izmenjavo informacij in primerov dobre prakse</w:t>
            </w:r>
            <w:r>
              <w:t>, izboljšujejo predvidevanje tveganj ter krepijo kolektivno pripravljenost in odpornost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89.</w:t>
            </w:r>
            <w:r>
              <w:tab/>
            </w:r>
            <w:r>
              <w:t xml:space="preserve">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skladen, prožen in usklajen odziv na </w:t>
            </w:r>
            <w:r>
              <w:rPr>
                <w:b/>
                <w:i/>
              </w:rPr>
              <w:t>hibridne</w:t>
            </w:r>
            <w:r>
              <w:t xml:space="preserve"> grožnje, izboljšujejo predvidevanje tveganj ter krepijo kolektivno pripravljenost in odpornost EU;</w:t>
            </w:r>
          </w:p>
        </w:tc>
        <w:tc>
          <w:tcPr>
            <w:tcW w:w="4876" w:type="dxa"/>
            <w:tcBorders>
              <w:top w:val="nil"/>
              <w:left w:val="nil"/>
              <w:bottom w:val="nil"/>
              <w:right w:val="nil"/>
            </w:tcBorders>
          </w:tcPr>
          <w:p>
            <w:pPr>
              <w:pStyle w:val="Normal6a"/>
            </w:pPr>
            <w:r>
              <w:t>89.</w:t>
            </w:r>
            <w:r>
              <w:tab/>
            </w:r>
            <w:r>
              <w:t xml:space="preserve">poziva k okrepljenemu usklajevanju med institucijami, organi, uradi in agencijami EU, državami članicami in mednarodnimi partnerji prek skupnih platform za situacijsko zavedanje, skupnih metodologij ter hitrih in varnih mehanizmov za izmenjavo informacij; poudarja, da ta orodja omogočajo skladen, prožen in usklajen odziv na </w:t>
            </w:r>
            <w:r>
              <w:rPr>
                <w:b/>
                <w:i/>
              </w:rPr>
              <w:t>različne</w:t>
            </w:r>
            <w:r>
              <w:t xml:space="preserve"> grožnje, izboljšujejo predvidevanje tveganj ter krepijo kolektivno pripravljenost in odpornost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89a.</w:t>
            </w:r>
            <w:r>
              <w:tab/>
            </w:r>
            <w:r>
              <w:rPr>
                <w:b/>
                <w:i/>
              </w:rPr>
              <w:t>poudarja, da sta pripravljenost in odpornost skupni odgovornosti, ki zahtevata družbeno udeležbo;</w:t>
            </w:r>
            <w:r>
              <w:t xml:space="preserve"> </w:t>
            </w:r>
            <w:r>
              <w:rPr>
                <w:b/>
                <w:i/>
              </w:rPr>
              <w:t>podpira razvoj vseevropskih orodij za pripravljenost, ki bodo opolnomočila državljane, hkrati pa spoštovala socialno vključenost, dostopnost in demokratične vrednote;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1628</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89a.</w:t>
            </w:r>
            <w:r>
              <w:tab/>
            </w:r>
            <w:r>
              <w:rPr>
                <w:b/>
                <w:i/>
              </w:rPr>
              <w:t>pozdravlja sodelovanje in odgovornost predsedstev Sveta Evropske unije v zvezi z bojem proti tujemu vmešavanju;</w:t>
            </w:r>
            <w:r>
              <w:t xml:space="preserve"> </w:t>
            </w:r>
            <w:r>
              <w:rPr>
                <w:b/>
                <w:i/>
              </w:rPr>
              <w:t>vendar jih poziva, naj vsakih šest mesecev ne ustvarjajo znova novih struktur in konceptov;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1629</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 xml:space="preserve">poudarja, da je treba </w:t>
            </w:r>
            <w:r>
              <w:rPr>
                <w:b/>
                <w:i/>
              </w:rPr>
              <w:t>pripravljenost vključiti v večletni finančni okvir za obdobje 2028–2034, da bi vzpostavili verodostojno odpornost in dosegli zadostno raven civilne in obrambne pripravljenosti;</w:t>
            </w:r>
            <w:r>
              <w:t xml:space="preserve"> </w:t>
            </w:r>
            <w:r>
              <w:rPr>
                <w:b/>
                <w:i/>
              </w:rPr>
              <w:t>poziva Komisijo, naj razvije ciljno usmerjene finančne instrumente, ki bodo združevali ustrezne instrumente na področju obrambe in civilne varnosti, kot sta instrument za obrambo Evrope in instrument za varovanje Evrope, da bi zagotovili zadostno in stabilno financiranje projektov za krepitev odpornosti, tehnoloških inovacij in zmogljivosti z dvojno rabo, pobud za civilno pripravljenost, zaščite kritične infrastrukture ter prizadevanj za krepitev industrijske in</w:t>
            </w:r>
            <w:r>
              <w:t xml:space="preserve"> tehnološke </w:t>
            </w:r>
            <w:r>
              <w:rPr>
                <w:b/>
                <w:i/>
              </w:rPr>
              <w:t>suverenosti EU</w:t>
            </w:r>
            <w:r>
              <w:t>; ugotavlja, da bi bilo treba pri namenskih tokovih financiranja dati prednost tudi lokalnim prizadevanjem za pripravljenost</w:t>
            </w:r>
            <w:r>
              <w:rPr>
                <w:b/>
                <w:i/>
              </w:rPr>
              <w:t>, zlasti na območjih, ki so najbolj izpostavljena ranljivostim in hibridnim grožnjam</w:t>
            </w:r>
            <w:r>
              <w:t>;</w:t>
            </w:r>
          </w:p>
        </w:tc>
        <w:tc>
          <w:tcPr>
            <w:tcW w:w="4876" w:type="dxa"/>
            <w:tcBorders>
              <w:top w:val="nil"/>
              <w:left w:val="nil"/>
              <w:bottom w:val="nil"/>
              <w:right w:val="nil"/>
            </w:tcBorders>
          </w:tcPr>
          <w:p>
            <w:pPr>
              <w:pStyle w:val="Normal6a"/>
            </w:pPr>
            <w:r>
              <w:t>90.</w:t>
            </w:r>
            <w:r>
              <w:tab/>
            </w:r>
            <w:r>
              <w:t xml:space="preserve">poudarja, da je treba </w:t>
            </w:r>
            <w:r>
              <w:rPr>
                <w:b/>
                <w:i/>
              </w:rPr>
              <w:t>zagotoviti in dodeliti sredstva za razvoj in nakup</w:t>
            </w:r>
            <w:r>
              <w:t xml:space="preserve"> tehnološke </w:t>
            </w:r>
            <w:r>
              <w:rPr>
                <w:b/>
                <w:i/>
              </w:rPr>
              <w:t>opreme za boj proti dezinformacijam in tujemu vmešavanju</w:t>
            </w:r>
            <w:r>
              <w:t>; ugotavlja, da bi bilo treba pri namenskih tokovih financiranja dati prednost tudi lokalnim prizadevanjem za pripravljenost;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poudarja, da je treba pripravljenost vključiti v večletni finančni okvir za obdobje 2028–2034, da bi vzpostavili verodostojno odpornost in dosegli zadostno raven civilne in obrambne pripravljenosti; poziva Komisijo, naj razvije ciljno usmerjene finančne instrumente, ki bodo združevali ustrezne instrumente na področju obrambe in civilne varnosti, kot sta instrument za obrambo Evrope in instrument za varovanje Evrope, da bi zagotovili zadostno in stabilno financiranje projektov za krepitev odpornosti, tehnoloških inovacij in zmogljivosti z dvojno rabo, pobud za civilno pripravljenost, zaščite kritične infrastrukture ter prizadevanj za krepitev industrijske in tehnološke suverenosti EU; ugotavlja, da bi bilo treba pri namenskih tokovih financiranja dati prednost tudi lokalnim prizadevanjem za pripravljenost, zlasti na območjih, ki so najbolj izpostavljena ranljivostim in hibridnim grožnjam;</w:t>
            </w:r>
          </w:p>
        </w:tc>
        <w:tc>
          <w:tcPr>
            <w:tcW w:w="4876" w:type="dxa"/>
            <w:tcBorders>
              <w:top w:val="nil"/>
              <w:left w:val="nil"/>
              <w:bottom w:val="nil"/>
              <w:right w:val="nil"/>
            </w:tcBorders>
          </w:tcPr>
          <w:p>
            <w:pPr>
              <w:pStyle w:val="Normal6a"/>
            </w:pPr>
            <w:r>
              <w:t>90.</w:t>
            </w:r>
            <w:r>
              <w:tab/>
            </w:r>
            <w:r>
              <w:t xml:space="preserve">poudarja, da je treba pripravljenost vključiti v večletni finančni okvir za obdobje 2028–2034, da bi vzpostavili verodostojno odpornost in dosegli zadostno raven civilne in obrambne pripravljenosti; poziva Komisijo, naj razvije ciljno usmerjene finančne instrumente, ki bodo združevali ustrezne instrumente na področju obrambe in civilne varnosti, kot sta instrument za obrambo Evrope in instrument za varovanje Evrope, da bi zagotovili zadostno in stabilno financiranje projektov za krepitev odpornosti, tehnoloških inovacij in zmogljivosti z dvojno rabo, pobud za civilno pripravljenost, zaščite kritične infrastrukture ter prizadevanj za krepitev industrijske in tehnološke suverenosti EU; ugotavlja, da bi bilo treba pri namenskih tokovih financiranja dati prednost tudi lokalnim prizadevanjem za pripravljenost, zlasti na območjih, ki so najbolj izpostavljena ranljivostim in hibridnim </w:t>
            </w:r>
            <w:r>
              <w:rPr>
                <w:b/>
                <w:i/>
              </w:rPr>
              <w:t>ter informacijskim</w:t>
            </w:r>
            <w:r>
              <w:t xml:space="preserve">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 xml:space="preserve">poudarja, da je treba pripravljenost vključiti v večletni finančni okvir za obdobje 2028–2034, da bi vzpostavili verodostojno odpornost in dosegli zadostno raven civilne in obrambne pripravljenosti; poziva Komisijo, naj razvije ciljno usmerjene finančne instrumente, ki bodo združevali ustrezne instrumente na področju obrambe in civilne varnosti, kot sta instrument za obrambo Evrope in instrument za varovanje Evrope, da bi zagotovili zadostno in stabilno financiranje projektov za krepitev odpornosti, tehnoloških inovacij in zmogljivosti z dvojno rabo, pobud za civilno pripravljenost, zaščite kritične infrastrukture ter prizadevanj za krepitev industrijske in tehnološke suverenosti EU; ugotavlja, da bi bilo treba pri namenskih tokovih financiranja dati prednost tudi lokalnim prizadevanjem za pripravljenost, zlasti na območjih, ki so najbolj izpostavljena ranljivostim in </w:t>
            </w:r>
            <w:r>
              <w:rPr>
                <w:b/>
                <w:i/>
              </w:rPr>
              <w:t>hibridnim</w:t>
            </w:r>
            <w:r>
              <w:t xml:space="preserve"> grožnjam;</w:t>
            </w:r>
          </w:p>
        </w:tc>
        <w:tc>
          <w:tcPr>
            <w:tcW w:w="4876" w:type="dxa"/>
            <w:tcBorders>
              <w:top w:val="nil"/>
              <w:left w:val="nil"/>
              <w:bottom w:val="nil"/>
              <w:right w:val="nil"/>
            </w:tcBorders>
          </w:tcPr>
          <w:p>
            <w:pPr>
              <w:pStyle w:val="Normal6a"/>
            </w:pPr>
            <w:r>
              <w:t>90.</w:t>
            </w:r>
            <w:r>
              <w:tab/>
            </w:r>
            <w:r>
              <w:t>poudarja, da je treba pripravljenost vključiti v večletni finančni okvir za obdobje 2028–2034, da bi vzpostavili verodostojno odpornost in dosegli zadostno raven civilne in obrambne pripravljenosti; poziva Komisijo, naj razvije ciljno usmerjene finančne instrumente, ki bodo združevali ustrezne instrumente na področju obrambe in civilne varnosti, kot sta instrument za obrambo Evrope in instrument za varovanje Evrope, da bi zagotovili zadostno in stabilno financiranje projektov za krepitev odpornosti, tehnoloških inovacij in zmogljivosti z dvojno rabo, pobud za civilno pripravljenost, zaščite kritične infrastrukture ter prizadevanj za krepitev industrijske in tehnološke suverenosti EU; ugotavlja, da bi bilo treba pri namenskih tokovih financiranja dati prednost tudi lokalnim prizadevanjem za pripravljenost, zlasti na območjih, ki so najbolj izpostavljena ranljivostim in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1632</w:t>
      </w:r>
      <w:r>
        <w:rPr>
          <w:rStyle w:val="HideTWBExt"/>
        </w:rPr>
        <w:t>&lt;/NumAm&gt;</w:t>
      </w:r>
    </w:p>
    <w:p>
      <w:pPr>
        <w:pStyle w:val="NormalBold"/>
      </w:pPr>
      <w:r>
        <w:rPr>
          <w:rStyle w:val="HideTWBExt"/>
          <w:b w:val="0"/>
        </w:rPr>
        <w:t>&lt;RepeatBlock-By&gt;</w:t>
      </w:r>
      <w:r>
        <w:rPr>
          <w:rStyle w:val="HideTWBExt"/>
          <w:b w:val="0"/>
        </w:rPr>
        <w:t>&lt;Members&gt;</w:t>
      </w:r>
      <w:r>
        <w:t>Eszter Lakos, Ana Miguel Pedro, Tomas Tobé, Mika Aaltola,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90a.</w:t>
            </w:r>
            <w:r>
              <w:tab/>
            </w:r>
            <w:r>
              <w:rPr>
                <w:b/>
                <w:i/>
              </w:rPr>
              <w:t>poziva k pripravi javno dostopnega letnega poročila o dejavnostih na ravni EU.</w:t>
            </w:r>
            <w:r>
              <w:t xml:space="preserve"> </w:t>
            </w:r>
            <w:r>
              <w:rPr>
                <w:b/>
                <w:i/>
              </w:rPr>
              <w:t>Poročilo naj vsebuje strukturiran pregled pripravljenosti držav članic na hibridne grožnje, vključno z njihovimi institucionalnimi okviri, strateškimi zmogljivostmi, preventivnimi ukrepi, mehanizmi za odzivanje in preostalimi ranljivostmi;</w:t>
            </w:r>
            <w:r>
              <w:t xml:space="preserve"> </w:t>
            </w:r>
            <w:r>
              <w:rPr>
                <w:b/>
                <w:i/>
              </w:rPr>
              <w:t>poudarja, da bi moralo to poročilo na jasen in dostopen način predstaviti splošno stanje pripravljenosti po vsej Uniji, trende skozi čas in opredeljene ključne izzive, pri tem pa upoštevati vidike nacionalne varnosti;</w:t>
            </w:r>
            <w:r>
              <w:t xml:space="preserve"> </w:t>
            </w:r>
            <w:r>
              <w:rPr>
                <w:b/>
                <w:i/>
              </w:rPr>
              <w:t>poudarja, da bi moralo letno poročilo o dejavnostih služiti kot vmesnik za obveščanje javnosti, ki bo državljanom omogočil, da bodo razumeli, kako so demokratične institucije in kritični sistemi zaščiteni pred hibridnimi napadi;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90a.</w:t>
            </w:r>
            <w:r>
              <w:tab/>
            </w:r>
            <w:r>
              <w:rPr>
                <w:b/>
                <w:i/>
              </w:rPr>
              <w:t>pozdravlja civilne pobude in pogum za podporo obrambnim prizadevanjem EU v varnem okolju s prevzemanjem pobud in odkrivanjem nezakonitih dejavnosti z obveščevalnimi podatki iz javnih virov (OSINT);</w:t>
            </w:r>
            <w:r>
              <w:t xml:space="preserve"> </w:t>
            </w:r>
            <w:r>
              <w:rPr>
                <w:b/>
                <w:i/>
              </w:rPr>
              <w:t>pozdravlja pogum sedmih nemških študentov in njihovega vodje ekipe, ki so odkrili, izsledili in inkriminirali rusko ladjo, ki je skrivoma pošiljala izvidniške brezpilotne zrakoplove nad Nemčijo;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90b.</w:t>
            </w:r>
            <w:r>
              <w:tab/>
            </w:r>
            <w:r>
              <w:rPr>
                <w:b/>
                <w:i/>
              </w:rPr>
              <w:t>poudarja, da so potrebne naložbe v raziskovalne in analitične mreže obveščevalnih podatkov iz javnih virov, ter njihovo vlogo v boju proti operacijam vplivanja, tujemu manipuliranju z informacijami in vmešavanju ter hibridnim grožnjam;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1635</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w:t>
            </w:r>
            <w:r>
              <w:rPr>
                <w:b/>
                <w:i/>
              </w:rPr>
              <w:t>;</w:t>
            </w:r>
            <w:r>
              <w:t xml:space="preserve"> </w:t>
            </w:r>
            <w:r>
              <w:rPr>
                <w:b/>
                <w:i/>
              </w:rPr>
              <w:t>poziva institucije EU, pristojne za sprejemanje odločitev, naj grožnje tretjih držav z uporabo sile in iredentistične zahtevke proti državam članicam obravnavajo kot hibridno grožnjo kolektivni varnosti in blaginji Unije, ki lahko vpliva tudi na javno mnenje, volilno vedenje in demokratične procese</w:t>
            </w:r>
            <w:r>
              <w:t>;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 xml:space="preserve">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w:t>
            </w:r>
            <w:r>
              <w:rPr>
                <w:b/>
                <w:i/>
              </w:rPr>
              <w:t>poudarja, da hibridne grožnje tudi zunaj odprtega vojaškega konflikta še naprej predstavljajo vse večje tveganje za vsakodnevno delovanje EU;</w:t>
            </w:r>
          </w:p>
        </w:tc>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1637</w:t>
      </w:r>
      <w:r>
        <w:rPr>
          <w:rStyle w:val="HideTWBExt"/>
        </w:rPr>
        <w:t>&lt;/NumAm&gt;</w:t>
      </w:r>
    </w:p>
    <w:p>
      <w:pPr>
        <w:pStyle w:val="NormalBold"/>
      </w:pPr>
      <w:r>
        <w:rPr>
          <w:rStyle w:val="HideTWBExt"/>
          <w:b w:val="0"/>
        </w:rPr>
        <w:t>&lt;RepeatBlock-By&gt;</w:t>
      </w:r>
      <w:r>
        <w:rPr>
          <w:rStyle w:val="HideTWBExt"/>
          <w:b w:val="0"/>
        </w:rPr>
        <w:t>&lt;Members&gt;</w:t>
      </w:r>
      <w:r>
        <w:t>Tomáš Zdechovský, Lukas Mandl, Sandra Kalniete, Dan-Ştefan Motreanu, Marta Wcisło, Andrey Kovatchev, Tomas Tobé, 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c>
          <w:tcPr>
            <w:tcW w:w="4876" w:type="dxa"/>
            <w:tcBorders>
              <w:top w:val="nil"/>
              <w:left w:val="nil"/>
              <w:bottom w:val="nil"/>
              <w:right w:val="nil"/>
            </w:tcBorders>
          </w:tcPr>
          <w:p>
            <w:pPr>
              <w:pStyle w:val="Normal6a"/>
            </w:pPr>
            <w:r>
              <w:t>91.</w:t>
            </w:r>
            <w:r>
              <w:tab/>
            </w:r>
            <w:r>
              <w:t xml:space="preserve">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w:t>
            </w:r>
            <w:r>
              <w:rPr>
                <w:b/>
                <w:i/>
              </w:rPr>
              <w:t>tudi z učinkovitim preiskovanjem in pregonom takih kršitev, </w:t>
            </w:r>
            <w:r>
              <w:t>zlasti v okviru povečanega tveganja za vohunjenje in sabotaže; poudarja, da hibridne grožnje tudi zunaj odprtega vojaškega konflikta še naprej predstavljajo vse večje tveganje za vsakodnevno delovanje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w:t>
            </w:r>
            <w:r>
              <w:rPr>
                <w:b/>
                <w:i/>
              </w:rPr>
              <w:t>, tudi z uporabo člena 42(7) PEU</w:t>
            </w:r>
            <w:r>
              <w:t>;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priporoča, naj institucije EU, pristojne za sprejemanje odločitev,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c>
          <w:tcPr>
            <w:tcW w:w="4876" w:type="dxa"/>
            <w:tcBorders>
              <w:top w:val="nil"/>
              <w:left w:val="nil"/>
              <w:bottom w:val="nil"/>
              <w:right w:val="nil"/>
            </w:tcBorders>
          </w:tcPr>
          <w:p>
            <w:pPr>
              <w:pStyle w:val="Normal6a"/>
            </w:pPr>
            <w:r>
              <w:t>91.</w:t>
            </w:r>
            <w:r>
              <w:tab/>
            </w:r>
            <w:r>
              <w:t xml:space="preserve">priporoča, naj institucije EU, pristojne za sprejemanje odločitev, </w:t>
            </w:r>
            <w:r>
              <w:rPr>
                <w:b/>
                <w:i/>
              </w:rPr>
              <w:t>v tesnem sodelovanju z državami članicami</w:t>
            </w:r>
            <w:r>
              <w:t xml:space="preserve"> pregledajo in optimizirajo svoje strategije in načrte ukrepov ob nepredvidljivih dogodkih v primeru odprtega vojaškega konflikta z eno ali več državami članicami in podobnih kriznih scenarijev; poleg tega poudarja, da je treba zagotoviti najvišjo raven varnosti in zaščite v vseh institucijah, organih, uradih in agencijah EU, tudi na področju kibernetske varnosti ter varnosti in celovitosti informacij, ter v zvezi s tem ustvariti potrebne pogoje, vključno z zagotavljanjem akreditiranih varnih komunikacijskih kanalov in ustreznih sejnih sob za sestanke za zaprtimi vrati; poudarja, da je treba dosledno izvajati pravila o kršitvah informacijske varnosti in zaupnosti, zlasti v okviru povečanega tveganja za vohunjenje in sabotaže; poudarja, da hibridne grožnje tudi zunaj odprtega vojaškega konflikta še naprej predstavljajo vse večje tveganje za vsakodnevno delovanje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91a.</w:t>
            </w:r>
            <w:r>
              <w:tab/>
            </w:r>
            <w:r>
              <w:rPr>
                <w:b/>
                <w:i/>
              </w:rPr>
              <w:t>poudarja, da se morajo prizadevanja za boj proti dezinformacijam, tujemu manipuliranju z informacijami in vmešavanju ter operacijam vplivanja na splošno osredotočiti na sistematično motenje teh groženj z obravnavanjem taktik, akterjev groženj in sistemskih tveganj;</w:t>
            </w:r>
            <w:r>
              <w:t xml:space="preserve"> </w:t>
            </w:r>
            <w:r>
              <w:rPr>
                <w:b/>
                <w:i/>
              </w:rPr>
              <w:t>ugotavlja, da bi se morali programi za boj proti manipulaciji z informacijami osredotočati na dejavno motenje informacijskih groženj;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92.</w:t>
            </w:r>
            <w:r>
              <w:tab/>
            </w:r>
            <w:r>
              <w:t>pozdravlja prizadevanja Komisije za krepitev fizične in informacijske varnosti v institucijah EU, kot je navedeno v obvestilu internega upravnega odbora iz oktobra 2025, vključno z načrti za varne sejne sobe, okrepljenimi postopki za varnostno preverjanje osebja, ki ravna s tajnimi podatki, in ustanovitvijo kolegija za varnost, da bi zagotovili redno in sprotno obveščanje o razvoju groženj; ugotavlja, da se ti ukrepi odzivajo na povečana tveganja zaradi vohunjenja, tujega vmešavanja in hibridnih groženj, usmerjenih v postopke odločanja v EU; vendar poudarja, da je treba nadgradnje fizične varnosti dopolniti z robustnimi protokoli za kibernetsko varnost in protiobveščevalnimi zmogljivostmi za obravnavo celotnega spektra tveganj infiltracije; poziva k hitremu sprejetju predloga Komisije za uredbo o informacijski varnosti v institucijah, organih, uradih in agencijah Unije (COM(2022)0119); opozarja, da uredba o kibernetski varnosti za institucije, organe, urade in agencije EU priporoča proračun za kibernetsko varnost v višini 10 % celotnega proračuna za informacijsko in komunikacijsko tehnologijo za subjekte EU;</w:t>
            </w:r>
          </w:p>
        </w:tc>
        <w:tc>
          <w:tcPr>
            <w:tcW w:w="4876" w:type="dxa"/>
            <w:tcBorders>
              <w:top w:val="nil"/>
              <w:left w:val="nil"/>
              <w:bottom w:val="nil"/>
              <w:right w:val="nil"/>
            </w:tcBorders>
          </w:tcPr>
          <w:p>
            <w:pPr>
              <w:pStyle w:val="Normal6a"/>
            </w:pPr>
            <w:r>
              <w:t>92.</w:t>
            </w:r>
            <w:r>
              <w:tab/>
            </w:r>
            <w:r>
              <w:t xml:space="preserve">pozdravlja prizadevanja Komisije za krepitev fizične in informacijske varnosti v institucijah EU, kot je navedeno v obvestilu internega upravnega odbora iz oktobra 2025, vključno z načrti za varne sejne sobe, okrepljenimi postopki za varnostno preverjanje osebja, ki ravna s tajnimi podatki, in ustanovitvijo kolegija za varnost, da bi zagotovili redno in sprotno obveščanje o razvoju groženj; ugotavlja, da se ti ukrepi odzivajo na povečana tveganja zaradi vohunjenja, tujega vmešavanja in hibridnih groženj, usmerjenih v postopke odločanja v EU; vendar poudarja, da je treba nadgradnje fizične varnosti dopolniti z robustnimi protokoli za kibernetsko varnost in protiobveščevalnimi zmogljivostmi za obravnavo celotnega spektra tveganj infiltracije; poziva k hitremu sprejetju predloga Komisije za uredbo o informacijski varnosti v institucijah, organih, uradih in agencijah Unije (COM(2022)0119); opozarja, da uredba o kibernetski varnosti za institucije, organe, urade in agencije EU priporoča proračun za kibernetsko varnost v višini 10 % celotnega proračuna za informacijsko in komunikacijsko tehnologijo za subjekte EU; </w:t>
            </w:r>
            <w:r>
              <w:rPr>
                <w:b/>
                <w:i/>
              </w:rPr>
              <w:t>pozdravlja delo skupine CERT-EU in vztraja, da ji je treba zagotoviti zadosten proračun in ustrezno osebje;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92.</w:t>
            </w:r>
            <w:r>
              <w:tab/>
            </w:r>
            <w:r>
              <w:t xml:space="preserve">pozdravlja prizadevanja Komisije za krepitev fizične in informacijske varnosti v institucijah EU, kot je navedeno v obvestilu internega upravnega odbora iz oktobra 2025, vključno z načrti za varne sejne sobe, okrepljenimi postopki za varnostno preverjanje osebja, ki ravna s tajnimi podatki, in ustanovitvijo kolegija za varnost, da bi zagotovili redno in sprotno obveščanje o razvoju groženj; ugotavlja, da se ti ukrepi odzivajo na povečana tveganja zaradi vohunjenja, tujega vmešavanja in </w:t>
            </w:r>
            <w:r>
              <w:rPr>
                <w:b/>
                <w:i/>
              </w:rPr>
              <w:t>hibridnih</w:t>
            </w:r>
            <w:r>
              <w:t xml:space="preserve"> groženj, usmerjenih v postopke odločanja v EU; vendar poudarja, da je treba nadgradnje fizične varnosti dopolniti z robustnimi protokoli za kibernetsko varnost in protiobveščevalnimi zmogljivostmi za obravnavo celotnega spektra tveganj infiltracije; poziva k hitremu sprejetju predloga Komisije za uredbo o informacijski varnosti v institucijah, organih, uradih in agencijah Unije (COM(2022)0119); opozarja, da uredba o kibernetski varnosti za institucije, organe, urade in agencije EU priporoča proračun za kibernetsko varnost v višini 10 % celotnega proračuna za informacijsko in komunikacijsko tehnologijo za subjekte EU;</w:t>
            </w:r>
          </w:p>
        </w:tc>
        <w:tc>
          <w:tcPr>
            <w:tcW w:w="4876" w:type="dxa"/>
            <w:tcBorders>
              <w:top w:val="nil"/>
              <w:left w:val="nil"/>
              <w:bottom w:val="nil"/>
              <w:right w:val="nil"/>
            </w:tcBorders>
          </w:tcPr>
          <w:p>
            <w:pPr>
              <w:pStyle w:val="Normal6a"/>
            </w:pPr>
            <w:r>
              <w:t>92.</w:t>
            </w:r>
            <w:r>
              <w:tab/>
            </w:r>
            <w:r>
              <w:t>pozdravlja prizadevanja Komisije za krepitev fizične in informacijske varnosti v institucijah EU, kot je navedeno v obvestilu internega upravnega odbora iz oktobra 2025, vključno z načrti za varne sejne sobe, okrepljenimi postopki za varnostno preverjanje osebja, ki ravna s tajnimi podatki, in ustanovitvijo kolegija za varnost, da bi zagotovili redno in sprotno obveščanje o razvoju groženj; ugotavlja, da se ti ukrepi odzivajo na povečana tveganja zaradi vohunjenja, tujega vmešavanja in groženj, usmerjenih v postopke odločanja v EU; vendar poudarja, da je treba nadgradnje fizične varnosti dopolniti z robustnimi protokoli za kibernetsko varnost in protiobveščevalnimi zmogljivostmi za obravnavo celotnega spektra tveganj infiltracije; poziva k hitremu sprejetju predloga Komisije za uredbo o informacijski varnosti v institucijah, organih, uradih in agencijah Unije (COM(2022)0119); opozarja, da uredba o kibernetski varnosti za institucije, organe, urade in agencije EU priporoča proračun za kibernetsko varnost v višini 10 % celotnega proračuna za informacijsko in komunikacijsko tehnologijo za subjekte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92a.</w:t>
            </w:r>
            <w:r>
              <w:tab/>
            </w:r>
            <w:r>
              <w:rPr>
                <w:b/>
                <w:i/>
              </w:rPr>
              <w:t>poziva Komisijo, države članice in Evropski parlament, naj začnejo postopek letnega pregleda ščita za demokracijo, da bi zagotovili izpolnjevanje zavez, učinkovito izvajanje in dosledno povečevanje ambicij;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92b.</w:t>
            </w:r>
            <w:r>
              <w:tab/>
            </w:r>
            <w:r>
              <w:rPr>
                <w:b/>
                <w:i/>
              </w:rPr>
              <w:t>meni, da je za nadzor učinkovitega izvajanja ščita EU za demokracijo potreben Posebni odbor za ščit EU za demokracijo ali pa je treba ustanoviti medodborno delovno skupino, ki bo spremljala izvajanje tega ščita;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1645</w:t>
      </w:r>
      <w:r>
        <w:rPr>
          <w:rStyle w:val="HideTWBExt"/>
        </w:rPr>
        <w:t>&lt;/NumAm&gt;</w:t>
      </w:r>
    </w:p>
    <w:p>
      <w:pPr>
        <w:pStyle w:val="NormalBold"/>
      </w:pPr>
      <w:r>
        <w:rPr>
          <w:rStyle w:val="HideTWBExt"/>
          <w:b w:val="0"/>
        </w:rPr>
        <w:t>&lt;RepeatBlock-By&gt;</w:t>
      </w:r>
      <w:r>
        <w:rPr>
          <w:rStyle w:val="HideTWBExt"/>
          <w:b w:val="0"/>
        </w:rPr>
        <w:t>&lt;Members&gt;</w:t>
      </w:r>
      <w:r>
        <w:t>Nathalie Loiseau,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93a.</w:t>
            </w:r>
            <w:r>
              <w:tab/>
            </w:r>
            <w:r>
              <w:rPr>
                <w:b/>
                <w:i/>
              </w:rPr>
              <w:t>znova priporoča, naj se zagotovi ustrezno varnostno preverjanje za uradnike Parlamenta in uslužbence političnih skupin ter oceni, kdaj je potrebno varnostno preverjanje za akreditirane parlamentarne pomočnike, kadar se ukvarjajo z zunanjimi zadevami, varnostjo, obrambo ali trgovino, kakršnega imajo na generalnem sekretariatu Sveta EU;</w:t>
            </w:r>
            <w:r>
              <w:t xml:space="preserve"> </w:t>
            </w:r>
            <w:r>
              <w:rPr>
                <w:b/>
                <w:i/>
              </w:rPr>
              <w:t>zato poziva k ustreznemu sodelovanju z nacionalnimi varnostnimi službami, da bi zagotovili hitro izvajanje varnostnega preverjanja;</w:t>
            </w:r>
            <w:r>
              <w:t xml:space="preserve"> </w:t>
            </w:r>
            <w:r>
              <w:rPr>
                <w:b/>
                <w:i/>
              </w:rPr>
              <w:t>poziva nacionalne organe, naj se držijo postopkov in skupnega časovnega okvira, kadar morajo varnostno preveriti poslance in uslužbence Evropskega parlamenta, pa tudi druge osebe, povezane z institucijami EU;</w:t>
            </w:r>
            <w:r>
              <w:t xml:space="preserve"> </w:t>
            </w:r>
            <w:r>
              <w:rPr>
                <w:b/>
                <w:i/>
              </w:rPr>
              <w:t>priporoča, naj se občutljivi sestanki organizirajo le s poslanci in osebjem, ki so pridobili varnostno dovoljenje;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1646</w:t>
      </w:r>
      <w:r>
        <w:rPr>
          <w:rStyle w:val="HideTWBExt"/>
        </w:rPr>
        <w:t>&lt;/NumAm&gt;</w:t>
      </w:r>
    </w:p>
    <w:p>
      <w:pPr>
        <w:pStyle w:val="NormalBold"/>
      </w:pPr>
      <w:r>
        <w:rPr>
          <w:rStyle w:val="HideTWBExt"/>
          <w:b w:val="0"/>
        </w:rPr>
        <w:t>&lt;RepeatBlock-By&gt;</w:t>
      </w:r>
      <w:r>
        <w:rPr>
          <w:rStyle w:val="HideTWBExt"/>
          <w:b w:val="0"/>
        </w:rPr>
        <w:t>&lt;Members&gt;</w:t>
      </w:r>
      <w:r>
        <w:t>Nathalie Loiseau,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93b.</w:t>
            </w:r>
            <w:r>
              <w:tab/>
            </w:r>
            <w:r>
              <w:rPr>
                <w:b/>
                <w:i/>
              </w:rPr>
              <w:t>je zaskrbljen zaradi povezav nekaterih poslancev Evropskega parlamenta z režimi, ki se odkrito vmešavajo v demokratične procese v Evropi in državah članicah;</w:t>
            </w:r>
            <w:r>
              <w:t xml:space="preserve"> </w:t>
            </w:r>
            <w:r>
              <w:rPr>
                <w:b/>
                <w:i/>
              </w:rPr>
              <w:t>ugotavlja, da občutljive seje in uradna misija Evropskega parlamenta v tujini ne bi smele biti odprte za poslance Evropskega parlamenta, ki izražajo podporo državam, ki so odkrito sovražne do EU in se vmešavajo v njene notranje zadeve;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1647</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 xml:space="preserve">v okviru notranje varnosti Parlamenta ugotavlja, da zasebni mobilni telefoni in druge naprave, kot so prenosni računalniki, ki jih poslanci in osebje uporabljajo za službene namene, predstavljajo ranljivost, ki bi jo bilo mogoče izkoristiti za napad na institucijo; poudarja, da bi morali biti poslanci in osebje za opravljanje svojih nalog opremljeni z ustreznimi </w:t>
            </w:r>
            <w:r>
              <w:rPr>
                <w:b/>
                <w:i/>
              </w:rPr>
              <w:t>informacijskimi</w:t>
            </w:r>
            <w:r>
              <w:t xml:space="preserve"> napravami, kot so mobilni telefoni in prenosni računalniki; v zvezi s tem pozdravlja varnostne preglede, ki so poslancem in osebju na voljo na njihovo zahtevo, da se odkrije morebitna vohunska programska oprema na zasebnih napravah; poziva upravo, naj ta pregled razširi in sistematizira, da bo zajemal vse naprave, ki se uporabljajo za delo, povezano s Parlamentom; poziva k jasnejšim pravilom ter sistematičnim in ustreznim smernicam za poslance in osebje ter k zaščitnim ukrepom za ublažitev teh tveganj, zlasti med misijami;</w:t>
            </w:r>
          </w:p>
        </w:tc>
        <w:tc>
          <w:tcPr>
            <w:tcW w:w="4876" w:type="dxa"/>
            <w:tcBorders>
              <w:top w:val="nil"/>
              <w:left w:val="nil"/>
              <w:bottom w:val="nil"/>
              <w:right w:val="nil"/>
            </w:tcBorders>
          </w:tcPr>
          <w:p>
            <w:pPr>
              <w:pStyle w:val="Normal6a"/>
            </w:pPr>
            <w:r>
              <w:t>94.</w:t>
            </w:r>
            <w:r>
              <w:tab/>
            </w:r>
            <w:r>
              <w:t xml:space="preserve">v okviru notranje varnosti Parlamenta ugotavlja, da zasebni mobilni telefoni in druge naprave, kot so prenosni računalniki, ki jih poslanci in osebje uporabljajo za službene namene, predstavljajo ranljivost, ki bi jo bilo mogoče izkoristiti za napad na institucijo; poudarja, da bi morali biti poslanci in osebje za opravljanje svojih nalog opremljeni z ustreznimi napravami </w:t>
            </w:r>
            <w:r>
              <w:rPr>
                <w:b/>
                <w:i/>
              </w:rPr>
              <w:t>IT</w:t>
            </w:r>
            <w:r>
              <w:t>, kot so mobilni telefoni in prenosni računalniki</w:t>
            </w:r>
            <w:r>
              <w:rPr>
                <w:b/>
                <w:i/>
              </w:rPr>
              <w:t>, vključno z varno internetno povezljivostjo, ki jim omogoča spletno delo med potovanjem v tujini, če je to potrebno za opravljanje njihovih nalog</w:t>
            </w:r>
            <w:r>
              <w:t>; v zvezi s tem pozdravlja varnostne preglede, ki so poslancem in osebju na voljo na njihovo zahtevo, da se odkrije morebitna vohunska programska oprema na zasebnih napravah; poziva upravo, naj ta pregled razširi in sistematizira, da bo zajemal vse naprave, ki se uporabljajo za delo, povezano s Parlamentom; poziva k jasnejšim pravilom ter sistematičnim in ustreznim smernicam za poslance in osebje ter k zaščitnim ukrepom za ublažitev teh tveganj, zlasti med misijami;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 xml:space="preserve">v okviru notranje varnosti Parlamenta ugotavlja, da zasebni mobilni telefoni in druge naprave, kot so prenosni računalniki, ki jih poslanci in osebje uporabljajo za službene namene, predstavljajo ranljivost, ki bi jo bilo mogoče izkoristiti za napad na institucijo; poudarja, da bi morali biti poslanci in osebje za opravljanje svojih nalog opremljeni z ustreznimi </w:t>
            </w:r>
            <w:r>
              <w:rPr>
                <w:b/>
                <w:i/>
              </w:rPr>
              <w:t>informacijskimi</w:t>
            </w:r>
            <w:r>
              <w:t xml:space="preserve"> napravami, kot so mobilni telefoni in prenosni računalniki; v zvezi s tem pozdravlja varnostne preglede, ki so poslancem in osebju na voljo na njihovo zahtevo, da se odkrije morebitna vohunska programska oprema na zasebnih napravah; poziva upravo, naj ta pregled razširi in sistematizira, da bo zajemal vse naprave, ki se uporabljajo za delo, povezano s Parlamentom; poziva k jasnejšim pravilom ter sistematičnim in ustreznim smernicam za poslance in osebje ter k zaščitnim ukrepom za ublažitev teh tveganj, zlasti med misijami;</w:t>
            </w:r>
          </w:p>
        </w:tc>
        <w:tc>
          <w:tcPr>
            <w:tcW w:w="4876" w:type="dxa"/>
            <w:tcBorders>
              <w:top w:val="nil"/>
              <w:left w:val="nil"/>
              <w:bottom w:val="nil"/>
              <w:right w:val="nil"/>
            </w:tcBorders>
          </w:tcPr>
          <w:p>
            <w:pPr>
              <w:pStyle w:val="Normal6a"/>
            </w:pPr>
            <w:r>
              <w:t>94.</w:t>
            </w:r>
            <w:r>
              <w:tab/>
            </w:r>
            <w:r>
              <w:t xml:space="preserve">v okviru notranje varnosti Parlamenta ugotavlja, da zasebni mobilni telefoni in druge naprave, kot so prenosni računalniki, ki jih poslanci in osebje uporabljajo za službene namene, predstavljajo ranljivost, ki bi jo bilo mogoče izkoristiti za napad na institucijo; poudarja, da bi morali biti poslanci in osebje </w:t>
            </w:r>
            <w:r>
              <w:rPr>
                <w:b/>
                <w:i/>
              </w:rPr>
              <w:t>(tudi pripravniki)</w:t>
            </w:r>
            <w:r>
              <w:t xml:space="preserve"> za opravljanje svojih nalog opremljeni z ustreznimi napravami </w:t>
            </w:r>
            <w:r>
              <w:rPr>
                <w:b/>
                <w:i/>
              </w:rPr>
              <w:t>IT</w:t>
            </w:r>
            <w:r>
              <w:t>, kot so mobilni telefoni in prenosni računalniki; v zvezi s tem pozdravlja varnostne preglede, ki so poslancem in osebju na voljo na njihovo zahtevo, da se odkrije morebitna vohunska programska oprema na zasebnih napravah; poziva upravo, naj ta pregled razširi in sistematizira, da bo zajemal vse naprave, ki se uporabljajo za delo, povezano s Parlamentom; poziva k jasnejšim pravilom ter sistematičnim in ustreznim smernicam za poslance in osebje ter k zaščitnim ukrepom za ublažitev teh tveganj, zlasti med misijami;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 xml:space="preserve">v okviru notranje varnosti Parlamenta ugotavlja, da zasebni mobilni telefoni in druge naprave, kot so prenosni računalniki, ki jih poslanci in osebje uporabljajo za službene namene, predstavljajo ranljivost, ki bi jo bilo mogoče izkoristiti za napad na institucijo; poudarja, da bi morali biti poslanci in osebje za opravljanje svojih nalog opremljeni z ustreznimi </w:t>
            </w:r>
            <w:r>
              <w:rPr>
                <w:b/>
                <w:i/>
              </w:rPr>
              <w:t>informacijskimi</w:t>
            </w:r>
            <w:r>
              <w:t xml:space="preserve"> napravami, kot so mobilni telefoni in prenosni računalniki; v zvezi s tem pozdravlja varnostne preglede, ki so poslancem in osebju na voljo na njihovo zahtevo, da se odkrije morebitna vohunska programska oprema na zasebnih napravah; poziva upravo, naj ta pregled razširi in sistematizira, da bo zajemal vse naprave, ki se uporabljajo za delo, povezano s Parlamentom; poziva k jasnejšim pravilom ter sistematičnim in ustreznim smernicam za poslance in osebje ter k zaščitnim ukrepom za ublažitev teh tveganj, zlasti med misijami;</w:t>
            </w:r>
          </w:p>
        </w:tc>
        <w:tc>
          <w:tcPr>
            <w:tcW w:w="4876" w:type="dxa"/>
            <w:tcBorders>
              <w:top w:val="nil"/>
              <w:left w:val="nil"/>
              <w:bottom w:val="nil"/>
              <w:right w:val="nil"/>
            </w:tcBorders>
          </w:tcPr>
          <w:p>
            <w:pPr>
              <w:pStyle w:val="Normal6a"/>
            </w:pPr>
            <w:r>
              <w:t>94.</w:t>
            </w:r>
            <w:r>
              <w:tab/>
            </w:r>
            <w:r>
              <w:t xml:space="preserve">v okviru notranje varnosti Parlamenta ugotavlja, da zasebni mobilni telefoni in druge naprave, kot so prenosni računalniki, ki jih poslanci in osebje uporabljajo za službene namene, predstavljajo ranljivost, ki bi jo bilo mogoče izkoristiti za napad na institucijo; poudarja, da bi morali biti poslanci in osebje za opravljanje svojih nalog </w:t>
            </w:r>
            <w:r>
              <w:rPr>
                <w:b/>
                <w:i/>
              </w:rPr>
              <w:t>po potrebi</w:t>
            </w:r>
            <w:r>
              <w:t xml:space="preserve"> opremljeni z ustreznimi napravami </w:t>
            </w:r>
            <w:r>
              <w:rPr>
                <w:b/>
                <w:i/>
              </w:rPr>
              <w:t>IT</w:t>
            </w:r>
            <w:r>
              <w:t>, kot so mobilni telefoni in prenosni računalniki; v zvezi s tem pozdravlja varnostne preglede, ki so poslancem in osebju na voljo na njihovo zahtevo, da se odkrije morebitna vohunska programska oprema na zasebnih napravah; poziva upravo, naj ta pregled razširi in sistematizira, da bo zajemal vse naprave, ki se uporabljajo za delo, povezano s Parlamentom; poziva k jasnejšim pravilom ter sistematičnim in ustreznim smernicam za poslance in osebje ter k zaščitnim ukrepom za ublažitev teh tveganj, zlasti med misijami;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1650</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izraža globoko zaskrbljenost zaradi oddajanja kritičnih nadzornih in digitalnih preiskovalnih zmogljivosti EU v zunanje izvajanje izraelskim podjetjem, ki proizvajajo vohunsko programsko opremo, od katerih številna delujejo na ozemlju EU tako, da izkoriščajo regulativne vrzeli in s tem ogrožajo evropsko digitalno suverenost;</w:t>
            </w:r>
            <w:r>
              <w:t xml:space="preserve"> </w:t>
            </w:r>
            <w:r>
              <w:rPr>
                <w:b/>
                <w:i/>
              </w:rPr>
              <w:t>obžaluje protislovje med razglašeno „digitalno suverenostjo“ EU in dejanskim oddajanjem naprednega nadzora, vohunske programske opreme, orodij za vdore in analitike v podizvajanje ponudnikom, ki niso iz EU, kot sta Izrael in ZDA, medtem ko izraelska zagonska podjetja s proizvodi z dvojno rabo še naprej prejemajo znatna sredstva EU;</w:t>
            </w:r>
            <w:r>
              <w:t xml:space="preserve"> </w:t>
            </w:r>
            <w:r>
              <w:rPr>
                <w:b/>
                <w:i/>
              </w:rPr>
              <w:t>obsoja uporabo izraelske vohunske programske opreme proti novinarjem, predstavnikom opozicije, civilni družbi in celo uradnikom EU, ki normalizira logiko okupacijskega nadzora v evropskih demokracijah in ovira avtonomno zunanjo politiko EU glede izraelsko-palestinskega vprašanja, saj zunanjim akterjem omogoča posredni vpliv na obveščevalne zmogljivosti;</w:t>
            </w:r>
            <w:r>
              <w:t xml:space="preserve"> </w:t>
            </w:r>
            <w:r>
              <w:rPr>
                <w:b/>
                <w:i/>
              </w:rPr>
              <w:t>poudarja, da vloga Izraela pri kibernetski varnosti EU pomeni strukturni vdor in ne le tehnično sodelovanje, saj težičše digitalne varnosti prestavlja z javnih evropskih interesov na nepregledne industrijsko-vojaške vezi v tujini, zaradi česar je suverenost EU na področju podatkov in kibernetske varnosti večinoma le deklarativna? nominalna?;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ugotavlja, da Bruselj govori o ščitu demokracije, medtem pa se na domoljubne voditelje in glasove izvajajo fizični napadi:</w:t>
            </w:r>
            <w:r>
              <w:rPr>
                <w:b/>
                <w:i/>
              </w:rPr>
              <w:t>umorjen je bil Charlie Kirk,</w:t>
            </w:r>
            <w:r>
              <w:rPr>
                <w:b/>
                <w:i/>
              </w:rPr>
              <w:t>na Andreja Babiša, predsednika češke vlade, je bil izveden napad s kovinskim predmetom,</w:t>
            </w:r>
            <w:r>
              <w:rPr>
                <w:b/>
                <w:i/>
              </w:rPr>
              <w:t>Robert Fico, predsednik slovaške vlade, je bil žrtev poskusa atentata,</w:t>
            </w:r>
            <w:r>
              <w:rPr>
                <w:b/>
                <w:i/>
              </w:rPr>
              <w:t>Jordana Bardello pa je novembra napadel upokojeni povratnik;</w:t>
            </w:r>
            <w:r>
              <w:rPr>
                <w:b/>
                <w:i/>
              </w:rPr>
              <w:t>ugotavlja, da gre nasilje le v eno smer;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obžaluje, da vsi politični akterji teh groženj demokraciji ne obsojajo bolj soglasno;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1652</w:t>
      </w:r>
      <w:r>
        <w:rPr>
          <w:rStyle w:val="HideTWBExt"/>
        </w:rPr>
        <w:t>&lt;/NumAm&gt;</w:t>
      </w:r>
    </w:p>
    <w:p>
      <w:pPr>
        <w:pStyle w:val="NormalBold"/>
      </w:pPr>
      <w:r>
        <w:rPr>
          <w:rStyle w:val="HideTWBExt"/>
          <w:b w:val="0"/>
        </w:rPr>
        <w:t>&lt;RepeatBlock-By&gt;</w:t>
      </w:r>
      <w:r>
        <w:rPr>
          <w:rStyle w:val="HideTWBExt"/>
          <w:b w:val="0"/>
        </w:rPr>
        <w:t>&lt;Members&gt;</w:t>
      </w:r>
      <w:r>
        <w:t>Jaroslav Bžoch,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poudarja, da bi moralo biti osebje EU opremljeno z varnimi delovnimi mobilnimi telefoni in prenosnimi računalniki ter drugimi napravami, ki zagotavljajo stalno in mobilno internetno povezljivost;</w:t>
            </w:r>
            <w:r>
              <w:t xml:space="preserve"> </w:t>
            </w:r>
            <w:r>
              <w:rPr>
                <w:b/>
                <w:i/>
              </w:rPr>
              <w:t>poudarja, da bi se bilo treba izogibati uporabi nezavarovanih brezžičnih omrežij, zlasti zunaj EU ali zunaj območij, ki niso pokrita z omrežji institucij EU, in da bi bilo treba v prostorih institucij EU uporabljati le varna omrežja;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1653</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94b.</w:t>
            </w:r>
            <w:r>
              <w:tab/>
            </w:r>
            <w:r>
              <w:rPr>
                <w:b/>
                <w:i/>
              </w:rPr>
              <w:t>poziva Komisijo in Svet, naj nemudoma opravita revizijo vseh pogodb EU in držav članic z izraelskimi podjetji za kibernetsko varnost, vključno glede pretoka podatkov, skladnosti s splošno uredbo o varstvu podatkov in aktom o digitalnih storitvah ter tveganj za suverenost;</w:t>
            </w:r>
            <w:r>
              <w:t xml:space="preserve"> </w:t>
            </w:r>
            <w:r>
              <w:rPr>
                <w:b/>
                <w:i/>
              </w:rPr>
              <w:t>poziva Komisijo in Svet, naj začasno ustavita financiranje iz programa Obzorje Evropa za izraelske subjekte, vpletene v proizvodnjo vohunske programske opreme ali tehnologije za nadzor z dvojno rabo, dokler ne bosta zagotovljeni popolna preglednost in etična skladnost;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1654</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94b.</w:t>
            </w:r>
            <w:r>
              <w:tab/>
            </w:r>
            <w:r>
              <w:rPr>
                <w:b/>
                <w:i/>
              </w:rPr>
              <w:t>poudarja, da volilna zakonodaja strogo spada v pristojnost držav članic;</w:t>
            </w:r>
            <w:r>
              <w:t xml:space="preserve"> </w:t>
            </w:r>
            <w:r>
              <w:rPr>
                <w:b/>
                <w:i/>
              </w:rPr>
              <w:t>opozarja, da lahko Komisija po potrebi zagotovi podporo ali pomoč, ne more pa prevzeti vloge nadzornega ali regulativnega organa ali organa odločanja na tem področju;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94c.</w:t>
            </w:r>
            <w:r>
              <w:tab/>
            </w:r>
            <w:r>
              <w:rPr>
                <w:b/>
                <w:i/>
              </w:rPr>
              <w:t>opozarja, da evropska demokracija temelji na volitvah in pravici volivcev, da svobodno in tajno izberejo želene predstavnike znotraj ustavnega in pravnega okvira svoje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784.433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156</w:t>
    </w:r>
    <w:r>
      <w:fldChar w:fldCharType="end"/>
    </w:r>
    <w:r>
      <w:t>/</w:t>
    </w:r>
    <w:r>
      <w:fldChar w:fldCharType="begin"/>
    </w:r>
    <w:r>
      <w:instrText xml:space="preserve"> NUMPAGES </w:instrText>
    </w:r>
    <w:r>
      <w:fldChar w:fldCharType="separate"/>
    </w:r>
    <w:r>
      <w:t>157</w:t>
    </w:r>
    <w:r>
      <w:fldChar w:fldCharType="end"/>
    </w:r>
    <w:r>
      <w:tab/>
    </w:r>
    <w:r>
      <w:rPr>
        <w:rStyle w:val="HideTWBExt"/>
      </w:rPr>
      <w:t>&lt;PathFdR&gt;</w:t>
    </w:r>
    <w:r>
      <w:t>AM\1337514SL.docx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AM\1337514SL.docx</w:t>
    </w:r>
    <w:r>
      <w:rPr>
        <w:rStyle w:val="HideTWBExt"/>
      </w:rPr>
      <w:t>&lt;/PathFdR&gt;</w:t>
    </w:r>
    <w:r>
      <w:tab/>
    </w:r>
    <w:r>
      <w:fldChar w:fldCharType="begin"/>
    </w:r>
    <w:r>
      <w:instrText xml:space="preserve"> PAGE </w:instrText>
    </w:r>
    <w:r>
      <w:fldChar w:fldCharType="separate"/>
    </w:r>
    <w:r>
      <w:t>157</w:t>
    </w:r>
    <w:r>
      <w:fldChar w:fldCharType="end"/>
    </w:r>
    <w:r>
      <w:t>/</w:t>
    </w:r>
    <w:r>
      <w:fldChar w:fldCharType="begin"/>
    </w:r>
    <w:r>
      <w:instrText xml:space="preserve"> NUMPAGES </w:instrText>
    </w:r>
    <w:r>
      <w:fldChar w:fldCharType="separate"/>
    </w:r>
    <w:r>
      <w:t>157</w:t>
    </w:r>
    <w:r>
      <w:fldChar w:fldCharType="end"/>
    </w:r>
    <w:r>
      <w:tab/>
    </w:r>
    <w:r>
      <w:t>PE</w:t>
    </w:r>
    <w:r>
      <w:rPr>
        <w:rStyle w:val="HideTWBExt"/>
      </w:rPr>
      <w:t>&lt;NoPE&gt;</w:t>
    </w:r>
    <w:r>
      <w:t>784.433</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AM\1337514SL.docx</w:t>
    </w:r>
    <w:r>
      <w:rPr>
        <w:rStyle w:val="HideTWBExt"/>
      </w:rPr>
      <w:t>&lt;/PathFdR&gt;</w:t>
    </w:r>
    <w:r>
      <w:tab/>
    </w:r>
    <w:r>
      <w:tab/>
    </w:r>
    <w:r>
      <w:t>PE</w:t>
    </w:r>
    <w:r>
      <w:rPr>
        <w:rStyle w:val="HideTWBExt"/>
      </w:rPr>
      <w:t>&lt;NoPE&gt;</w:t>
    </w:r>
    <w:r>
      <w:t>784.433</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157</Pages>
  <Words>38811</Words>
  <Characters>247642</Characters>
  <Application>Microsoft Office Word</Application>
  <DocSecurity>0</DocSecurity>
  <Lines>1</Lines>
  <Paragraphs>2188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1337514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420345</vt:lpwstr>
  </property>
  <property fmtid="{D5CDD505-2E9C-101B-9397-08002B2CF9AE}" pid="7" name="dmxml.render.traceId">
    <vt:lpwstr>69b3e9c4b812e82d1138625f9e11d476</vt:lpwstr>
  </property>
  <property fmtid="{D5CDD505-2E9C-101B-9397-08002B2CF9AE}" pid="8" name="FooterPath">
    <vt:lpwstr>AM\1337514SL.docx</vt:lpwstr>
  </property>
  <property fmtid="{D5CDD505-2E9C-101B-9397-08002B2CF9AE}" pid="9" name="PE Number">
    <vt:lpwstr>784.433</vt:lpwstr>
  </property>
  <property fmtid="{D5CDD505-2E9C-101B-9397-08002B2CF9AE}" pid="10" name="UID">
    <vt:lpwstr>eu.europa.europarl-DIN1-2026-0000036102_01.00-sl-01.00_text-xml</vt:lpwstr>
  </property>
</Properties>
</file>