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Parlamento europeo</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{HOUS}</w:t>
      </w:r>
      <w:r>
        <w:t>Commissione speciale sulla crisi degli alloggi nell'Unione europea</w:t>
      </w:r>
      <w:r>
        <w:rPr>
          <w:rStyle w:val="HideTWBExt"/>
        </w:rPr>
        <w:t>&lt;/Commission&gt;</w:t>
      </w:r>
    </w:p>
    <w:p>
      <w:pPr>
        <w:pStyle w:val="LineBottom"/>
      </w:pPr>
      <w:r>
        <w:t xml:space="preserve"> </w:t>
      </w:r>
    </w:p>
    <w:p>
      <w:pPr>
        <w:pStyle w:val="CoverReference"/>
      </w:pPr>
      <w:r>
        <w:rPr>
          <w:rStyle w:val="HideTWBExt"/>
        </w:rPr>
        <w:t>&lt;RefProc&gt;</w:t>
      </w:r>
      <w:r>
        <w:t>2025/2070</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{22/10/2025}</w:t>
      </w:r>
      <w:r>
        <w:t>22.10.2025</w:t>
      </w:r>
      <w:r>
        <w:rPr>
          <w:rStyle w:val="HideTWBExt"/>
        </w:rPr>
        <w:t>&lt;/Date&gt;</w:t>
      </w:r>
    </w:p>
    <w:p>
      <w:pPr>
        <w:pStyle w:val="CoverDocType"/>
      </w:pPr>
      <w:r>
        <w:rPr>
          <w:rStyle w:val="HideTWBExt"/>
        </w:rPr>
        <w:t>&lt;TypeAM&gt;</w:t>
      </w:r>
      <w:r>
        <w:t>EMENDAMENTI</w:t>
      </w:r>
      <w:r>
        <w:rPr>
          <w:rStyle w:val="HideTWBExt"/>
        </w:rPr>
        <w:t>&lt;/TypeAM&gt;</w:t>
      </w:r>
    </w:p>
    <w:p>
      <w:pPr>
        <w:pStyle w:val="CoverDocType24a"/>
      </w:pPr>
      <w:r>
        <w:rPr>
          <w:rStyle w:val="HideTWBExt"/>
        </w:rPr>
        <w:t>&lt;RangeAM&gt;</w:t>
      </w:r>
      <w:r>
        <w:t>601</w:t>
      </w:r>
      <w:r>
        <w:t xml:space="preserve"> - </w:t>
      </w:r>
      <w:r>
        <w:t>900</w:t>
      </w:r>
      <w:r>
        <w:rPr>
          <w:rStyle w:val="HideTWBExt"/>
        </w:rPr>
        <w:t>&lt;/RangeAM&gt;</w:t>
      </w:r>
    </w:p>
    <w:p>
      <w:pPr>
        <w:pStyle w:val="CoverBold"/>
      </w:pPr>
      <w:r>
        <w:rPr>
          <w:rStyle w:val="HideTWBExt"/>
        </w:rPr>
        <w:t>&lt;TitreType&gt;</w:t>
      </w:r>
      <w:r>
        <w:t>Progetto di relazione</w:t>
      </w:r>
      <w:r>
        <w:rPr>
          <w:rStyle w:val="HideTWBExt"/>
        </w:rPr>
        <w:t>&lt;/TitreType&gt;</w:t>
      </w:r>
    </w:p>
    <w:p>
      <w:pPr>
        <w:pStyle w:val="CoverBold"/>
      </w:pPr>
      <w:r>
        <w:rPr>
          <w:rStyle w:val="HideTWBExt"/>
        </w:rPr>
        <w:t>&lt;Rapporteur&gt;</w:t>
      </w:r>
      <w:r>
        <w:t>Borja Giménez Larraz</w:t>
      </w:r>
      <w:r>
        <w:rPr>
          <w:rStyle w:val="HideTWBExt"/>
        </w:rPr>
        <w:t>&lt;/Rapporteur&gt;</w:t>
      </w:r>
    </w:p>
    <w:p>
      <w:pPr>
        <w:pStyle w:val="CoverNormal24a"/>
      </w:pPr>
      <w:r>
        <w:rPr>
          <w:rStyle w:val="HideTWBExt"/>
        </w:rPr>
        <w:t>&lt;DocRefPE&gt;</w:t>
      </w:r>
      <w:r>
        <w:t>(PE772.037v01-00)</w:t>
      </w:r>
      <w:r>
        <w:rPr>
          <w:rStyle w:val="HideTWBExt"/>
        </w:rPr>
        <w:t>&lt;/DocRefPE&gt;</w:t>
      </w:r>
    </w:p>
    <w:p>
      <w:pPr>
        <w:pStyle w:val="CoverNormal"/>
      </w:pPr>
      <w:r>
        <w:rPr>
          <w:rStyle w:val="HideTWBExt"/>
        </w:rPr>
        <w:t>&lt;Titre&gt;</w:t>
      </w:r>
      <w:r>
        <w:t>Crisi degli alloggi nell'Unione europea, con l'obiettivo di proporre soluzioni per alloggi dignitosi, sostenibili e a prezzi accessibili</w:t>
      </w:r>
      <w:r>
        <w:rPr>
          <w:rStyle w:val="HideTWBExt"/>
        </w:rPr>
        <w:t>&lt;/Titre&gt;</w:t>
      </w:r>
    </w:p>
    <w:p>
      <w:pPr>
        <w:pStyle w:val="CoverNormal24a"/>
      </w:pPr>
      <w:r>
        <w:rPr>
          <w:rStyle w:val="HideTWBExt"/>
        </w:rPr>
        <w:t>&lt;DocRef&gt;</w:t>
      </w:r>
      <w:r>
        <w:t>(2025/2070(INI))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Emendamento</w:t>
      </w:r>
      <w:r>
        <w:tab/>
      </w:r>
      <w:r>
        <w:tab/>
      </w:r>
      <w:r>
        <w:rPr>
          <w:rStyle w:val="HideTWBExt"/>
        </w:rPr>
        <w:t>&lt;NumAm&gt;</w:t>
      </w:r>
      <w:r>
        <w:t>601</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 Elena Nevado del Campo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invita l'UE e i suoi Stati membri a rispettare e mettere in evidenza il ruolo fondamentale degli enti locali e regionali nell'identificare le esigenze abitative e nell'elaborare misure specifiche per la popolazione locale; sottolinea l'importanza di promuovere strategie urbane integrate; chiede che si garantisca che gli enti locali abbiano un accesso diretto ai fondi dell'UE per l'edilizia abitativa e siano autorizzati a gestirli, data la loro vicinanza alle realtà delle esigenze locali;</w:t>
            </w:r>
          </w:p>
        </w:tc>
        <w:tc>
          <w:tcPr>
            <w:tcW w:w="4876" w:type="dxa"/>
            <w:tcBorders>
              <w:top w:val="nil"/>
              <w:left w:val="nil"/>
              <w:bottom w:val="nil"/>
              <w:right w:val="nil"/>
            </w:tcBorders>
          </w:tcPr>
          <w:p>
            <w:pPr>
              <w:pStyle w:val="Normal6a"/>
            </w:pPr>
            <w:r>
              <w:t>3.</w:t>
            </w:r>
            <w:r>
              <w:tab/>
            </w:r>
            <w:r>
              <w:t xml:space="preserve">invita l'UE e i suoi Stati membri a rispettare e mettere in evidenza il ruolo fondamentale degli enti locali e regionali nell'identificare le esigenze abitative e nell'elaborare misure specifiche per la popolazione locale; sottolinea l'importanza di promuovere strategie urbane integrate; chiede che si garantisca che gli enti locali abbiano un accesso diretto ai fondi dell'UE per l'edilizia abitativa e siano autorizzati a gestirli, data la loro vicinanza alle realtà delle esigenze locali; </w:t>
            </w:r>
            <w:r>
              <w:rPr>
                <w:b/>
                <w:i/>
              </w:rPr>
              <w:t>osserva inoltre che, nonostante le zone urbane e industriali siano particolarmente colpite, la crisi abitativa si estende a tutte le regioni, segnatamente a quelle che presentano svantaggi geografici permanenti, come le zone rurali e interne, le isole, le regioni ultraperiferiche, le regioni frontaliere con un elevato numero di pendolari, nonché le zone costiere e remote, in particolare quelle a rischio di declino demografico;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602</w:t>
      </w:r>
      <w:r>
        <w:rPr>
          <w:rStyle w:val="HideTWBExt"/>
        </w:rPr>
        <w:t>&lt;/NumAm&gt;</w:t>
      </w:r>
    </w:p>
    <w:p>
      <w:pPr>
        <w:pStyle w:val="NormalBold"/>
      </w:pPr>
      <w:r>
        <w:rPr>
          <w:rStyle w:val="HideTWBExt"/>
          <w:b w:val="0"/>
        </w:rPr>
        <w:t>&lt;RepeatBlock-By&gt;</w:t>
      </w:r>
      <w:r>
        <w:rPr>
          <w:rStyle w:val="HideTWBExt"/>
          <w:b w:val="0"/>
        </w:rPr>
        <w:t>&lt;Members&gt;</w:t>
      </w:r>
      <w:r>
        <w:t>Andreas Schieder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invita l'UE e i suoi Stati membri a rispettare e mettere in evidenza il ruolo fondamentale degli enti locali e regionali nell'identificare le esigenze abitative e nell'elaborare misure specifiche per la popolazione locale; sottolinea l'importanza di promuovere strategie urbane integrate; chiede che si garantisca che gli enti locali abbiano un accesso diretto ai fondi dell'UE per l'edilizia abitativa e siano autorizzati a gestirli, data la loro vicinanza alle realtà delle esigenze locali;</w:t>
            </w:r>
          </w:p>
        </w:tc>
        <w:tc>
          <w:tcPr>
            <w:tcW w:w="4876" w:type="dxa"/>
            <w:tcBorders>
              <w:top w:val="nil"/>
              <w:left w:val="nil"/>
              <w:bottom w:val="nil"/>
              <w:right w:val="nil"/>
            </w:tcBorders>
          </w:tcPr>
          <w:p>
            <w:pPr>
              <w:pStyle w:val="Normal6a"/>
            </w:pPr>
            <w:r>
              <w:t>3.</w:t>
            </w:r>
            <w:r>
              <w:tab/>
            </w:r>
            <w:r>
              <w:t xml:space="preserve">invita l'UE e i suoi Stati membri a rispettare e mettere in evidenza il ruolo fondamentale degli enti locali e regionali nell'identificare le esigenze abitative e nell'elaborare misure specifiche per la popolazione locale; sottolinea l'importanza di promuovere strategie urbane integrate; chiede che si garantisca che gli enti locali abbiano un accesso diretto ai fondi dell'UE per l'edilizia abitativa e siano autorizzati a gestirli, data la loro vicinanza alle realtà delle esigenze locali; </w:t>
            </w:r>
            <w:r>
              <w:rPr>
                <w:b/>
                <w:i/>
              </w:rPr>
              <w:t>invita l'UE e i suoi Stati membri a promuovere programmi cooperativi e a lucro limitato in materia di alloggi e altre soluzioni locali, dal momento che questi approcci riducono i costi, rafforzano i quartieri e garantiscono che tutti i cittadini abbiano un reale interesse nelle loro città e regioni;</w:t>
            </w:r>
            <w:r>
              <w:t xml:space="preserve"> </w:t>
            </w:r>
            <w:r>
              <w:rPr>
                <w:b/>
                <w:i/>
              </w:rPr>
              <w:t>esorta alla cogestione e alla partecipazione della società civile, nonché delle principali parti interessate, quali i residenti e i locatari;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603</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 Elena Nevado del Campo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invita l'UE e i suoi Stati membri a rispettare e mettere in evidenza il ruolo fondamentale degli enti locali e regionali nell'identificare le esigenze abitative e nell'elaborare misure specifiche per la popolazione locale; sottolinea l'importanza di promuovere strategie urbane integrate; chiede che si garantisca che gli enti locali abbiano un accesso diretto ai fondi dell'UE per l'edilizia abitativa e siano autorizzati a gestirli, data la loro vicinanza alle realtà delle esigenze locali;</w:t>
            </w:r>
          </w:p>
        </w:tc>
        <w:tc>
          <w:tcPr>
            <w:tcW w:w="4876" w:type="dxa"/>
            <w:tcBorders>
              <w:top w:val="nil"/>
              <w:left w:val="nil"/>
              <w:bottom w:val="nil"/>
              <w:right w:val="nil"/>
            </w:tcBorders>
          </w:tcPr>
          <w:p>
            <w:pPr>
              <w:pStyle w:val="Normal6a"/>
            </w:pPr>
            <w:r>
              <w:t>3.</w:t>
            </w:r>
            <w:r>
              <w:tab/>
            </w:r>
            <w:r>
              <w:t xml:space="preserve">invita l'UE e i suoi Stati membri a rispettare e mettere in evidenza il ruolo fondamentale degli enti locali e regionali nell'identificare le esigenze abitative e nell'elaborare misure specifiche per la popolazione locale; sottolinea l'importanza di promuovere strategie urbane integrate </w:t>
            </w:r>
            <w:r>
              <w:rPr>
                <w:b/>
                <w:i/>
              </w:rPr>
              <w:t>che comprendano l'istruzione, l'assistenza sanitaria, le infrastrutture e le attività ricreative, in particolare nelle zone spopolate, rurali e insulari densamente popolate, garantendo che le sfide demografiche, come l'invecchiamento della popolazione e la carenza di manodopera, siano efficacemente integrate nell'elaborazione delle politiche a tutti i livelli</w:t>
            </w:r>
            <w:r>
              <w:t>; chiede che si garantisca che gli enti locali abbiano un accesso diretto ai fondi dell'UE per l'edilizia abitativa e siano autorizzati a gestirli, data la loro vicinanza alle realtà delle esigenze locali;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604</w:t>
      </w:r>
      <w:r>
        <w:rPr>
          <w:rStyle w:val="HideTWBExt"/>
        </w:rPr>
        <w:t>&lt;/NumAm&gt;</w:t>
      </w:r>
    </w:p>
    <w:p>
      <w:pPr>
        <w:pStyle w:val="NormalBold"/>
      </w:pPr>
      <w:r>
        <w:rPr>
          <w:rStyle w:val="HideTWBExt"/>
          <w:b w:val="0"/>
        </w:rPr>
        <w:t>&lt;RepeatBlock-By&gt;</w:t>
      </w:r>
      <w:r>
        <w:rPr>
          <w:rStyle w:val="HideTWBExt"/>
          <w:b w:val="0"/>
        </w:rPr>
        <w:t>&lt;Members&gt;</w:t>
      </w:r>
      <w:r>
        <w:t>Georgiana Teodorescu, Antonella Sberna, Lara Magoni, Alessandro Ciriani, Nora Junco García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invita l'UE e i suoi Stati membri a rispettare e mettere in evidenza il ruolo fondamentale degli enti locali e regionali nell'identificare le esigenze abitative e nell'elaborare misure specifiche per la popolazione locale; sottolinea l'importanza di promuovere strategie urbane integrate; chiede che si garantisca che gli enti locali abbiano un accesso diretto ai fondi dell'UE per l'edilizia abitativa e siano autorizzati a gestirli, data la loro vicinanza alle realtà delle esigenze locali;</w:t>
            </w:r>
          </w:p>
        </w:tc>
        <w:tc>
          <w:tcPr>
            <w:tcW w:w="4876" w:type="dxa"/>
            <w:tcBorders>
              <w:top w:val="nil"/>
              <w:left w:val="nil"/>
              <w:bottom w:val="nil"/>
              <w:right w:val="nil"/>
            </w:tcBorders>
          </w:tcPr>
          <w:p>
            <w:pPr>
              <w:pStyle w:val="Normal6a"/>
            </w:pPr>
            <w:r>
              <w:t>3.</w:t>
            </w:r>
            <w:r>
              <w:tab/>
            </w:r>
            <w:r>
              <w:t>invita l'UE e i suoi Stati membri a rispettare e mettere in evidenza il ruolo fondamentale degli enti locali e regionali nell'identificare le esigenze abitative e nell'elaborare misure specifiche per la popolazione locale; sottolinea l'importanza di promuovere strategie urbane integrate</w:t>
            </w:r>
            <w:r>
              <w:rPr>
                <w:b/>
                <w:i/>
              </w:rPr>
              <w:t>, compreso lo sviluppo di servizi essenziali quali l'acqua, l'elettricità, le infrastrutture, l'istruzione e la sanità</w:t>
            </w:r>
            <w:r>
              <w:t xml:space="preserve">; chiede che si garantisca che gli enti locali abbiano un accesso diretto ai fondi dell'UE per l'edilizia abitativa e siano autorizzati a gestirli, data la loro vicinanza alle realtà delle esigenze locali; </w:t>
            </w:r>
            <w:r>
              <w:rPr>
                <w:b/>
                <w:i/>
              </w:rPr>
              <w:t>raccomanda la cooperazione intercomunale o, se del caso, la fusione di comuni su base volontaria al fine di aumentare l'efficienza amministrativa e accelerare i processi relativi alla pianificazione degli alloggi e al rilascio di licenze;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605</w:t>
      </w:r>
      <w:r>
        <w:rPr>
          <w:rStyle w:val="HideTWBExt"/>
        </w:rPr>
        <w:t>&lt;/NumAm&gt;</w:t>
      </w:r>
    </w:p>
    <w:p>
      <w:pPr>
        <w:pStyle w:val="NormalBold"/>
      </w:pPr>
      <w:r>
        <w:rPr>
          <w:rStyle w:val="HideTWBExt"/>
          <w:b w:val="0"/>
        </w:rPr>
        <w:t>&lt;RepeatBlock-By&gt;</w:t>
      </w:r>
      <w:r>
        <w:rPr>
          <w:rStyle w:val="HideTWBExt"/>
          <w:b w:val="0"/>
        </w:rPr>
        <w:t>&lt;Members&gt;</w:t>
      </w:r>
      <w:r>
        <w:t>Klara Dostalova, Julie Rechagneux, Ondřej Knotek, Jorge Buxadé Villalba, Jaroslav Bžoch, Rachel Blom, 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invita l'UE e i suoi Stati membri a rispettare e mettere in evidenza il ruolo fondamentale degli enti locali e regionali nell'identificare le esigenze abitative e nell'elaborare misure specifiche per la popolazione locale; sottolinea </w:t>
            </w:r>
            <w:r>
              <w:rPr>
                <w:b/>
                <w:i/>
              </w:rPr>
              <w:t>l'importanza di promuovere</w:t>
            </w:r>
            <w:r>
              <w:t xml:space="preserve"> strategie </w:t>
            </w:r>
            <w:r>
              <w:rPr>
                <w:b/>
                <w:i/>
              </w:rPr>
              <w:t>urbane integrate</w:t>
            </w:r>
            <w:r>
              <w:t>; chiede che si garantisca che gli enti locali abbiano un accesso diretto ai fondi dell'UE per l'edilizia abitativa e siano autorizzati a gestirli, data la loro vicinanza alle realtà delle esigenze locali;</w:t>
            </w:r>
          </w:p>
        </w:tc>
        <w:tc>
          <w:tcPr>
            <w:tcW w:w="4876" w:type="dxa"/>
            <w:tcBorders>
              <w:top w:val="nil"/>
              <w:left w:val="nil"/>
              <w:bottom w:val="nil"/>
              <w:right w:val="nil"/>
            </w:tcBorders>
          </w:tcPr>
          <w:p>
            <w:pPr>
              <w:pStyle w:val="Normal6a"/>
            </w:pPr>
            <w:r>
              <w:t>3.</w:t>
            </w:r>
            <w:r>
              <w:tab/>
            </w:r>
            <w:r>
              <w:t xml:space="preserve">invita l'UE e i suoi Stati membri a rispettare e mettere in evidenza il ruolo fondamentale degli enti locali e regionali nell'identificare le esigenze abitative e nell'elaborare misure specifiche per la popolazione locale; sottolinea </w:t>
            </w:r>
            <w:r>
              <w:rPr>
                <w:b/>
                <w:i/>
              </w:rPr>
              <w:t>che gli enti locali devono avere la libertà di decidere in merito alle</w:t>
            </w:r>
            <w:r>
              <w:t xml:space="preserve"> strategie </w:t>
            </w:r>
            <w:r>
              <w:rPr>
                <w:b/>
                <w:i/>
              </w:rPr>
              <w:t>più appropriate senza essere soggetti a nuovi obblighi burocratici imposti a livello dell'UE</w:t>
            </w:r>
            <w:r>
              <w:t xml:space="preserve">; chiede che si garantisca che gli enti locali abbiano un accesso diretto ai fondi dell'UE per l'edilizia abitativa e siano autorizzati a gestirli, data la loro vicinanza alle realtà delle esigenze locali; </w:t>
            </w:r>
            <w:r>
              <w:rPr>
                <w:b/>
                <w:i/>
              </w:rPr>
              <w:t>sottolinea che il ruolo dell'UE dovrebbe rimanere di sostegno, mirato a ridurre gli ostacoli amministrativi, condividere le migliori pratiche e fornire assistenza tecnica, piuttosto che disciplinare i processi decisionali a livello locale;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606</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Sebastião Bugalho, Maravillas Abadía Jover, Regina Doherty, Isabelle Le Callennec, Alma Ezcurra Almansa, Marco Falcone, Rosa Estaràs Ferragut, Elena Nevado del Campo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invita l'UE e i suoi Stati membri a rispettare e mettere in evidenza il ruolo fondamentale degli enti locali e regionali nell'identificare le esigenze abitative e nell'elaborare misure specifiche per la popolazione locale; sottolinea l'importanza di promuovere strategie urbane integrate; chiede che si garantisca che gli enti locali abbiano un accesso diretto ai fondi dell'UE per l'edilizia abitativa e siano autorizzati a gestirli, data la loro vicinanza alle realtà delle esigenze locali;</w:t>
            </w:r>
          </w:p>
        </w:tc>
        <w:tc>
          <w:tcPr>
            <w:tcW w:w="4876" w:type="dxa"/>
            <w:tcBorders>
              <w:top w:val="nil"/>
              <w:left w:val="nil"/>
              <w:bottom w:val="nil"/>
              <w:right w:val="nil"/>
            </w:tcBorders>
          </w:tcPr>
          <w:p>
            <w:pPr>
              <w:pStyle w:val="Normal6a"/>
            </w:pPr>
            <w:r>
              <w:t>3.</w:t>
            </w:r>
            <w:r>
              <w:tab/>
            </w:r>
            <w:r>
              <w:t>invita l'UE e i suoi Stati membri a rispettare e mettere in evidenza il ruolo fondamentale degli enti locali e regionali nell'identificare le esigenze abitative e nell'elaborare misure specifiche per la popolazione locale</w:t>
            </w:r>
            <w:r>
              <w:rPr>
                <w:b/>
                <w:i/>
              </w:rPr>
              <w:t>;</w:t>
            </w:r>
            <w:r>
              <w:t xml:space="preserve"> </w:t>
            </w:r>
            <w:r>
              <w:rPr>
                <w:b/>
                <w:i/>
              </w:rPr>
              <w:t>invita l'UE e i suoi Stati membri a promuovere incentivi per i comuni e le regioni al fine di promuovere e sostenere la costruzione di nuovi alloggi residenziali all'interno delle rispettive zone</w:t>
            </w:r>
            <w:r>
              <w:t>; sottolinea l'importanza di promuovere strategie urbane integrate; chiede che si garantisca che gli enti locali abbiano un accesso diretto ai fondi dell'UE per l'edilizia abitativa e siano autorizzati a gestirli, data la loro vicinanza alle realtà delle esigenze locali;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607</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invita l'UE e i suoi Stati membri a rispettare e mettere in evidenza il ruolo fondamentale degli enti locali e regionali nell'identificare le esigenze abitative e nell'elaborare misure specifiche per la popolazione locale; sottolinea l'importanza di promuovere strategie urbane integrate; </w:t>
            </w:r>
            <w:r>
              <w:rPr>
                <w:b/>
                <w:i/>
              </w:rPr>
              <w:t>chiede che si garantisca</w:t>
            </w:r>
            <w:r>
              <w:t xml:space="preserve"> che gli enti locali abbiano un accesso diretto ai fondi dell'UE </w:t>
            </w:r>
            <w:r>
              <w:rPr>
                <w:b/>
                <w:i/>
              </w:rPr>
              <w:t>per l'edilizia abitativa</w:t>
            </w:r>
            <w:r>
              <w:t xml:space="preserve"> e siano autorizzati a gestirli, data la loro vicinanza alle realtà delle esigenze locali;</w:t>
            </w:r>
          </w:p>
        </w:tc>
        <w:tc>
          <w:tcPr>
            <w:tcW w:w="4876" w:type="dxa"/>
            <w:tcBorders>
              <w:top w:val="nil"/>
              <w:left w:val="nil"/>
              <w:bottom w:val="nil"/>
              <w:right w:val="nil"/>
            </w:tcBorders>
          </w:tcPr>
          <w:p>
            <w:pPr>
              <w:pStyle w:val="Normal6a"/>
            </w:pPr>
            <w:r>
              <w:t>3.</w:t>
            </w:r>
            <w:r>
              <w:tab/>
            </w:r>
            <w:r>
              <w:t xml:space="preserve">invita l'UE e i suoi Stati membri a rispettare e mettere in evidenza il ruolo fondamentale degli enti locali e regionali nell'identificare le esigenze abitative e nell'elaborare misure specifiche per la popolazione locale; sottolinea l'importanza di promuovere strategie urbane integrate; </w:t>
            </w:r>
            <w:r>
              <w:rPr>
                <w:b/>
                <w:i/>
              </w:rPr>
              <w:t>sottolinea la fondamentale importanza di garantire</w:t>
            </w:r>
            <w:r>
              <w:t xml:space="preserve"> che gli enti locali abbiano un accesso diretto </w:t>
            </w:r>
            <w:r>
              <w:rPr>
                <w:b/>
                <w:i/>
              </w:rPr>
              <w:t>e mirato</w:t>
            </w:r>
            <w:r>
              <w:t xml:space="preserve"> ai fondi dell'UE e siano autorizzati a gestirli, data la loro vicinanza alle realtà delle esigenze locali</w:t>
            </w:r>
            <w:r>
              <w:rPr>
                <w:b/>
                <w:i/>
              </w:rPr>
              <w:t>, il che consente loro di agire rapidamente per affrontare le sfide in materia di alloggi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608</w:t>
      </w:r>
      <w:r>
        <w:rPr>
          <w:rStyle w:val="HideTWBExt"/>
        </w:rPr>
        <w:t>&lt;/NumAm&gt;</w:t>
      </w:r>
    </w:p>
    <w:p>
      <w:pPr>
        <w:pStyle w:val="NormalBold"/>
      </w:pPr>
      <w:r>
        <w:rPr>
          <w:rStyle w:val="HideTWBExt"/>
          <w:b w:val="0"/>
        </w:rPr>
        <w:t>&lt;RepeatBlock-By&gt;</w:t>
      </w:r>
      <w:r>
        <w:rPr>
          <w:rStyle w:val="HideTWBExt"/>
          <w:b w:val="0"/>
        </w:rPr>
        <w:t>&lt;Members&gt;</w:t>
      </w:r>
      <w:r>
        <w:t>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invita l'UE e i suoi Stati membri a rispettare </w:t>
            </w:r>
            <w:r>
              <w:rPr>
                <w:b/>
                <w:i/>
              </w:rPr>
              <w:t>e mettere</w:t>
            </w:r>
            <w:r>
              <w:t xml:space="preserve"> in evidenza il ruolo fondamentale </w:t>
            </w:r>
            <w:r>
              <w:rPr>
                <w:b/>
                <w:i/>
              </w:rPr>
              <w:t>degli enti locali e regionali</w:t>
            </w:r>
            <w:r>
              <w:t xml:space="preserve"> nell'identificare le esigenze abitative e nell'elaborare misure specifiche per la popolazione locale; sottolinea l'importanza di promuovere strategie urbane integrate; chiede che si garantisca che gli enti locali abbiano un accesso diretto ai fondi dell'UE per l'edilizia abitativa e siano autorizzati a gestirli, data la loro vicinanza alle realtà delle esigenze locali;</w:t>
            </w:r>
          </w:p>
        </w:tc>
        <w:tc>
          <w:tcPr>
            <w:tcW w:w="4876" w:type="dxa"/>
            <w:tcBorders>
              <w:top w:val="nil"/>
              <w:left w:val="nil"/>
              <w:bottom w:val="nil"/>
              <w:right w:val="nil"/>
            </w:tcBorders>
          </w:tcPr>
          <w:p>
            <w:pPr>
              <w:pStyle w:val="Normal6a"/>
            </w:pPr>
            <w:r>
              <w:t>3.</w:t>
            </w:r>
            <w:r>
              <w:tab/>
            </w:r>
            <w:r>
              <w:t xml:space="preserve">invita l'UE e i suoi Stati membri a rispettare </w:t>
            </w:r>
            <w:r>
              <w:rPr>
                <w:b/>
                <w:i/>
              </w:rPr>
              <w:t>le competenze degli enti locali e regionali e a metterne</w:t>
            </w:r>
            <w:r>
              <w:t xml:space="preserve"> in evidenza il ruolo fondamentale nell'identificare le esigenze abitative e nell'elaborare misure specifiche per la popolazione locale; sottolinea l'importanza di promuovere strategie urbane integrate; chiede che si garantisca che gli enti locali abbiano un accesso diretto ai fondi dell'UE per l'edilizia abitativa e </w:t>
            </w:r>
            <w:r>
              <w:rPr>
                <w:b/>
                <w:i/>
              </w:rPr>
              <w:t>ai fondi permanenti per sostenere la costruzione di alloggi a prezzi accessibili e</w:t>
            </w:r>
            <w:r>
              <w:t xml:space="preserve"> siano autorizzati a gestirli, data la loro vicinanza alle realtà delle esigenze locali;</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609</w:t>
      </w:r>
      <w:r>
        <w:rPr>
          <w:rStyle w:val="HideTWBExt"/>
        </w:rPr>
        <w:t>&lt;/NumAm&gt;</w:t>
      </w:r>
    </w:p>
    <w:p>
      <w:pPr>
        <w:pStyle w:val="NormalBold"/>
      </w:pPr>
      <w:r>
        <w:rPr>
          <w:rStyle w:val="HideTWBExt"/>
          <w:b w:val="0"/>
        </w:rPr>
        <w:t>&lt;RepeatBlock-By&gt;</w:t>
      </w:r>
      <w:r>
        <w:rPr>
          <w:rStyle w:val="HideTWBExt"/>
          <w:b w:val="0"/>
        </w:rPr>
        <w:t>&lt;Members&gt;</w:t>
      </w:r>
      <w:r>
        <w:t>Nils Ušakovs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invita l'UE e i suoi Stati membri a rispettare e mettere in evidenza il ruolo fondamentale degli enti locali e regionali nell'identificare le esigenze abitative e nell'elaborare misure specifiche per la popolazione locale; sottolinea l'importanza di promuovere strategie urbane integrate; chiede che si garantisca che gli enti locali abbiano un accesso diretto ai fondi dell'UE per l'edilizia abitativa e siano autorizzati a gestirli, data la loro vicinanza alle realtà delle esigenze locali;</w:t>
            </w:r>
          </w:p>
        </w:tc>
        <w:tc>
          <w:tcPr>
            <w:tcW w:w="4876" w:type="dxa"/>
            <w:tcBorders>
              <w:top w:val="nil"/>
              <w:left w:val="nil"/>
              <w:bottom w:val="nil"/>
              <w:right w:val="nil"/>
            </w:tcBorders>
          </w:tcPr>
          <w:p>
            <w:pPr>
              <w:pStyle w:val="Normal6a"/>
            </w:pPr>
            <w:r>
              <w:t>3.</w:t>
            </w:r>
            <w:r>
              <w:tab/>
            </w:r>
            <w:r>
              <w:t>invita l'UE e i suoi Stati membri a rispettare e mettere in evidenza il ruolo fondamentale degli enti locali e regionali nell'identificare le esigenze abitative</w:t>
            </w:r>
            <w:r>
              <w:rPr>
                <w:b/>
                <w:i/>
              </w:rPr>
              <w:t>, inclusa la necessità di ristrutturare il parco immobiliare esistente,</w:t>
            </w:r>
            <w:r>
              <w:t xml:space="preserve"> e nell'elaborare misure specifiche per la popolazione locale; sottolinea l'importanza di promuovere strategie urbane integrate; chiede che si garantisca che gli enti locali abbiano un accesso diretto ai fondi dell'UE per l'edilizia abitativa e siano autorizzati a gestirli, data la loro vicinanza alle realtà delle esigenze locali;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610</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invita l'UE e i suoi Stati membri a rispettare e mettere in evidenza il ruolo fondamentale degli enti locali e regionali nell'identificare le esigenze abitative e nell'elaborare misure specifiche per la popolazione locale; sottolinea l'importanza di promuovere strategie urbane integrate; chiede che si garantisca che gli enti locali abbiano un accesso diretto ai fondi dell'UE per l'edilizia abitativa e siano autorizzati a gestirli, data la loro vicinanza alle realtà delle esigenze locali;</w:t>
            </w:r>
          </w:p>
        </w:tc>
        <w:tc>
          <w:tcPr>
            <w:tcW w:w="4876" w:type="dxa"/>
            <w:tcBorders>
              <w:top w:val="nil"/>
              <w:left w:val="nil"/>
              <w:bottom w:val="nil"/>
              <w:right w:val="nil"/>
            </w:tcBorders>
          </w:tcPr>
          <w:p>
            <w:pPr>
              <w:pStyle w:val="Normal6a"/>
            </w:pPr>
            <w:r>
              <w:t>3.</w:t>
            </w:r>
            <w:r>
              <w:tab/>
            </w:r>
            <w:r>
              <w:t>invita l'UE e i suoi Stati membri a rispettare e mettere in evidenza il ruolo fondamentale degli enti locali e regionali nell'identificare le esigenze abitative e nell'elaborare misure specifiche per la popolazione locale; sottolinea l'importanza di promuovere strategie urbane integrate; chiede che si garantisca che gli enti locali abbiano un accesso diretto ai fondi dell'UE per l'edilizia abitativa e siano autorizzati a gestirli, data la loro vicinanza alle realtà delle esigenze locali</w:t>
            </w:r>
            <w:r>
              <w:rPr>
                <w:b/>
                <w:i/>
              </w:rPr>
              <w:t>, ove possibile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611</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invita l'UE e i suoi Stati membri a rispettare e mettere in evidenza il ruolo fondamentale degli enti locali e regionali nell'identificare le esigenze abitative e </w:t>
            </w:r>
            <w:r>
              <w:rPr>
                <w:b/>
                <w:i/>
              </w:rPr>
              <w:t>nell'elaborare</w:t>
            </w:r>
            <w:r>
              <w:t xml:space="preserve"> misure specifiche per la popolazione locale; sottolinea l'importanza di promuovere strategie urbane integrate; chiede che si garantisca che gli enti locali abbiano un accesso diretto ai fondi dell'UE per l'edilizia abitativa e siano autorizzati a gestirli, data la loro vicinanza alle realtà delle esigenze locali;</w:t>
            </w:r>
          </w:p>
        </w:tc>
        <w:tc>
          <w:tcPr>
            <w:tcW w:w="4876" w:type="dxa"/>
            <w:tcBorders>
              <w:top w:val="nil"/>
              <w:left w:val="nil"/>
              <w:bottom w:val="nil"/>
              <w:right w:val="nil"/>
            </w:tcBorders>
          </w:tcPr>
          <w:p>
            <w:pPr>
              <w:pStyle w:val="Normal6a"/>
            </w:pPr>
            <w:r>
              <w:t>3.</w:t>
            </w:r>
            <w:r>
              <w:tab/>
            </w:r>
            <w:r>
              <w:t xml:space="preserve">invita l'UE e i suoi Stati membri a rispettare e mettere in evidenza il ruolo fondamentale degli enti locali e regionali nell'identificare le esigenze abitative e </w:t>
            </w:r>
            <w:r>
              <w:rPr>
                <w:b/>
                <w:i/>
              </w:rPr>
              <w:t>a contribuire alle strategie nazionali per elaborare</w:t>
            </w:r>
            <w:r>
              <w:t xml:space="preserve"> misure specifiche per la popolazione locale; sottolinea l'importanza di promuovere strategie urbane integrate; chiede che si garantisca che gli enti locali abbiano un accesso diretto ai fondi dell'UE per l'edilizia abitativa e siano autorizzati a gestirli, data la loro vicinanza alle realtà delle esigenze locali;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612</w:t>
      </w:r>
      <w:r>
        <w:rPr>
          <w:rStyle w:val="HideTWBExt"/>
        </w:rPr>
        <w:t>&lt;/NumAm&gt;</w:t>
      </w:r>
    </w:p>
    <w:p>
      <w:pPr>
        <w:pStyle w:val="NormalBold"/>
      </w:pPr>
      <w:r>
        <w:rPr>
          <w:rStyle w:val="HideTWBExt"/>
          <w:b w:val="0"/>
        </w:rPr>
        <w:t>&lt;RepeatBlock-By&gt;</w:t>
      </w:r>
      <w:r>
        <w:rPr>
          <w:rStyle w:val="HideTWBExt"/>
          <w:b w:val="0"/>
        </w:rPr>
        <w:t>&lt;Members&gt;</w:t>
      </w:r>
      <w:r>
        <w:t>Martin Hojsík, Brigitte van den 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invita l'UE e i suoi Stati membri a rispettare e mettere in evidenza il ruolo fondamentale degli enti locali e regionali nell'identificare le esigenze abitative e nell'elaborare misure specifiche per la popolazione locale; sottolinea l'importanza di promuovere strategie urbane integrate; chiede che si garantisca che gli enti locali abbiano un accesso diretto ai fondi dell'UE per l'edilizia abitativa e siano autorizzati a gestirli, data la loro vicinanza alle realtà delle esigenze locali;</w:t>
            </w:r>
          </w:p>
        </w:tc>
        <w:tc>
          <w:tcPr>
            <w:tcW w:w="4876" w:type="dxa"/>
            <w:tcBorders>
              <w:top w:val="nil"/>
              <w:left w:val="nil"/>
              <w:bottom w:val="nil"/>
              <w:right w:val="nil"/>
            </w:tcBorders>
          </w:tcPr>
          <w:p>
            <w:pPr>
              <w:pStyle w:val="Normal6a"/>
            </w:pPr>
            <w:r>
              <w:t>3.</w:t>
            </w:r>
            <w:r>
              <w:tab/>
            </w:r>
            <w:r>
              <w:t xml:space="preserve">invita l'UE e i suoi Stati membri a rispettare e mettere in evidenza il ruolo fondamentale degli enti locali e regionali nell'identificare le esigenze abitative e nell'elaborare misure specifiche per la popolazione locale; sottolinea l'importanza di </w:t>
            </w:r>
            <w:r>
              <w:rPr>
                <w:b/>
                <w:i/>
              </w:rPr>
              <w:t>elaborare e</w:t>
            </w:r>
            <w:r>
              <w:t xml:space="preserve"> promuovere strategie urbane integrate; chiede che si garantisca che gli enti locali </w:t>
            </w:r>
            <w:r>
              <w:rPr>
                <w:b/>
                <w:i/>
              </w:rPr>
              <w:t>e regionali</w:t>
            </w:r>
            <w:r>
              <w:t xml:space="preserve"> abbiano un accesso diretto ai fondi dell'UE per l'edilizia abitativa e siano autorizzati a gestirli, data la loro vicinanza alle realtà delle esigenze locali;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613</w:t>
      </w:r>
      <w:r>
        <w:rPr>
          <w:rStyle w:val="HideTWBExt"/>
        </w:rPr>
        <w:t>&lt;/NumAm&gt;</w:t>
      </w:r>
    </w:p>
    <w:p>
      <w:pPr>
        <w:pStyle w:val="NormalBold"/>
      </w:pPr>
      <w:r>
        <w:rPr>
          <w:rStyle w:val="HideTWBExt"/>
          <w:b w:val="0"/>
        </w:rPr>
        <w:t>&lt;RepeatBlock-By&gt;</w:t>
      </w:r>
      <w:r>
        <w:rPr>
          <w:rStyle w:val="HideTWBExt"/>
          <w:b w:val="0"/>
        </w:rPr>
        <w:t>&lt;Members&gt;</w:t>
      </w:r>
      <w:r>
        <w:t>Brigitte van den Berg, Barry Cowen, Martin Hojsík, Ciaran Mullooly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invita l'UE e i suoi Stati membri a rispettare e mettere in evidenza il ruolo fondamentale degli enti locali e regionali nell'identificare le esigenze abitative e nell'elaborare misure specifiche per la popolazione locale; sottolinea l'importanza di promuovere strategie urbane integrate; chiede che si garantisca che gli enti locali abbiano un accesso diretto ai fondi dell'UE per l'edilizia abitativa e siano autorizzati a gestirli, data la loro vicinanza alle realtà delle esigenze locali;</w:t>
            </w:r>
          </w:p>
        </w:tc>
        <w:tc>
          <w:tcPr>
            <w:tcW w:w="4876" w:type="dxa"/>
            <w:tcBorders>
              <w:top w:val="nil"/>
              <w:left w:val="nil"/>
              <w:bottom w:val="nil"/>
              <w:right w:val="nil"/>
            </w:tcBorders>
          </w:tcPr>
          <w:p>
            <w:pPr>
              <w:pStyle w:val="Normal6a"/>
            </w:pPr>
            <w:r>
              <w:t>3.</w:t>
            </w:r>
            <w:r>
              <w:tab/>
            </w:r>
            <w:r>
              <w:t xml:space="preserve">invita l'UE e i suoi Stati membri a rispettare e mettere in evidenza il ruolo fondamentale degli enti locali e regionali nell'identificare le esigenze abitative e nell'elaborare misure specifiche per la popolazione locale; sottolinea l'importanza di </w:t>
            </w:r>
            <w:r>
              <w:rPr>
                <w:b/>
                <w:i/>
              </w:rPr>
              <w:t>elaborare e</w:t>
            </w:r>
            <w:r>
              <w:t xml:space="preserve"> promuovere strategie urbane integrate; chiede che si garantisca che gli enti locali abbiano un accesso diretto ai fondi dell'UE per l'edilizia abitativa e siano autorizzati a gestirli, data la loro vicinanza alle realtà delle esigenze locali;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614</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bis.</w:t>
            </w:r>
            <w:r>
              <w:tab/>
            </w:r>
            <w:r>
              <w:rPr>
                <w:b/>
                <w:i/>
              </w:rPr>
              <w:t>ritiene che, nelle zone in cui si registrano gravi carenze di alloggi residenziali, gli enti locali e nazionali dovrebbero poter introdurre moratorie temporanee sull'acquisto di alloggi a fini non residenziali o esclusivamente di investimento, quale misura necessaria per contrastare le dinamiche speculative, ridurre la pressione sulla carenza di disponibilità di alloggi residenziali, preservando in tal modo l'accesso alle abitazioni a fini residenziali;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615</w:t>
      </w:r>
      <w:r>
        <w:rPr>
          <w:rStyle w:val="HideTWBExt"/>
        </w:rPr>
        <w:t>&lt;/NumAm&gt;</w:t>
      </w:r>
    </w:p>
    <w:p>
      <w:pPr>
        <w:pStyle w:val="NormalBold"/>
      </w:pPr>
      <w:r>
        <w:rPr>
          <w:rStyle w:val="HideTWBExt"/>
          <w:b w:val="0"/>
        </w:rPr>
        <w:t>&lt;RepeatBlock-By&gt;</w:t>
      </w:r>
      <w:r>
        <w:rPr>
          <w:rStyle w:val="HideTWBExt"/>
          <w:b w:val="0"/>
        </w:rPr>
        <w:t>&lt;Members&gt;</w:t>
      </w:r>
      <w:r>
        <w:t>Georgiana Teodorescu, Antonella Sberna, Alessandro Ciriani, Lara Magoni, Nora Junco García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bis.</w:t>
            </w:r>
            <w:r>
              <w:tab/>
            </w:r>
            <w:r>
              <w:rPr>
                <w:b/>
                <w:i/>
              </w:rPr>
              <w:t>sottolinea la necessità di misure di emergenza nell'ambito dell'attuale quadro dell'UE per affrontare le sfide urgenti in materia di alloggi e invita la Commissione a promuovere l'istituzione di una procedura accelerata europea per l'accesso agli strumenti finanziari dell'UE, dedicati agli alloggi, per gli enti locali in grado di dimostrare un'emergenza abitativa certificata;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616</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bis.</w:t>
            </w:r>
            <w:r>
              <w:tab/>
            </w:r>
            <w:r>
              <w:rPr>
                <w:b/>
                <w:i/>
              </w:rPr>
              <w:t>osserva che taluni enti locali negli Stati membri non dispongono di risorse e poteri sufficienti e, a tale riguardo, chiede la piena applicazione della Carta europea dell'autonomia locale in tutta l'Unione per garantire che gli enti locali dispongano di poteri e risorse sufficienti per fornire alloggi pubblici alle loro comunità;</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617</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ter.</w:t>
            </w:r>
            <w:r>
              <w:tab/>
            </w:r>
            <w:r>
              <w:rPr>
                <w:b/>
                <w:i/>
              </w:rPr>
              <w:t>sottolinea che l'acquisizione pubblica del parco immobiliare esistente deve diventare una priorità strategica fondamentale e mette in risalto il ruolo delle autorità pubbliche, in particolare a livello locale e regionale, nell'ampliare attivamente l'offerta di alloggi a prezzi accessibili attraverso acquisizioni mirate, contrastando in tal modo le dinamiche speculative ed evitando un'eccessiva concentrazione della proprietà;</w:t>
            </w:r>
            <w:r>
              <w:t xml:space="preserve"> </w:t>
            </w:r>
            <w:r>
              <w:rPr>
                <w:b/>
                <w:i/>
              </w:rPr>
              <w:t>pone l'accento sull'importanza di introdurre o rafforzare meccanismi, quali i diritti di prelazione sull'acquisto, per garantire che gli alloggi rimangano nelle mani di attori che perseguono l'interesse pubblico;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618</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quater.</w:t>
            </w:r>
            <w:r>
              <w:tab/>
            </w:r>
            <w:r>
              <w:rPr>
                <w:b/>
                <w:i/>
              </w:rPr>
              <w:t>ritiene fondamentale affrontare in modo più efficace la questione dei fondi non utilizzati del dispositivo per la ripresa e la resilienza (RRF) e l'adozione da parte della Commissione di misure di emergenza per facilitarne l'utilizzo rapido ed efficace da parte degli enti locali e regionali al fine di garantire alloggi dignitosi, sostenibili e a prezzi accessibili per coloro che ne hanno bisogno;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619</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quinquies.</w:t>
            </w:r>
            <w:r>
              <w:tab/>
            </w:r>
            <w:r>
              <w:rPr>
                <w:b/>
                <w:i/>
              </w:rPr>
              <w:t>sottolinea che la Commissione dovrebbe inoltre rafforzare il sostegno tecnico, finanziario e di sviluppo delle capacità mirato per gli enti locali e regionali, con particolare attenzione ai comuni di piccole e medie dimensioni e alle zone rurali, al fine di migliorare la loro capacità di gestione e assorbimento dei finanziamenti in materia di alloggi, migliorando in tal modo la fornitura di alloggi dignitosi, sostenibili e a prezzi accessibili;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620</w:t>
      </w:r>
      <w:r>
        <w:rPr>
          <w:rStyle w:val="HideTWBExt"/>
        </w:rPr>
        <w:t>&lt;/NumAm&gt;</w:t>
      </w:r>
    </w:p>
    <w:p>
      <w:pPr>
        <w:pStyle w:val="NormalBold"/>
      </w:pPr>
      <w:r>
        <w:rPr>
          <w:rStyle w:val="HideTWBExt"/>
          <w:b w:val="0"/>
        </w:rPr>
        <w:t>&lt;RepeatBlock-By&gt;</w:t>
      </w:r>
      <w:r>
        <w:rPr>
          <w:rStyle w:val="HideTWBExt"/>
          <w:b w:val="0"/>
        </w:rPr>
        <w:t>&lt;Members&gt;</w:t>
      </w:r>
      <w:r>
        <w:t>Georgiana Teodorescu, Antonella Sberna, Lara Magoni, Alessandro Ciriani, Nora Junco García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 e a prezzi accessibili</w:t>
            </w:r>
            <w:r>
              <w:rPr>
                <w:b/>
                <w:i/>
              </w:rPr>
              <w:t>, promuovendo strutture amministrative più integrate, in grado di generare sinergie tra i piccoli comuni e di rispondere alle sfide demografiche e legate allo spopolamento</w:t>
            </w:r>
            <w:r>
              <w:t xml:space="preserve">;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 </w:t>
            </w:r>
            <w:r>
              <w:rPr>
                <w:b/>
                <w:i/>
              </w:rPr>
              <w:t>sottolinea la necessità di affrontare, nelle politiche abitative, le specifiche sfide di queste zone, quali, tra l'altro, le restrizioni di pianificazione, le limitazioni tecniche e le sfide relative all'utilizzo di biomateriali, in considerazione dell'elevato rischio di declino demografico e dell'intenso esodo dalle campagne verso le città negli ultimi decenni;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621</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Inese Vaidere, Regina Doherty, Isabelle Le Callennec, Alma Ezcurra Almansa, Marco Falcone, Rosa Estaràs Ferragut, Elena Nevado del Campo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c>
          <w:tcPr>
            <w:tcW w:w="4876" w:type="dxa"/>
            <w:tcBorders>
              <w:top w:val="nil"/>
              <w:left w:val="nil"/>
              <w:bottom w:val="nil"/>
              <w:right w:val="nil"/>
            </w:tcBorders>
          </w:tcPr>
          <w:p>
            <w:pPr>
              <w:pStyle w:val="Normal6a"/>
            </w:pPr>
            <w:r>
              <w:t>4.</w:t>
            </w:r>
            <w:r>
              <w:tab/>
            </w:r>
            <w:r>
              <w:t xml:space="preserve">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w:t>
            </w:r>
            <w:r>
              <w:rPr>
                <w:b/>
                <w:i/>
              </w:rPr>
              <w:t>a promuovere lo sviluppo urbano sostenibile e l'utilizzo di investimenti nelle aree dismesse per alloggi a prezzi accessibili e a privilegiare l'uso dei finanziamenti dell'UE, ove possibile, per ristrutturare le unità abitative nei centri storici delle città e dei paesi al fine di sostenere lo stile di vita, le tradizioni, la storia e l'identità europei nelle nostre città e nei nostri paesi e villaggi;</w:t>
            </w:r>
            <w:r>
              <w:t xml:space="preserve"> </w:t>
            </w:r>
            <w:r>
              <w:rPr>
                <w:b/>
                <w:i/>
              </w:rPr>
              <w:t>invita</w:t>
            </w:r>
            <w:r>
              <w:t xml:space="preserve"> la Commissione a pubblicare un piano abitativo specifico per le regioni rurali, insulari e ultraperiferiche nonché per la cooperazione transfrontaliera a tale riguardo;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622</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Maravillas Abadía Jover, Inese Vaidere,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c>
          <w:tcPr>
            <w:tcW w:w="4876" w:type="dxa"/>
            <w:tcBorders>
              <w:top w:val="nil"/>
              <w:left w:val="nil"/>
              <w:bottom w:val="nil"/>
              <w:right w:val="nil"/>
            </w:tcBorders>
          </w:tcPr>
          <w:p>
            <w:pPr>
              <w:pStyle w:val="Normal6a"/>
            </w:pPr>
            <w:r>
              <w:t>4.</w:t>
            </w:r>
            <w:r>
              <w:tab/>
            </w:r>
            <w:r>
              <w:t xml:space="preserve">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w:t>
            </w:r>
            <w:r>
              <w:rPr>
                <w:b/>
                <w:i/>
              </w:rPr>
              <w:t>esorta a prestare particolare attenzione agli investimenti in alloggi a prezzi accessibili nelle zone rurali mediante un approccio politico multigenerazionale, incluse misure specifiche per incentivare il diritto di rimanere, rafforzare l'attrattiva delle zone rurali per le giovani famiglie e offrire soluzioni abitative adatte agli anziani;</w:t>
            </w:r>
            <w:r>
              <w:t xml:space="preserve"> invita la Commissione a pubblicare un piano abitativo specifico per le regioni rurali, insulari e ultraperiferiche nonché per la cooperazione transfrontaliera a tale riguardo;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623</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chiede di </w:t>
            </w:r>
            <w:r>
              <w:rPr>
                <w:b/>
                <w:i/>
              </w:rPr>
              <w:t>promuovere la semplificazione e</w:t>
            </w:r>
            <w:r>
              <w:t xml:space="preserve"> lo sviluppo delle capacità attraverso </w:t>
            </w:r>
            <w:r>
              <w:rPr>
                <w:b/>
                <w:i/>
              </w:rPr>
              <w:t>un approccio di</w:t>
            </w:r>
            <w:r>
              <w:t xml:space="preserve"> governance multilivello</w:t>
            </w:r>
            <w:r>
              <w:rPr>
                <w:b/>
                <w:i/>
              </w:rPr>
              <w:t>, comprese misure amministrative e digitali, al fine di sviluppare progetti abitativi sostenibili e</w:t>
            </w:r>
            <w:r>
              <w:t xml:space="preserve"> a prezzi accessibili</w:t>
            </w:r>
            <w:r>
              <w:rPr>
                <w:b/>
                <w:i/>
              </w:rPr>
              <w:t>;</w:t>
            </w:r>
            <w:r>
              <w:t xml:space="preserve"> </w:t>
            </w:r>
            <w:r>
              <w:rPr>
                <w:b/>
                <w:i/>
              </w:rPr>
              <w:t>invita la Commissione a pubblicare buone pratiche a tale riguardo, incentrate sulle zone spopolate e in via di spopolamento;</w:t>
            </w:r>
            <w:r>
              <w:t xml:space="preserve"> </w:t>
            </w:r>
            <w:r>
              <w:rPr>
                <w:b/>
                <w:i/>
              </w:rPr>
              <w:t>chiede la promozione di progetti di connettività nelle regioni rurali, transfrontaliere, insulari e ultraperiferiche per garantire il diritto di rimanere e permettere alla popolazione locale di vivere nel proprio luogo di origine;</w:t>
            </w:r>
            <w:r>
              <w:t xml:space="preserve"> </w:t>
            </w:r>
            <w:r>
              <w:rPr>
                <w:b/>
                <w:i/>
              </w:rPr>
              <w:t>invita la Commissione a pubblicare un piano abitativo specifico per le regioni rurali, insulari e ultraperiferiche nonché per la cooperazione transfrontaliera a tale riguardo</w:t>
            </w:r>
            <w:r>
              <w:t>;</w:t>
            </w:r>
          </w:p>
        </w:tc>
        <w:tc>
          <w:tcPr>
            <w:tcW w:w="4876" w:type="dxa"/>
            <w:tcBorders>
              <w:top w:val="nil"/>
              <w:left w:val="nil"/>
              <w:bottom w:val="nil"/>
              <w:right w:val="nil"/>
            </w:tcBorders>
          </w:tcPr>
          <w:p>
            <w:pPr>
              <w:pStyle w:val="Normal6a"/>
            </w:pPr>
            <w:r>
              <w:t>4.</w:t>
            </w:r>
            <w:r>
              <w:tab/>
            </w:r>
            <w:r>
              <w:rPr>
                <w:b/>
                <w:i/>
              </w:rPr>
              <w:t>ritiene fondamentale disporre di una politica di coesione più forte e solida a sostegno di tutte le regioni dell'UE in materia di alloggi sostenibili, dignitosi e a prezzi accessibili, sulla base della gestione concorrente e dei quadri strategici a lungo termine esistenti e consolidati, garantendo norme e procedure amministrative semplificate, nonché assicurandosi di consultare e coinvolgere adeguatamente gli enti locali e regionali, le organizzazioni della società civile e le PMI nella pianificazione, nella progettazione, nel monitoraggio e nell'attuazione dei progetti;</w:t>
            </w:r>
            <w:r>
              <w:t xml:space="preserve"> chiede di </w:t>
            </w:r>
            <w:r>
              <w:rPr>
                <w:b/>
                <w:i/>
              </w:rPr>
              <w:t>rafforzare</w:t>
            </w:r>
            <w:r>
              <w:t xml:space="preserve"> lo sviluppo delle capacità attraverso </w:t>
            </w:r>
            <w:r>
              <w:rPr>
                <w:b/>
                <w:i/>
              </w:rPr>
              <w:t>il potenziamento della</w:t>
            </w:r>
            <w:r>
              <w:t xml:space="preserve"> governance multilivello </w:t>
            </w:r>
            <w:r>
              <w:rPr>
                <w:b/>
                <w:i/>
              </w:rPr>
              <w:t>e del principio di partenariato, nonché di garantire che ogni investimento in alloggi</w:t>
            </w:r>
            <w:r>
              <w:t xml:space="preserve"> a prezzi accessibili </w:t>
            </w:r>
            <w:r>
              <w:rPr>
                <w:b/>
                <w:i/>
              </w:rPr>
              <w:t>rappresenti, al contempo, un investimento verde e sostenibile in edifici a elevata efficienza che possa essere considerato un contributo all'azione per il clima;</w:t>
            </w:r>
            <w:r>
              <w:t xml:space="preserve"> </w:t>
            </w:r>
            <w:r>
              <w:rPr>
                <w:b/>
                <w:i/>
              </w:rPr>
              <w:t>sostiene pienamente il proseguimento dell'iniziativa urbana europea e l'ampliamento dell'iniziativa URBACT al fine di includere l'accessibilità economica degli alloggi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624</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 Elena Nevado del Campo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spopolate e in via di spopolamento</w:t>
            </w:r>
            <w:r>
              <w:rPr>
                <w:b/>
                <w:i/>
              </w:rPr>
              <w:t>;</w:t>
            </w:r>
            <w:r>
              <w:t xml:space="preserve"> </w:t>
            </w:r>
            <w:r>
              <w:rPr>
                <w:b/>
                <w:i/>
              </w:rPr>
              <w:t>ritiene che il collegamento con le capitali, le grandi città e i centri urbani potrebbe contribuire a contrastare il fenomeno dello spopolamento, aumentando nel contempo il numero di abitazioni disponibili sul mercato</w:t>
            </w:r>
            <w:r>
              <w:t>;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625</w:t>
      </w:r>
      <w:r>
        <w:rPr>
          <w:rStyle w:val="HideTWBExt"/>
        </w:rPr>
        <w:t>&lt;/NumAm&gt;</w:t>
      </w:r>
    </w:p>
    <w:p>
      <w:pPr>
        <w:pStyle w:val="NormalBold"/>
      </w:pPr>
      <w:r>
        <w:rPr>
          <w:rStyle w:val="HideTWBExt"/>
          <w:b w:val="0"/>
        </w:rPr>
        <w:t>&lt;RepeatBlock-By&gt;</w:t>
      </w:r>
      <w:r>
        <w:rPr>
          <w:rStyle w:val="HideTWBExt"/>
          <w:b w:val="0"/>
        </w:rPr>
        <w:t>&lt;Members&gt;</w:t>
      </w:r>
      <w:r>
        <w:t>Martin Hojsík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w:t>
            </w:r>
            <w:r>
              <w:rPr>
                <w:b/>
                <w:i/>
              </w:rPr>
              <w:t>a tale riguardo, incentrate sulle</w:t>
            </w:r>
            <w:r>
              <w:t xml:space="preserve"> zone spopolate e in via di spopolamento; chiede la promozione di progetti di connettività nelle regioni rurali, transfrontaliere, insulari e ultraperiferiche </w:t>
            </w:r>
            <w:r>
              <w:rPr>
                <w:b/>
                <w:i/>
              </w:rPr>
              <w:t>per garantire il diritto di rimanere e permettere alla popolazione locale di vivere nel proprio luogo di origine</w:t>
            </w:r>
            <w:r>
              <w:t>; invita la Commissione a pubblicare un piano abitativo specifico per le regioni rurali, insulari e ultraperiferiche nonché per la cooperazione transfrontaliera a tale riguardo;</w:t>
            </w:r>
          </w:p>
        </w:tc>
        <w:tc>
          <w:tcPr>
            <w:tcW w:w="4876" w:type="dxa"/>
            <w:tcBorders>
              <w:top w:val="nil"/>
              <w:left w:val="nil"/>
              <w:bottom w:val="nil"/>
              <w:right w:val="nil"/>
            </w:tcBorders>
          </w:tcPr>
          <w:p>
            <w:pPr>
              <w:pStyle w:val="Normal6a"/>
            </w:pPr>
            <w:r>
              <w:t>4.</w:t>
            </w:r>
            <w:r>
              <w:tab/>
            </w:r>
            <w:r>
              <w:t>chiede di promuovere la semplificazione e lo sviluppo delle capacità</w:t>
            </w:r>
            <w:r>
              <w:rPr>
                <w:b/>
                <w:i/>
              </w:rPr>
              <w:t>, anche a livello nazionale e locale,</w:t>
            </w:r>
            <w:r>
              <w:t xml:space="preserve"> attraverso un approccio di governance multilivello, comprese misure amministrative e digitali, al fine di sviluppare progetti abitativi sostenibili e a prezzi accessibili; invita la Commissione a </w:t>
            </w:r>
            <w:r>
              <w:rPr>
                <w:b/>
                <w:i/>
              </w:rPr>
              <w:t>promuovere la cooperazione e a</w:t>
            </w:r>
            <w:r>
              <w:t xml:space="preserve"> pubblicare buone pratiche </w:t>
            </w:r>
            <w:r>
              <w:rPr>
                <w:b/>
                <w:i/>
              </w:rPr>
              <w:t>che rispecchino la diversità delle sfide che gli enti nazionali, regionali e locali si trovano ad affrontare, tra cui il turismo eccessivo e la gentrificazione e le difficoltà riscontrate nelle</w:t>
            </w:r>
            <w:r>
              <w:t xml:space="preserve"> zone spopolate e in via di spopolamento</w:t>
            </w:r>
            <w:r>
              <w:rPr>
                <w:b/>
                <w:i/>
              </w:rPr>
              <w:t>, nonché nelle regioni frontaliere, insulari e ultraperiferiche</w:t>
            </w:r>
            <w:r>
              <w:t>; chiede la promozione di progetti di connettività nelle regioni rurali, transfrontaliere, insulari e ultraperiferiche</w:t>
            </w:r>
            <w:r>
              <w:rPr>
                <w:b/>
                <w:i/>
              </w:rPr>
              <w:t>, compreso il leasing sociale per i veicoli elettrici</w:t>
            </w:r>
            <w:r>
              <w:t>; invita la Commissione a pubblicare un piano abitativo specifico per le regioni rurali, insulari e ultraperiferiche nonché per la cooperazione transfrontaliera a tale riguardo;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626</w:t>
      </w:r>
      <w:r>
        <w:rPr>
          <w:rStyle w:val="HideTWBExt"/>
        </w:rPr>
        <w:t>&lt;/NumAm&gt;</w:t>
      </w:r>
    </w:p>
    <w:p>
      <w:pPr>
        <w:pStyle w:val="NormalBold"/>
      </w:pPr>
      <w:r>
        <w:rPr>
          <w:rStyle w:val="HideTWBExt"/>
          <w:b w:val="0"/>
        </w:rPr>
        <w:t>&lt;RepeatBlock-By&gt;</w:t>
      </w:r>
      <w:r>
        <w:rPr>
          <w:rStyle w:val="HideTWBExt"/>
          <w:b w:val="0"/>
        </w:rPr>
        <w:t>&lt;Members&gt;</w:t>
      </w:r>
      <w:r>
        <w:t>Brigitte van den Berg, Oihane Agirregoitia Martínez, Ciaran Mullooly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w:t>
            </w:r>
            <w:r>
              <w:rPr>
                <w:b/>
                <w:i/>
              </w:rPr>
              <w:t>a tale riguardo, incentrate sulle</w:t>
            </w:r>
            <w:r>
              <w:t xml:space="preserv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w:t>
            </w:r>
            <w:r>
              <w:rPr>
                <w:b/>
                <w:i/>
              </w:rPr>
              <w:t>nonché per la cooperazione transfrontaliera a tale riguardo</w:t>
            </w:r>
            <w:r>
              <w:t>;</w:t>
            </w:r>
          </w:p>
        </w:tc>
        <w:tc>
          <w:tcPr>
            <w:tcW w:w="4876" w:type="dxa"/>
            <w:tcBorders>
              <w:top w:val="nil"/>
              <w:left w:val="nil"/>
              <w:bottom w:val="nil"/>
              <w:right w:val="nil"/>
            </w:tcBorders>
          </w:tcPr>
          <w:p>
            <w:pPr>
              <w:pStyle w:val="Normal6a"/>
            </w:pPr>
            <w:r>
              <w:t>4.</w:t>
            </w:r>
            <w:r>
              <w:tab/>
            </w:r>
            <w:r>
              <w:t>chiede di promuovere la semplificazione e lo sviluppo delle capacità</w:t>
            </w:r>
            <w:r>
              <w:rPr>
                <w:b/>
                <w:i/>
              </w:rPr>
              <w:t>, anche a livello nazionale e locale,</w:t>
            </w:r>
            <w:r>
              <w:t xml:space="preserve"> attraverso un approccio di governance multilivello, comprese misure amministrative e digitali, al fine di sviluppare progetti abitativi sostenibili e a prezzi accessibili; invita la Commissione a </w:t>
            </w:r>
            <w:r>
              <w:rPr>
                <w:b/>
                <w:i/>
              </w:rPr>
              <w:t>promuovere la cooperazione e a</w:t>
            </w:r>
            <w:r>
              <w:t xml:space="preserve"> pubblicare buone pratiche </w:t>
            </w:r>
            <w:r>
              <w:rPr>
                <w:b/>
                <w:i/>
              </w:rPr>
              <w:t>che rispecchino la diversità delle sfide che gli enti nazionali e locali si trovano ad affrontare, tra cui il turismo eccessivo e la gentrificazione e le difficoltà riscontrate nelle</w:t>
            </w:r>
            <w:r>
              <w:t xml:space="preserve"> zone spopolate e in via di spopolamento</w:t>
            </w:r>
            <w:r>
              <w:rPr>
                <w:b/>
                <w:i/>
              </w:rPr>
              <w:t>, nonché nelle regioni frontaliere, insulari e ultraperiferiche</w:t>
            </w:r>
            <w:r>
              <w:t>;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627</w:t>
      </w:r>
      <w:r>
        <w:rPr>
          <w:rStyle w:val="HideTWBExt"/>
        </w:rPr>
        <w:t>&lt;/NumAm&gt;</w:t>
      </w:r>
    </w:p>
    <w:p>
      <w:pPr>
        <w:pStyle w:val="NormalBold"/>
      </w:pPr>
      <w:r>
        <w:rPr>
          <w:rStyle w:val="HideTWBExt"/>
          <w:b w:val="0"/>
        </w:rPr>
        <w:t>&lt;RepeatBlock-By&gt;</w:t>
      </w:r>
      <w:r>
        <w:rPr>
          <w:rStyle w:val="HideTWBExt"/>
          <w:b w:val="0"/>
        </w:rPr>
        <w:t>&lt;Members&gt;</w:t>
      </w:r>
      <w:r>
        <w:t>Barry Cowen, Brigitte van den 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w:t>
            </w:r>
            <w:r>
              <w:rPr>
                <w:b/>
                <w:i/>
              </w:rPr>
              <w:t>a tale riguardo,</w:t>
            </w:r>
            <w:r>
              <w:t xml:space="preserve">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c>
          <w:tcPr>
            <w:tcW w:w="4876" w:type="dxa"/>
            <w:tcBorders>
              <w:top w:val="nil"/>
              <w:left w:val="nil"/>
              <w:bottom w:val="nil"/>
              <w:right w:val="nil"/>
            </w:tcBorders>
          </w:tcPr>
          <w:p>
            <w:pPr>
              <w:pStyle w:val="Normal6a"/>
            </w:pPr>
            <w:r>
              <w:t>4.</w:t>
            </w:r>
            <w:r>
              <w:tab/>
            </w:r>
            <w:r>
              <w:t>chiede di promuovere la semplificazione e lo sviluppo delle capacità</w:t>
            </w:r>
            <w:r>
              <w:rPr>
                <w:b/>
                <w:i/>
              </w:rPr>
              <w:t>, anche a livello nazionale e locale,</w:t>
            </w:r>
            <w:r>
              <w:t xml:space="preserve"> attraverso un approccio di governance multilivello, comprese misure amministrative e digitali, al fine di sviluppare progetti abitativi sostenibili e a prezzi accessibili; invita la Commissione a </w:t>
            </w:r>
            <w:r>
              <w:rPr>
                <w:b/>
                <w:i/>
              </w:rPr>
              <w:t>promuovere la cooperazione e a</w:t>
            </w:r>
            <w:r>
              <w:t xml:space="preserve"> pubblicare buone pratiche </w:t>
            </w:r>
            <w:r>
              <w:rPr>
                <w:b/>
                <w:i/>
              </w:rPr>
              <w:t>che rispecchino la diversità delle sfide che gli enti nazionali e locali si trovano ad affrontare;</w:t>
            </w:r>
            <w:r>
              <w:t xml:space="preserve"> </w:t>
            </w:r>
            <w:r>
              <w:rPr>
                <w:b/>
                <w:i/>
              </w:rPr>
              <w:t>chiede l'adozione di politiche mirate</w:t>
            </w:r>
            <w:r>
              <w:t xml:space="preserve">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628</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c>
          <w:tcPr>
            <w:tcW w:w="4876" w:type="dxa"/>
            <w:tcBorders>
              <w:top w:val="nil"/>
              <w:left w:val="nil"/>
              <w:bottom w:val="nil"/>
              <w:right w:val="nil"/>
            </w:tcBorders>
          </w:tcPr>
          <w:p>
            <w:pPr>
              <w:pStyle w:val="Normal6a"/>
            </w:pPr>
            <w:r>
              <w:t>4.</w:t>
            </w:r>
            <w:r>
              <w:tab/>
            </w:r>
            <w:r>
              <w:t xml:space="preserve">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 </w:t>
            </w:r>
            <w:r>
              <w:rPr>
                <w:b/>
                <w:i/>
              </w:rPr>
              <w:t>chiede l'applicazione di misure specifiche alle regioni ultraperiferiche, tenendo conto delle loro condizioni climatiche e del mercato dell'edilizia locale;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629</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 Elena Nevado del Campo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c>
          <w:tcPr>
            <w:tcW w:w="4876" w:type="dxa"/>
            <w:tcBorders>
              <w:top w:val="nil"/>
              <w:left w:val="nil"/>
              <w:bottom w:val="nil"/>
              <w:right w:val="nil"/>
            </w:tcBorders>
          </w:tcPr>
          <w:p>
            <w:pPr>
              <w:pStyle w:val="Normal6a"/>
            </w:pPr>
            <w:r>
              <w:t>4.</w:t>
            </w:r>
            <w:r>
              <w:tab/>
            </w:r>
            <w:r>
              <w:t xml:space="preserve">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spopolate e in via di </w:t>
            </w:r>
            <w:r>
              <w:rPr>
                <w:b/>
                <w:i/>
              </w:rPr>
              <w:t>spopolamento al fine di evitare che le future politiche abitative abbiano come effetto collaterale lo</w:t>
            </w:r>
            <w:r>
              <w:t xml:space="preserve">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630</w:t>
      </w:r>
      <w:r>
        <w:rPr>
          <w:rStyle w:val="HideTWBExt"/>
        </w:rPr>
        <w:t>&lt;/NumAm&gt;</w:t>
      </w:r>
    </w:p>
    <w:p>
      <w:pPr>
        <w:pStyle w:val="NormalBold"/>
      </w:pPr>
      <w:r>
        <w:rPr>
          <w:rStyle w:val="HideTWBExt"/>
          <w:b w:val="0"/>
        </w:rPr>
        <w:t>&lt;RepeatBlock-By&gt;</w:t>
      </w:r>
      <w:r>
        <w:rPr>
          <w:rStyle w:val="HideTWBExt"/>
          <w:b w:val="0"/>
        </w:rPr>
        <w:t>&lt;Members&gt;</w:t>
      </w:r>
      <w:r>
        <w:t>Nils Ušakovs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 e a prezzi accessibili</w:t>
            </w:r>
            <w:r>
              <w:rPr>
                <w:b/>
                <w:i/>
              </w:rPr>
              <w:t>, inclusa la necessità di ristrutturare il parco immobiliare esistente</w:t>
            </w:r>
            <w:r>
              <w:t>;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w:t>
            </w:r>
            <w:r>
              <w:rPr>
                <w:b/>
                <w:i/>
              </w:rPr>
              <w:t>, che affronti le esigenze sia di costruzione che di ristrutturazione,</w:t>
            </w:r>
            <w:r>
              <w:t xml:space="preserve"> per le regioni rurali, insulari e ultraperiferiche nonché per la cooperazione transfrontaliera a tale riguardo;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631</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r>
              <w:rPr>
                <w:b/>
                <w:i/>
              </w:rPr>
              <w:t>, sostenuto da uno studio sulle condizioni di vita in tali regioni d'Europa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632</w:t>
      </w:r>
      <w:r>
        <w:rPr>
          <w:rStyle w:val="HideTWBExt"/>
        </w:rPr>
        <w:t>&lt;/NumAm&gt;</w:t>
      </w:r>
    </w:p>
    <w:p>
      <w:pPr>
        <w:pStyle w:val="NormalBold"/>
      </w:pPr>
      <w:r>
        <w:rPr>
          <w:rStyle w:val="HideTWBExt"/>
          <w:b w:val="0"/>
        </w:rPr>
        <w:t>&lt;RepeatBlock-By&gt;</w:t>
      </w:r>
      <w:r>
        <w:rPr>
          <w:rStyle w:val="HideTWBExt"/>
          <w:b w:val="0"/>
        </w:rPr>
        <w:t>&lt;Members&gt;</w:t>
      </w:r>
      <w:r>
        <w:t>György Hölvényi, Pál Szekeres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w:t>
            </w:r>
            <w:r>
              <w:rPr>
                <w:b/>
                <w:i/>
              </w:rPr>
              <w:t>, concentrandosi in particolare sulle questioni abitative sia per i giovani che per gli anziani,</w:t>
            </w:r>
            <w:r>
              <w:t xml:space="preserv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633</w:t>
      </w:r>
      <w:r>
        <w:rPr>
          <w:rStyle w:val="HideTWBExt"/>
        </w:rPr>
        <w:t>&lt;/NumAm&gt;</w:t>
      </w:r>
    </w:p>
    <w:p>
      <w:pPr>
        <w:pStyle w:val="NormalBold"/>
      </w:pPr>
      <w:r>
        <w:rPr>
          <w:rStyle w:val="HideTWBExt"/>
          <w:b w:val="0"/>
        </w:rPr>
        <w:t>&lt;RepeatBlock-By&gt;</w:t>
      </w:r>
      <w:r>
        <w:rPr>
          <w:rStyle w:val="HideTWBExt"/>
          <w:b w:val="0"/>
        </w:rPr>
        <w:t>&lt;Members&gt;</w:t>
      </w:r>
      <w:r>
        <w:t>Ciaran Mullooly, Brigitte van den 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w:t>
            </w:r>
            <w:r>
              <w:rPr>
                <w:b/>
                <w:i/>
              </w:rPr>
              <w:t>, con soluzioni di riscaldamento sostenibili per gli utenti di impianti non collegati alla rete,</w:t>
            </w:r>
            <w:r>
              <w:t xml:space="preserve"> per le regioni rurali, insulari e ultraperiferiche nonché per la cooperazione transfrontaliera a tale riguardo;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634</w:t>
      </w:r>
      <w:r>
        <w:rPr>
          <w:rStyle w:val="HideTWBExt"/>
        </w:rPr>
        <w:t>&lt;/NumAm&gt;</w:t>
      </w:r>
    </w:p>
    <w:p>
      <w:pPr>
        <w:pStyle w:val="NormalBold"/>
      </w:pPr>
      <w:r>
        <w:rPr>
          <w:rStyle w:val="HideTWBExt"/>
          <w:b w:val="0"/>
        </w:rPr>
        <w:t>&lt;RepeatBlock-By&gt;</w:t>
      </w:r>
      <w:r>
        <w:rPr>
          <w:rStyle w:val="HideTWBExt"/>
          <w:b w:val="0"/>
        </w:rPr>
        <w:t>&lt;Members&gt;</w:t>
      </w:r>
      <w:r>
        <w:t>Julie Rechagneux, Marie-Luce Brasier-Clain, Aleksandar Nikolic, Rachel Blom</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c>
          <w:tcPr>
            <w:tcW w:w="4876" w:type="dxa"/>
            <w:tcBorders>
              <w:top w:val="nil"/>
              <w:left w:val="nil"/>
              <w:bottom w:val="nil"/>
              <w:right w:val="nil"/>
            </w:tcBorders>
          </w:tcPr>
          <w:p>
            <w:pPr>
              <w:pStyle w:val="Normal6a"/>
            </w:pPr>
            <w:r>
              <w:t>4.</w:t>
            </w:r>
            <w:r>
              <w:tab/>
            </w:r>
            <w:r>
              <w:t xml:space="preserve">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w:t>
            </w:r>
            <w:r>
              <w:rPr>
                <w:b/>
                <w:i/>
              </w:rPr>
              <w:t>non vincolanti</w:t>
            </w:r>
            <w:r>
              <w:t xml:space="preserv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w:t>
            </w:r>
            <w:r>
              <w:rPr>
                <w:b/>
                <w:i/>
              </w:rPr>
              <w:t>non vincolante</w:t>
            </w:r>
            <w:r>
              <w:t xml:space="preserve"> per le regioni rurali, insulari e ultraperiferiche nonché per la cooperazione transfrontaliera a tale riguardo;</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635</w:t>
      </w:r>
      <w:r>
        <w:rPr>
          <w:rStyle w:val="HideTWBExt"/>
        </w:rPr>
        <w:t>&lt;/NumAm&gt;</w:t>
      </w:r>
    </w:p>
    <w:p>
      <w:pPr>
        <w:pStyle w:val="NormalBold"/>
      </w:pPr>
      <w:r>
        <w:rPr>
          <w:rStyle w:val="HideTWBExt"/>
          <w:b w:val="0"/>
        </w:rPr>
        <w:t>&lt;RepeatBlock-By&gt;</w:t>
      </w:r>
      <w:r>
        <w:rPr>
          <w:rStyle w:val="HideTWBExt"/>
          <w:b w:val="0"/>
        </w:rPr>
        <w:t>&lt;Members&gt;</w:t>
      </w:r>
      <w:r>
        <w:t>Julie Rechagneux, Marie Dauchy, Anne-Sophie Frigout, France Jamet, Mathilde Androuët, Catherine Griset, György Hölvényi, Marie-Luce Brasier-Clain, Aleksandar Nikolic, Mélanie Disdier, Klara Dostalova, Rachel Blom</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c>
          <w:tcPr>
            <w:tcW w:w="4876" w:type="dxa"/>
            <w:tcBorders>
              <w:top w:val="nil"/>
              <w:left w:val="nil"/>
              <w:bottom w:val="nil"/>
              <w:right w:val="nil"/>
            </w:tcBorders>
          </w:tcPr>
          <w:p>
            <w:pPr>
              <w:pStyle w:val="Normal6a"/>
            </w:pPr>
            <w:r>
              <w:t>4.</w:t>
            </w:r>
            <w:r>
              <w:tab/>
            </w:r>
            <w:r>
              <w:t xml:space="preserve">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w:t>
            </w:r>
            <w:r>
              <w:rPr>
                <w:b/>
                <w:i/>
              </w:rPr>
              <w:t>non vincolanti</w:t>
            </w:r>
            <w:r>
              <w:t xml:space="preserv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w:t>
            </w:r>
            <w:r>
              <w:rPr>
                <w:b/>
                <w:i/>
              </w:rPr>
              <w:t>non vincolante</w:t>
            </w:r>
            <w:r>
              <w:t xml:space="preserve"> per le regioni rurali, insulari e ultraperiferiche nonché per la cooperazione transfrontaliera a tale riguardo;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636</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Inese Vaidere,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chiede di promuovere la semplificazione e lo sviluppo delle capacità attraverso un approccio di governance multilivello, comprese misure amministrative e digitali, al fine di sviluppare progetti abitativi sostenibili e a prezzi </w:t>
            </w:r>
            <w:r>
              <w:rPr>
                <w:b/>
                <w:i/>
              </w:rPr>
              <w:t>accessibili</w:t>
            </w:r>
            <w:r>
              <w:t>;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w:t>
            </w:r>
            <w:r>
              <w:rPr>
                <w:b/>
                <w:i/>
              </w:rPr>
              <w:t>, accessibili</w:t>
            </w:r>
            <w:r>
              <w:t xml:space="preserve"> e a prezzi </w:t>
            </w:r>
            <w:r>
              <w:rPr>
                <w:b/>
                <w:i/>
              </w:rPr>
              <w:t>abbordabili</w:t>
            </w:r>
            <w:r>
              <w:t>;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637</w:t>
      </w:r>
      <w:r>
        <w:rPr>
          <w:rStyle w:val="HideTWBExt"/>
        </w:rPr>
        <w:t>&lt;/NumAm&gt;</w:t>
      </w:r>
    </w:p>
    <w:p>
      <w:pPr>
        <w:pStyle w:val="NormalBold"/>
      </w:pPr>
      <w:r>
        <w:rPr>
          <w:rStyle w:val="HideTWBExt"/>
          <w:b w:val="0"/>
        </w:rPr>
        <w:t>&lt;RepeatBlock-By&gt;</w:t>
      </w:r>
      <w:r>
        <w:rPr>
          <w:rStyle w:val="HideTWBExt"/>
          <w:b w:val="0"/>
        </w:rPr>
        <w:t>&lt;Members&gt;</w:t>
      </w:r>
      <w:r>
        <w:t>Aodhán Ó Ríordáin, Andreas Schieder, Gabriele Bischoff, Alicia Homs Ginel, Marit Maij, Nora Mebarek, Isilda Gomes, Joanna Scheuring-Wielgus, Yannis Maniatis,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c>
          <w:tcPr>
            <w:tcW w:w="4876" w:type="dxa"/>
            <w:tcBorders>
              <w:top w:val="nil"/>
              <w:left w:val="nil"/>
              <w:bottom w:val="nil"/>
              <w:right w:val="nil"/>
            </w:tcBorders>
          </w:tcPr>
          <w:p>
            <w:pPr>
              <w:pStyle w:val="Normal6a"/>
            </w:pPr>
            <w:r>
              <w:t>4.</w:t>
            </w:r>
            <w:r>
              <w:tab/>
            </w:r>
            <w:r>
              <w:t>chiede di promuovere la semplificazione e lo sviluppo delle capacità attraverso un approccio di governance multilivello, comprese misure amministrative e digitali, al fine di sviluppare progetti abitativi sostenibili</w:t>
            </w:r>
            <w:r>
              <w:rPr>
                <w:b/>
                <w:i/>
              </w:rPr>
              <w:t>, sociali</w:t>
            </w:r>
            <w:r>
              <w:t xml:space="preserve"> e a prezzi accessibili; invita la Commissione a pubblicare buone pratiche a tale riguardo, incentrate sulle zone spopolate e in via di spopolamento;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638</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chiede di promuovere </w:t>
            </w:r>
            <w:r>
              <w:rPr>
                <w:b/>
                <w:i/>
              </w:rPr>
              <w:t>la semplificazione e</w:t>
            </w:r>
            <w:r>
              <w:t xml:space="preserv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w:t>
            </w:r>
            <w:r>
              <w:rPr>
                <w:b/>
                <w:i/>
              </w:rPr>
              <w:t>spopolate e in via di spopolamento</w:t>
            </w:r>
            <w:r>
              <w:t>;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c>
          <w:tcPr>
            <w:tcW w:w="4876" w:type="dxa"/>
            <w:tcBorders>
              <w:top w:val="nil"/>
              <w:left w:val="nil"/>
              <w:bottom w:val="nil"/>
              <w:right w:val="nil"/>
            </w:tcBorders>
          </w:tcPr>
          <w:p>
            <w:pPr>
              <w:pStyle w:val="Normal6a"/>
            </w:pPr>
            <w:r>
              <w:t>4.</w:t>
            </w:r>
            <w:r>
              <w:tab/>
            </w:r>
            <w:r>
              <w:t xml:space="preserve">chiede di promuovere lo sviluppo delle capacità attraverso un approccio di governance multilivello, comprese misure amministrative e digitali, al fine di sviluppare progetti abitativi sostenibili e a prezzi accessibili; invita la Commissione a pubblicare buone pratiche a tale riguardo, incentrate sulle zone </w:t>
            </w:r>
            <w:r>
              <w:rPr>
                <w:b/>
                <w:i/>
              </w:rPr>
              <w:t>densamente popolate</w:t>
            </w:r>
            <w:r>
              <w:t>; chiede la promozione di progetti di connettività nelle regioni rurali, transfrontaliere, insulari e ultraperiferiche per garantire il diritto di rimanere e permettere alla popolazione locale di vivere nel proprio luogo di origine; invita la Commissione a pubblicare un piano abitativo specifico per le regioni rurali, insulari e ultraperiferiche nonché per la cooperazione transfrontaliera a tale riguardo;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639</w:t>
      </w:r>
      <w:r>
        <w:rPr>
          <w:rStyle w:val="HideTWBExt"/>
        </w:rPr>
        <w:t>&lt;/NumAm&gt;</w:t>
      </w:r>
    </w:p>
    <w:p>
      <w:pPr>
        <w:pStyle w:val="NormalBold"/>
      </w:pPr>
      <w:r>
        <w:rPr>
          <w:rStyle w:val="HideTWBExt"/>
          <w:b w:val="0"/>
        </w:rPr>
        <w:t>&lt;RepeatBlock-By&gt;</w:t>
      </w:r>
      <w:r>
        <w:rPr>
          <w:rStyle w:val="HideTWBExt"/>
          <w:b w:val="0"/>
        </w:rPr>
        <w:t>&lt;Members&gt;</w:t>
      </w:r>
      <w:r>
        <w:t>Klara Dostalova, Julie Rechagneux, Ondřej Knotek, Jorge Buxadé Villalba, Jaroslav Bžoch, 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bis.</w:t>
            </w:r>
            <w:r>
              <w:tab/>
            </w:r>
            <w:r>
              <w:rPr>
                <w:b/>
                <w:i/>
              </w:rPr>
              <w:t>sottolinea la necessità di semplificare le norme e promuovere la digitalizzazione per quanto riguarda le procedure relative agli alloggi, rafforzando nel contempo la capacità degli enti locali, in particolare nelle zone rurali e in via di spopolamento;</w:t>
            </w:r>
            <w:r>
              <w:t xml:space="preserve"> </w:t>
            </w:r>
            <w:r>
              <w:rPr>
                <w:b/>
                <w:i/>
              </w:rPr>
              <w:t>sottolinea che la responsabilità principale deve rimanere in capo agli Stati membri e ai comuni, mentre l'Unione dovrebbe limitarsi a fornire sostegno finanziario, condividere le buone pratiche e formulare raccomandazioni non vincolanti;</w:t>
            </w:r>
            <w:r>
              <w:t xml:space="preserve"> </w:t>
            </w:r>
            <w:r>
              <w:rPr>
                <w:b/>
                <w:i/>
              </w:rPr>
              <w:t>sottolinea l'importanza di dare priorità agli investimenti nei comuni rurali e di piccole dimensioni, inclusi i progetti relativi alla connettività e alle infrastrutture, per consentire ai cittadini, in particolare alle giovani famiglie, di rimanere e vivere nel proprio luogo di origine;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640</w:t>
      </w:r>
      <w:r>
        <w:rPr>
          <w:rStyle w:val="HideTWBExt"/>
        </w:rPr>
        <w:t>&lt;/NumAm&gt;</w:t>
      </w:r>
    </w:p>
    <w:p>
      <w:pPr>
        <w:pStyle w:val="NormalBold"/>
      </w:pPr>
      <w:r>
        <w:rPr>
          <w:rStyle w:val="HideTWBExt"/>
          <w:b w:val="0"/>
        </w:rPr>
        <w:t>&lt;RepeatBlock-By&gt;</w:t>
      </w:r>
      <w:r>
        <w:rPr>
          <w:rStyle w:val="HideTWBExt"/>
          <w:b w:val="0"/>
        </w:rPr>
        <w:t>&lt;Members&gt;</w:t>
      </w:r>
      <w:r>
        <w:t>Aodhán Ó Ríordáin, Andreas Schieder, Gabriele Bischoff, Alicia Homs Ginel, Marit Maij, Nora Mebarek, Isilda Gomes, Joanna Scheuring-Wielgus, Yannis Maniatis,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bis.</w:t>
            </w:r>
            <w:r>
              <w:tab/>
            </w:r>
            <w:r>
              <w:rPr>
                <w:b/>
                <w:i/>
              </w:rPr>
              <w:t>sottolinea la necessità di una strategia globale per le aree urbane al fine di affrontare i rischi della turisticizzazione, riconoscendo che la crescita incontrollata della locazione di alloggi a breve termine minaccia il tessuto sociale, l'accessibilità economica e la vivibilità a lungo termine delle città, e sottolinea che sono necessarie misure per salvaguardare gli alloggi per i residenti e preservare la diversità e la vitalità delle comunità urbane;</w:t>
            </w:r>
            <w:r>
              <w:t xml:space="preserve"> </w:t>
            </w:r>
            <w:r>
              <w:rPr>
                <w:b/>
                <w:i/>
              </w:rPr>
              <w:t>evidenzia inoltre l'importanza di affrontare la questione della gentrificazione nelle politiche di pianificazione e riqualificazione urbana, assicurando che gli sforzi di rivitalizzazione non comportino lo spostamento dei residenti o la perdita di alloggi a prezzi accessibili;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641</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bis.</w:t>
            </w:r>
            <w:r>
              <w:tab/>
            </w:r>
            <w:r>
              <w:rPr>
                <w:b/>
                <w:i/>
              </w:rPr>
              <w:t>chiede di rafforzare la governance multilivello in materia di alloggi, assicurando che i livelli nazionale, regionale e locale si adoperino a favore di una visione condivisa a lungo termine, con missioni chiare, responsabilità condivisa e strategie integrate;</w:t>
            </w:r>
            <w:r>
              <w:t xml:space="preserve"> </w:t>
            </w:r>
            <w:r>
              <w:rPr>
                <w:b/>
                <w:i/>
              </w:rPr>
              <w:t>invita gli Stati membri a elaborare strategie nazionali vincolanti in materia di alloggi, in collaborazione con gli attori di tutti i livelli, integrando la visione a lungo termine, supportate dal sostegno e dai fondi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642</w:t>
      </w:r>
      <w:r>
        <w:rPr>
          <w:rStyle w:val="HideTWBExt"/>
        </w:rPr>
        <w:t>&lt;/NumAm&gt;</w:t>
      </w:r>
    </w:p>
    <w:p>
      <w:pPr>
        <w:pStyle w:val="NormalBold"/>
      </w:pPr>
      <w:r>
        <w:rPr>
          <w:rStyle w:val="HideTWBExt"/>
          <w:b w:val="0"/>
        </w:rPr>
        <w:t>&lt;RepeatBlock-By&gt;</w:t>
      </w:r>
      <w:r>
        <w:rPr>
          <w:rStyle w:val="HideTWBExt"/>
          <w:b w:val="0"/>
        </w:rPr>
        <w:t>&lt;Members&gt;</w:t>
      </w:r>
      <w:r>
        <w:t>Georgiana Teodorescu, Antonella Sberna, Lara Magoni, Alessandro Ciriani, Nora Junco García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bis.</w:t>
            </w:r>
            <w:r>
              <w:tab/>
            </w:r>
            <w:r>
              <w:rPr>
                <w:b/>
                <w:i/>
              </w:rPr>
              <w:t>invita la Commissione europea e la BEI a fornire, ove necessario, assistenza tecnica e finanziaria agli enti locali e regionali, in particolare nei comuni di piccole e medie dimensioni e nelle zone rurali che necessitano ancora di sostegno allo sviluppo di capacità, per aiutarli nell'elaborazione di piani di sviluppo globali e sostenibili che rispondano efficacemente alle esigenze abitative;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643</w:t>
      </w:r>
      <w:r>
        <w:rPr>
          <w:rStyle w:val="HideTWBExt"/>
        </w:rPr>
        <w:t>&lt;/NumAm&gt;</w:t>
      </w:r>
    </w:p>
    <w:p>
      <w:pPr>
        <w:pStyle w:val="NormalBold"/>
      </w:pPr>
      <w:r>
        <w:rPr>
          <w:rStyle w:val="HideTWBExt"/>
          <w:b w:val="0"/>
        </w:rPr>
        <w:t>&lt;RepeatBlock-By&gt;</w:t>
      </w:r>
      <w:r>
        <w:rPr>
          <w:rStyle w:val="HideTWBExt"/>
          <w:b w:val="0"/>
        </w:rPr>
        <w:t>&lt;Members&gt;</w:t>
      </w:r>
      <w:r>
        <w:t>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bis.</w:t>
            </w:r>
            <w:r>
              <w:tab/>
            </w:r>
            <w:r>
              <w:rPr>
                <w:b/>
                <w:i/>
              </w:rPr>
              <w:t>chiede di dare priorità, anziché alla speculazione, alla funzione sociale degli alloggi, di porre quest'ultima al centro dell'agenda sociale europea e di promuovere la convergenza territoriale e la coesione sociale;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644</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ter.</w:t>
            </w:r>
            <w:r>
              <w:tab/>
            </w:r>
            <w:r>
              <w:rPr>
                <w:b/>
                <w:i/>
              </w:rPr>
              <w:t>sostiene strategie di sviluppo territoriale e locale integrate, attraverso approcci collaborativi e partecipativi, come delineato nella visione a lungo termine per le zone rurali dell'UE, rivolte a zone rurali resilienti, considerando di massima importanza la ristrutturazione sostenibile del parco immobiliare per promuovere la rivitalizzazione delle zone rurali spopolate e garantire il diritto delle persone a rimanere nelle loro comunità locali, dando priorità agli investimenti per soluzioni abitative di tipo partecipativo, unitamente a un sostegno finanziario per migliorare la connettività digitale, trasporti pubblici a prezzi accessibili e le infrastrutture verdi;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645</w:t>
      </w:r>
      <w:r>
        <w:rPr>
          <w:rStyle w:val="HideTWBExt"/>
        </w:rPr>
        <w:t>&lt;/NumAm&gt;</w:t>
      </w:r>
    </w:p>
    <w:p>
      <w:pPr>
        <w:pStyle w:val="NormalBold"/>
      </w:pPr>
      <w:r>
        <w:rPr>
          <w:rStyle w:val="HideTWBExt"/>
          <w:b w:val="0"/>
        </w:rPr>
        <w:t>&lt;RepeatBlock-By&gt;</w:t>
      </w:r>
      <w:r>
        <w:rPr>
          <w:rStyle w:val="HideTWBExt"/>
          <w:b w:val="0"/>
        </w:rPr>
        <w:t>&lt;Members&gt;</w:t>
      </w:r>
      <w:r>
        <w:t>Georgiana Teodorescu, Antonella Sberna, Lara Magoni, Alessandro Ciriani, Nora Junco García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ter.</w:t>
            </w:r>
            <w:r>
              <w:tab/>
            </w:r>
            <w:r>
              <w:rPr>
                <w:b/>
                <w:i/>
              </w:rPr>
              <w:t>sottolinea la necessità di affrontare le sfide specifiche delle zone rurali, remote e montane nelle politiche abitative, in considerazione dell'elevato rischio di declino demografico;</w:t>
            </w:r>
            <w:r>
              <w:t xml:space="preserve"> </w:t>
            </w:r>
            <w:r>
              <w:rPr>
                <w:b/>
                <w:i/>
              </w:rPr>
              <w:t>chiede un sostegno adeguato per gli anziani proprietari di immobili in queste regioni, che spesso si trovano ad affrontare sfide particolari;</w:t>
            </w:r>
            <w:r>
              <w:t xml:space="preserve"> </w:t>
            </w:r>
            <w:r>
              <w:rPr>
                <w:b/>
                <w:i/>
              </w:rPr>
              <w:t>esorta la Commissione europea a migliorare la disponibilità e l'attrattiva degli alloggi rurali mediante piattaforme comunitarie, a rendere disponibili le proprietà vacanti e a sostenere soluzioni abitative intergenerazionali e flessibili;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646</w:t>
      </w:r>
      <w:r>
        <w:rPr>
          <w:rStyle w:val="HideTWBExt"/>
        </w:rPr>
        <w:t>&lt;/NumAm&gt;</w:t>
      </w:r>
    </w:p>
    <w:p>
      <w:pPr>
        <w:pStyle w:val="NormalBold"/>
      </w:pPr>
      <w:r>
        <w:rPr>
          <w:rStyle w:val="HideTWBExt"/>
          <w:b w:val="0"/>
        </w:rPr>
        <w:t>&lt;RepeatBlock-By&gt;</w:t>
      </w:r>
      <w:r>
        <w:rPr>
          <w:rStyle w:val="HideTWBExt"/>
          <w:b w:val="0"/>
        </w:rPr>
        <w:t>&lt;Members&gt;</w:t>
      </w:r>
      <w:r>
        <w:t>Georgiana Teodorescu, Antonella Sberna, Lara Magoni, Alessandro Ciriani, Nora Junco García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quater. </w:t>
            </w:r>
            <w:r>
              <w:tab/>
            </w:r>
            <w:r>
              <w:rPr>
                <w:b/>
                <w:i/>
              </w:rPr>
              <w:t>invita la Commissione europea a tenere conto delle tre questioni principali che alimentano la crisi degli alloggi rurali, come delineato nel webinar sulle buone pratiche organizzato nell'ambito del patto rurale[1]:</w:t>
            </w:r>
            <w:r>
              <w:t xml:space="preserve"> </w:t>
            </w:r>
            <w:r>
              <w:rPr>
                <w:b/>
                <w:i/>
              </w:rPr>
              <w:t>1. la finanziarizzazione degli alloggi rurali, che incide sull'accessibilità economica dato che gli investitori esterni influenzano i prezzi, rendendo più difficile l'accesso ad alloggi e terreni per i residenti locali;</w:t>
            </w:r>
            <w:r>
              <w:t xml:space="preserve"> </w:t>
            </w:r>
            <w:r>
              <w:rPr>
                <w:b/>
                <w:i/>
              </w:rPr>
              <w:t>2. l'aumento della mobilità residenziale, che crea squilibri tra l'offerta e la domanda di alloggi, in particolare per i nuovi arrivati e i lavoratori stagionali;</w:t>
            </w:r>
            <w:r>
              <w:t xml:space="preserve"> </w:t>
            </w:r>
            <w:r>
              <w:rPr>
                <w:b/>
                <w:i/>
              </w:rPr>
              <w:t>3. la gentrificazione selettiva in alcune zone comporta un aumento del valore immobiliare, il che induce i residenti rurali di lungo periodo a spostarsi e limita l'accesso ad alloggi a prezzi accessibili;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647</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quater. </w:t>
            </w:r>
            <w:r>
              <w:tab/>
            </w:r>
            <w:r>
              <w:rPr>
                <w:b/>
                <w:i/>
              </w:rPr>
              <w:t>invita la Commissione a cooperare con le autorità di gestione dei fondi della politica di coesione a livello nazionale e regionale, nonché a stimolare e sostenere le suddette, al fine di sfruttare l'opportunità del riesame intermedio della politica di coesione nel periodo di programmazione 2021-2027 per raddoppiare perlomeno i fondi previsti destinati alle politiche abitative;</w:t>
            </w:r>
            <w:r>
              <w:t xml:space="preserve"> </w:t>
            </w:r>
            <w:r>
              <w:rPr>
                <w:b/>
                <w:i/>
              </w:rPr>
              <w:t>ritiene che sia necessaria una revisione delle pertinenti disposizioni relative al Fondo di coesione per consentire di sostenere gli investimenti in alloggi a prezzi accessibili al di là di quelli legati alla promozione dell'efficienza energetica o dell'uso delle energie rinnovabili;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648</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quinquies.</w:t>
            </w:r>
            <w:r>
              <w:tab/>
            </w:r>
            <w:r>
              <w:rPr>
                <w:b/>
                <w:i/>
              </w:rPr>
              <w:t>ricorda che la situazione abitativa è ancora più grave nelle regioni ultraperiferiche e insulari, il che richiede un'attenzione e investimenti particolari per superare la crisi abitativa, in particolare per quanto riguarda gli alloggi informali, i diritti di proprietà, l'accesso all'acqua o la protezione dagli effetti negativi dei cambiamenti climatici;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649</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 sexies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sexies.</w:t>
            </w:r>
            <w:r>
              <w:tab/>
            </w:r>
            <w:r>
              <w:rPr>
                <w:b/>
                <w:i/>
              </w:rPr>
              <w:t>invita la Commissione a proporre uno "statuto delle isole dell'UE", accompagnato da un "patto per le isole", simile al patto rurale, volto a riconoscere l'insularità come elemento distintivo, stabilendo specifici meccanismi di finanziamento e misure politiche per fornire sostegno alle isole nell'affrontare i costi aggiuntivi associati all'insularità, al fine di garantire alloggi sostenibili, dignitosi e a prezzi accessibili sulle isole per coloro che ne hanno bisogno;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650</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Aumento dell'offerta</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651</w:t>
      </w:r>
      <w:r>
        <w:rPr>
          <w:rStyle w:val="HideTWBExt"/>
        </w:rPr>
        <w:t>&lt;/NumAm&gt;</w:t>
      </w:r>
    </w:p>
    <w:p>
      <w:pPr>
        <w:pStyle w:val="NormalBold"/>
      </w:pPr>
      <w:r>
        <w:rPr>
          <w:rStyle w:val="HideTWBExt"/>
          <w:b w:val="0"/>
        </w:rPr>
        <w:t>&lt;RepeatBlock-By&gt;</w:t>
      </w:r>
      <w:r>
        <w:rPr>
          <w:rStyle w:val="HideTWBExt"/>
          <w:b w:val="0"/>
        </w:rPr>
        <w:t>&lt;Members&gt;</w:t>
      </w:r>
      <w:r>
        <w:t>Aodhán Ó Ríordáin, Andreas Schieder, Gabriele Bischoff, Alicia Homs Ginel, Marit Maij, Nora Mebarek, Isilda Gomes, Joanna Scheuring-Wielgus, Yannis Maniatis,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Aumento dell'offerta</w:t>
            </w:r>
          </w:p>
        </w:tc>
        <w:tc>
          <w:tcPr>
            <w:tcW w:w="4876" w:type="dxa"/>
            <w:tcBorders>
              <w:top w:val="nil"/>
              <w:left w:val="nil"/>
              <w:bottom w:val="nil"/>
              <w:right w:val="nil"/>
            </w:tcBorders>
          </w:tcPr>
          <w:p>
            <w:pPr>
              <w:pStyle w:val="Normal6a"/>
            </w:pPr>
            <w:r>
              <w:rPr>
                <w:b/>
                <w:i/>
              </w:rPr>
              <w:t>Migliorare l’accesso agli alloggi e la loro accessibilità economica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652</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Aumento dell'offerta</w:t>
            </w:r>
          </w:p>
        </w:tc>
        <w:tc>
          <w:tcPr>
            <w:tcW w:w="4876" w:type="dxa"/>
            <w:tcBorders>
              <w:top w:val="nil"/>
              <w:left w:val="nil"/>
              <w:bottom w:val="nil"/>
              <w:right w:val="nil"/>
            </w:tcBorders>
          </w:tcPr>
          <w:p>
            <w:pPr>
              <w:pStyle w:val="Normal6a"/>
            </w:pPr>
            <w:r>
              <w:rPr>
                <w:b/>
                <w:i/>
              </w:rPr>
              <w:t>Nuova parte –</w:t>
            </w:r>
            <w:r>
              <w:t xml:space="preserve"> </w:t>
            </w:r>
            <w:r>
              <w:rPr>
                <w:b/>
                <w:i/>
              </w:rPr>
              <w:t>Rendere l'alloggio un diritto fondamentale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653</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esorta l'Unione europea a riconoscere l'alloggio come un diritto fondamentale inalienabile che deve essere garantito a tutte le persone, indipendentemente dal loro status;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654</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Smantellare la finanziarizzazione e la speculazione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655</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invita la Commissione a incoraggiare gli Stati membri ad attuare misure più rigorose per la tutela degli inquilini, al fine di eliminare i rapporti abusivi con i proprietari e consentire ai locatari di esercitare i propri diritti;</w:t>
            </w:r>
            <w:r>
              <w:t xml:space="preserve"> </w:t>
            </w:r>
            <w:r>
              <w:rPr>
                <w:b/>
                <w:i/>
              </w:rPr>
              <w:t>osserva che tali misure dovrebbero, in particolare, ma non esclusivamente, mirare a rafforzare i diritti collettivi dei locatari consolidando il loro ruolo all'interno delle associazioni di proprietari di abitazioni e riconoscendo la loro partecipazione allo sviluppo delle politiche abitative locali;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656</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Hanna Gedin,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esorta gli Stati membri ad attuare misure di protezione per le persone che non sono in grado di pagare l'affitto, tra cui il divieto di sfratto per mancato pagamento del canone di locazione quando non è possibile fornire alternative dignitose;</w:t>
            </w:r>
            <w:r>
              <w:t xml:space="preserve"> </w:t>
            </w:r>
            <w:r>
              <w:rPr>
                <w:b/>
                <w:i/>
              </w:rPr>
              <w:t>chiede l'istituzione di una moratoria europea sugli sfratti in inverno e misure di protezione speciali per garantire che i minori non siano sfrattati;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657</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invita gli Stati membri a contrastare la criminalizzazione dell'occupazione collettiva degli alloggi vacanti;</w:t>
            </w:r>
            <w:r>
              <w:t xml:space="preserve"> </w:t>
            </w:r>
            <w:r>
              <w:rPr>
                <w:b/>
                <w:i/>
              </w:rPr>
              <w:t>esorta gli Stati membri a incoraggiare la ristrutturazione di edifici abbandonati o deliberatamente trascurati da parte delle associazioni del settore terziario mediante inviti a presentare progetti pubblici;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658</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sexies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chiede la creazione di una garanzia locativa universale per proteggere i locatari dagli shock finanziari, prevenire gli sfratti e garantire la stabilità abitativa;</w:t>
            </w:r>
            <w:r>
              <w:t xml:space="preserve"> </w:t>
            </w:r>
            <w:r>
              <w:rPr>
                <w:b/>
                <w:i/>
              </w:rPr>
              <w:t>chiede che tale garanzia sia sostenuta da adeguati finanziamenti pubblici;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659</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septies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invita la Commissione europea a includere, nel suo piano per gli alloggi a prezzi accessibili, lo sviluppo e l'attuazione di una strategia efficace per combattere il fenomeno della mancanza di fissa dimora, fissando come obiettivo la sua eliminazione entro il 2030;</w:t>
            </w:r>
            <w:r>
              <w:t xml:space="preserve"> </w:t>
            </w:r>
            <w:r>
              <w:rPr>
                <w:b/>
                <w:i/>
              </w:rPr>
              <w:t>esorta la Commissione prendere spunto dall'approccio "Prima la casa", che prevede la fornitura, il più rapidamente possibile, di alloggi incondizionati e permanenti alle persone senza fissa dimora, insieme ad altre forme di assistenza sociale;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660</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octies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invita l'Unione europea a riconoscere che l'alloggio costituisce una questione di interesse pubblico;</w:t>
            </w:r>
            <w:r>
              <w:t xml:space="preserve"> </w:t>
            </w:r>
            <w:r>
              <w:rPr>
                <w:b/>
                <w:i/>
              </w:rPr>
              <w:t>incoraggia gli Stati membri ad accelerare la ristrutturazione degli edifici non idonei attraverso l'acquisizione amichevole o, se necessario, l'espropriazione, al fine di convertirli in spazi abitativi dinamici e di contrastare la gentrificazione;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661</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nonies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incoraggia gli Stati membri ad attuare misure di controllo degli affitti nei casi in cui le suddette contribuiscano a ridurre i prezzi degli affitti;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662</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decies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Nuova parte –</w:t>
            </w:r>
            <w:r>
              <w:t xml:space="preserve"> </w:t>
            </w:r>
            <w:r>
              <w:rPr>
                <w:b/>
                <w:i/>
              </w:rPr>
              <w:t>Promuovere alloggi pubblici e sociali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663</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undecies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riconosce che l'incremento del parco degli alloggi pubblici e sociali è essenziale per affrontare la crisi abitativa;</w:t>
            </w:r>
            <w:r>
              <w:t xml:space="preserve"> </w:t>
            </w:r>
            <w:r>
              <w:rPr>
                <w:b/>
                <w:i/>
              </w:rPr>
              <w:t>invita la Commissione a proporre un piano europeo per la costruzione di alloggi pubblici e sociali volto a ridurre le disuguaglianze, introducendo l'obbligo di destinare il 30 % degli alloggi nei nuovi progetti ad alloggi sociali e alloggi per persone con un reddito molto basso e il 40 % nelle zone ad alta domanda;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664</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duodecies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invita gli Stati membri, con il sostegno delle agenzie del demanio, a coordinare la trasformazione degli edifici degradati e vacanti nelle zone ad alta domanda in alloggi pubblici diversificati (compresi gli alloggi sociali per persone con un reddito molto basso, i contratti di locazione basati sulla solidarietà e gli alloggi intermedi), garantendo strutture di qualità e multiservizi;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665</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terdecies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incoraggia gli Stati membri a dare priorità, nel determinare l'ubicazione degli alloggi sociali per persone con un reddito molto basso, alle zone considerate abbienti, al fine di promuovere la commistione sociale;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666</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quaterdecies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esorta gli Stati membri e gli enti locali a vietare la privatizzazione degli alloggi sociali, tranne nei casi in cui l'attuale locatario acquisti l'immobile;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667</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quindecies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invita la Commissione ad aumentare in modo sostanziale, nel prossimo quadro finanziario pluriennale, i fondi europei destinati al finanziamento di progetti di piccole e grandi dimensioni attraverso banche di investimento pubbliche nazionali;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668</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sexdecies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Nuova parte –</w:t>
            </w:r>
            <w:r>
              <w:t xml:space="preserve"> </w:t>
            </w:r>
            <w:r>
              <w:rPr>
                <w:b/>
                <w:i/>
              </w:rPr>
              <w:t>Promuovere la proprietà immobiliare non speculativa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669</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septdecies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invita la Commissione a fare della lotta contro la speculazione immobiliare e degli affitti una priorità assoluta;</w:t>
            </w:r>
            <w:r>
              <w:t xml:space="preserve"> </w:t>
            </w:r>
            <w:r>
              <w:rPr>
                <w:b/>
                <w:i/>
              </w:rPr>
              <w:t>esorta gli Stati membri a creare una "carta dei promotori" che specifichi il prezzo medio di vendita massimo e la tabella di prezzi applicabile all'interno di una determinata zona;</w:t>
            </w:r>
            <w:r>
              <w:t xml:space="preserve"> </w:t>
            </w:r>
            <w:r>
              <w:rPr>
                <w:b/>
                <w:i/>
              </w:rPr>
              <w:t>invita a introdurre norme ecologiche e sociali per tutte le nuove costruzioni;</w:t>
            </w:r>
            <w:r>
              <w:t xml:space="preserve"> </w:t>
            </w:r>
            <w:r>
              <w:rPr>
                <w:b/>
                <w:i/>
              </w:rPr>
              <w:t>chiede che, nell'acquisizione di alloggi, sia data priorità ai richiedenti residenti nel comune interessato;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670</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octodecies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invita gli Stati membri e le autorità locali a promuovere la proprietà immobiliare assistita, inserendo clausole antispeculative per impedire la rivendita a breve termine e le plusvalenze eccessive;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671</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novodecies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esorta la Commissione a creare un registro europeo per la trasparenza delle transazioni immobiliari al fine di individuare le operazioni di riciclaggio di denaro nel settore immobiliare e contrastare la posizione sempre più dominante dei fondi di investimento nel mercato immobiliare;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672</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vicies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invita gli Stati membri ad affrontare l'eccessiva multiproprietà attraverso una politica di bilancio equa e dissuasiva per prevenire tutte le forme di speculazione immobiliare;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673</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unvicies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Nuova parte –</w:t>
            </w:r>
            <w:r>
              <w:t xml:space="preserve"> </w:t>
            </w:r>
            <w:r>
              <w:rPr>
                <w:b/>
                <w:i/>
              </w:rPr>
              <w:t>Limitare la locazione a breve termine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674</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duovicies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invita la Commissione, gli Stati membri e gli enti locali a tenere conto, nelle future politiche pubbliche in materia di regolamentazione delle locazioni a breve termine, delle conclusioni della sentenza del 2020 della Corte di giustizia dell'Unione europea nella causa Cali Apartments SCI (cause riunite C-724/18 e C-727/18), che ha confermato che la lotta contro la scarsità di alloggi costituisce un motivo imperativo di interesse generale in grado di giustificare una regolamentazione proporzionata delle locazioni a breve termine;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675</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tervicies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invita la Commissione a proporre una nuova direttiva per regolamentare in modo equo le locazioni a breve termine, tenendo conto delle sfide simili che tutte le città e gli Stati membri si trovano ad affrontare, fornendo nel contempo ai comuni gli strumenti necessari per legiferare in funzione delle esigenze locali;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676</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quatervicies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esorta la Commissione a includere nel suo futuro pacchetto legislativo l'estensione del riconoscimento reciproco alle decisioni amministrative relative alle locazioni a breve termine, analogamente al regime applicabile alle ammende in materia di circolazione stradale;</w:t>
            </w:r>
            <w:r>
              <w:t xml:space="preserve"> </w:t>
            </w:r>
            <w:r>
              <w:rPr>
                <w:b/>
                <w:i/>
              </w:rPr>
              <w:t>invita la Commissione a prendere in considerazione un nuovo strumento che consenta l'esecuzione diretta delle ammende e delle ordinanze comunali in altri Stati membri al fine di rafforzare la capacità degli enti locali di imporre sanzioni e ridurre l'elusione delle norme attraverso strategie transfrontaliere;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677</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Pedullà</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quinvicies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invita gli Stati membri e le autorità locali a utilizzare tutti gli strumenti attualmente disponibili per combattere gli abusi legati alla cosiddetta "airbnbizzazione", in particolare riducendo il periodo massimo di locazione delle abitazioni principali a 90 giorni all'anno, istituendo, ove possibile, zone riservate alle abitazioni principali e definendo una quota massima di unità destinate alla locazione turistica nelle zone a domanda elevata;</w:t>
            </w:r>
            <w:r>
              <w:t xml:space="preserve"> </w:t>
            </w:r>
            <w:r>
              <w:rPr>
                <w:b/>
                <w:i/>
              </w:rPr>
              <w:t>invita la Commissione a includere tali norme nel suo futuro pacchetto legislativo;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678</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Pedullà</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sexvicies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invita la Commissione a presentare un'iniziativa legislativa incentrata sulle locazioni a breve termine che preveda la possibilità di fissare limiti massimi rigorosi a livello comunale e l'introduzione di un obbligo di registrazione, includendo anche un principio ex ante che attribuisca la responsabilità della conformità alle piattaforme di locazione a breve termine;</w:t>
            </w:r>
            <w:r>
              <w:t xml:space="preserve"> </w:t>
            </w:r>
            <w:r>
              <w:rPr>
                <w:b/>
                <w:i/>
              </w:rPr>
              <w:t>invita gli Stati membri a fissare limiti a livello comunale o regionale, anche prevedendo la possibilità di vietare le locazioni turistiche negli immobili residenziali o nelle zone soggette a carenza di alloggi, introducendo l'obbligo di registrazione degli immobili in locazione e imponendo sanzioni efficaci nei confronti delle piattaforme e dei proprietari che eludono le norme locali in materia di alloggi;</w:t>
            </w:r>
            <w:r>
              <w:t xml:space="preserve"> </w:t>
            </w:r>
            <w:r>
              <w:rPr>
                <w:b/>
                <w:i/>
              </w:rPr>
              <w:t>invita la Commissione ad agevolare l'attuazione di tali misure fornendo orientamenti sulla loro compatibilità con il diritto dell'Unione, sostenendo lo scambio di buone pratiche tra Stati membri e comuni, finanziando progetti pilota nell'ambito dei programmi dell'Unione e garantendo la trasparenza delle piattaforme mediante l'imposizione di obblighi in materia di raccolta e di comunicazione dei dati;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679</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Pedullà</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septvicies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invita gli Stati membri e gli enti locali ad abbassare il limite di giorni di locazione oltre il quale un'attività di locazione a breve termine viene considerata un'attività alberghiera, soggetta a norme sanitarie e di sicurezza più rigorose;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680</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Pedullà</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octovicies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invita gli Stati membri a monitorare in modo sistematico le piattaforme digitali e i fornitori di alloggi ammobiliati in locazione a breve termine e a imporre sanzioni in caso di mancato rispetto di requisiti quali le dichiarazioni obbligatorie, la durata massima di locazione o la trasmissione di dati da parte delle piattaforme; incoraggia gli enti locali a sviluppare sistemi di autodichiarazione online per i singoli proprietari di alloggi in locazione a breve termine e ad accelerarne l'attuazione;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681</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Pedullà</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4 novovicies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chiede un aumento delle risorse umane a disposizione degli organismi comunali o intercomunali responsabili del controllo dell'attività delle piattaforme;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682</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Ridurre gli oneri normativi e promuovere la semplificazione</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683</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Pedullà</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Ridurre </w:t>
            </w:r>
            <w:r>
              <w:rPr>
                <w:b/>
                <w:i/>
              </w:rPr>
              <w:t>gli oneri normativi</w:t>
            </w:r>
            <w:r>
              <w:t xml:space="preserve"> e promuovere </w:t>
            </w:r>
            <w:r>
              <w:rPr>
                <w:b/>
                <w:i/>
              </w:rPr>
              <w:t>la semplificazione</w:t>
            </w:r>
          </w:p>
        </w:tc>
        <w:tc>
          <w:tcPr>
            <w:tcW w:w="4876" w:type="dxa"/>
            <w:tcBorders>
              <w:top w:val="nil"/>
              <w:left w:val="nil"/>
              <w:bottom w:val="nil"/>
              <w:right w:val="nil"/>
            </w:tcBorders>
          </w:tcPr>
          <w:p>
            <w:pPr>
              <w:pStyle w:val="Normal6a"/>
            </w:pPr>
            <w:r>
              <w:rPr>
                <w:b/>
                <w:i/>
              </w:rPr>
              <w:t>Misure relative alla domanda e all'offerta</w:t>
            </w:r>
            <w:r>
              <w:br/>
            </w:r>
            <w:r>
              <w:t xml:space="preserve">Ridurre </w:t>
            </w:r>
            <w:r>
              <w:rPr>
                <w:b/>
                <w:i/>
              </w:rPr>
              <w:t>il numero di alloggi vacanti</w:t>
            </w:r>
            <w:r>
              <w:t xml:space="preserve"> e promuovere </w:t>
            </w:r>
            <w:r>
              <w:rPr>
                <w:b/>
                <w:i/>
              </w:rPr>
              <w:t>l'edilizia pubblica e sociale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684</w:t>
      </w:r>
      <w:r>
        <w:rPr>
          <w:rStyle w:val="HideTWBExt"/>
        </w:rPr>
        <w:t>&lt;/NumAm&gt;</w:t>
      </w:r>
    </w:p>
    <w:p>
      <w:pPr>
        <w:pStyle w:val="NormalBold"/>
      </w:pPr>
      <w:r>
        <w:rPr>
          <w:rStyle w:val="HideTWBExt"/>
          <w:b w:val="0"/>
        </w:rPr>
        <w:t>&lt;RepeatBlock-By&gt;</w:t>
      </w:r>
      <w:r>
        <w:rPr>
          <w:rStyle w:val="HideTWBExt"/>
          <w:b w:val="0"/>
        </w:rPr>
        <w:t>&lt;Members&gt;</w:t>
      </w:r>
      <w:r>
        <w:t>Aodhán Ó Ríordáin, Andreas Schieder, Gabriele Bischoff, Alicia Homs Ginel, Marit Maij, Nora Mebarek, Isilda Gomes, Joanna Scheuring-Wielgus, Yannis Maniatis,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Ridurre gli oneri normativi e promuovere la semplificazione</w:t>
            </w:r>
          </w:p>
        </w:tc>
        <w:tc>
          <w:tcPr>
            <w:tcW w:w="4876" w:type="dxa"/>
            <w:tcBorders>
              <w:top w:val="nil"/>
              <w:left w:val="nil"/>
              <w:bottom w:val="nil"/>
              <w:right w:val="nil"/>
            </w:tcBorders>
          </w:tcPr>
          <w:p>
            <w:pPr>
              <w:pStyle w:val="Normal6a"/>
            </w:pPr>
            <w:r>
              <w:rPr>
                <w:b/>
                <w:i/>
              </w:rPr>
              <w:t>Migliorare il quadro normativo europeo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685</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Un settore degli alloggi che risponde alle esigenze delle persone e del pianeta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686</w:t>
      </w:r>
      <w:r>
        <w:rPr>
          <w:rStyle w:val="HideTWBExt"/>
        </w:rPr>
        <w:t>&lt;/NumAm&gt;</w:t>
      </w:r>
    </w:p>
    <w:p>
      <w:pPr>
        <w:pStyle w:val="NormalBold"/>
      </w:pPr>
      <w:r>
        <w:rPr>
          <w:rStyle w:val="HideTWBExt"/>
          <w:b w:val="0"/>
        </w:rPr>
        <w:t>&lt;RepeatBlock-By&gt;</w:t>
      </w:r>
      <w:r>
        <w:rPr>
          <w:rStyle w:val="HideTWBExt"/>
          <w:b w:val="0"/>
        </w:rPr>
        <w:t>&lt;Members&gt;</w:t>
      </w:r>
      <w:r>
        <w:t>Andreas Schieder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sottolinea che la causa principale della crisi abitativa è </w:t>
            </w:r>
            <w:r>
              <w:rPr>
                <w:b/>
                <w:i/>
              </w:rPr>
              <w:t>l'offerta</w:t>
            </w:r>
            <w:r>
              <w:t xml:space="preserve"> insufficiente di alloggi; invita le autorità pubbliche ad </w:t>
            </w:r>
            <w:r>
              <w:rPr>
                <w:b/>
                <w:i/>
              </w:rPr>
              <w:t>adottare misure urgenti per</w:t>
            </w:r>
            <w:r>
              <w:t xml:space="preserve"> aumentare l'offerta di alloggi riducendo gli oneri normativi lungo l'intera catena del valore, eliminando gli ostacoli e la burocrazia </w:t>
            </w:r>
            <w:r>
              <w:rPr>
                <w:b/>
                <w:i/>
              </w:rPr>
              <w:t>e</w:t>
            </w:r>
            <w:r>
              <w:t xml:space="preserve"> attenuando le strozzature nella legislazione locale, nazionale e dell'UE </w:t>
            </w:r>
            <w:r>
              <w:rPr>
                <w:b/>
                <w:i/>
              </w:rPr>
              <w:t>che compromettono la competitività</w:t>
            </w:r>
            <w:r>
              <w:t xml:space="preserve">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w:t>
            </w:r>
            <w:r>
              <w:rPr>
                <w:b/>
                <w:i/>
              </w:rPr>
              <w:t>;</w:t>
            </w:r>
            <w:r>
              <w:t xml:space="preserve"> </w:t>
            </w:r>
            <w:r>
              <w:rPr>
                <w:b/>
                <w:i/>
              </w:rPr>
              <w:t>ricorda che i dati disponibili dimostrano che</w:t>
            </w:r>
            <w:r>
              <w:t xml:space="preserve"> i controlli </w:t>
            </w:r>
            <w:r>
              <w:rPr>
                <w:b/>
                <w:i/>
              </w:rPr>
              <w:t>dei prezzi e gli interventi rigorosi sono inefficaci e spesso peggiorano la situazione</w:t>
            </w:r>
            <w:r>
              <w:t>;</w:t>
            </w:r>
          </w:p>
        </w:tc>
        <w:tc>
          <w:tcPr>
            <w:tcW w:w="4876" w:type="dxa"/>
            <w:tcBorders>
              <w:top w:val="nil"/>
              <w:left w:val="nil"/>
              <w:bottom w:val="nil"/>
              <w:right w:val="nil"/>
            </w:tcBorders>
          </w:tcPr>
          <w:p>
            <w:pPr>
              <w:pStyle w:val="Normal6a"/>
            </w:pPr>
            <w:r>
              <w:t>5.</w:t>
            </w:r>
            <w:r>
              <w:tab/>
            </w:r>
            <w:r>
              <w:t xml:space="preserve">sottolinea che la causa principale della crisi abitativa è </w:t>
            </w:r>
            <w:r>
              <w:rPr>
                <w:b/>
                <w:i/>
              </w:rPr>
              <w:t>l'aumento del costo degli alloggi, dovuto non soltanto all'offerta</w:t>
            </w:r>
            <w:r>
              <w:t xml:space="preserve"> insufficiente di </w:t>
            </w:r>
            <w:r>
              <w:rPr>
                <w:b/>
                <w:i/>
              </w:rPr>
              <w:t>alloggi sociali, pubblici e a prezzi accessibili, ma anche agli sviluppi speculativi che determinano un incremento dei prezzi e degli affitti, come la finanziarizzazione del settore degli</w:t>
            </w:r>
            <w:r>
              <w:t xml:space="preserve"> alloggi; invita le autorità pubbliche ad aumentare l'offerta di alloggi </w:t>
            </w:r>
            <w:r>
              <w:rPr>
                <w:b/>
                <w:i/>
              </w:rPr>
              <w:t>sociali, pubblici, cooperativi, senza scopo di lucro e a prezzi accessibili, grazie al ricorso a strumenti di investimento pubblici e privati a lungo termine, anche</w:t>
            </w:r>
            <w:r>
              <w:t xml:space="preserve"> riducendo gli oneri normativi lungo l'intera catena del valore, eliminando gli ostacoli e la burocrazia</w:t>
            </w:r>
            <w:r>
              <w:rPr>
                <w:b/>
                <w:i/>
              </w:rPr>
              <w:t>,</w:t>
            </w:r>
            <w:r>
              <w:t xml:space="preserve"> attenuando le strozzature nella legislazione locale, nazionale e dell'UE</w:t>
            </w:r>
            <w:r>
              <w:rPr>
                <w:b/>
                <w:i/>
              </w:rPr>
              <w:t>, al fine di migliorare le prestazioni</w:t>
            </w:r>
            <w:r>
              <w:t xml:space="preserve"> dei settori della costruzione e della ristrutturazione edilizia</w:t>
            </w:r>
            <w:r>
              <w:rPr>
                <w:b/>
                <w:i/>
              </w:rPr>
              <w:t>, e integrando nel contempo la sostenibilità sociale, ambientale ed economica tra le condizioni di finanziamento</w:t>
            </w:r>
            <w:r>
              <w:t xml:space="preserve">; chiede una verifica orizzontale degli oneri regolamentari nell'UE; chiede, a tale proposito, che la Commissione e la Corte dei conti europea effettuino un audit regolamentare congiunto della legislazione dell'UE che potrebbe ostacolare l'offerta di alloggi </w:t>
            </w:r>
            <w:r>
              <w:rPr>
                <w:b/>
                <w:i/>
              </w:rPr>
              <w:t>sociali e a prezzi accessibili e la relativa governance;</w:t>
            </w:r>
            <w:r>
              <w:t xml:space="preserve"> </w:t>
            </w:r>
            <w:r>
              <w:rPr>
                <w:b/>
                <w:i/>
              </w:rPr>
              <w:t>ribadisce che la trasparenza, la regolamentazione e</w:t>
            </w:r>
            <w:r>
              <w:t xml:space="preserve"> i controlli </w:t>
            </w:r>
            <w:r>
              <w:rPr>
                <w:b/>
                <w:i/>
              </w:rPr>
              <w:t>degli affitti contribuiscono in modo sostanziale alla sicurezza abitativa e alla coesione sociale, soprattutto in tempi di crisi, ma non solo;</w:t>
            </w:r>
            <w:r>
              <w:t xml:space="preserve"> </w:t>
            </w:r>
            <w:r>
              <w:rPr>
                <w:b/>
                <w:i/>
              </w:rPr>
              <w:t>chiede politiche basate su dati concreti e adeguate al contesto che proteggano i locatari e garantiscano la stabilità dei mercati immobiliari di fronte alle minacce interne ed esterne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687</w:t>
      </w:r>
      <w:r>
        <w:rPr>
          <w:rStyle w:val="HideTWBExt"/>
        </w:rPr>
        <w:t>&lt;/NumAm&gt;</w:t>
      </w:r>
    </w:p>
    <w:p>
      <w:pPr>
        <w:pStyle w:val="NormalBold"/>
      </w:pPr>
      <w:r>
        <w:rPr>
          <w:rStyle w:val="HideTWBExt"/>
          <w:b w:val="0"/>
        </w:rPr>
        <w:t>&lt;RepeatBlock-By&gt;</w:t>
      </w:r>
      <w:r>
        <w:rPr>
          <w:rStyle w:val="HideTWBExt"/>
          <w:b w:val="0"/>
        </w:rPr>
        <w:t>&lt;Members&gt;</w:t>
      </w:r>
      <w:r>
        <w:t>Georgiana Teodorescu, Antonella Sberna, Lara Magoni, Alessandro Ciriani, Nora Junco García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w:t>
            </w:r>
            <w:r>
              <w:rPr>
                <w:b/>
                <w:i/>
              </w:rPr>
              <w:t>effettuino un audit regolamentare congiunto della</w:t>
            </w:r>
            <w:r>
              <w:t xml:space="preserve"> legislazione dell'UE </w:t>
            </w:r>
            <w:r>
              <w:rPr>
                <w:b/>
                <w:i/>
              </w:rPr>
              <w:t>che potrebbe ostacolare</w:t>
            </w:r>
            <w:r>
              <w:t xml:space="preserve"> l'offerta di alloggi; ricorda che i dati disponibili dimostrano che i controlli dei prezzi e gli interventi rigorosi sono inefficaci e spesso peggiorano la situazione;</w:t>
            </w:r>
          </w:p>
        </w:tc>
        <w:tc>
          <w:tcPr>
            <w:tcW w:w="4876" w:type="dxa"/>
            <w:tcBorders>
              <w:top w:val="nil"/>
              <w:left w:val="nil"/>
              <w:bottom w:val="nil"/>
              <w:right w:val="nil"/>
            </w:tcBorders>
          </w:tcPr>
          <w:p>
            <w:pPr>
              <w:pStyle w:val="Normal6a"/>
            </w:pPr>
            <w:r>
              <w:t>5.</w:t>
            </w:r>
            <w:r>
              <w:tab/>
            </w:r>
            <w:r>
              <w:t xml:space="preserve">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w:t>
            </w:r>
            <w:r>
              <w:rPr>
                <w:b/>
                <w:i/>
              </w:rPr>
              <w:t>procedano a una valutazione globale di tutta la pertinente</w:t>
            </w:r>
            <w:r>
              <w:t xml:space="preserve"> legislazione dell'UE </w:t>
            </w:r>
            <w:r>
              <w:rPr>
                <w:b/>
                <w:i/>
              </w:rPr>
              <w:t>avente un'incidenza sul mercato immobiliare, compresi gli atti delegati, al fine di razionalizzare i requisiti normativi relativi alla pianificazione, alla costruzione e alla ristrutturazione e agevolare così</w:t>
            </w:r>
            <w:r>
              <w:t xml:space="preserve"> l'offerta di alloggi </w:t>
            </w:r>
            <w:r>
              <w:rPr>
                <w:b/>
                <w:i/>
              </w:rPr>
              <w:t>dignitosi e a prezzi accessibili</w:t>
            </w:r>
            <w:r>
              <w:t xml:space="preserve">; ricorda che i dati disponibili dimostrano che i controlli dei prezzi e gli interventi rigorosi sono inefficaci e spesso peggiorano la situazione; </w:t>
            </w:r>
            <w:r>
              <w:rPr>
                <w:b/>
                <w:i/>
              </w:rPr>
              <w:t>invita la Commissione e gli Stati membri a integrare qualsiasi nuova iniziativa in materia di alloggi nella legislazione vigente, evitando nel contempo inutili duplicazioni e oneri supplementari per i cittadini europei;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688</w:t>
      </w:r>
      <w:r>
        <w:rPr>
          <w:rStyle w:val="HideTWBExt"/>
        </w:rPr>
        <w:t>&lt;/NumAm&gt;</w:t>
      </w:r>
    </w:p>
    <w:p>
      <w:pPr>
        <w:pStyle w:val="NormalBold"/>
      </w:pPr>
      <w:r>
        <w:rPr>
          <w:rStyle w:val="HideTWBExt"/>
          <w:b w:val="0"/>
        </w:rPr>
        <w:t>&lt;RepeatBlock-By&gt;</w:t>
      </w:r>
      <w:r>
        <w:rPr>
          <w:rStyle w:val="HideTWBExt"/>
          <w:b w:val="0"/>
        </w:rPr>
        <w:t>&lt;Members&gt;</w:t>
      </w:r>
      <w:r>
        <w:t>Aodhán Ó Ríordáin, Andreas Schieder, Gabriele Bischoff, Alicia Homs Ginel, Marit Maij, Nora Mebarek, Isilda Gomes, Joanna Scheuring-Wielgus, Yannis Maniatis,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sottolinea che </w:t>
            </w:r>
            <w:r>
              <w:rPr>
                <w:b/>
                <w:i/>
              </w:rPr>
              <w:t>la causa principale della crisi abitativa è</w:t>
            </w:r>
            <w:r>
              <w:t xml:space="preserve"> l'offerta insufficiente </w:t>
            </w:r>
            <w:r>
              <w:rPr>
                <w:b/>
                <w:i/>
              </w:rPr>
              <w:t>di</w:t>
            </w:r>
            <w:r>
              <w:t xml:space="preserve"> alloggi; invita le autorità pubbliche ad adottare misure urgenti per aumentare l'offerta di alloggi </w:t>
            </w:r>
            <w:r>
              <w:rPr>
                <w:b/>
                <w:i/>
              </w:rPr>
              <w:t>riducendo gli oneri normativi</w:t>
            </w:r>
            <w:r>
              <w:t xml:space="preserve"> lungo l'intera catena del valore, eliminando gli ostacoli e la burocrazia e attenuando le strozzature nella legislazione locale, nazionale e dell'UE che compromettono </w:t>
            </w:r>
            <w:r>
              <w:rPr>
                <w:b/>
                <w:i/>
              </w:rPr>
              <w:t>la competitività</w:t>
            </w:r>
            <w:r>
              <w:t xml:space="preserve"> dei settori della costruzione e della ristrutturazione edilizia</w:t>
            </w:r>
            <w:r>
              <w:rPr>
                <w:b/>
                <w:i/>
              </w:rPr>
              <w:t>;</w:t>
            </w:r>
            <w:r>
              <w:t xml:space="preserve"> </w:t>
            </w:r>
            <w:r>
              <w:rPr>
                <w:b/>
                <w:i/>
              </w:rPr>
              <w:t>chiede una verifica orizzontale degli oneri regolamentari nell'UE;</w:t>
            </w:r>
            <w:r>
              <w:t xml:space="preserve"> </w:t>
            </w:r>
            <w:r>
              <w:rPr>
                <w:b/>
                <w:i/>
              </w:rPr>
              <w:t>chiede, a tale proposito, che la Commissione e la Corte dei conti europea effettuino un audit regolamentare congiunto della legislazione dell'UE che potrebbe ostacolare</w:t>
            </w:r>
            <w:r>
              <w:t xml:space="preserve"> l'offerta di alloggi</w:t>
            </w:r>
            <w:r>
              <w:rPr>
                <w:b/>
                <w:i/>
              </w:rPr>
              <w:t>;</w:t>
            </w:r>
            <w:r>
              <w:t xml:space="preserve"> </w:t>
            </w:r>
            <w:r>
              <w:rPr>
                <w:b/>
                <w:i/>
              </w:rPr>
              <w:t>ricorda che i dati disponibili dimostrano che i controlli dei</w:t>
            </w:r>
            <w:r>
              <w:t xml:space="preserve"> prezzi </w:t>
            </w:r>
            <w:r>
              <w:rPr>
                <w:b/>
                <w:i/>
              </w:rPr>
              <w:t>e gli interventi rigorosi sono inefficaci e spesso peggiorano la situazione</w:t>
            </w:r>
            <w:r>
              <w:t>;</w:t>
            </w:r>
          </w:p>
        </w:tc>
        <w:tc>
          <w:tcPr>
            <w:tcW w:w="4876" w:type="dxa"/>
            <w:tcBorders>
              <w:top w:val="nil"/>
              <w:left w:val="nil"/>
              <w:bottom w:val="nil"/>
              <w:right w:val="nil"/>
            </w:tcBorders>
          </w:tcPr>
          <w:p>
            <w:pPr>
              <w:pStyle w:val="Normal6a"/>
            </w:pPr>
            <w:r>
              <w:t>5.</w:t>
            </w:r>
            <w:r>
              <w:tab/>
            </w:r>
            <w:r>
              <w:t>sottolinea che</w:t>
            </w:r>
            <w:r>
              <w:rPr>
                <w:b/>
                <w:i/>
              </w:rPr>
              <w:t>, sebbene</w:t>
            </w:r>
            <w:r>
              <w:t xml:space="preserve"> l'offerta insufficiente </w:t>
            </w:r>
            <w:r>
              <w:rPr>
                <w:b/>
                <w:i/>
              </w:rPr>
              <w:t>sia uno dei fattori alla base della crisi abitativa, tra le cause profonde figurano anche la speculazione, la finanziarizzazione, il calo degli investimenti pubblici e privati negli</w:t>
            </w:r>
            <w:r>
              <w:t xml:space="preserve"> alloggi </w:t>
            </w:r>
            <w:r>
              <w:rPr>
                <w:b/>
                <w:i/>
              </w:rPr>
              <w:t>a prezzi accessibili e l'inadeguatezza delle misure di tutela dei locatari;</w:t>
            </w:r>
            <w:r>
              <w:t xml:space="preserve"> </w:t>
            </w:r>
            <w:r>
              <w:rPr>
                <w:b/>
                <w:i/>
              </w:rPr>
              <w:t>sottolinea che la situazione dei mercati immobiliari europei è strutturalmente compromessa e necessita di una riforma urgente</w:t>
            </w:r>
            <w:r>
              <w:t xml:space="preserve">; invita le autorità pubbliche ad adottare misure urgenti per aumentare l'offerta di alloggi </w:t>
            </w:r>
            <w:r>
              <w:rPr>
                <w:b/>
                <w:i/>
              </w:rPr>
              <w:t>sociali, cooperativi e a prezzi accessibili, garantendo l'esistenza di un quadro normativo adeguato</w:t>
            </w:r>
            <w:r>
              <w:t xml:space="preserve"> lungo l'intera catena del valore, eliminando gli ostacoli e la burocrazia</w:t>
            </w:r>
            <w:r>
              <w:rPr>
                <w:b/>
                <w:i/>
              </w:rPr>
              <w:t> inutili</w:t>
            </w:r>
            <w:r>
              <w:t xml:space="preserve"> e attenuando le strozzature nella legislazione locale, nazionale e dell'UE che compromettono </w:t>
            </w:r>
            <w:r>
              <w:rPr>
                <w:b/>
                <w:i/>
              </w:rPr>
              <w:t>l'efficienza</w:t>
            </w:r>
            <w:r>
              <w:t> dei settori della costruzione e della ristrutturazione edilizia</w:t>
            </w:r>
            <w:r>
              <w:rPr>
                <w:b/>
                <w:i/>
              </w:rPr>
              <w:t>, sempre assicurando le condizioni sociali e ambientali necessarie per i finanziamenti;</w:t>
            </w:r>
            <w:r>
              <w:t xml:space="preserve"> </w:t>
            </w:r>
            <w:r>
              <w:rPr>
                <w:b/>
                <w:i/>
              </w:rPr>
              <w:t>invita le autorità pubbliche a introdurre misure urgenti per aumentare</w:t>
            </w:r>
            <w:r>
              <w:t xml:space="preserve"> l'offerta di alloggi</w:t>
            </w:r>
            <w:r>
              <w:rPr>
                <w:b/>
                <w:i/>
              </w:rPr>
              <w:t> sociali, dignitosi e a</w:t>
            </w:r>
            <w:r>
              <w:t xml:space="preserve"> prezzi </w:t>
            </w:r>
            <w:r>
              <w:rPr>
                <w:b/>
                <w:i/>
              </w:rPr>
              <w:t>accessibili, prestando particolare attenzione all'accessibilità economica a lungo termine, alla stabilità e alla protezione dei gruppi vulnerabili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689</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sottolinea che la </w:t>
            </w:r>
            <w:r>
              <w:rPr>
                <w:b/>
                <w:i/>
              </w:rPr>
              <w:t>causa principale della</w:t>
            </w:r>
            <w:r>
              <w:t xml:space="preserve"> crisi abitativa è </w:t>
            </w:r>
            <w:r>
              <w:rPr>
                <w:b/>
                <w:i/>
              </w:rPr>
              <w:t>l'offerta insufficiente</w:t>
            </w:r>
            <w:r>
              <w:t xml:space="preserv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c>
          <w:tcPr>
            <w:tcW w:w="4876" w:type="dxa"/>
            <w:tcBorders>
              <w:top w:val="nil"/>
              <w:left w:val="nil"/>
              <w:bottom w:val="nil"/>
              <w:right w:val="nil"/>
            </w:tcBorders>
          </w:tcPr>
          <w:p>
            <w:pPr>
              <w:pStyle w:val="Normal6a"/>
            </w:pPr>
            <w:r>
              <w:t>5.</w:t>
            </w:r>
            <w:r>
              <w:tab/>
            </w:r>
            <w:r>
              <w:t xml:space="preserve">sottolinea che la crisi abitativa è </w:t>
            </w:r>
            <w:r>
              <w:rPr>
                <w:b/>
                <w:i/>
              </w:rPr>
              <w:t>causata e aggravata da diversi fattori, tra cui una pianificazione e una direzione insufficienti da parte del governo, i prezzi elevati dei terreni, la concorrenza tra le esigenze spaziali, l'aumento dei costi di costruzione, le strozzature in materia di infrastrutture, la lunghezza delle procedure di rilascio delle autorizzazioni, i cambiamenti demografici, la carenza di manodopera e un persistente squilibrio tra domanda e offerta</w:t>
            </w:r>
            <w:r>
              <w:t xml:space="preserve"> di alloggi ;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690</w:t>
      </w:r>
      <w:r>
        <w:rPr>
          <w:rStyle w:val="HideTWBExt"/>
        </w:rPr>
        <w:t>&lt;/NumAm&gt;</w:t>
      </w:r>
    </w:p>
    <w:p>
      <w:pPr>
        <w:pStyle w:val="NormalBold"/>
      </w:pPr>
      <w:r>
        <w:rPr>
          <w:rStyle w:val="HideTWBExt"/>
          <w:b w:val="0"/>
        </w:rPr>
        <w:t>&lt;RepeatBlock-By&gt;</w:t>
      </w:r>
      <w:r>
        <w:rPr>
          <w:rStyle w:val="HideTWBExt"/>
          <w:b w:val="0"/>
        </w:rPr>
        <w:t>&lt;Members&gt;</w:t>
      </w:r>
      <w:r>
        <w:t>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sottolinea che </w:t>
            </w:r>
            <w:r>
              <w:rPr>
                <w:b/>
                <w:i/>
              </w:rPr>
              <w:t>la causa principale</w:t>
            </w:r>
            <w:r>
              <w:t xml:space="preserve"> della crisi abitativa </w:t>
            </w:r>
            <w:r>
              <w:rPr>
                <w:b/>
                <w:i/>
              </w:rPr>
              <w:t>è</w:t>
            </w:r>
            <w:r>
              <w:t xml:space="preserve">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w:t>
            </w:r>
            <w:r>
              <w:rPr>
                <w:b/>
                <w:i/>
              </w:rPr>
              <w:t>ricorda che i dati disponibili dimostrano che i controlli dei</w:t>
            </w:r>
            <w:r>
              <w:t xml:space="preserve"> prezzi </w:t>
            </w:r>
            <w:r>
              <w:rPr>
                <w:b/>
                <w:i/>
              </w:rPr>
              <w:t>e gli interventi rigorosi sono inefficaci e spesso peggiorano la situazione</w:t>
            </w:r>
            <w:r>
              <w:t>;</w:t>
            </w:r>
          </w:p>
        </w:tc>
        <w:tc>
          <w:tcPr>
            <w:tcW w:w="4876" w:type="dxa"/>
            <w:tcBorders>
              <w:top w:val="nil"/>
              <w:left w:val="nil"/>
              <w:bottom w:val="nil"/>
              <w:right w:val="nil"/>
            </w:tcBorders>
          </w:tcPr>
          <w:p>
            <w:pPr>
              <w:pStyle w:val="Normal6a"/>
            </w:pPr>
            <w:r>
              <w:t>5.</w:t>
            </w:r>
            <w:r>
              <w:tab/>
            </w:r>
            <w:r>
              <w:t xml:space="preserve">sottolinea che </w:t>
            </w:r>
            <w:r>
              <w:rPr>
                <w:b/>
                <w:i/>
              </w:rPr>
              <w:t>le cause principali</w:t>
            </w:r>
            <w:r>
              <w:t xml:space="preserve"> della crisi abitativa </w:t>
            </w:r>
            <w:r>
              <w:rPr>
                <w:b/>
                <w:i/>
              </w:rPr>
              <w:t>sono</w:t>
            </w:r>
            <w:r>
              <w:t xml:space="preserve"> l'offerta insufficiente di alloggi</w:t>
            </w:r>
            <w:r>
              <w:rPr>
                <w:b/>
                <w:i/>
              </w:rPr>
              <w:t>, le difficoltà di accesso ai terreni e agli appezzamenti e il mancato utilizzo degli immobili vuoti a causa dell'incertezza giuridica che interessa i piccoli proprietari</w:t>
            </w:r>
            <w:r>
              <w:t xml:space="preserve">;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w:t>
            </w:r>
            <w:r>
              <w:rPr>
                <w:b/>
                <w:i/>
              </w:rPr>
              <w:t>insiste sulla necessità di riconoscere che la crisi abitativa è un fenomeno dalle molteplici cause;</w:t>
            </w:r>
            <w:r>
              <w:t xml:space="preserve"> </w:t>
            </w:r>
            <w:r>
              <w:rPr>
                <w:b/>
                <w:i/>
              </w:rPr>
              <w:t>sostiene che il riconoscimento di zone soggette a tensione abitativa, nel rispetto delle competenze locali e regionali, possa rappresentare una soluzione per contenere i</w:t>
            </w:r>
            <w:r>
              <w:t xml:space="preserve"> prezzi </w:t>
            </w:r>
            <w:r>
              <w:rPr>
                <w:b/>
                <w:i/>
              </w:rPr>
              <w:t>degli affitti</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691</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c>
          <w:tcPr>
            <w:tcW w:w="4876" w:type="dxa"/>
            <w:tcBorders>
              <w:top w:val="nil"/>
              <w:left w:val="nil"/>
              <w:bottom w:val="nil"/>
              <w:right w:val="nil"/>
            </w:tcBorders>
          </w:tcPr>
          <w:p>
            <w:pPr>
              <w:pStyle w:val="Normal6a"/>
            </w:pPr>
            <w:r>
              <w:t>5.</w:t>
            </w:r>
            <w:r>
              <w:tab/>
            </w:r>
            <w:r>
              <w:t xml:space="preserve">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 </w:t>
            </w:r>
            <w:r>
              <w:rPr>
                <w:b/>
                <w:i/>
              </w:rPr>
              <w:t>ricorda che, piuttosto che agire direttamente sul mercato, l'intervento pubblico dovrebbe innanzitutto concentrarsi sulla riduzione degli oneri normativi e sulla creazione di condizioni favorevoli, così da promuovere un rapido accesso agli alloggi per i cittadini;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692</w:t>
      </w:r>
      <w:r>
        <w:rPr>
          <w:rStyle w:val="HideTWBExt"/>
        </w:rPr>
        <w:t>&lt;/NumAm&gt;</w:t>
      </w:r>
    </w:p>
    <w:p>
      <w:pPr>
        <w:pStyle w:val="NormalBold"/>
      </w:pPr>
      <w:r>
        <w:rPr>
          <w:rStyle w:val="HideTWBExt"/>
          <w:b w:val="0"/>
        </w:rPr>
        <w:t>&lt;RepeatBlock-By&gt;</w:t>
      </w:r>
      <w:r>
        <w:rPr>
          <w:rStyle w:val="HideTWBExt"/>
          <w:b w:val="0"/>
        </w:rPr>
        <w:t>&lt;Members&gt;</w:t>
      </w:r>
      <w:r>
        <w:t>Brigitte van den Berg, Barry Cowen, Martin Hojsík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sottolinea che </w:t>
            </w:r>
            <w:r>
              <w:rPr>
                <w:b/>
                <w:i/>
              </w:rPr>
              <w:t>la causa principale</w:t>
            </w:r>
            <w:r>
              <w:t xml:space="preserve"> della crisi abitativa </w:t>
            </w:r>
            <w:r>
              <w:rPr>
                <w:b/>
                <w:i/>
              </w:rPr>
              <w:t>è</w:t>
            </w:r>
            <w:r>
              <w:t xml:space="preserve"> l'offerta insufficiente di alloggi</w:t>
            </w:r>
            <w:r>
              <w:rPr>
                <w:b/>
                <w:i/>
              </w:rPr>
              <w:t>;</w:t>
            </w:r>
            <w:r>
              <w:t xml:space="preserve"> </w:t>
            </w:r>
            <w:r>
              <w:rPr>
                <w:b/>
                <w:i/>
              </w:rPr>
              <w:t>invita le autorità pubbliche ad adottare misure urgenti per aumentare l'offerta</w:t>
            </w:r>
            <w:r>
              <w:t xml:space="preserve"> di alloggi </w:t>
            </w:r>
            <w:r>
              <w:rPr>
                <w:b/>
                <w:i/>
              </w:rPr>
              <w:t>riducendo gli oneri normativi lungo l'intera catena del valore, eliminando gli ostacoli e la burocrazia e attenuando le strozzature nella legislazione locale, nazionale e dell'UE che compromettono la competitività dei settori della costruzione e della ristrutturazione edilizia;</w:t>
            </w:r>
            <w:r>
              <w:t xml:space="preserve"> </w:t>
            </w:r>
            <w:r>
              <w:rPr>
                <w:b/>
                <w:i/>
              </w:rPr>
              <w:t>chiede una verifica orizzontale degli oneri regolamentari nell'UE;</w:t>
            </w:r>
            <w:r>
              <w:t xml:space="preserve"> </w:t>
            </w:r>
            <w:r>
              <w:rPr>
                <w:b/>
                <w:i/>
              </w:rPr>
              <w:t>chiede, a tale proposito, che la Commissione e la Corte dei conti europea effettuino un audit regolamentare congiunto della legislazione dell'UE che potrebbe ostacolare l'offerta di alloggi;</w:t>
            </w:r>
            <w:r>
              <w:t xml:space="preserve"> </w:t>
            </w:r>
            <w:r>
              <w:rPr>
                <w:b/>
                <w:i/>
              </w:rPr>
              <w:t>ricorda che i dati</w:t>
            </w:r>
            <w:r>
              <w:t xml:space="preserve"> disponibili </w:t>
            </w:r>
            <w:r>
              <w:rPr>
                <w:b/>
                <w:i/>
              </w:rPr>
              <w:t>dimostrano che i controlli dei prezzi e gli interventi rigorosi sono inefficaci e spesso peggiorano la situazione</w:t>
            </w:r>
            <w:r>
              <w:t>;</w:t>
            </w:r>
          </w:p>
        </w:tc>
        <w:tc>
          <w:tcPr>
            <w:tcW w:w="4876" w:type="dxa"/>
            <w:tcBorders>
              <w:top w:val="nil"/>
              <w:left w:val="nil"/>
              <w:bottom w:val="nil"/>
              <w:right w:val="nil"/>
            </w:tcBorders>
          </w:tcPr>
          <w:p>
            <w:pPr>
              <w:pStyle w:val="Normal6a"/>
            </w:pPr>
            <w:r>
              <w:t>5.</w:t>
            </w:r>
            <w:r>
              <w:tab/>
            </w:r>
            <w:r>
              <w:t xml:space="preserve">sottolinea che </w:t>
            </w:r>
            <w:r>
              <w:rPr>
                <w:b/>
                <w:i/>
              </w:rPr>
              <w:t>le cause</w:t>
            </w:r>
            <w:r>
              <w:t xml:space="preserve"> della crisi abitativa </w:t>
            </w:r>
            <w:r>
              <w:rPr>
                <w:b/>
                <w:i/>
              </w:rPr>
              <w:t>includono</w:t>
            </w:r>
            <w:r>
              <w:t xml:space="preserve"> l'offerta insufficiente di alloggi</w:t>
            </w:r>
            <w:r>
              <w:rPr>
                <w:b/>
                <w:i/>
              </w:rPr>
              <w:t>, compresi gli alloggi sociali, cooperativi e pubblici, le pratiche speculative abusive e la finanziarizzazione dei mercati immobiliari;</w:t>
            </w:r>
            <w:r>
              <w:t xml:space="preserve"> </w:t>
            </w:r>
            <w:r>
              <w:rPr>
                <w:b/>
                <w:i/>
              </w:rPr>
              <w:t>riconosce che in alcune zone esiste una discrepanza tra il tipo</w:t>
            </w:r>
            <w:r>
              <w:t xml:space="preserve"> di alloggi disponibili </w:t>
            </w:r>
            <w:r>
              <w:rPr>
                <w:b/>
                <w:i/>
              </w:rPr>
              <w:t>e le caratteristiche delle famiglie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693</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sottolinea che la </w:t>
            </w:r>
            <w:r>
              <w:rPr>
                <w:b/>
                <w:i/>
              </w:rPr>
              <w:t>causa principale della</w:t>
            </w:r>
            <w:r>
              <w:t xml:space="preserve"> crisi abitativa </w:t>
            </w:r>
            <w:r>
              <w:rPr>
                <w:b/>
                <w:i/>
              </w:rPr>
              <w:t>è l'offerta insufficiente di alloggi;</w:t>
            </w:r>
            <w:r>
              <w:t xml:space="preserve"> </w:t>
            </w:r>
            <w:r>
              <w:rPr>
                <w:b/>
                <w:i/>
              </w:rPr>
              <w:t>invita le autorità pubbliche ad adottare</w:t>
            </w:r>
            <w:r>
              <w:t xml:space="preserve"> misure </w:t>
            </w:r>
            <w:r>
              <w:rPr>
                <w:b/>
                <w:i/>
              </w:rPr>
              <w:t>urgenti per aumentare l'offerta di</w:t>
            </w:r>
            <w:r>
              <w:t xml:space="preserve"> alloggi </w:t>
            </w:r>
            <w:r>
              <w:rPr>
                <w:b/>
                <w:i/>
              </w:rPr>
              <w:t>riducendo gli oneri normativi lungo l'intera catena del valore, eliminando gli ostacoli e la burocrazia e attenuando le strozzature nella legislazione locale, nazionale e dell'UE che compromettono la competitività dei settori della costruzione e della ristrutturazione edilizia;</w:t>
            </w:r>
            <w:r>
              <w:t xml:space="preserve"> </w:t>
            </w:r>
            <w:r>
              <w:rPr>
                <w:b/>
                <w:i/>
              </w:rPr>
              <w:t>chiede una verifica orizzontale degli oneri regolamentari nell'UE;</w:t>
            </w:r>
            <w:r>
              <w:t xml:space="preserve"> </w:t>
            </w:r>
            <w:r>
              <w:rPr>
                <w:b/>
                <w:i/>
              </w:rPr>
              <w:t>chiede, a tale proposito, che la Commissione e la Corte dei conti europea effettuino un audit regolamentare congiunto della legislazione dell'UE che potrebbe ostacolare l'offerta di alloggi;</w:t>
            </w:r>
            <w:r>
              <w:t xml:space="preserve"> </w:t>
            </w:r>
            <w:r>
              <w:rPr>
                <w:b/>
                <w:i/>
              </w:rPr>
              <w:t>ricorda che i dati disponibili dimostrano che i controlli dei</w:t>
            </w:r>
            <w:r>
              <w:t xml:space="preserve"> prezzi </w:t>
            </w:r>
            <w:r>
              <w:rPr>
                <w:b/>
                <w:i/>
              </w:rPr>
              <w:t>e gli interventi rigorosi sono inefficaci e spesso peggiorano la situazione</w:t>
            </w:r>
            <w:r>
              <w:t>;</w:t>
            </w:r>
          </w:p>
        </w:tc>
        <w:tc>
          <w:tcPr>
            <w:tcW w:w="4876" w:type="dxa"/>
            <w:tcBorders>
              <w:top w:val="nil"/>
              <w:left w:val="nil"/>
              <w:bottom w:val="nil"/>
              <w:right w:val="nil"/>
            </w:tcBorders>
          </w:tcPr>
          <w:p>
            <w:pPr>
              <w:pStyle w:val="Normal6a"/>
            </w:pPr>
            <w:r>
              <w:t>5.</w:t>
            </w:r>
            <w:r>
              <w:tab/>
            </w:r>
            <w:r>
              <w:t xml:space="preserve">sottolinea che la </w:t>
            </w:r>
            <w:r>
              <w:rPr>
                <w:b/>
                <w:i/>
              </w:rPr>
              <w:t>pesante</w:t>
            </w:r>
            <w:r>
              <w:t xml:space="preserve"> crisi abitativa </w:t>
            </w:r>
            <w:r>
              <w:rPr>
                <w:b/>
                <w:i/>
              </w:rPr>
              <w:t>che l'UE sta attraversando continua a peggiorare ed è ulteriormente aggravata da una persistente mancanza di</w:t>
            </w:r>
            <w:r>
              <w:t xml:space="preserve"> misure </w:t>
            </w:r>
            <w:r>
              <w:rPr>
                <w:b/>
                <w:i/>
              </w:rPr>
              <w:t>efficaci volte a contrastarne le cause profonde, tra cui la finanziarizzazione del settore degli alloggi, la significativa e crescente carenza di investimenti negli</w:t>
            </w:r>
            <w:r>
              <w:t xml:space="preserve"> alloggi </w:t>
            </w:r>
            <w:r>
              <w:rPr>
                <w:b/>
                <w:i/>
              </w:rPr>
              <w:t>sociali e a</w:t>
            </w:r>
            <w:r>
              <w:t xml:space="preserve"> prezzi </w:t>
            </w:r>
            <w:r>
              <w:rPr>
                <w:b/>
                <w:i/>
              </w:rPr>
              <w:t>accessibili, la diffusione delle locazioni turistiche a breve termine ("turistificazione") e l'aumento dei costi dell'energia e dei servizi, aggravato dall'invecchiamento e dall'inefficienza energetica del parco immobiliare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694</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c>
          <w:tcPr>
            <w:tcW w:w="4876" w:type="dxa"/>
            <w:tcBorders>
              <w:top w:val="nil"/>
              <w:left w:val="nil"/>
              <w:bottom w:val="nil"/>
              <w:right w:val="nil"/>
            </w:tcBorders>
          </w:tcPr>
          <w:p>
            <w:pPr>
              <w:pStyle w:val="Normal6a"/>
            </w:pPr>
            <w:r>
              <w:t>5.</w:t>
            </w:r>
            <w:r>
              <w:tab/>
            </w:r>
            <w:r>
              <w:t xml:space="preserve">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 </w:t>
            </w:r>
            <w:r>
              <w:rPr>
                <w:b/>
                <w:i/>
              </w:rPr>
              <w:t>ricorda che, secondo l'OCSE, le restrizioni al mercato degli affitti incidono sul buon funzionamento dei mercati immobiliari, in quanto rischiano di scoraggiare gli investimenti nella costruzione e nella manutenzione degli alloggi;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695</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Pedullà</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sottolinea che </w:t>
            </w:r>
            <w:r>
              <w:rPr>
                <w:b/>
                <w:i/>
              </w:rPr>
              <w:t>la causa principale</w:t>
            </w:r>
            <w:r>
              <w:t xml:space="preserve"> della crisi abitativa </w:t>
            </w:r>
            <w:r>
              <w:rPr>
                <w:b/>
                <w:i/>
              </w:rPr>
              <w:t>è l'offerta insufficiente</w:t>
            </w:r>
            <w:r>
              <w:t xml:space="preserve"> di alloggi; invita le autorità pubbliche ad adottare misure urgenti per aumentare l'offerta di alloggi </w:t>
            </w:r>
            <w:r>
              <w:rPr>
                <w:b/>
                <w:i/>
              </w:rPr>
              <w:t>riducendo gli oneri normativi lungo l'intera catena del valore, eliminando gli ostacoli e la burocrazia e attenuando le strozzature nella legislazione locale, nazionale e dell'UE che compromettono la competitività dei settori della costruzione e della ristrutturazione edilizia</w:t>
            </w:r>
            <w:r>
              <w:t xml:space="preserve">; chiede </w:t>
            </w:r>
            <w:r>
              <w:rPr>
                <w:b/>
                <w:i/>
              </w:rPr>
              <w:t>una verifica orizzontale degli oneri regolamentari nell'UE;</w:t>
            </w:r>
            <w:r>
              <w:t xml:space="preserve"> </w:t>
            </w:r>
            <w:r>
              <w:rPr>
                <w:b/>
                <w:i/>
              </w:rPr>
              <w:t>chiede, a tale proposito,</w:t>
            </w:r>
            <w:r>
              <w:t xml:space="preserve"> che la Commissione e la Corte dei conti europea effettuino un audit regolamentare congiunto della legislazione dell'UE che potrebbe ostacolare l'offerta di alloggi; ricorda che i dati disponibili dimostrano che i controlli dei prezzi e gli interventi rigorosi sono </w:t>
            </w:r>
            <w:r>
              <w:rPr>
                <w:b/>
                <w:i/>
              </w:rPr>
              <w:t>inefficaci e spesso peggiorano la situazione</w:t>
            </w:r>
            <w:r>
              <w:t>;</w:t>
            </w:r>
          </w:p>
        </w:tc>
        <w:tc>
          <w:tcPr>
            <w:tcW w:w="4876" w:type="dxa"/>
            <w:tcBorders>
              <w:top w:val="nil"/>
              <w:left w:val="nil"/>
              <w:bottom w:val="nil"/>
              <w:right w:val="nil"/>
            </w:tcBorders>
          </w:tcPr>
          <w:p>
            <w:pPr>
              <w:pStyle w:val="Normal6a"/>
            </w:pPr>
            <w:r>
              <w:t>5.</w:t>
            </w:r>
            <w:r>
              <w:tab/>
            </w:r>
            <w:r>
              <w:t xml:space="preserve">sottolinea che </w:t>
            </w:r>
            <w:r>
              <w:rPr>
                <w:b/>
                <w:i/>
              </w:rPr>
              <w:t>le cause principali</w:t>
            </w:r>
            <w:r>
              <w:t xml:space="preserve"> della crisi abitativa </w:t>
            </w:r>
            <w:r>
              <w:rPr>
                <w:b/>
                <w:i/>
              </w:rPr>
              <w:t>sono la difficoltà di accesso all'offerta</w:t>
            </w:r>
            <w:r>
              <w:t xml:space="preserve"> di alloggi </w:t>
            </w:r>
            <w:r>
              <w:rPr>
                <w:b/>
                <w:i/>
              </w:rPr>
              <w:t>disponibili e l'esistenza di una domanda speculativa sul mercato immobiliare, che mantiene i prezzi a un livello artificialmente elevato;</w:t>
            </w:r>
            <w:r>
              <w:t xml:space="preserve"> </w:t>
            </w:r>
            <w:r>
              <w:rPr>
                <w:b/>
                <w:i/>
              </w:rPr>
              <w:t>invita le autorità pubbliche a limitare l'acquisto di alloggi per scopi diversi dalla residenza personale e a introdurre misure fiscali atte a contrastare la speculazione</w:t>
            </w:r>
            <w:r>
              <w:t xml:space="preserve">; invita le autorità pubbliche ad adottare misure urgenti per aumentare l'offerta di alloggi </w:t>
            </w:r>
            <w:r>
              <w:rPr>
                <w:b/>
                <w:i/>
              </w:rPr>
              <w:t>realizzando ingenti investimenti negli alloggi pubblici, sociali e a prezzi accessibili</w:t>
            </w:r>
            <w:r>
              <w:t xml:space="preserve">; chiede che la Commissione e la Corte dei conti europea effettuino un audit regolamentare congiunto della legislazione dell'UE che potrebbe ostacolare l'offerta di alloggi; ricorda che i dati disponibili dimostrano che i controlli dei prezzi e gli interventi rigorosi sono </w:t>
            </w:r>
            <w:r>
              <w:rPr>
                <w:b/>
                <w:i/>
              </w:rPr>
              <w:t>efficaci nel contenere gli aumenti degli affitti e invita la Commissione a incoraggiare gli Stati membri ad adottare misure in tal senso quando è in gioco l'interesse pubblico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696</w:t>
      </w:r>
      <w:r>
        <w:rPr>
          <w:rStyle w:val="HideTWBExt"/>
        </w:rPr>
        <w:t>&lt;/NumAm&gt;</w:t>
      </w:r>
    </w:p>
    <w:p>
      <w:pPr>
        <w:pStyle w:val="NormalBold"/>
      </w:pPr>
      <w:r>
        <w:rPr>
          <w:rStyle w:val="HideTWBExt"/>
          <w:b w:val="0"/>
        </w:rPr>
        <w:t>&lt;RepeatBlock-By&gt;</w:t>
      </w:r>
      <w:r>
        <w:rPr>
          <w:rStyle w:val="HideTWBExt"/>
          <w:b w:val="0"/>
        </w:rPr>
        <w:t>&lt;Members&gt;</w:t>
      </w:r>
      <w:r>
        <w:t>Klara Dostalova, Julie Rechagneux, Ondřej Knotek, Jaroslav Bžoch, Rachel Blom, 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w:t>
            </w:r>
            <w:r>
              <w:rPr>
                <w:b/>
                <w:i/>
              </w:rPr>
              <w:t>verifica orizzontale</w:t>
            </w:r>
            <w:r>
              <w:t xml:space="preserve"> degli oneri </w:t>
            </w:r>
            <w:r>
              <w:rPr>
                <w:b/>
                <w:i/>
              </w:rPr>
              <w:t>regolamentari nell'UE;</w:t>
            </w:r>
            <w:r>
              <w:t xml:space="preserve"> </w:t>
            </w:r>
            <w:r>
              <w:rPr>
                <w:b/>
                <w:i/>
              </w:rPr>
              <w:t>chiede, a tale proposito, che la Commissione e la Corte dei conti europea effettuino un</w:t>
            </w:r>
            <w:r>
              <w:t xml:space="preserve"> audit </w:t>
            </w:r>
            <w:r>
              <w:rPr>
                <w:b/>
                <w:i/>
              </w:rPr>
              <w:t>regolamentare congiunto</w:t>
            </w:r>
            <w:r>
              <w:t xml:space="preserve"> della legislazione </w:t>
            </w:r>
            <w:r>
              <w:rPr>
                <w:b/>
                <w:i/>
              </w:rPr>
              <w:t>dell'UE che potrebbe ostacolare l'offerta di alloggi</w:t>
            </w:r>
            <w:r>
              <w:t>; ricorda che i dati disponibili dimostrano che i controlli dei prezzi e gli interventi rigorosi sono inefficaci e spesso peggiorano la situazione;</w:t>
            </w:r>
          </w:p>
        </w:tc>
        <w:tc>
          <w:tcPr>
            <w:tcW w:w="4876" w:type="dxa"/>
            <w:tcBorders>
              <w:top w:val="nil"/>
              <w:left w:val="nil"/>
              <w:bottom w:val="nil"/>
              <w:right w:val="nil"/>
            </w:tcBorders>
          </w:tcPr>
          <w:p>
            <w:pPr>
              <w:pStyle w:val="Normal6a"/>
            </w:pPr>
            <w:r>
              <w:t>5.</w:t>
            </w:r>
            <w:r>
              <w:tab/>
            </w:r>
            <w:r>
              <w:t xml:space="preserve">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w:t>
            </w:r>
            <w:r>
              <w:rPr>
                <w:b/>
                <w:i/>
              </w:rPr>
              <w:t>revisione sistematica e l'abolizione delle norme dell'UE che ostacolano o ritardano direttamente o indirettamente la costruzione di alloggi, compresi i requisiti ambientali eccessivamente rigidi, e insiste sul fatto che gli enti nazionali e locali devono assumersi la responsabilità primaria dell'eliminazione</w:t>
            </w:r>
            <w:r>
              <w:t xml:space="preserve"> degli oneri </w:t>
            </w:r>
            <w:r>
              <w:rPr>
                <w:b/>
                <w:i/>
              </w:rPr>
              <w:t>normativi inutili;</w:t>
            </w:r>
            <w:r>
              <w:t xml:space="preserve"> </w:t>
            </w:r>
            <w:r>
              <w:rPr>
                <w:b/>
                <w:i/>
              </w:rPr>
              <w:t>sottolinea che qualsiasi</w:t>
            </w:r>
            <w:r>
              <w:t xml:space="preserve"> audit della legislazione </w:t>
            </w:r>
            <w:r>
              <w:rPr>
                <w:b/>
                <w:i/>
              </w:rPr>
              <w:t>condotto a livello dell'UE deve portare a modifiche e semplificazioni concrete</w:t>
            </w:r>
            <w:r>
              <w:t>; ricorda che i dati disponibili dimostrano che i controlli dei prezzi e gli interventi rigorosi sono inefficaci e spesso peggiorano la situazione;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697</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c>
          <w:tcPr>
            <w:tcW w:w="4876" w:type="dxa"/>
            <w:tcBorders>
              <w:top w:val="nil"/>
              <w:left w:val="nil"/>
              <w:bottom w:val="nil"/>
              <w:right w:val="nil"/>
            </w:tcBorders>
          </w:tcPr>
          <w:p>
            <w:pPr>
              <w:pStyle w:val="Normal6a"/>
            </w:pPr>
            <w:r>
              <w:t>5.</w:t>
            </w:r>
            <w:r>
              <w:tab/>
            </w:r>
            <w:r>
              <w:t>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w:t>
            </w:r>
            <w:r>
              <w:rPr>
                <w:b/>
                <w:i/>
              </w:rPr>
              <w:t>, compresi i futuri atti delegati, con l'obiettivo di individuare le normative dell'UE superflue che non contribuiscono alla creazione di alloggi a prezzi accessibili, di alta qualità ed efficienti sotto il profilo energetico</w:t>
            </w:r>
            <w:r>
              <w:t>;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698</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Inese Vaidere, Regina Doherty, Isabelle Le Callennec, Alma Ezcurra Almansa, Marco Falcone, Rosa Estaràs Ferragut, Elena Nevado del Campo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c>
          <w:tcPr>
            <w:tcW w:w="4876" w:type="dxa"/>
            <w:tcBorders>
              <w:top w:val="nil"/>
              <w:left w:val="nil"/>
              <w:bottom w:val="nil"/>
              <w:right w:val="nil"/>
            </w:tcBorders>
          </w:tcPr>
          <w:p>
            <w:pPr>
              <w:pStyle w:val="Normal6a"/>
            </w:pPr>
            <w:r>
              <w:t>5.</w:t>
            </w:r>
            <w:r>
              <w:tab/>
            </w:r>
            <w:r>
              <w:t xml:space="preserve">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 </w:t>
            </w:r>
            <w:r>
              <w:rPr>
                <w:b/>
                <w:i/>
              </w:rPr>
              <w:t>chiede che gli Stati membri e le regioni dispongano di flessibilità nel perseguimento degli obiettivi della legislazione dell'Unione, sulla base della loro situazione e delle loro esigenze specifiche;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699</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Markus Ferber, Sebastião Bugalho, Maravillas Abadía Jover, Regina Doherty, Isabelle Le Callennec, Alma Ezcurra Almansa,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c>
          <w:tcPr>
            <w:tcW w:w="4876" w:type="dxa"/>
            <w:tcBorders>
              <w:top w:val="nil"/>
              <w:left w:val="nil"/>
              <w:bottom w:val="nil"/>
              <w:right w:val="nil"/>
            </w:tcBorders>
          </w:tcPr>
          <w:p>
            <w:pPr>
              <w:pStyle w:val="Normal6a"/>
            </w:pPr>
            <w:r>
              <w:t>5.</w:t>
            </w:r>
            <w:r>
              <w:tab/>
            </w:r>
            <w:r>
              <w:t xml:space="preserve">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 </w:t>
            </w:r>
            <w:r>
              <w:rPr>
                <w:b/>
                <w:i/>
              </w:rPr>
              <w:t>osserva che tali misure creano incertezza, disincentivano gli investimenti e scoraggiano chi potrebbe contribuire ad ampliare l'offerta;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700</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Markus Ferber, Sebastião Bugalho, Maravillas Abadía Jover, Regina Doherty, Isabelle Le Callennec, Alma Ezcurra Almansa,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c>
          <w:tcPr>
            <w:tcW w:w="4876" w:type="dxa"/>
            <w:tcBorders>
              <w:top w:val="nil"/>
              <w:left w:val="nil"/>
              <w:bottom w:val="nil"/>
              <w:right w:val="nil"/>
            </w:tcBorders>
          </w:tcPr>
          <w:p>
            <w:pPr>
              <w:pStyle w:val="Normal6a"/>
            </w:pPr>
            <w:r>
              <w:t>5.</w:t>
            </w:r>
            <w:r>
              <w:tab/>
            </w:r>
            <w:r>
              <w:t xml:space="preserve">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w:t>
            </w:r>
            <w:r>
              <w:rPr>
                <w:b/>
                <w:i/>
              </w:rPr>
              <w:t>ritiene che tale audit dovrebbe poi condurre a un piano d'azione volto a porre rimedio alle carenze individuate;</w:t>
            </w:r>
            <w:r>
              <w:t xml:space="preserve"> ricorda che i dati disponibili dimostrano che i controlli dei prezzi e gli interventi rigorosi sono inefficaci e spesso peggiorano la situazione;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701</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Inese Vaidere,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c>
          <w:tcPr>
            <w:tcW w:w="4876" w:type="dxa"/>
            <w:tcBorders>
              <w:top w:val="nil"/>
              <w:left w:val="nil"/>
              <w:bottom w:val="nil"/>
              <w:right w:val="nil"/>
            </w:tcBorders>
          </w:tcPr>
          <w:p>
            <w:pPr>
              <w:pStyle w:val="Normal6a"/>
            </w:pPr>
            <w:r>
              <w:t>5.</w:t>
            </w:r>
            <w:r>
              <w:tab/>
            </w:r>
            <w:r>
              <w:rPr>
                <w:b/>
                <w:i/>
              </w:rPr>
              <w:t>invita la Commissione ad astenersi dall'aggiungere ulteriori livelli amministrativi e normativi;</w:t>
            </w:r>
            <w:r>
              <w:t xml:space="preserve"> 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702</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c>
          <w:tcPr>
            <w:tcW w:w="4876" w:type="dxa"/>
            <w:tcBorders>
              <w:top w:val="nil"/>
              <w:left w:val="nil"/>
              <w:bottom w:val="nil"/>
              <w:right w:val="nil"/>
            </w:tcBorders>
          </w:tcPr>
          <w:p>
            <w:pPr>
              <w:pStyle w:val="Normal6a"/>
            </w:pPr>
            <w:r>
              <w:t>5.</w:t>
            </w:r>
            <w:r>
              <w:tab/>
            </w:r>
            <w:r>
              <w:t>sottolinea che la causa principale della crisi abitativa è l'offerta insufficiente di alloggi</w:t>
            </w:r>
            <w:r>
              <w:rPr>
                <w:b/>
                <w:i/>
              </w:rPr>
              <w:t>;</w:t>
            </w:r>
            <w:r>
              <w:t xml:space="preserve"> </w:t>
            </w:r>
            <w:r>
              <w:rPr>
                <w:b/>
                <w:i/>
              </w:rPr>
              <w:t>sottolinea che solo un aumento sostanziale dell'offerta di alloggi consentirà di ridurre i prezzi</w:t>
            </w:r>
            <w:r>
              <w:t>;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703</w:t>
      </w:r>
      <w:r>
        <w:rPr>
          <w:rStyle w:val="HideTWBExt"/>
        </w:rPr>
        <w:t>&lt;/NumAm&gt;</w:t>
      </w:r>
    </w:p>
    <w:p>
      <w:pPr>
        <w:pStyle w:val="NormalBold"/>
      </w:pPr>
      <w:r>
        <w:rPr>
          <w:rStyle w:val="HideTWBExt"/>
          <w:b w:val="0"/>
        </w:rPr>
        <w:t>&lt;RepeatBlock-By&gt;</w:t>
      </w:r>
      <w:r>
        <w:rPr>
          <w:rStyle w:val="HideTWBExt"/>
          <w:b w:val="0"/>
        </w:rPr>
        <w:t>&lt;Members&gt;</w:t>
      </w:r>
      <w:r>
        <w:t>Martin Hojsík, Brigitte van den 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sottolinea che </w:t>
            </w:r>
            <w:r>
              <w:rPr>
                <w:b/>
                <w:i/>
              </w:rPr>
              <w:t>la causa principale</w:t>
            </w:r>
            <w:r>
              <w:t xml:space="preserv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c>
          <w:tcPr>
            <w:tcW w:w="4876" w:type="dxa"/>
            <w:tcBorders>
              <w:top w:val="nil"/>
              <w:left w:val="nil"/>
              <w:bottom w:val="nil"/>
              <w:right w:val="nil"/>
            </w:tcBorders>
          </w:tcPr>
          <w:p>
            <w:pPr>
              <w:pStyle w:val="Normal6a"/>
            </w:pPr>
            <w:r>
              <w:t>5.</w:t>
            </w:r>
            <w:r>
              <w:tab/>
            </w:r>
            <w:r>
              <w:t xml:space="preserve">sottolinea che </w:t>
            </w:r>
            <w:r>
              <w:rPr>
                <w:b/>
                <w:i/>
              </w:rPr>
              <w:t>una delle cause principali</w:t>
            </w:r>
            <w:r>
              <w:t xml:space="preserve"> della crisi abitativa è l'offerta insufficiente di alloggi </w:t>
            </w:r>
            <w:r>
              <w:rPr>
                <w:b/>
                <w:i/>
              </w:rPr>
              <w:t>adeguati</w:t>
            </w:r>
            <w:r>
              <w:t>;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w:t>
            </w:r>
            <w:r>
              <w:rPr>
                <w:b/>
                <w:i/>
              </w:rPr>
              <w:t>, sempre rispettando la gerarchia del consumo di suolo e tenendo conto del fatto che i terreni sono una risorsa limitata</w:t>
            </w:r>
            <w:r>
              <w:t>;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704</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c>
          <w:tcPr>
            <w:tcW w:w="4876" w:type="dxa"/>
            <w:tcBorders>
              <w:top w:val="nil"/>
              <w:left w:val="nil"/>
              <w:bottom w:val="nil"/>
              <w:right w:val="nil"/>
            </w:tcBorders>
          </w:tcPr>
          <w:p>
            <w:pPr>
              <w:pStyle w:val="Normal6a"/>
            </w:pPr>
            <w:r>
              <w:t>5.</w:t>
            </w:r>
            <w:r>
              <w:tab/>
            </w:r>
            <w:r>
              <w:rPr>
                <w:b/>
                <w:i/>
              </w:rPr>
              <w:t>sottolinea che la competitività dell'Unione è fondamentale per affrontare la crisi degli alloggi;</w:t>
            </w:r>
            <w:r>
              <w:t xml:space="preserve"> 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705</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Maravillas Abadía Jover, Inese Vaidere,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c>
          <w:tcPr>
            <w:tcW w:w="4876" w:type="dxa"/>
            <w:tcBorders>
              <w:top w:val="nil"/>
              <w:left w:val="nil"/>
              <w:bottom w:val="nil"/>
              <w:right w:val="nil"/>
            </w:tcBorders>
          </w:tcPr>
          <w:p>
            <w:pPr>
              <w:pStyle w:val="Normal6a"/>
            </w:pPr>
            <w:r>
              <w:t>5.</w:t>
            </w:r>
            <w:r>
              <w:tab/>
            </w:r>
            <w:r>
              <w:rPr>
                <w:b/>
                <w:i/>
              </w:rPr>
              <w:t>respinge qualsiasi nuova proposta legislativa dell'Unione che risulti inutile e onerosa;</w:t>
            </w:r>
            <w:r>
              <w:t xml:space="preserve"> 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706</w:t>
      </w:r>
      <w:r>
        <w:rPr>
          <w:rStyle w:val="HideTWBExt"/>
        </w:rPr>
        <w:t>&lt;/NumAm&gt;</w:t>
      </w:r>
    </w:p>
    <w:p>
      <w:pPr>
        <w:pStyle w:val="NormalBold"/>
      </w:pPr>
      <w:r>
        <w:rPr>
          <w:rStyle w:val="HideTWBExt"/>
          <w:b w:val="0"/>
        </w:rPr>
        <w:t>&lt;RepeatBlock-By&gt;</w:t>
      </w:r>
      <w:r>
        <w:rPr>
          <w:rStyle w:val="HideTWBExt"/>
          <w:b w:val="0"/>
        </w:rPr>
        <w:t>&lt;Members&gt;</w:t>
      </w:r>
      <w:r>
        <w:t>György Hölvényi, Pál Szekeres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c>
          <w:tcPr>
            <w:tcW w:w="4876" w:type="dxa"/>
            <w:tcBorders>
              <w:top w:val="nil"/>
              <w:left w:val="nil"/>
              <w:bottom w:val="nil"/>
              <w:right w:val="nil"/>
            </w:tcBorders>
          </w:tcPr>
          <w:p>
            <w:pPr>
              <w:pStyle w:val="Normal6a"/>
            </w:pPr>
            <w:r>
              <w:t>5.</w:t>
            </w:r>
            <w:r>
              <w:tab/>
            </w:r>
            <w:r>
              <w:t>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w:t>
            </w:r>
            <w:r>
              <w:rPr>
                <w:b/>
                <w:i/>
              </w:rPr>
              <w:t>, nonché riducendo le barriere che impediscono l'accesso al mercato degli alloggi vacanti</w:t>
            </w:r>
            <w:r>
              <w:t>;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707</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c>
          <w:tcPr>
            <w:tcW w:w="4876" w:type="dxa"/>
            <w:tcBorders>
              <w:top w:val="nil"/>
              <w:left w:val="nil"/>
              <w:bottom w:val="nil"/>
              <w:right w:val="nil"/>
            </w:tcBorders>
          </w:tcPr>
          <w:p>
            <w:pPr>
              <w:pStyle w:val="Normal6a"/>
            </w:pPr>
            <w:r>
              <w:t>5.</w:t>
            </w:r>
            <w:r>
              <w:tab/>
            </w:r>
            <w:r>
              <w:t xml:space="preserve">sottolinea che la causa principale della crisi abitativa è l'offerta insufficiente di alloggi; invita le autorità pubbliche ad adottare misure urgenti per aumentare l'offerta di alloggi riducendo gli oneri normativi </w:t>
            </w:r>
            <w:r>
              <w:rPr>
                <w:b/>
                <w:i/>
              </w:rPr>
              <w:t>dell'Unione</w:t>
            </w:r>
            <w:r>
              <w:t xml:space="preserve">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708</w:t>
      </w:r>
      <w:r>
        <w:rPr>
          <w:rStyle w:val="HideTWBExt"/>
        </w:rPr>
        <w:t>&lt;/NumAm&gt;</w:t>
      </w:r>
    </w:p>
    <w:p>
      <w:pPr>
        <w:pStyle w:val="NormalBold"/>
      </w:pPr>
      <w:r>
        <w:rPr>
          <w:rStyle w:val="HideTWBExt"/>
          <w:b w:val="0"/>
        </w:rPr>
        <w:t>&lt;RepeatBlock-By&gt;</w:t>
      </w:r>
      <w:r>
        <w:rPr>
          <w:rStyle w:val="HideTWBExt"/>
          <w:b w:val="0"/>
        </w:rPr>
        <w:t>&lt;Members&gt;</w:t>
      </w:r>
      <w:r>
        <w:t>Borja Giménez Larraz, Dirk Gotink, Jagna Marczułajtis-Walczak, Daniel Buda, Niels Geuking, David Casa, Markus Ferber, Maravillas Abadía Jover, Regina Doherty, Isabelle Le Callennec, Alma Ezcurra Almansa,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c>
          <w:tcPr>
            <w:tcW w:w="4876" w:type="dxa"/>
            <w:tcBorders>
              <w:top w:val="nil"/>
              <w:left w:val="nil"/>
              <w:bottom w:val="nil"/>
              <w:right w:val="nil"/>
            </w:tcBorders>
          </w:tcPr>
          <w:p>
            <w:pPr>
              <w:pStyle w:val="Normal6a"/>
            </w:pPr>
            <w:r>
              <w:t>5.</w:t>
            </w:r>
            <w:r>
              <w:tab/>
            </w:r>
            <w:r>
              <w:t>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w:t>
            </w:r>
            <w:r>
              <w:rPr>
                <w:b/>
                <w:i/>
              </w:rPr>
              <w:t>, i sussidi</w:t>
            </w:r>
            <w:r>
              <w:t xml:space="preserve"> e gli interventi rigorosi sono inefficaci e spesso peggiorano la situazione;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709</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Maravillas Abadía Jover, Regina Doherty, Isabelle Le Callennec, Alma Ezcurra Almansa,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sono inefficaci e spesso peggiorano la situazione;</w:t>
            </w:r>
          </w:p>
        </w:tc>
        <w:tc>
          <w:tcPr>
            <w:tcW w:w="4876" w:type="dxa"/>
            <w:tcBorders>
              <w:top w:val="nil"/>
              <w:left w:val="nil"/>
              <w:bottom w:val="nil"/>
              <w:right w:val="nil"/>
            </w:tcBorders>
          </w:tcPr>
          <w:p>
            <w:pPr>
              <w:pStyle w:val="Normal6a"/>
            </w:pPr>
            <w:r>
              <w:t>5.</w:t>
            </w:r>
            <w:r>
              <w:tab/>
            </w:r>
            <w:r>
              <w:t xml:space="preserve">sottolinea che la causa principale della crisi abitativa è l'offerta insufficiente di alloggi; invita le autorità pubbliche ad adottare misure urgenti per aumentare l'offerta di alloggi riducendo gli oneri normativi lungo l'intera catena del valore, eliminando gli ostacoli e la burocrazia e attenuando le strozzature nella legislazione locale, nazionale e dell'UE che compromettono la competitività dei settori della costruzione e della ristrutturazione edilizia; chiede una verifica orizzontale degli oneri regolamentari nell'UE; chiede, a tale proposito, che la Commissione e la Corte dei conti europea effettuino un audit regolamentare congiunto della legislazione dell'UE che potrebbe ostacolare l'offerta di alloggi; ricorda che i dati disponibili dimostrano che i controlli dei prezzi e gli interventi rigorosi </w:t>
            </w:r>
            <w:r>
              <w:rPr>
                <w:b/>
                <w:i/>
              </w:rPr>
              <w:t>sul mercato</w:t>
            </w:r>
            <w:r>
              <w:t xml:space="preserve"> sono inefficaci e spesso peggiorano la situazione;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710</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bis.</w:t>
            </w:r>
            <w:r>
              <w:tab/>
            </w:r>
            <w:r>
              <w:rPr>
                <w:b/>
                <w:i/>
              </w:rPr>
              <w:t>esorta la Commissione a proporre un pacchetto di misure volte a semplificare la creazione di alloggi, con l'obiettivo di alleggerire e razionalizzare la complessa serie di norme che al momento rallenta la costruzione e la ristrutturazione di alloggi in tutta Europa grazie a una riduzione degli oneri amministrativi, un'armonizzazione dei regolamenti che si sovrappongono e un accorciamento delle procedure di rilascio delle autorizzazioni;</w:t>
            </w:r>
            <w:r>
              <w:rPr>
                <w:b/>
                <w:i/>
              </w:rPr>
              <w:t>sottolinea che tale iniziativa renderà più facile e rapida la costruzione o la ristrutturazione di alloggi e ridurrà i costi edilizi;</w:t>
            </w:r>
            <w:r>
              <w:rPr>
                <w:b/>
                <w:i/>
              </w:rPr>
              <w:t>riconosce che la semplificazione, la deregolamentazione mirata e la concessione di una maggiore flessibilità consentirebbero di eliminare gli ostacoli inutili, salvaguardando nel contempo le norme fondamentali in materia di sicurezza, ambiente e società, con l'obiettivo di accelerare il rilascio delle autorizzazioni, le nuove costruzioni e le ristrutturazioni, così da consentire all'offerta di alloggi di riallinearsi con la domanda e rendere gli alloggi più accessibili in tutta Europa;</w:t>
            </w:r>
            <w:r>
              <w:rPr>
                <w:b/>
                <w:i/>
              </w:rPr>
              <w:t>invita la Commissione a garantire che il pacchetto di misure volte a semplificare la creazione di alloggi tenga conto dei seguenti atti legislativi:</w:t>
            </w:r>
            <w:r>
              <w:rPr>
                <w:b/>
                <w:i/>
              </w:rPr>
              <w:t>il regolamento sul ripristino della natura, la direttiva sulla qualità dell'aria ambiente, la direttiva quadro sulle acque, la direttiva sul monitoraggio del suolo, la direttiva sulla prestazione energetica nell'edilizia, la direttiva sull'efficienza energetica e le direttive Uccelli e Habitat, e, in concreto: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riconosce che il regolamento sul ripristino della natura è eccessivamente rigido e non concede alcuna flessibilità per quanto riguarda l'edilizia extraurbana;</w:t>
            </w:r>
            <w:r>
              <w:rPr>
                <w:b/>
                <w:i/>
              </w:rPr>
              <w:t>invita la Commissione e i colegislatori a garantire che il regolamento sul ripristino della natura non generi ulteriori ostacoli o ritardi nella costruzione e nella ristrutturazione di alloggi, tenga conto delle specificità nazionali e offra agli Stati membri una maggiore flessibilità nelle loro decisioni riguardo all'assetto territoriale;</w:t>
            </w:r>
            <w:r>
              <w:rPr>
                <w:b/>
                <w:i/>
              </w:rPr>
              <w:t>ritiene che questo valga in particolare per il principio di non deterioramento e per i rigorosi obiettivi fissati per il 2030, il 2040 e il 2050;</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riconosce che la direttiva sulla qualità dell'aria ambiente, che entrerà in vigore nel 2026, comporterà un aumento dei costi di costruzione a causa dell'introduzione di requisiti sproporzionati per le imprese edili per quanto riguarda le emissioni temporanee e i picchi di rumore durante il processo di costruzione e rischierà anche di comportare un incremento del costo degli immobili a causa dell'imposizione di ulteriori requisiti di progettazione e configurazione;</w:t>
            </w:r>
            <w:r>
              <w:rPr>
                <w:b/>
                <w:i/>
              </w:rPr>
              <w:t>chiede una revisione e semplificazione della direttiva sulla qualità dell'aria ambiente onde garantire che non imponga più restrizioni inutili e sproporzionate alla costruzione di nuovi alloggi e abitazioni individuali;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riconosce che la direttiva quadro sulle acque può ostacolare inutilmente i progetti di costruzione fornendo un quadro distorto della qualità complessiva delle acque, principalmente a causa del carattere restrittivo del principio "one out, all out" e delle opzioni limitate per quanto concerne lo spostamento delle acque;</w:t>
            </w:r>
            <w:r>
              <w:rPr>
                <w:b/>
                <w:i/>
              </w:rPr>
              <w:t>invita la Commissione a rivedere la direttiva quadro sulle acque, che non garantisce più il giusto equilibrio tra tutela della qualità delle acque e promozione delle attività economiche, eliminando il principio "one out, all out" e consentendo un temporaneo deterioramento della qualità delle acque dovuto allo spostamento, al fine di evitare ulteriori pressioni sulle procedure di rilascio delle autorizzazioni per gli alloggi;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riconosce che la direttiva sul monitoraggio del suolo comporta importanti sfide per lo sviluppo extraurbano e introduce inutili oneri burocratici per le imprese che svolgono attività legate al suolo e per altri attori della catena edilizia, il che rischia di comportare ritardi nel rilascio dei permessi di costruzione;</w:t>
            </w:r>
            <w:r>
              <w:rPr>
                <w:b/>
                <w:i/>
              </w:rPr>
              <w:t>invita la Commissione a garantire che la direttiva sul monitoraggio del suolo non ostacoli le procedure di rilascio delle autorizzazioni e delle licenze per la costruzione e non causi inutili ritardi nello sviluppo di alloggi;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riconoscere che la direttiva sulla prestazione energetica nell'edilizia è esageratamente prescrittiva, in quanto indebolisce il principio di sussidiarietà e impone requisiti edilizi eccessivi e restrittivi che comportano un aumento dei costi di costruzione;</w:t>
            </w:r>
            <w:r>
              <w:rPr>
                <w:b/>
                <w:i/>
              </w:rPr>
              <w:t>invita la Commissione a rivedere la normativa al fine di alleggerire la burocrazia, ridurre la regolamentazione eccessivamente dettagliata e abbassare i costi di produzione;</w:t>
            </w:r>
            <w:r>
              <w:rPr>
                <w:b/>
                <w:i/>
              </w:rPr>
              <w:t>sottolinea che le politiche climatiche dell'UE destinate all'edilizia devono essere pragmatiche e adattabili;</w:t>
            </w:r>
            <w:r>
              <w:rPr>
                <w:b/>
                <w:i/>
              </w:rPr>
              <w:t>sottolinea che gli obiettivi ambientali nel settore degli alloggi devono essere attuati in modo efficiente sotto il profilo dei costi, evitando requisiti sproporzionati che provocano un aumento dei costi di costruzione e riducono l'accessibilità economica per le famiglie;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riconosce che l'attuazione pratica della direttiva sull'efficienza energetica genera oneri burocratici eccessivi per molte imprese edili e proprietari privati;</w:t>
            </w:r>
            <w:r>
              <w:rPr>
                <w:b/>
                <w:i/>
              </w:rPr>
              <w:t>chiede una revisione della direttiva sull'efficienza energetica (2023/1791), nell'ottica di rispecchiare meglio le condizioni reali esistenti, ridurre gli oneri amministrativi, includere una deroga per le imprese con un massimo di 50 dipendenti e agevolare il rispetto dei requisiti energetici a livello di costruzione, garantendo che gli obiettivi di sostenibilità non vadano a scapito dell'accessibilità economica e della disponibilità degli alloggi;</w:t>
            </w:r>
            <w:r>
              <w:rPr>
                <w:b/>
                <w:i/>
              </w:rPr>
              <w:t>osserva che gli sforzi burocratici richiesti dalla direttiva sull'efficienza energetica attraverso l'imposizione di un obbligo di monitoraggio, registrazione e rendicontazione risultano sproporzionati rispetto ai benefici apportati;</w:t>
            </w:r>
            <w:r>
              <w:rPr>
                <w:b/>
                <w:i/>
              </w:rPr>
              <w:t>sottolinea la necessità di garantire l'efficienza in termini di costi;</w:t>
            </w:r>
            <w:r>
              <w:rPr>
                <w:b/>
                <w:i/>
              </w:rPr>
              <w:t>ritiene che norme di interpretazione più rigorose rallentino in modo negativo le procedure di approvazione nella costruzione di alloggi;</w:t>
            </w:r>
            <w:r>
              <w:rPr>
                <w:b/>
                <w:i/>
              </w:rPr>
              <w:t>chiede una i requisiti in materia di efficienza energetica siano resi più proporzionati, al fine di garantire un contesto favorevole agli investimenti nella costruzione di nuove opportunità abitative;</w:t>
            </w:r>
            <w:r>
              <w:rPr>
                <w:b/>
                <w:i/>
              </w:rPr>
              <w:t>sottolinea la necessità di un migliore allineamento tra misure di efficienza energetica ed efficienza in termini di costi;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 ritiene che la direttiva Uccelli e la direttiva Habitat impongano requisiti eccessivamente restrittivi per quanto riguarda gli alloggi extraurbani e le attività economiche correlate nel settore edile, in particolare per l'estrazione di materiali da costruzione, e chiede una maggiore flessibilità, comprese eventuali esenzioni da obiettivi e indicatori rigorosi per tali attività connesse al settore degli alloggi;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 chiede una valutazione d'impatto globale al fine di valutare gli effetti sociali ed economici dell'ETS 2, nel quadro della revisione della direttiva 2023/959, sulle famiglie e il suo possibile contributo alla riduzione del loro potere d'acquisto;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711</w:t>
      </w:r>
      <w:r>
        <w:rPr>
          <w:rStyle w:val="HideTWBExt"/>
        </w:rPr>
        <w:t>&lt;/NumAm&gt;</w:t>
      </w:r>
    </w:p>
    <w:p>
      <w:pPr>
        <w:pStyle w:val="NormalBold"/>
      </w:pPr>
      <w:r>
        <w:rPr>
          <w:rStyle w:val="HideTWBExt"/>
          <w:b w:val="0"/>
        </w:rPr>
        <w:t>&lt;RepeatBlock-By&gt;</w:t>
      </w:r>
      <w:r>
        <w:rPr>
          <w:rStyle w:val="HideTWBExt"/>
          <w:b w:val="0"/>
        </w:rPr>
        <w:t>&lt;Members&gt;</w:t>
      </w:r>
      <w:r>
        <w:t>Brigitte van den Berg, Barry Cowen, Martin Hojsík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bis.</w:t>
            </w:r>
            <w:r>
              <w:tab/>
            </w:r>
            <w:r>
              <w:rPr>
                <w:b/>
                <w:i/>
              </w:rPr>
              <w:t>invita le autorità pubbliche ad adottare misure urgenti per ridurre gli oneri normativi lungo l'intera catena del valore del settore edile, a eliminare gli ostacoli e la burocrazia e ad attenuare le strozzature nella legislazione locale, nazionale e dell'UE che compromettono la competitività dei settori della costruzione e della ristrutturazione edilizia;</w:t>
            </w:r>
            <w:r>
              <w:t xml:space="preserve"> </w:t>
            </w:r>
            <w:r>
              <w:rPr>
                <w:b/>
                <w:i/>
              </w:rPr>
              <w:t>chiede una verifica orizzontale degli oneri regolamentari nell'UE;</w:t>
            </w:r>
            <w:r>
              <w:t xml:space="preserve"> </w:t>
            </w:r>
            <w:r>
              <w:rPr>
                <w:b/>
                <w:i/>
              </w:rPr>
              <w:t>chiede, a tale proposito, che la Commissione e la Corte dei conti europea effettuino un audit regolamentare congiunto della legislazione dell'UE che potrebbe ostacolare l'offerta di alloggi;</w:t>
            </w:r>
            <w:r>
              <w:t xml:space="preserve"> </w:t>
            </w:r>
            <w:r>
              <w:rPr>
                <w:b/>
                <w:i/>
              </w:rPr>
              <w:t>ricorda che i dati disponibili dimostrano che i controlli dei prezzi e gli interventi statali possono portare a risultati inattesi, ma che qualsiasi misura di questo tipo dovrebbe essere finalizzata a limitare le distorsioni del mercato;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712</w:t>
      </w:r>
      <w:r>
        <w:rPr>
          <w:rStyle w:val="HideTWBExt"/>
        </w:rPr>
        <w:t>&lt;/NumAm&gt;</w:t>
      </w:r>
    </w:p>
    <w:p>
      <w:pPr>
        <w:pStyle w:val="NormalBold"/>
      </w:pPr>
      <w:r>
        <w:rPr>
          <w:rStyle w:val="HideTWBExt"/>
          <w:b w:val="0"/>
        </w:rPr>
        <w:t>&lt;RepeatBlock-By&gt;</w:t>
      </w:r>
      <w:r>
        <w:rPr>
          <w:rStyle w:val="HideTWBExt"/>
          <w:b w:val="0"/>
        </w:rPr>
        <w:t>&lt;Members&gt;</w:t>
      </w:r>
      <w:r>
        <w:t>Aodhán Ó Ríordáin, Andreas Schieder, Gabriele Bischoff, Alicia Homs Ginel, Marit Maij, Nora Mebarek, Isilda Gomes, Joanna Scheuring-Wielgus, Yannis Maniatis,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bis.</w:t>
            </w:r>
            <w:r>
              <w:tab/>
            </w:r>
            <w:r>
              <w:rPr>
                <w:b/>
                <w:i/>
              </w:rPr>
              <w:t>sottolinea la necessità di destinare risorse adeguate agli enti locali e regionali al fine di razionalizzare le procedure amministrative e di rilascio delle autorizzazioni;</w:t>
            </w:r>
            <w:r>
              <w:t xml:space="preserve"> </w:t>
            </w:r>
            <w:r>
              <w:rPr>
                <w:b/>
                <w:i/>
              </w:rPr>
              <w:t>sottolinea che molti comuni si trovano ad affrontare gravi carenze di personale dovute a una cronica insufficienza di finanziamenti, il che limita la loro capacità di progettare, fornire e gestire alloggi pubblici e sociali e di garantire un adeguato controllo delle attività del settore privato;</w:t>
            </w:r>
            <w:r>
              <w:t xml:space="preserve"> </w:t>
            </w:r>
            <w:r>
              <w:rPr>
                <w:b/>
                <w:i/>
              </w:rPr>
              <w:t>sottolinea che un'inadeguata capacità amministrativa contribuisce a una cattiva gestione, a un allungamento delle procedure di rilascio delle autorizzazioni e a un'applicazione carente delle misure di lotta alle pratiche speculative o illecite;</w:t>
            </w:r>
            <w:r>
              <w:t xml:space="preserve"> </w:t>
            </w:r>
            <w:r>
              <w:rPr>
                <w:b/>
                <w:i/>
              </w:rPr>
              <w:t>invita la Commissione a condurre uno studio sulle cause degli eccessivi ritardi nell'ottenimento delle autorizzazioni e nel completamento delle procedure di autorizzazione;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713</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Hanna Gedin, Gaetano Pedullà</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bis.</w:t>
            </w:r>
            <w:r>
              <w:tab/>
            </w:r>
            <w:r>
              <w:rPr>
                <w:b/>
                <w:i/>
              </w:rPr>
              <w:t>invita la Commissione a proporre una revisione delle norme in materia di aiuti di Stato applicabili ai servizi di interesse economico generale (decisione n. 2012/21/UE) affinché il sostegno pubblico agli alloggi sociali e a prezzi accessibili, compresi gli alloggi accessibili alle famiglie a medio reddito, sia considerato compatibile con il mercato interno;</w:t>
            </w:r>
            <w:r>
              <w:t xml:space="preserve"> </w:t>
            </w:r>
            <w:r>
              <w:rPr>
                <w:b/>
                <w:i/>
              </w:rPr>
              <w:t>evidenzia che gli alloggi dovrebbero essere considerati un servizio di interesse generale, e non soltanto un'attività economica, e che gli Stati membri devono poter investire in alloggi pubblici e a prezzi accessibili senza essere vincolati dalle norme in materia di concorrenza;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714</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bis.</w:t>
            </w:r>
            <w:r>
              <w:tab/>
            </w:r>
            <w:r>
              <w:rPr>
                <w:b/>
                <w:i/>
              </w:rPr>
              <w:t>si rammarica del fatto che gli investimenti speculativi e la finanziarizzazione del settore degli alloggi rientrino tra i principali fattori all'origine della crisi abitativa attualmente esistente nell'UE, favoriti da un quadro normativo permissivo che consente principalmente agli investitori istituzionali, quali i fondi speculativi, i fondi comuni di investimento e le banche, di far lievitare i prezzi presentando offerte al rialzo sul prezzo degli immobili, anteponendo il profitto all'accessibilità economica e generando una grave discrepanza tra il livello del reddito locale e i prezzi degli alloggi;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715</w:t>
      </w:r>
      <w:r>
        <w:rPr>
          <w:rStyle w:val="HideTWBExt"/>
        </w:rPr>
        <w:t>&lt;/NumAm&gt;</w:t>
      </w:r>
    </w:p>
    <w:p>
      <w:pPr>
        <w:pStyle w:val="NormalBold"/>
      </w:pPr>
      <w:r>
        <w:rPr>
          <w:rStyle w:val="HideTWBExt"/>
          <w:b w:val="0"/>
        </w:rPr>
        <w:t>&lt;RepeatBlock-By&gt;</w:t>
      </w:r>
      <w:r>
        <w:rPr>
          <w:rStyle w:val="HideTWBExt"/>
          <w:b w:val="0"/>
        </w:rPr>
        <w:t>&lt;Members&gt;</w:t>
      </w:r>
      <w:r>
        <w:t>Rachel Blom, Julie Rechagneux, Klara Dostalova, Mathilde Androuët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bis.</w:t>
            </w:r>
            <w:r>
              <w:tab/>
            </w:r>
            <w:r>
              <w:rPr>
                <w:b/>
                <w:i/>
              </w:rPr>
              <w:t>invita la Commissione e gli Stati membri a tenere espressamente conto, nelle loro analisi politiche, dell'incidenza dell'afflusso di migranti e di richiedenti asilo sulla domanda di alloggi;</w:t>
            </w:r>
            <w:r>
              <w:t xml:space="preserve"> </w:t>
            </w:r>
            <w:r>
              <w:rPr>
                <w:b/>
                <w:i/>
              </w:rPr>
              <w:t>sottolinea che, secondo Eurostat, nel 2022 e nel 2023 tale afflusso ha raggiunto livelli storicamente elevati, per un totale di oltre 3 milioni di immigrati all'anno arrivati nell'UE, e che questo fattore strutturale contribuisce alla carenza di alloggi;</w:t>
            </w:r>
            <w:r>
              <w:t xml:space="preserve"> </w:t>
            </w:r>
            <w:r>
              <w:rPr>
                <w:b/>
                <w:i/>
              </w:rPr>
              <w:t>sottolinea che la politica abitativa non può prescindere da una politica migratoria gestibile;</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716</w:t>
      </w:r>
      <w:r>
        <w:rPr>
          <w:rStyle w:val="HideTWBExt"/>
        </w:rPr>
        <w:t>&lt;/NumAm&gt;</w:t>
      </w:r>
    </w:p>
    <w:p>
      <w:pPr>
        <w:pStyle w:val="NormalBold"/>
      </w:pPr>
      <w:r>
        <w:rPr>
          <w:rStyle w:val="HideTWBExt"/>
          <w:b w:val="0"/>
        </w:rPr>
        <w:t>&lt;RepeatBlock-By&gt;</w:t>
      </w:r>
      <w:r>
        <w:rPr>
          <w:rStyle w:val="HideTWBExt"/>
          <w:b w:val="0"/>
        </w:rPr>
        <w:t>&lt;Members&gt;</w:t>
      </w:r>
      <w:r>
        <w:t>Ciaran Mullooly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bis.</w:t>
            </w:r>
            <w:r>
              <w:tab/>
            </w:r>
            <w:r>
              <w:rPr>
                <w:b/>
                <w:i/>
              </w:rPr>
              <w:t>esorta gli Stati membri ad adottare una legislazione di emergenza volta a semplificare i requisiti di pianificazione per i terreni già lottizzati e pronti ad accogliere infrastrutture;</w:t>
            </w:r>
            <w:r>
              <w:t xml:space="preserve"> </w:t>
            </w:r>
            <w:r>
              <w:rPr>
                <w:b/>
                <w:i/>
              </w:rPr>
              <w:t>invita gli Stati membri ad estendere le deroghe in materia di pianificazione alle case modulari con una superficie fino a 63 m²;</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717</w:t>
      </w:r>
      <w:r>
        <w:rPr>
          <w:rStyle w:val="HideTWBExt"/>
        </w:rPr>
        <w:t>&lt;/NumAm&gt;</w:t>
      </w:r>
    </w:p>
    <w:p>
      <w:pPr>
        <w:pStyle w:val="NormalBold"/>
      </w:pPr>
      <w:r>
        <w:rPr>
          <w:rStyle w:val="HideTWBExt"/>
          <w:b w:val="0"/>
        </w:rPr>
        <w:t>&lt;RepeatBlock-By&gt;</w:t>
      </w:r>
      <w:r>
        <w:rPr>
          <w:rStyle w:val="HideTWBExt"/>
          <w:b w:val="0"/>
        </w:rPr>
        <w:t>&lt;Members&gt;</w:t>
      </w:r>
      <w:r>
        <w:t>Martin Hojsík, Brigitte van den 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bis.</w:t>
            </w:r>
            <w:r>
              <w:tab/>
            </w:r>
            <w:r>
              <w:rPr>
                <w:b/>
                <w:i/>
              </w:rPr>
              <w:t>deplora le disparità esistenti tra gli Stati membri per quanto riguarda la digitalizzazione dell'amministrazione;</w:t>
            </w:r>
            <w:r>
              <w:t xml:space="preserve"> </w:t>
            </w:r>
            <w:r>
              <w:rPr>
                <w:b/>
                <w:i/>
              </w:rPr>
              <w:t>invita tutti gli Stati membri a introdurre procedure completamente digitali per il rilascio delle autorizzazioni e le comunicazioni elettroniche in merito;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718</w:t>
      </w:r>
      <w:r>
        <w:rPr>
          <w:rStyle w:val="HideTWBExt"/>
        </w:rPr>
        <w:t>&lt;/NumAm&gt;</w:t>
      </w:r>
    </w:p>
    <w:p>
      <w:pPr>
        <w:pStyle w:val="NormalBold"/>
      </w:pPr>
      <w:r>
        <w:rPr>
          <w:rStyle w:val="HideTWBExt"/>
          <w:b w:val="0"/>
        </w:rPr>
        <w:t>&lt;RepeatBlock-By&gt;</w:t>
      </w:r>
      <w:r>
        <w:rPr>
          <w:rStyle w:val="HideTWBExt"/>
          <w:b w:val="0"/>
        </w:rPr>
        <w:t>&lt;Members&gt;</w:t>
      </w:r>
      <w:r>
        <w:t>Rachel Blom, Julie Rechagneux, Klara Dostalova, Mathilde Androuët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ter.</w:t>
            </w:r>
            <w:r>
              <w:tab/>
            </w:r>
            <w:r>
              <w:rPr>
                <w:b/>
                <w:i/>
              </w:rPr>
              <w:t>riconosce che l'UE si trova ad affrontare una grave carenza di alloggi a prezzi accessibili;</w:t>
            </w:r>
            <w:r>
              <w:t xml:space="preserve"> </w:t>
            </w:r>
            <w:r>
              <w:rPr>
                <w:b/>
                <w:i/>
              </w:rPr>
              <w:t>riconosce che in alcuni Stati membri i quadri normativi in materia di ambiente e costruzione, comprese le norme sulle emissioni di azoto (NOx), hanno avuto effetti significativi sull'offerta di alloggi, limitando la costruzione e lo sviluppo del territorio;</w:t>
            </w:r>
            <w:r>
              <w:t xml:space="preserve"> </w:t>
            </w:r>
            <w:r>
              <w:rPr>
                <w:b/>
                <w:i/>
              </w:rPr>
              <w:t>invita la Commissione a valutare l'incidenza delle normative climatiche a livello dell'UE sui mercati immobiliari nazionali e sulla produzione edilizia e, se del caso, a proporre flessibilità tecniche, meccanismi di compensazione o procedure di rilascio delle autorizzazioni accelerate, al fine di sostenere gli Stati membri nella fornitura di alloggi adeguati e a prezzi accessibili alle famiglie nazionali appartenenti alla classe media e lavoratrice;</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719</w:t>
      </w:r>
      <w:r>
        <w:rPr>
          <w:rStyle w:val="HideTWBExt"/>
        </w:rPr>
        <w:t>&lt;/NumAm&gt;</w:t>
      </w:r>
    </w:p>
    <w:p>
      <w:pPr>
        <w:pStyle w:val="NormalBold"/>
      </w:pPr>
      <w:r>
        <w:rPr>
          <w:rStyle w:val="HideTWBExt"/>
          <w:b w:val="0"/>
        </w:rPr>
        <w:t>&lt;RepeatBlock-By&gt;</w:t>
      </w:r>
      <w:r>
        <w:rPr>
          <w:rStyle w:val="HideTWBExt"/>
          <w:b w:val="0"/>
        </w:rPr>
        <w:t>&lt;Members&gt;</w:t>
      </w:r>
      <w:r>
        <w:t>Ciaran Mullooly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ter.</w:t>
            </w:r>
            <w:r>
              <w:tab/>
            </w:r>
            <w:r>
              <w:rPr>
                <w:b/>
                <w:i/>
              </w:rPr>
              <w:t>invita gli Stati membri a garantire che solo le parti interessate con un interesse locale diretto possano presentare obiezioni in materia di pianificazione, al fine di evitare indebiti ritardi nei progetti abitativi;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720</w:t>
      </w:r>
      <w:r>
        <w:rPr>
          <w:rStyle w:val="HideTWBExt"/>
        </w:rPr>
        <w:t>&lt;/NumAm&gt;</w:t>
      </w:r>
    </w:p>
    <w:p>
      <w:pPr>
        <w:pStyle w:val="NormalBold"/>
      </w:pPr>
      <w:r>
        <w:rPr>
          <w:rStyle w:val="HideTWBExt"/>
          <w:b w:val="0"/>
        </w:rPr>
        <w:t>&lt;RepeatBlock-By&gt;</w:t>
      </w:r>
      <w:r>
        <w:rPr>
          <w:rStyle w:val="HideTWBExt"/>
          <w:b w:val="0"/>
        </w:rPr>
        <w:t>&lt;Members&gt;</w:t>
      </w:r>
      <w:r>
        <w:t>Ciaran Mullooly, Brigitte van den 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quater.</w:t>
            </w:r>
            <w:r>
              <w:tab/>
            </w:r>
            <w:r>
              <w:rPr>
                <w:b/>
                <w:i/>
              </w:rPr>
              <w:t>sottolinea la necessità di garantire che, in caso di costruzione di immobili, siano previste aree verdi adeguate;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721</w:t>
      </w:r>
      <w:r>
        <w:rPr>
          <w:rStyle w:val="HideTWBExt"/>
        </w:rPr>
        <w:t>&lt;/NumAm&gt;</w:t>
      </w:r>
    </w:p>
    <w:p>
      <w:pPr>
        <w:pStyle w:val="NormalBold"/>
      </w:pPr>
      <w:r>
        <w:rPr>
          <w:rStyle w:val="HideTWBExt"/>
          <w:b w:val="0"/>
        </w:rPr>
        <w:t>&lt;RepeatBlock-By&gt;</w:t>
      </w:r>
      <w:r>
        <w:rPr>
          <w:rStyle w:val="HideTWBExt"/>
          <w:b w:val="0"/>
        </w:rPr>
        <w:t>&lt;Members&gt;</w:t>
      </w:r>
      <w:r>
        <w:t>Ciaran Mullooly, Brigitte van den 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quinquies.</w:t>
            </w:r>
            <w:r>
              <w:tab/>
            </w:r>
            <w:r>
              <w:rPr>
                <w:b/>
                <w:i/>
              </w:rPr>
              <w:t>sottolinea il fatto che le pratiche amministrative relative all'acquisto di un immobile possono risultare farraginose ed eccessivamente complesse, il che ostacola la vendita;</w:t>
            </w:r>
            <w:r>
              <w:t xml:space="preserve"> </w:t>
            </w:r>
            <w:r>
              <w:rPr>
                <w:b/>
                <w:i/>
              </w:rPr>
              <w:t>sottolinea che se i documenti fossero preparati per regolamento prima della vendita, l'acquisizione di proprietà risulterebbe più rapida;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722</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rPr>
                <w:b/>
                <w:i/>
              </w:rPr>
              <w:t>esorta a compiere sforzi per migliorare la disponibilità di terreni edificabili, in particolare nelle zone densamente popolate;</w:t>
            </w:r>
            <w:r>
              <w:t xml:space="preserve"> </w:t>
            </w:r>
            <w:r>
              <w:rPr>
                <w:b/>
                <w:i/>
              </w:rPr>
              <w:t>invita gli enti pubblici competenti a mobilitare i terreni di proprietà pubblica e ad agevolare le procedure di lottizzazione</w:t>
            </w:r>
            <w:r>
              <w:t xml:space="preserve"> per la costruzione di alloggi </w:t>
            </w:r>
            <w:r>
              <w:rPr>
                <w:b/>
                <w:i/>
              </w:rPr>
              <w:t>sociali e a prezzi accessibili;</w:t>
            </w:r>
            <w:r>
              <w:t xml:space="preserve"> </w:t>
            </w:r>
            <w:r>
              <w:rPr>
                <w:b/>
                <w:i/>
              </w:rPr>
              <w:t>invita gli Stati membri ad adottare approcci integrati per conciliare gli obiettivi ambientali ed economici</w:t>
            </w:r>
            <w:r>
              <w:t>;</w:t>
            </w:r>
          </w:p>
        </w:tc>
        <w:tc>
          <w:tcPr>
            <w:tcW w:w="4876" w:type="dxa"/>
            <w:tcBorders>
              <w:top w:val="nil"/>
              <w:left w:val="nil"/>
              <w:bottom w:val="nil"/>
              <w:right w:val="nil"/>
            </w:tcBorders>
          </w:tcPr>
          <w:p>
            <w:pPr>
              <w:pStyle w:val="Normal6a"/>
            </w:pPr>
            <w:r>
              <w:t>6.</w:t>
            </w:r>
            <w:r>
              <w:tab/>
            </w:r>
            <w:r>
              <w:rPr>
                <w:b/>
                <w:i/>
              </w:rPr>
              <w:t>ricorda l'emergenza climatica e ambientale in corso;</w:t>
            </w:r>
            <w:r>
              <w:t xml:space="preserve"> </w:t>
            </w:r>
            <w:r>
              <w:rPr>
                <w:b/>
                <w:i/>
              </w:rPr>
              <w:t>ricorda che la strategia dell'UE sulla biodiversità per il 2030 inserisce il consumo di suolo tra le principali minacce</w:t>
            </w:r>
            <w:r>
              <w:t xml:space="preserve"> per la </w:t>
            </w:r>
            <w:r>
              <w:rPr>
                <w:b/>
                <w:i/>
              </w:rPr>
              <w:t>biodiversità;</w:t>
            </w:r>
            <w:r>
              <w:t xml:space="preserve"> </w:t>
            </w:r>
            <w:r>
              <w:rPr>
                <w:b/>
                <w:i/>
              </w:rPr>
              <w:t>ritiene fermamente che la costruzione di qualsiasi nuovo edificio debba essere in linea con l'obiettivo dell'UE di un "consumo netto di suolo pari a zero entro il 2050", stabilito dalla strategia dell'UE per il suolo per il 2030;</w:t>
            </w:r>
            <w:r>
              <w:t xml:space="preserve"> </w:t>
            </w:r>
            <w:r>
              <w:rPr>
                <w:b/>
                <w:i/>
              </w:rPr>
              <w:t>sottolinea l'importanza fondamentale di obiettivi giuridicamente vincolanti e di piani ambiziosi e coerenti per la salute del suolo al fine di raggiungere in modo credibile tale scopo;</w:t>
            </w:r>
            <w:r>
              <w:t xml:space="preserve"> </w:t>
            </w:r>
            <w:r>
              <w:rPr>
                <w:b/>
                <w:i/>
              </w:rPr>
              <w:t>sottolinea che, alla luce della già ingente perdita di biodiversità, eventuali nuovi edifici non dovrebbero in alcun caso essere costruiti in aree naturali di rilevanza unionale protette dalla direttiva Habitat;</w:t>
            </w:r>
            <w:r>
              <w:t xml:space="preserve"> </w:t>
            </w:r>
            <w:r>
              <w:rPr>
                <w:b/>
                <w:i/>
              </w:rPr>
              <w:t>sottolinea che esistono già numerose soluzioni che permettono di costruire nuovi alloggi senza comportare un ulteriore consumo di aree naturali, agricole e forestali, migliorando nel contempo la qualità degli edifici, diversificando l'offerta abitativa e aumentando la diversità;</w:t>
            </w:r>
            <w:r>
              <w:t xml:space="preserve"> </w:t>
            </w:r>
            <w:r>
              <w:rPr>
                <w:b/>
                <w:i/>
              </w:rPr>
              <w:t>sottolinea che tali soluzioni spaziano dalla</w:t>
            </w:r>
            <w:r>
              <w:t xml:space="preserve"> costruzione di alloggi </w:t>
            </w:r>
            <w:r>
              <w:rPr>
                <w:b/>
                <w:i/>
              </w:rPr>
              <w:t>a densità orizzontale e verticale moderata, progettati in collaborazione con i residenti locali, alla riqualificazione urbana, compreso lo sviluppo di alloggi leggeri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723</w:t>
      </w:r>
      <w:r>
        <w:rPr>
          <w:rStyle w:val="HideTWBExt"/>
        </w:rPr>
        <w:t>&lt;/NumAm&gt;</w:t>
      </w:r>
    </w:p>
    <w:p>
      <w:pPr>
        <w:pStyle w:val="NormalBold"/>
      </w:pPr>
      <w:r>
        <w:rPr>
          <w:rStyle w:val="HideTWBExt"/>
          <w:b w:val="0"/>
        </w:rPr>
        <w:t>&lt;RepeatBlock-By&gt;</w:t>
      </w:r>
      <w:r>
        <w:rPr>
          <w:rStyle w:val="HideTWBExt"/>
          <w:b w:val="0"/>
        </w:rPr>
        <w:t>&lt;Members&gt;</w:t>
      </w:r>
      <w:r>
        <w:t>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esorta a compiere sforzi per </w:t>
            </w:r>
            <w:r>
              <w:rPr>
                <w:b/>
                <w:i/>
              </w:rPr>
              <w:t>migliorare la disponibilità</w:t>
            </w:r>
            <w:r>
              <w:t xml:space="preserve"> di terreni edificabili, in particolare nelle zone densamente popolate; invita gli enti pubblici competenti a mobilitare i terreni di proprietà pubblica e ad agevolare le procedure di lottizzazione per la costruzione di alloggi sociali e a prezzi </w:t>
            </w:r>
            <w:r>
              <w:rPr>
                <w:b/>
                <w:i/>
              </w:rPr>
              <w:t>accessibili</w:t>
            </w:r>
            <w:r>
              <w:t>; invita gli Stati membri ad adottare approcci integrati per conciliare gli obiettivi ambientali ed economici;</w:t>
            </w:r>
          </w:p>
        </w:tc>
        <w:tc>
          <w:tcPr>
            <w:tcW w:w="4876" w:type="dxa"/>
            <w:tcBorders>
              <w:top w:val="nil"/>
              <w:left w:val="nil"/>
              <w:bottom w:val="nil"/>
              <w:right w:val="nil"/>
            </w:tcBorders>
          </w:tcPr>
          <w:p>
            <w:pPr>
              <w:pStyle w:val="Normal6a"/>
            </w:pPr>
            <w:r>
              <w:t>6.</w:t>
            </w:r>
            <w:r>
              <w:tab/>
            </w:r>
            <w:r>
              <w:t xml:space="preserve">esorta a compiere sforzi per </w:t>
            </w:r>
            <w:r>
              <w:rPr>
                <w:b/>
                <w:i/>
              </w:rPr>
              <w:t>accelerale la cessione</w:t>
            </w:r>
            <w:r>
              <w:t xml:space="preserve"> di terreni edificabili, in particolare nelle zone densamente popolate; invita gli enti pubblici competenti a mobilitare i terreni di proprietà pubblica e ad agevolare </w:t>
            </w:r>
            <w:r>
              <w:rPr>
                <w:b/>
                <w:i/>
              </w:rPr>
              <w:t>e velocizzare</w:t>
            </w:r>
            <w:r>
              <w:t xml:space="preserve"> le procedure di lottizzazione per la costruzione di alloggi sociali</w:t>
            </w:r>
            <w:r>
              <w:rPr>
                <w:b/>
                <w:i/>
              </w:rPr>
              <w:t>, accessibili</w:t>
            </w:r>
            <w:r>
              <w:t xml:space="preserve"> e a prezzi </w:t>
            </w:r>
            <w:r>
              <w:rPr>
                <w:b/>
                <w:i/>
              </w:rPr>
              <w:t>abbordabili</w:t>
            </w:r>
            <w:r>
              <w:t xml:space="preserve">; invita gli Stati membri </w:t>
            </w:r>
            <w:r>
              <w:rPr>
                <w:b/>
                <w:i/>
              </w:rPr>
              <w:t>e gli enti regionali e locali</w:t>
            </w:r>
            <w:r>
              <w:t xml:space="preserve"> ad adottare approcci integrati per conciliare gli obiettivi ambientali ed economici; </w:t>
            </w:r>
            <w:r>
              <w:rPr>
                <w:b/>
                <w:i/>
              </w:rPr>
              <w:t>chiede urgentemente soluzioni che garantiscano una maggiore disponibilità di alloggi protetti e alloggi a prezzi accessibili;</w:t>
            </w:r>
            <w:r>
              <w:t xml:space="preserve"> </w:t>
            </w:r>
            <w:r>
              <w:rPr>
                <w:b/>
                <w:i/>
              </w:rPr>
              <w:t>ritiene che, nelle regioni insulari soggette a regimi di protezione elevati, occorrerebbe introdurre compensazioni che permettano di aumentare la capacità di conversione e rendano ammissibili i costi reali di costruzione, tenendo conto del loro particolare aumento in determinate zone;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724</w:t>
      </w:r>
      <w:r>
        <w:rPr>
          <w:rStyle w:val="HideTWBExt"/>
        </w:rPr>
        <w:t>&lt;/NumAm&gt;</w:t>
      </w:r>
    </w:p>
    <w:p>
      <w:pPr>
        <w:pStyle w:val="NormalBold"/>
      </w:pPr>
      <w:r>
        <w:rPr>
          <w:rStyle w:val="HideTWBExt"/>
          <w:b w:val="0"/>
        </w:rPr>
        <w:t>&lt;RepeatBlock-By&gt;</w:t>
      </w:r>
      <w:r>
        <w:rPr>
          <w:rStyle w:val="HideTWBExt"/>
          <w:b w:val="0"/>
        </w:rPr>
        <w:t>&lt;Members&gt;</w:t>
      </w:r>
      <w:r>
        <w:t>Aodhán Ó Ríordáin, Andreas Schieder, Gabriele Bischoff, Alicia Homs Ginel, Marit Maij, Nora Mebarek, Isilda Gomes, Joanna Scheuring-Wielgus, Yannis Maniatis,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esorta a compiere sforzi per migliorare la disponibilità di terreni edificabili, in particolare nelle zone densamente popolate; invita gli enti pubblici competenti a mobilitare </w:t>
            </w:r>
            <w:r>
              <w:rPr>
                <w:b/>
                <w:i/>
              </w:rPr>
              <w:t>i</w:t>
            </w:r>
            <w:r>
              <w:t xml:space="preserve"> terreni di proprietà pubblica </w:t>
            </w:r>
            <w:r>
              <w:rPr>
                <w:b/>
                <w:i/>
              </w:rPr>
              <w:t>e ad agevolare le procedure di lottizzazione</w:t>
            </w:r>
            <w:r>
              <w:t xml:space="preserve"> per la costruzione di alloggi sociali </w:t>
            </w:r>
            <w:r>
              <w:rPr>
                <w:b/>
                <w:i/>
              </w:rPr>
              <w:t>e</w:t>
            </w:r>
            <w:r>
              <w:t xml:space="preserve"> a prezzi accessibili</w:t>
            </w:r>
            <w:r>
              <w:rPr>
                <w:b/>
                <w:i/>
              </w:rPr>
              <w:t>;</w:t>
            </w:r>
            <w:r>
              <w:t xml:space="preserve"> </w:t>
            </w:r>
            <w:r>
              <w:rPr>
                <w:b/>
                <w:i/>
              </w:rPr>
              <w:t>invita gli Stati membri ad adottare approcci integrati per conciliare</w:t>
            </w:r>
            <w:r>
              <w:t xml:space="preserve"> gli obiettivi </w:t>
            </w:r>
            <w:r>
              <w:rPr>
                <w:b/>
                <w:i/>
              </w:rPr>
              <w:t>ambientali ed economici</w:t>
            </w:r>
            <w:r>
              <w:t>;</w:t>
            </w:r>
          </w:p>
        </w:tc>
        <w:tc>
          <w:tcPr>
            <w:tcW w:w="4876" w:type="dxa"/>
            <w:tcBorders>
              <w:top w:val="nil"/>
              <w:left w:val="nil"/>
              <w:bottom w:val="nil"/>
              <w:right w:val="nil"/>
            </w:tcBorders>
          </w:tcPr>
          <w:p>
            <w:pPr>
              <w:pStyle w:val="Normal6a"/>
            </w:pPr>
            <w:r>
              <w:t>6.</w:t>
            </w:r>
            <w:r>
              <w:tab/>
            </w:r>
            <w:r>
              <w:t>esorta a compiere sforzi per migliorare la disponibilità di terreni edificabili, in particolare nelle zone densamente popolate; invita gli enti pubblici competenti a mobilitare terreni di proprietà pubblica per la costruzione di alloggi sociali</w:t>
            </w:r>
            <w:r>
              <w:rPr>
                <w:b/>
                <w:i/>
              </w:rPr>
              <w:t>,</w:t>
            </w:r>
            <w:r>
              <w:t xml:space="preserve"> a prezzi accessibili</w:t>
            </w:r>
            <w:r>
              <w:rPr>
                <w:b/>
                <w:i/>
              </w:rPr>
              <w:t>, cooperativi e senza scopo di lucro, garantendo che gli alloggi finanziati con fondi pubblici rimangano sotto la gestione pubblica a tempo indeterminato e siano protetti da future vendite e privatizzazioni;</w:t>
            </w:r>
            <w:r>
              <w:t xml:space="preserve"> </w:t>
            </w:r>
            <w:r>
              <w:rPr>
                <w:b/>
                <w:i/>
              </w:rPr>
              <w:t>sottolinea che qualsiasi strategia per l'uso del suolo deve trovare un equilibrio tra esigenze abitative, protezione dell'ambiente e norme edilizie di alta qualità, in linea con</w:t>
            </w:r>
            <w:r>
              <w:t xml:space="preserve"> gli obiettivi </w:t>
            </w:r>
            <w:r>
              <w:rPr>
                <w:b/>
                <w:i/>
              </w:rPr>
              <w:t>del Green Deal</w:t>
            </w:r>
            <w:r>
              <w:t xml:space="preserve">; </w:t>
            </w:r>
            <w:r>
              <w:rPr>
                <w:b/>
                <w:i/>
              </w:rPr>
              <w:t>evidenzia che gli sviluppi in materia di alloggi devono sempre essere parte integrante di strategie di sviluppo urbano più ampie, compreso lo sviluppo di infrastrutture pubbliche, al fine di garantire la coesione sociale e prevenire la segregazione socioeconomica;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725</w:t>
      </w:r>
      <w:r>
        <w:rPr>
          <w:rStyle w:val="HideTWBExt"/>
        </w:rPr>
        <w:t>&lt;/NumAm&gt;</w:t>
      </w:r>
    </w:p>
    <w:p>
      <w:pPr>
        <w:pStyle w:val="NormalBold"/>
      </w:pPr>
      <w:r>
        <w:rPr>
          <w:rStyle w:val="HideTWBExt"/>
          <w:b w:val="0"/>
        </w:rPr>
        <w:t>&lt;RepeatBlock-By&gt;</w:t>
      </w:r>
      <w:r>
        <w:rPr>
          <w:rStyle w:val="HideTWBExt"/>
          <w:b w:val="0"/>
        </w:rPr>
        <w:t>&lt;Members&gt;</w:t>
      </w:r>
      <w:r>
        <w:t>Georgiana Teodorescu, Antonella Sberna, Lara Magoni, Alessandro Ciriani, Nora Junco García, Francesco Ventola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esorta a compiere sforzi per migliorare la disponibilità di terreni edificabili, in particolare nelle zone densamente popolate; invita gli enti pubblici competenti a mobilitare i terreni di proprietà pubblica e ad agevolare le procedure di lottizzazione per la costruzione di alloggi sociali e a prezzi accessibili; invita gli Stati membri ad adottare approcci integrati per conciliare gli obiettivi ambientali ed economici;</w:t>
            </w:r>
          </w:p>
        </w:tc>
        <w:tc>
          <w:tcPr>
            <w:tcW w:w="4876" w:type="dxa"/>
            <w:tcBorders>
              <w:top w:val="nil"/>
              <w:left w:val="nil"/>
              <w:bottom w:val="nil"/>
              <w:right w:val="nil"/>
            </w:tcBorders>
          </w:tcPr>
          <w:p>
            <w:pPr>
              <w:pStyle w:val="Normal6a"/>
            </w:pPr>
            <w:r>
              <w:t>6.</w:t>
            </w:r>
            <w:r>
              <w:tab/>
            </w:r>
            <w:r>
              <w:t xml:space="preserve">esorta a compiere sforzi per migliorare la disponibilità di terreni edificabili, in particolare nelle zone densamente popolate; invita gli enti pubblici competenti a mobilitare i terreni di proprietà pubblica e ad agevolare le procedure di lottizzazione per la costruzione di alloggi sociali e a prezzi accessibili; </w:t>
            </w:r>
            <w:r>
              <w:rPr>
                <w:b/>
                <w:i/>
              </w:rPr>
              <w:t>osserva che la capacità abitativa può essere aumentata anche grazie a un migliore utilizzo dell'ambiente edificato già esistente evitando un ulteriore consumo di suolo, in particolare attraverso lo sviluppo verticale, la riqualificazione di edifici abbandonati e la riconversione di edifici esistenti, in particolare quelli situati nei centri storici e nelle periferie, che possono fornire milioni di nuove abitazioni;</w:t>
            </w:r>
            <w:r>
              <w:t xml:space="preserve"> invita gli Stati membri ad adottare approcci integrati per conciliare gli obiettivi ambientali ed economici;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726</w:t>
      </w:r>
      <w:r>
        <w:rPr>
          <w:rStyle w:val="HideTWBExt"/>
        </w:rPr>
        <w:t>&lt;/NumAm&gt;</w:t>
      </w:r>
    </w:p>
    <w:p>
      <w:pPr>
        <w:pStyle w:val="NormalBold"/>
      </w:pPr>
      <w:r>
        <w:rPr>
          <w:rStyle w:val="HideTWBExt"/>
          <w:b w:val="0"/>
        </w:rPr>
        <w:t>&lt;RepeatBlock-By&gt;</w:t>
      </w:r>
      <w:r>
        <w:rPr>
          <w:rStyle w:val="HideTWBExt"/>
          <w:b w:val="0"/>
        </w:rPr>
        <w:t>&lt;Members&gt;</w:t>
      </w:r>
      <w:r>
        <w:t>Klara Dostalova, Julie Rechagneux, Ondřej Knotek, Jorge Buxadé Villalba, Jaroslav Bžoch, Rachel Blom, 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esorta a compiere sforzi per migliorare la disponibilità di terreni edificabili, in particolare nelle zone densamente popolate; invita gli enti pubblici competenti a mobilitare i terreni di proprietà pubblica e ad agevolare le procedure di lottizzazione per la costruzione di alloggi sociali e a prezzi accessibili; </w:t>
            </w:r>
            <w:r>
              <w:rPr>
                <w:b/>
                <w:i/>
              </w:rPr>
              <w:t>invita gli</w:t>
            </w:r>
            <w:r>
              <w:t xml:space="preserve"> Stati membri </w:t>
            </w:r>
            <w:r>
              <w:rPr>
                <w:b/>
                <w:i/>
              </w:rPr>
              <w:t>ad adottare approcci integrati per conciliare gli obiettivi ambientali ed economici</w:t>
            </w:r>
            <w:r>
              <w:t>;</w:t>
            </w:r>
          </w:p>
        </w:tc>
        <w:tc>
          <w:tcPr>
            <w:tcW w:w="4876" w:type="dxa"/>
            <w:tcBorders>
              <w:top w:val="nil"/>
              <w:left w:val="nil"/>
              <w:bottom w:val="nil"/>
              <w:right w:val="nil"/>
            </w:tcBorders>
          </w:tcPr>
          <w:p>
            <w:pPr>
              <w:pStyle w:val="Normal6a"/>
            </w:pPr>
            <w:r>
              <w:t>6.</w:t>
            </w:r>
            <w:r>
              <w:tab/>
            </w:r>
            <w:r>
              <w:t xml:space="preserve">esorta a compiere sforzi per migliorare la disponibilità di terreni edificabili, in particolare nelle zone densamente popolate; invita gli enti pubblici competenti a mobilitare i terreni di proprietà pubblica e ad agevolare le procedure di lottizzazione per la costruzione di alloggi sociali e a prezzi accessibili; </w:t>
            </w:r>
            <w:r>
              <w:rPr>
                <w:b/>
                <w:i/>
              </w:rPr>
              <w:t>sottolinea che le decisioni relative all'uso dei terreni di proprietà pubblica e ai processi di pianificazione devono rimanere di competenza esclusiva degli</w:t>
            </w:r>
            <w:r>
              <w:t xml:space="preserve"> Stati membri </w:t>
            </w:r>
            <w:r>
              <w:rPr>
                <w:b/>
                <w:i/>
              </w:rPr>
              <w:t>e dei comuni, mentre l'Unione deve limitarsi a fornire un quadro di sostegno e assistenza tecnica</w:t>
            </w:r>
            <w:r>
              <w:t xml:space="preserve">; </w:t>
            </w:r>
            <w:r>
              <w:rPr>
                <w:b/>
                <w:i/>
              </w:rPr>
              <w:t>sottolinea che i progetti abitativi su terreni pubblici dovrebbero dare una chiara priorità alle famiglie e ai giovani cittadini degli Stati membri;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727</w:t>
      </w:r>
      <w:r>
        <w:rPr>
          <w:rStyle w:val="HideTWBExt"/>
        </w:rPr>
        <w:t>&lt;/NumAm&gt;</w:t>
      </w:r>
    </w:p>
    <w:p>
      <w:pPr>
        <w:pStyle w:val="NormalBold"/>
      </w:pPr>
      <w:r>
        <w:rPr>
          <w:rStyle w:val="HideTWBExt"/>
          <w:b w:val="0"/>
        </w:rPr>
        <w:t>&lt;RepeatBlock-By&gt;</w:t>
      </w:r>
      <w:r>
        <w:rPr>
          <w:rStyle w:val="HideTWBExt"/>
          <w:b w:val="0"/>
        </w:rPr>
        <w:t>&lt;Members&gt;</w:t>
      </w:r>
      <w:r>
        <w:t>Ciaran Mullooly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esorta a compiere sforzi per migliorare la disponibilità di terreni edificabili, in particolare nelle zone densamente popolate; invita gli enti pubblici competenti a mobilitare i terreni di proprietà pubblica e ad agevolare le procedure di lottizzazione per la costruzione di alloggi sociali e a prezzi accessibili; invita gli Stati membri ad adottare approcci integrati per conciliare gli obiettivi ambientali ed economici;</w:t>
            </w:r>
          </w:p>
        </w:tc>
        <w:tc>
          <w:tcPr>
            <w:tcW w:w="4876" w:type="dxa"/>
            <w:tcBorders>
              <w:top w:val="nil"/>
              <w:left w:val="nil"/>
              <w:bottom w:val="nil"/>
              <w:right w:val="nil"/>
            </w:tcBorders>
          </w:tcPr>
          <w:p>
            <w:pPr>
              <w:pStyle w:val="Normal6a"/>
            </w:pPr>
            <w:r>
              <w:t>6.</w:t>
            </w:r>
            <w:r>
              <w:tab/>
            </w:r>
            <w:r>
              <w:t xml:space="preserve">esorta a compiere sforzi per migliorare la disponibilità di terreni edificabili, in particolare nelle zone densamente popolate; invita gli enti pubblici competenti a mobilitare i terreni di proprietà pubblica e ad agevolare le procedure di lottizzazione per la costruzione di alloggi sociali e a prezzi accessibili; invita gli Stati membri ad adottare approcci integrati per conciliare gli obiettivi ambientali ed economici; </w:t>
            </w:r>
            <w:r>
              <w:rPr>
                <w:b/>
                <w:i/>
              </w:rPr>
              <w:t>invita gli Stati membri a rivedere le norme in materia di zonizzazione e a riclassificare i terreni pronti per accogliere infrastrutture affinché possano essere immediatamente sviluppati, al fine di accelerare la fornitura di alloggi;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728</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esorta a compiere sforzi per migliorare la disponibilità di terreni edificabili, in particolare nelle zone densamente popolate; invita gli enti pubblici competenti a mobilitare i terreni di proprietà pubblica e ad agevolare le procedure di lottizzazione per la costruzione di alloggi sociali e a prezzi accessibili; invita gli Stati membri ad adottare approcci integrati per conciliare gli obiettivi ambientali ed economici;</w:t>
            </w:r>
          </w:p>
        </w:tc>
        <w:tc>
          <w:tcPr>
            <w:tcW w:w="4876" w:type="dxa"/>
            <w:tcBorders>
              <w:top w:val="nil"/>
              <w:left w:val="nil"/>
              <w:bottom w:val="nil"/>
              <w:right w:val="nil"/>
            </w:tcBorders>
          </w:tcPr>
          <w:p>
            <w:pPr>
              <w:pStyle w:val="Normal6a"/>
            </w:pPr>
            <w:r>
              <w:t>6.</w:t>
            </w:r>
            <w:r>
              <w:tab/>
            </w:r>
            <w:r>
              <w:t>esorta a compiere sforzi per migliorare la disponibilità di terreni edificabili, in particolare nelle zone densamente popolate</w:t>
            </w:r>
            <w:r>
              <w:rPr>
                <w:b/>
                <w:i/>
              </w:rPr>
              <w:t>;</w:t>
            </w:r>
            <w:r>
              <w:t xml:space="preserve"> </w:t>
            </w:r>
            <w:r>
              <w:rPr>
                <w:b/>
                <w:i/>
              </w:rPr>
              <w:t>mette in evidenza il valore aggiunto derivante dall'applicazione di pratiche edilizie innovative, come la costruzione leggera in sopraelevazione nelle aree urbane, al fine di massimizzare lo spazio edificabile</w:t>
            </w:r>
            <w:r>
              <w:t>; invita gli enti pubblici competenti a mobilitare i terreni di proprietà pubblica e ad agevolare le procedure di lottizzazione per la costruzione di alloggi sociali e a prezzi accessibili; invita gli Stati membri ad adottare approcci integrati per conciliare gli obiettivi ambientali ed economici;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729</w:t>
      </w:r>
      <w:r>
        <w:rPr>
          <w:rStyle w:val="HideTWBExt"/>
        </w:rPr>
        <w:t>&lt;/NumAm&gt;</w:t>
      </w:r>
    </w:p>
    <w:p>
      <w:pPr>
        <w:pStyle w:val="NormalBold"/>
      </w:pPr>
      <w:r>
        <w:rPr>
          <w:rStyle w:val="HideTWBExt"/>
          <w:b w:val="0"/>
        </w:rPr>
        <w:t>&lt;RepeatBlock-By&gt;</w:t>
      </w:r>
      <w:r>
        <w:rPr>
          <w:rStyle w:val="HideTWBExt"/>
          <w:b w:val="0"/>
        </w:rPr>
        <w:t>&lt;Members&gt;</w:t>
      </w:r>
      <w:r>
        <w:t>Martin Hojsík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esorta a compiere sforzi per migliorare la disponibilità di terreni edificabili, in particolare nelle zone densamente popolate; invita gli enti pubblici competenti a mobilitare i terreni di proprietà pubblica e ad agevolare le procedure di lottizzazione per la costruzione di alloggi sociali e a prezzi accessibili; invita gli Stati membri ad adottare approcci integrati </w:t>
            </w:r>
            <w:r>
              <w:rPr>
                <w:b/>
                <w:i/>
              </w:rPr>
              <w:t>per conciliare</w:t>
            </w:r>
            <w:r>
              <w:t xml:space="preserve"> gli obiettivi ambientali </w:t>
            </w:r>
            <w:r>
              <w:rPr>
                <w:b/>
                <w:i/>
              </w:rPr>
              <w:t>ed economici</w:t>
            </w:r>
            <w:r>
              <w:t>;</w:t>
            </w:r>
          </w:p>
        </w:tc>
        <w:tc>
          <w:tcPr>
            <w:tcW w:w="4876" w:type="dxa"/>
            <w:tcBorders>
              <w:top w:val="nil"/>
              <w:left w:val="nil"/>
              <w:bottom w:val="nil"/>
              <w:right w:val="nil"/>
            </w:tcBorders>
          </w:tcPr>
          <w:p>
            <w:pPr>
              <w:pStyle w:val="Normal6a"/>
            </w:pPr>
            <w:r>
              <w:t>6.</w:t>
            </w:r>
            <w:r>
              <w:tab/>
            </w:r>
            <w:r>
              <w:t xml:space="preserve">esorta a compiere sforzi per migliorare la disponibilità di terreni edificabili </w:t>
            </w:r>
            <w:r>
              <w:rPr>
                <w:b/>
                <w:i/>
              </w:rPr>
              <w:t>in modo sostenibile</w:t>
            </w:r>
            <w:r>
              <w:t xml:space="preserve">, in particolare nelle zone densamente popolate; invita gli enti pubblici competenti a mobilitare i terreni di proprietà pubblica e ad agevolare le procedure di lottizzazione per la costruzione di alloggi sociali e a prezzi accessibili; invita gli Stati membri </w:t>
            </w:r>
            <w:r>
              <w:rPr>
                <w:b/>
                <w:i/>
              </w:rPr>
              <w:t>e gli enti locali e regionali</w:t>
            </w:r>
            <w:r>
              <w:t xml:space="preserve"> ad adottare approcci integrati </w:t>
            </w:r>
            <w:r>
              <w:rPr>
                <w:b/>
                <w:i/>
              </w:rPr>
              <w:t>che garantiscano la coerenza tra i progetti di costruzione e</w:t>
            </w:r>
            <w:r>
              <w:t xml:space="preserve"> gli obiettivi ambientali </w:t>
            </w:r>
            <w:r>
              <w:rPr>
                <w:b/>
                <w:i/>
              </w:rPr>
              <w:t>e sociali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730</w:t>
      </w:r>
      <w:r>
        <w:rPr>
          <w:rStyle w:val="HideTWBExt"/>
        </w:rPr>
        <w:t>&lt;/NumAm&gt;</w:t>
      </w:r>
    </w:p>
    <w:p>
      <w:pPr>
        <w:pStyle w:val="NormalBold"/>
      </w:pPr>
      <w:r>
        <w:rPr>
          <w:rStyle w:val="HideTWBExt"/>
          <w:b w:val="0"/>
        </w:rPr>
        <w:t>&lt;RepeatBlock-By&gt;</w:t>
      </w:r>
      <w:r>
        <w:rPr>
          <w:rStyle w:val="HideTWBExt"/>
          <w:b w:val="0"/>
        </w:rPr>
        <w:t>&lt;Members&gt;</w:t>
      </w:r>
      <w:r>
        <w:t>Brigitte van den Berg, Barry Cowen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esorta a compiere sforzi per migliorare la disponibilità di terreni edificabili, in particolare nelle zone densamente popolate; invita gli enti pubblici competenti a mobilitare i terreni di proprietà pubblica e ad agevolare le procedure di lottizzazione per la costruzione di alloggi sociali e a prezzi accessibili; invita gli Stati membri ad adottare approcci integrati </w:t>
            </w:r>
            <w:r>
              <w:rPr>
                <w:b/>
                <w:i/>
              </w:rPr>
              <w:t>per conciliare</w:t>
            </w:r>
            <w:r>
              <w:t xml:space="preserve"> gli obiettivi ambientali </w:t>
            </w:r>
            <w:r>
              <w:rPr>
                <w:b/>
                <w:i/>
              </w:rPr>
              <w:t>ed economici</w:t>
            </w:r>
            <w:r>
              <w:t>;</w:t>
            </w:r>
          </w:p>
        </w:tc>
        <w:tc>
          <w:tcPr>
            <w:tcW w:w="4876" w:type="dxa"/>
            <w:tcBorders>
              <w:top w:val="nil"/>
              <w:left w:val="nil"/>
              <w:bottom w:val="nil"/>
              <w:right w:val="nil"/>
            </w:tcBorders>
          </w:tcPr>
          <w:p>
            <w:pPr>
              <w:pStyle w:val="Normal6a"/>
            </w:pPr>
            <w:r>
              <w:t>6.</w:t>
            </w:r>
            <w:r>
              <w:tab/>
            </w:r>
            <w:r>
              <w:t xml:space="preserve">esorta a compiere sforzi per migliorare la disponibilità di terreni edificabili, in particolare nelle zone densamente popolate; invita gli enti pubblici competenti a mobilitare i terreni di proprietà pubblica e ad agevolare le procedure di lottizzazione per la costruzione di alloggi sociali e a prezzi accessibili; invita gli Stati membri </w:t>
            </w:r>
            <w:r>
              <w:rPr>
                <w:b/>
                <w:i/>
              </w:rPr>
              <w:t>e gli enti regionali</w:t>
            </w:r>
            <w:r>
              <w:t xml:space="preserve"> ad adottare approcci integrati </w:t>
            </w:r>
            <w:r>
              <w:rPr>
                <w:b/>
                <w:i/>
              </w:rPr>
              <w:t>che garantiscano la coerenza tra i progetti di costruzione e</w:t>
            </w:r>
            <w:r>
              <w:t xml:space="preserve"> gli obiettivi ambientali;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731</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Pedullà</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esorta a compiere sforzi </w:t>
            </w:r>
            <w:r>
              <w:rPr>
                <w:b/>
                <w:i/>
              </w:rPr>
              <w:t>per migliorare la disponibilità di terreni edificabili</w:t>
            </w:r>
            <w:r>
              <w:t xml:space="preserve">, in particolare nelle zone densamente popolate; </w:t>
            </w:r>
            <w:r>
              <w:rPr>
                <w:b/>
                <w:i/>
              </w:rPr>
              <w:t>invita</w:t>
            </w:r>
            <w:r>
              <w:t xml:space="preserve"> gli enti pubblici competenti a mobilitare </w:t>
            </w:r>
            <w:r>
              <w:rPr>
                <w:b/>
                <w:i/>
              </w:rPr>
              <w:t>i terreni di proprietà pubblica</w:t>
            </w:r>
            <w:r>
              <w:t xml:space="preserve"> e ad agevolare </w:t>
            </w:r>
            <w:r>
              <w:rPr>
                <w:b/>
                <w:i/>
              </w:rPr>
              <w:t>le procedure di lottizzazione per la costruzione di</w:t>
            </w:r>
            <w:r>
              <w:t xml:space="preserve"> alloggi </w:t>
            </w:r>
            <w:r>
              <w:rPr>
                <w:b/>
                <w:i/>
              </w:rPr>
              <w:t>sociali e a prezzi accessibili</w:t>
            </w:r>
            <w:r>
              <w:t xml:space="preserve">; invita gli Stati membri ad adottare approcci integrati </w:t>
            </w:r>
            <w:r>
              <w:rPr>
                <w:b/>
                <w:i/>
              </w:rPr>
              <w:t>per conciliare</w:t>
            </w:r>
            <w:r>
              <w:t xml:space="preserve"> gli obiettivi ambientali </w:t>
            </w:r>
            <w:r>
              <w:rPr>
                <w:b/>
                <w:i/>
              </w:rPr>
              <w:t>ed economici</w:t>
            </w:r>
            <w:r>
              <w:t>;</w:t>
            </w:r>
          </w:p>
        </w:tc>
        <w:tc>
          <w:tcPr>
            <w:tcW w:w="4876" w:type="dxa"/>
            <w:tcBorders>
              <w:top w:val="nil"/>
              <w:left w:val="nil"/>
              <w:bottom w:val="nil"/>
              <w:right w:val="nil"/>
            </w:tcBorders>
          </w:tcPr>
          <w:p>
            <w:pPr>
              <w:pStyle w:val="Normal6a"/>
            </w:pPr>
            <w:r>
              <w:t>6.</w:t>
            </w:r>
            <w:r>
              <w:tab/>
            </w:r>
            <w:r>
              <w:t xml:space="preserve">esorta a compiere sforzi </w:t>
            </w:r>
            <w:r>
              <w:rPr>
                <w:b/>
                <w:i/>
              </w:rPr>
              <w:t>affinché un maggior numero di alloggi vacanti sia reso disponibile per la locazione o l'acquisto da parte di singoli individui</w:t>
            </w:r>
            <w:r>
              <w:t xml:space="preserve">, in particolare nelle zone densamente popolate; </w:t>
            </w:r>
            <w:r>
              <w:rPr>
                <w:b/>
                <w:i/>
              </w:rPr>
              <w:t>esorta</w:t>
            </w:r>
            <w:r>
              <w:t xml:space="preserve"> gli enti pubblici competenti a mobilitare </w:t>
            </w:r>
            <w:r>
              <w:rPr>
                <w:b/>
                <w:i/>
              </w:rPr>
              <w:t>gli alloggi non occupati che vengono deliberatamente mantenuti vacanti dai proprietari</w:t>
            </w:r>
            <w:r>
              <w:t xml:space="preserve"> e ad agevolare </w:t>
            </w:r>
            <w:r>
              <w:rPr>
                <w:b/>
                <w:i/>
              </w:rPr>
              <w:t>il processo di ristrutturazione degli</w:t>
            </w:r>
            <w:r>
              <w:t xml:space="preserve"> alloggi </w:t>
            </w:r>
            <w:r>
              <w:rPr>
                <w:b/>
                <w:i/>
              </w:rPr>
              <w:t>pubblici e privati</w:t>
            </w:r>
            <w:r>
              <w:t xml:space="preserve">; invita gli Stati membri ad adottare approcci integrati </w:t>
            </w:r>
            <w:r>
              <w:rPr>
                <w:b/>
                <w:i/>
              </w:rPr>
              <w:t>che rispettino</w:t>
            </w:r>
            <w:r>
              <w:t xml:space="preserve"> gli obiettivi ambientali;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732</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esorta a compiere sforzi per migliorare la disponibilità di terreni edificabili, in particolare nelle zone densamente popolate; invita gli enti pubblici competenti a mobilitare i terreni di proprietà pubblica e ad agevolare le procedure di lottizzazione per la costruzione di alloggi sociali e a prezzi accessibili; invita gli Stati membri ad adottare approcci integrati per conciliare gli obiettivi ambientali ed economici;</w:t>
            </w:r>
          </w:p>
        </w:tc>
        <w:tc>
          <w:tcPr>
            <w:tcW w:w="4876" w:type="dxa"/>
            <w:tcBorders>
              <w:top w:val="nil"/>
              <w:left w:val="nil"/>
              <w:bottom w:val="nil"/>
              <w:right w:val="nil"/>
            </w:tcBorders>
          </w:tcPr>
          <w:p>
            <w:pPr>
              <w:pStyle w:val="Normal6a"/>
            </w:pPr>
            <w:r>
              <w:t>6.</w:t>
            </w:r>
            <w:r>
              <w:tab/>
            </w:r>
            <w:r>
              <w:t xml:space="preserve">esorta a compiere sforzi per migliorare la disponibilità di terreni edificabili, in particolare nelle zone densamente popolate; invita gli enti pubblici competenti a mobilitare i terreni di proprietà pubblica e ad agevolare le procedure di lottizzazione per la costruzione di alloggi sociali e a prezzi accessibili; invita gli Stati membri ad adottare approcci integrati per </w:t>
            </w:r>
            <w:r>
              <w:rPr>
                <w:b/>
                <w:i/>
              </w:rPr>
              <w:t>razionalizzare le procedure e</w:t>
            </w:r>
            <w:r>
              <w:t xml:space="preserve"> conciliare </w:t>
            </w:r>
            <w:r>
              <w:rPr>
                <w:b/>
                <w:i/>
              </w:rPr>
              <w:t>nel contempo</w:t>
            </w:r>
            <w:r>
              <w:t xml:space="preserve"> gli obiettivi ambientali ed economici;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733</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bis.</w:t>
            </w:r>
            <w:r>
              <w:tab/>
            </w:r>
            <w:r>
              <w:rPr>
                <w:b/>
                <w:i/>
              </w:rPr>
              <w:t>deplora vivamente i metodi utilizzati dalle imprese di investimento, che alimentano la speculazione acquistando terreni al loro valore agricolo (anziché urbano), ricevendo, in alcuni casi, anche sovvenzioni pubbliche, esercitando pressioni perché vengano prese decisioni in merito alla conversione d'uso dei terreni, così da costruire nuove unità abitative, e traendone profitto;</w:t>
            </w:r>
            <w:r>
              <w:t xml:space="preserve"> </w:t>
            </w:r>
            <w:r>
              <w:rPr>
                <w:b/>
                <w:i/>
              </w:rPr>
              <w:t>ritiene che tale questione debba essere attentamente monitorata e regolamentata, al fine di prevenire casi simili e salvaguardare l'interesse pubblico;</w:t>
            </w:r>
            <w:r>
              <w:t xml:space="preserve"> </w:t>
            </w:r>
            <w:r>
              <w:rPr>
                <w:b/>
                <w:i/>
              </w:rPr>
              <w:t>ritiene inoltre che, nelle zone soggette a tensione abitativa, i terreni già destinati allo sviluppo di alloggi residenziali dovrebbero essere riservati esclusivamente ad alloggi sociali e a prezzi accessibili, al fine di prevenirne l'uso speculativo e garantirne l'accessibilità economica strutturale a lungo termine;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734</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Pedullà</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bis.</w:t>
            </w:r>
            <w:r>
              <w:tab/>
            </w:r>
            <w:r>
              <w:rPr>
                <w:b/>
                <w:i/>
              </w:rPr>
              <w:t>esprime preoccupazione in merito alla costruzione di alberghi e alloggi di lusso nelle zone costiere e fortemente turistiche, segnalando che tali progetti contribuiscono alla turistificazione, allo spostamento dei residenti locali e all'aumento dei costi degli alloggi;</w:t>
            </w:r>
            <w:r>
              <w:t xml:space="preserve"> </w:t>
            </w:r>
            <w:r>
              <w:rPr>
                <w:b/>
                <w:i/>
              </w:rPr>
              <w:t>invita gli Stati membri ad attuare normative che diano priorità alle comunità locali, agli alloggi a prezzi accessibili e allo sviluppo del turismo sostenibile;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735</w:t>
      </w:r>
      <w:r>
        <w:rPr>
          <w:rStyle w:val="HideTWBExt"/>
        </w:rPr>
        <w:t>&lt;/NumAm&gt;</w:t>
      </w:r>
    </w:p>
    <w:p>
      <w:pPr>
        <w:pStyle w:val="NormalBold"/>
      </w:pPr>
      <w:r>
        <w:rPr>
          <w:rStyle w:val="HideTWBExt"/>
          <w:b w:val="0"/>
        </w:rPr>
        <w:t>&lt;RepeatBlock-By&gt;</w:t>
      </w:r>
      <w:r>
        <w:rPr>
          <w:rStyle w:val="HideTWBExt"/>
          <w:b w:val="0"/>
        </w:rPr>
        <w:t>&lt;Members&gt;</w:t>
      </w:r>
      <w:r>
        <w:t>Martin Hojsík, Brigitte van den 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bis.</w:t>
            </w:r>
            <w:r>
              <w:tab/>
            </w:r>
            <w:r>
              <w:rPr>
                <w:b/>
                <w:i/>
              </w:rPr>
              <w:t>sottolinea che le aree dismesse rappresentano un'ulteriore riserva di terreni urbani potenzialmente sviluppabili;</w:t>
            </w:r>
            <w:r>
              <w:t xml:space="preserve"> </w:t>
            </w:r>
            <w:r>
              <w:rPr>
                <w:b/>
                <w:i/>
              </w:rPr>
              <w:t>invita gli Stati membri a mappare le aree dismesse presenti sul loro territorio che potrebbero essere trasformate in alloggi e a introdurre un "passaporto delle aree dismesse" che definisca le condizioni alle quali tali aree possono essere automaticamente trasformate in aree destinate allo sviluppo di alloggi nei piani urbanistici;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736</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bis.</w:t>
            </w:r>
            <w:r>
              <w:tab/>
            </w:r>
            <w:r>
              <w:rPr>
                <w:b/>
                <w:i/>
              </w:rPr>
              <w:t>invita la Commissione a modificare la direttiva quadro sulle acque, consentendo un deterioramento temporaneo della qualità delle acque dovuto allo spostamento, a condizione che gli obiettivi della direttiva quadro sulle acque non siano compromessi, al fine di prevenire ulteriori pressioni sulle procedure di rilascio delle autorizzazioni per gli alloggi;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737</w:t>
      </w:r>
      <w:r>
        <w:rPr>
          <w:rStyle w:val="HideTWBExt"/>
        </w:rPr>
        <w:t>&lt;/NumAm&gt;</w:t>
      </w:r>
    </w:p>
    <w:p>
      <w:pPr>
        <w:pStyle w:val="NormalBold"/>
      </w:pPr>
      <w:r>
        <w:rPr>
          <w:rStyle w:val="HideTWBExt"/>
          <w:b w:val="0"/>
        </w:rPr>
        <w:t>&lt;RepeatBlock-By&gt;</w:t>
      </w:r>
      <w:r>
        <w:rPr>
          <w:rStyle w:val="HideTWBExt"/>
          <w:b w:val="0"/>
        </w:rPr>
        <w:t>&lt;Members&gt;</w:t>
      </w:r>
      <w:r>
        <w:t>Aodhán Ó Ríordáin, Andreas Schieder, Gabriele Bischoff, Alicia Homs Ginel, Marit Maij, Nora Mebarek, Isilda Gomes, Joanna Scheuring-Wielgus, Yannis Maniatis,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bis.</w:t>
            </w:r>
            <w:r>
              <w:tab/>
            </w:r>
            <w:r>
              <w:rPr>
                <w:b/>
                <w:i/>
              </w:rPr>
              <w:t>sottolinea che lo sviluppo di nuovi alloggi dovrebbe dare priorità al riutilizzo e alla rigenerazione di terreni già edificabili o parzialmente edificati, comprese le aree dismesse e le aree urbane sottoutilizzate, piuttosto che all'ulteriore conversione di terreni naturali o agricoli;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738</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Pedullà</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ter.</w:t>
            </w:r>
            <w:r>
              <w:tab/>
            </w:r>
            <w:r>
              <w:rPr>
                <w:b/>
                <w:i/>
              </w:rPr>
              <w:t>sottolinea che le pratiche di investimento speculativo dei grandi proprietari immobiliari e degli attori finanziari contribuiscono all'inaccessibilità economica degli alloggi e allo spostamento dei residenti;</w:t>
            </w:r>
            <w:r>
              <w:t xml:space="preserve"> </w:t>
            </w:r>
            <w:r>
              <w:rPr>
                <w:b/>
                <w:i/>
              </w:rPr>
              <w:t>invita la Commissione a proporre misure che limitino la concentrazione della proprietà immobiliare e a garantire la trasparenza delle strutture di investimento immobiliare, compresi i fondi di investimento e i fondi comuni di investimento immobiliare;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739</w:t>
      </w:r>
      <w:r>
        <w:rPr>
          <w:rStyle w:val="HideTWBExt"/>
        </w:rPr>
        <w:t>&lt;/NumAm&gt;</w:t>
      </w:r>
    </w:p>
    <w:p>
      <w:pPr>
        <w:pStyle w:val="NormalBold"/>
      </w:pPr>
      <w:r>
        <w:rPr>
          <w:rStyle w:val="HideTWBExt"/>
          <w:b w:val="0"/>
        </w:rPr>
        <w:t>&lt;RepeatBlock-By&gt;</w:t>
      </w:r>
      <w:r>
        <w:rPr>
          <w:rStyle w:val="HideTWBExt"/>
          <w:b w:val="0"/>
        </w:rPr>
        <w:t>&lt;Members&gt;</w:t>
      </w:r>
      <w:r>
        <w:t>Aodhán Ó Ríordáin, Andreas Schieder, Gabriele Bischoff, Alicia Homs Ginel, Marit Maij, Nora Mebarek, Isilda Gomes, Joanna Scheuring-Wielgus, Yannis Maniatis,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ter.</w:t>
            </w:r>
            <w:r>
              <w:tab/>
            </w:r>
            <w:r>
              <w:rPr>
                <w:b/>
                <w:i/>
              </w:rPr>
              <w:t>invita la Commissione e gli Stati membri a elaborare e attuare politiche, quadri normativi e strumenti di finanziamento che promuovano attivamente la riqualificazione dei siti abbandonati o sottoutilizzati all'interno dei tessuti urbani esistenti, garantendo nel contempo che tali progetti di rigenerazione contribuiscano all'accessibilità economica, alla sostenibilità ambientale e all'inclusione sociale;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740</w:t>
      </w:r>
      <w:r>
        <w:rPr>
          <w:rStyle w:val="HideTWBExt"/>
        </w:rPr>
        <w:t>&lt;/NumAm&gt;</w:t>
      </w:r>
    </w:p>
    <w:p>
      <w:pPr>
        <w:pStyle w:val="NormalBold"/>
      </w:pPr>
      <w:r>
        <w:rPr>
          <w:rStyle w:val="HideTWBExt"/>
          <w:b w:val="0"/>
        </w:rPr>
        <w:t>&lt;RepeatBlock-By&gt;</w:t>
      </w:r>
      <w:r>
        <w:rPr>
          <w:rStyle w:val="HideTWBExt"/>
          <w:b w:val="0"/>
        </w:rPr>
        <w:t>&lt;Members&gt;</w:t>
      </w:r>
      <w:r>
        <w:t>Aodhán Ó Ríordáin, Andreas Schieder, Gabriele Bischoff, Alicia Homs Ginel, Marit Maij, Nora Mebarek, Isilda Gomes, Joanna Scheuring-Wielgus, Yannis Maniatis,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quater.</w:t>
            </w:r>
            <w:r>
              <w:tab/>
            </w:r>
            <w:r>
              <w:rPr>
                <w:b/>
                <w:i/>
              </w:rPr>
              <w:t>sottolinea che le misure volte a riqualificare i siti abbandonati o sottoutilizzati devono essere integrate da investimenti nei trasporti sostenibili e nelle infrastrutture digitali e sociali, al fine di rafforzare la connettività tra le città di più piccole dimensioni, le zone rurali e i principali centri urbani, fornendo in tal modo un sostegno alle zone interne e riducendo la pressione sul consumo di terreni;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741</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Pedullà</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quater.</w:t>
            </w:r>
            <w:r>
              <w:tab/>
            </w:r>
            <w:r>
              <w:rPr>
                <w:b/>
                <w:i/>
              </w:rPr>
              <w:t>invita gli Stati membri a integrare le valutazioni dei rischi climatici nella pianificazione urbana e rurale, garantendo che le zone più vulnerabili alle catastrofi legate al clima siano considerate prioritarie per le misure di protezione, le infrastrutture resilienti e l'uso sostenibile del suolo;</w:t>
            </w:r>
            <w:r>
              <w:t xml:space="preserve"> </w:t>
            </w:r>
            <w:r>
              <w:rPr>
                <w:b/>
                <w:i/>
              </w:rPr>
              <w:t>evidenzia la necessità di integrare strategie di adattamento e mitigazione in tutti i progetti di sviluppo;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742</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Maravillas Abadía Jover, Regina Doherty,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rPr>
                <w:b/>
                <w:i/>
              </w:rPr>
              <w:t>invita la Commissione a presentare un piano d'azione volto a ridurre drasticamente i tempi di rilascio delle autorizzazioni per gli alloggi, al fine di accelerare la costruzione di abitazioni, e sottolinea che tale piano dovrebbe comprendere una modifica della normativa, l'elaborazione di orientamenti destinati agli Stati membri, il rafforzamento dello scambio di migliori pratiche, l'aggiornamento dello strumento di orientamento online in materia di autorizzazioni per gli Stati membri e la fornitura di assistenza tecnica agli Stati membri;</w:t>
            </w:r>
            <w:r>
              <w:t xml:space="preserve"> 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743</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 </w:t>
            </w:r>
            <w:r>
              <w:rPr>
                <w:b/>
                <w:i/>
              </w:rPr>
              <w:t>chiede una valutazione d'impatto della direttiva sulla valutazione dell'impatto ambientale (2014/52/UE), affinché sia più flessibile e consenta di velocizzare la costruzione e la ristrutturazione di alloggi, con l'obiettivo di ridurre i ritardi nel processo di rilascio delle autorizzazioni e delle licenze e accelerare la costruzione e la trasformazione di alloggi senza compromettere l'elevato livello di protezione ambientale;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744</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Pedullà</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invita gli enti pubblici competenti </w:t>
            </w:r>
            <w:r>
              <w:rPr>
                <w:b/>
                <w:i/>
              </w:rPr>
              <w:t>ad agevolare le</w:t>
            </w:r>
            <w:r>
              <w:t xml:space="preserve"> procedure di autorizzazione </w:t>
            </w:r>
            <w:r>
              <w:rPr>
                <w:b/>
                <w:i/>
              </w:rPr>
              <w:t>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w:t>
            </w:r>
            <w:r>
              <w:t xml:space="preserve">; </w:t>
            </w:r>
            <w:r>
              <w:rPr>
                <w:b/>
                <w:i/>
              </w:rPr>
              <w:t>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t xml:space="preserve">invita gli enti pubblici competenti </w:t>
            </w:r>
            <w:r>
              <w:rPr>
                <w:b/>
                <w:i/>
              </w:rPr>
              <w:t>a includere condizioni sociali e ambientali per garantire l'allineamento delle</w:t>
            </w:r>
            <w:r>
              <w:t xml:space="preserve"> procedure di autorizzazione </w:t>
            </w:r>
            <w:r>
              <w:rPr>
                <w:b/>
                <w:i/>
              </w:rPr>
              <w:t>agli obiettivi dell'Unione europea nel settore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745</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 </w:t>
            </w:r>
            <w:r>
              <w:rPr>
                <w:b/>
                <w:i/>
              </w:rPr>
              <w:t>invita gli Stati membri ad accelerare la digitalizzazione dei processi di pianificazione e rilascio delle autorizzazioni introducendo piattaforme digitali interoperabili che consentano la presentazione, il monitoraggio e l'approvazione in formato elettronico delle domande di costruzione e ristrutturazione;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746</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Alma Ezcurra Almansa,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 </w:t>
            </w:r>
            <w:r>
              <w:rPr>
                <w:b/>
                <w:i/>
              </w:rPr>
              <w:t>è favorevole alla creazione di soluzioni a sportello unico, anche per l'assistenza consultiva, e alla digitalizzazione delle procedure di rilascio delle autorizzazioni, al fine di ridurre la burocrazia, in linea con l'iniziativa "Finanziamenti intelligenti per edifici intelligenti" promossa dalla Commissione;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747</w:t>
      </w:r>
      <w:r>
        <w:rPr>
          <w:rStyle w:val="HideTWBExt"/>
        </w:rPr>
        <w:t>&lt;/NumAm&gt;</w:t>
      </w:r>
    </w:p>
    <w:p>
      <w:pPr>
        <w:pStyle w:val="NormalBold"/>
      </w:pPr>
      <w:r>
        <w:rPr>
          <w:rStyle w:val="HideTWBExt"/>
          <w:b w:val="0"/>
        </w:rPr>
        <w:t>&lt;RepeatBlock-By&gt;</w:t>
      </w:r>
      <w:r>
        <w:rPr>
          <w:rStyle w:val="HideTWBExt"/>
          <w:b w:val="0"/>
        </w:rPr>
        <w:t>&lt;Members&gt;</w:t>
      </w:r>
      <w:r>
        <w:t>Klara Dostalova, Julie Rechagneux, Ondřej Knotek, Jaroslav Bžoch, Rachel Blom, 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w:t>
            </w:r>
            <w:r>
              <w:rPr>
                <w:b/>
                <w:i/>
              </w:rPr>
              <w:t>tranne nei casi di</w:t>
            </w:r>
            <w:r>
              <w:t xml:space="preserve"> protezione </w:t>
            </w:r>
            <w:r>
              <w:rPr>
                <w:b/>
                <w:i/>
              </w:rPr>
              <w:t>ambientale, patrimoniale o storica</w:t>
            </w:r>
            <w:r>
              <w:t xml:space="preserve">; invita la Commissione a </w:t>
            </w:r>
            <w:r>
              <w:rPr>
                <w:b/>
                <w:i/>
              </w:rPr>
              <w:t>pubblicare uno studio che valuti le cause dei tempi eccessivi necessari per ottenere autorizzazioni ed effettuare le procedure per il rilascio di licenze</w:t>
            </w:r>
            <w:r>
              <w:t>;</w:t>
            </w:r>
          </w:p>
        </w:tc>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w:t>
            </w:r>
            <w:r>
              <w:rPr>
                <w:b/>
                <w:i/>
              </w:rPr>
              <w:t>garantendo al contempo che le deroghe relative alla</w:t>
            </w:r>
            <w:r>
              <w:t xml:space="preserve"> protezione </w:t>
            </w:r>
            <w:r>
              <w:rPr>
                <w:b/>
                <w:i/>
              </w:rPr>
              <w:t>dell'ambiente e del patrimonio non possano essere utilizzate in modo improprio per ostacolare indebitamente i progetti abitativi;</w:t>
            </w:r>
            <w:r>
              <w:t xml:space="preserve"> </w:t>
            </w:r>
            <w:r>
              <w:rPr>
                <w:b/>
                <w:i/>
              </w:rPr>
              <w:t>insiste sull'introduzione di termini massimi vincolanti per le autorità preposte al rilascio delle autorizzazioni e sulla piena digitalizzazione delle procedure di rilascio delle autorizzazioni in tutti gli Stati membri</w:t>
            </w:r>
            <w:r>
              <w:t xml:space="preserve">; invita la Commissione a </w:t>
            </w:r>
            <w:r>
              <w:rPr>
                <w:b/>
                <w:i/>
              </w:rPr>
              <w:t>sostenere tali sforzi raccogliendo e diffondendo le migliori pratiche, anziché avviando nuovi studi che ritarderebbero ulteriormente l'attuazione di misure concrete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748</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Markus Ferber, Sebastião Bugalho, Maravillas Abadía Jover, Regina Doherty,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 </w:t>
            </w:r>
            <w:r>
              <w:rPr>
                <w:b/>
                <w:i/>
              </w:rPr>
              <w:t>sottolinea che tali sistemi dovrebbero garantire la trasparenza, ridurre i ritardi amministrativi e agevolare la condivisione dei dati tra autorità locali, sviluppatori e cittadini, nel rispetto delle norme dell'Unione in materia di protezione dei dati;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749</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Markus Ferber, Sebastião Bugalho, Maravillas Abadía Jover, Regina Doherty,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 </w:t>
            </w:r>
            <w:r>
              <w:rPr>
                <w:b/>
                <w:i/>
              </w:rPr>
              <w:t>mette in evidenza la necessità di procedure giudiziarie e sentenze rapide per quanto riguarda il rilascio delle autorizzazioni, la costruzione, i requisiti ambientali e la proprietà, al fine di evitare lunghe controversie legali che ritardano la costruzione di alloggi;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750</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Markus Ferber, Sebastião Bugalho, Maravillas Abadía Jover, Regina Doherty, Alma Ezcurra Almansa, Marco Falcone, Rosa Estaràs Ferragut, Elena Nevado del Campo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 </w:t>
            </w:r>
            <w:r>
              <w:rPr>
                <w:b/>
                <w:i/>
              </w:rPr>
              <w:t>invita la Commissione a valutare in che modo l'Unione possa sostenere gli Stati membri, le regioni e le città nei loro sforzi volti ad accelerare la pianificazione e il rilascio delle autorizzazioni necessarie per fornire alloggi sostenibili e a prezzi accessibili;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751</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Markus Ferber, Sebastião Bugalho, Maravillas Abadía Jover, Regina Doherty,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 </w:t>
            </w:r>
            <w:r>
              <w:rPr>
                <w:b/>
                <w:i/>
              </w:rPr>
              <w:t>chiede l'istituzione di procedure di approvazione accelerate per i progetti abitativi ritenuti fondamentali per far fronte a carenze urgenti, in particolare nei casi in cui la domanda è urgente, come ad esempio nei centri urbani;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752</w:t>
      </w:r>
      <w:r>
        <w:rPr>
          <w:rStyle w:val="HideTWBExt"/>
        </w:rPr>
        <w:t>&lt;/NumAm&gt;</w:t>
      </w:r>
    </w:p>
    <w:p>
      <w:pPr>
        <w:pStyle w:val="NormalBold"/>
      </w:pPr>
      <w:r>
        <w:rPr>
          <w:rStyle w:val="HideTWBExt"/>
          <w:b w:val="0"/>
        </w:rPr>
        <w:t>&lt;RepeatBlock-By&gt;</w:t>
      </w:r>
      <w:r>
        <w:rPr>
          <w:rStyle w:val="HideTWBExt"/>
          <w:b w:val="0"/>
        </w:rPr>
        <w:t>&lt;Members&gt;</w:t>
      </w:r>
      <w:r>
        <w:t>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w:t>
            </w:r>
            <w:r>
              <w:rPr>
                <w:b/>
                <w:i/>
              </w:rPr>
              <w:t>chiede che la normativa in materia di appalti sia modificata al fine di ridurre i termini;</w:t>
            </w:r>
            <w:r>
              <w:t xml:space="preserve"> </w:t>
            </w:r>
            <w:r>
              <w:rPr>
                <w:b/>
                <w:i/>
              </w:rPr>
              <w:t>chiede l'istituzione di una figura di azione prioritaria che consenta l'attivazione di procedure abbreviate;</w:t>
            </w:r>
            <w:r>
              <w:t xml:space="preserve"> invita la Commissione a pubblicare uno studio che valuti le cause dei tempi eccessivi necessari per ottenere autorizzazioni ed effettuare le procedure per il rilascio di licenze;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753</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Markus Ferber, Sebastião Bugalho, Maravillas Abadía Jover, Regina Doherty,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 </w:t>
            </w:r>
            <w:r>
              <w:rPr>
                <w:b/>
                <w:i/>
              </w:rPr>
              <w:t>incoraggia la Commissione a sostenere tali riforme attraverso l'assistenza tecnica e i finanziamenti nell'ambito del programma Europa digitale e del Fondo europeo di sviluppo regionale;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754</w:t>
      </w:r>
      <w:r>
        <w:rPr>
          <w:rStyle w:val="HideTWBExt"/>
        </w:rPr>
        <w:t>&lt;/NumAm&gt;</w:t>
      </w:r>
    </w:p>
    <w:p>
      <w:pPr>
        <w:pStyle w:val="NormalBold"/>
      </w:pPr>
      <w:r>
        <w:rPr>
          <w:rStyle w:val="HideTWBExt"/>
          <w:b w:val="0"/>
        </w:rPr>
        <w:t>&lt;RepeatBlock-By&gt;</w:t>
      </w:r>
      <w:r>
        <w:rPr>
          <w:rStyle w:val="HideTWBExt"/>
          <w:b w:val="0"/>
        </w:rPr>
        <w:t>&lt;Members&gt;</w:t>
      </w:r>
      <w:r>
        <w:t>Georgiana Teodorescu, Antonella Sberna, Lara Magoni, Alessandro Ciriani, Nora Junco García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w:t>
            </w:r>
            <w:r>
              <w:rPr>
                <w:b/>
                <w:i/>
              </w:rPr>
              <w:t>chiede un rafforzamento della capacità tecnica e amministrativa delle autorità locali affinché possano gestire in modo più efficace le procedure di pianificazione urbana e concessione di licenze;</w:t>
            </w:r>
            <w:r>
              <w:t xml:space="preserve"> invita la Commissione a pubblicare uno studio che valuti le cause dei tempi eccessivi necessari per ottenere autorizzazioni ed effettuare le procedure per il rilascio di licenze;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755</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w:t>
            </w:r>
            <w:r>
              <w:t xml:space="preserve"> 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t>invita la Commissione a pubblicare uno studio che valuti le cause dei tempi eccessivi necessari per ottenere autorizzazioni ed effettuare le procedure per il rilascio di licenze</w:t>
            </w:r>
            <w:r>
              <w:rPr>
                <w:b/>
                <w:i/>
              </w:rPr>
              <w:t>, al fine di migliorare l'efficienza garantendo nel contempo che tali processi evitino un aumento del consumo di suolo e rimangano coerenti con l'obiettivo dell'UE di un consumo netto di suolo pari a zero entro il 2050</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756</w:t>
      </w:r>
      <w:r>
        <w:rPr>
          <w:rStyle w:val="HideTWBExt"/>
        </w:rPr>
        <w:t>&lt;/NumAm&gt;</w:t>
      </w:r>
    </w:p>
    <w:p>
      <w:pPr>
        <w:pStyle w:val="NormalBold"/>
      </w:pPr>
      <w:r>
        <w:rPr>
          <w:rStyle w:val="HideTWBExt"/>
          <w:b w:val="0"/>
        </w:rPr>
        <w:t>&lt;RepeatBlock-By&gt;</w:t>
      </w:r>
      <w:r>
        <w:rPr>
          <w:rStyle w:val="HideTWBExt"/>
          <w:b w:val="0"/>
        </w:rPr>
        <w:t>&lt;Members&gt;</w:t>
      </w:r>
      <w:r>
        <w:t>Aodhán Ó Ríordáin, Andreas Schieder, Gabriele Bischoff, Alicia Homs Ginel, Marit Maij, Nora Mebarek, Isilda Gomes, Joanna Scheuring-Wielgus, Yannis Maniatis,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invita gli enti pubblici competenti </w:t>
            </w:r>
            <w:r>
              <w:rPr>
                <w:b/>
                <w:i/>
              </w:rPr>
              <w:t>ad agevolare</w:t>
            </w:r>
            <w:r>
              <w:t xml:space="preserve"> le procedure di autorizzazione </w:t>
            </w:r>
            <w:r>
              <w:rPr>
                <w:b/>
                <w:i/>
              </w:rPr>
              <w:t>per renderle significativamente</w:t>
            </w:r>
            <w:r>
              <w:t xml:space="preserve"> più rapide e semplici</w:t>
            </w:r>
            <w:r>
              <w:rPr>
                <w:b/>
                <w:i/>
              </w:rPr>
              <w:t>, anche attraverso misure quali l'introduzione del principio del silenzio-assenso della pubblica amministrazione per il rilascio</w:t>
            </w:r>
            <w:r>
              <w:t xml:space="preserve"> delle </w:t>
            </w:r>
            <w:r>
              <w:rPr>
                <w:b/>
                <w:i/>
              </w:rPr>
              <w:t>licenze edilizie per le nuove costruzioni e i lavori di ristrutturazione, tranne nei casi di protezione ambientale, patrimoniale o storica</w:t>
            </w:r>
            <w:r>
              <w:t>; 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t xml:space="preserve">invita gli enti pubblici competenti </w:t>
            </w:r>
            <w:r>
              <w:rPr>
                <w:b/>
                <w:i/>
              </w:rPr>
              <w:t>a garantire che</w:t>
            </w:r>
            <w:r>
              <w:t xml:space="preserve"> le procedure di autorizzazione </w:t>
            </w:r>
            <w:r>
              <w:rPr>
                <w:b/>
                <w:i/>
              </w:rPr>
              <w:t>siano rese</w:t>
            </w:r>
            <w:r>
              <w:t xml:space="preserve"> più rapide e semplici</w:t>
            </w:r>
            <w:r>
              <w:rPr>
                <w:b/>
                <w:i/>
              </w:rPr>
              <w:t>; sottolinea la necessità di fornire alle istituzioni responsabili risorse adeguate per garantire un trattamento efficace e tempestivo</w:t>
            </w:r>
            <w:r>
              <w:t xml:space="preserve"> delle </w:t>
            </w:r>
            <w:r>
              <w:rPr>
                <w:b/>
                <w:i/>
              </w:rPr>
              <w:t>domande</w:t>
            </w:r>
            <w:r>
              <w:t>; invita la Commissione a pubblicare uno studio che valuti le cause dei tempi eccessivi necessari per ottenere autorizzazioni ed effettuare le procedure per il rilascio di licenze</w:t>
            </w:r>
            <w:r>
              <w:rPr>
                <w:b/>
                <w:i/>
              </w:rPr>
              <w:t>, compresa una raccolta di migliori pratiche</w:t>
            </w:r>
            <w:r>
              <w:t xml:space="preserve">; </w:t>
            </w:r>
            <w:r>
              <w:rPr>
                <w:b/>
                <w:i/>
              </w:rPr>
              <w:t>sottolinea che i quadri di pianificazione sono essenziali anche per la salvaguardia delle norme ambientali, la protezione del patrimonio e degli edifici storici, la partecipazione delle comunità e la funzione sociale degli alloggi;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757</w:t>
      </w:r>
      <w:r>
        <w:rPr>
          <w:rStyle w:val="HideTWBExt"/>
        </w:rPr>
        <w:t>&lt;/NumAm&gt;</w:t>
      </w:r>
    </w:p>
    <w:p>
      <w:pPr>
        <w:pStyle w:val="NormalBold"/>
      </w:pPr>
      <w:r>
        <w:rPr>
          <w:rStyle w:val="HideTWBExt"/>
          <w:b w:val="0"/>
        </w:rPr>
        <w:t>&lt;RepeatBlock-By&gt;</w:t>
      </w:r>
      <w:r>
        <w:rPr>
          <w:rStyle w:val="HideTWBExt"/>
          <w:b w:val="0"/>
        </w:rPr>
        <w:t>&lt;Members&gt;</w:t>
      </w:r>
      <w:r>
        <w:t>Irmhild Boßdorf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w:t>
            </w:r>
            <w:r>
              <w:rPr>
                <w:b/>
                <w:i/>
              </w:rPr>
              <w:t>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w:t>
            </w:r>
            <w:r>
              <w:rPr>
                <w:b/>
                <w:i/>
              </w:rPr>
              <w:t>attraverso la digitalizzazione delle procedure di autorizzazione edilizia, compreso un sistema di presentazione e monitoraggio online (sportello unico) che consenta controlli automatici di possibili conflitti normativi, l'attuazione di verifiche di completezza automatizzate e una valutazione basata sull'IA con convalida da parte di esseri umani</w:t>
            </w:r>
            <w:r>
              <w:t>, anche attraverso misure quali l'introduzione del principio del silenzio-assenso della pubblica amministrazione per il rilascio delle licenze edilizie per le nuove costruzioni e i lavori di ristrutturazione, tranne nei casi di protezione ambientale, patrimoniale o storica;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758</w:t>
      </w:r>
      <w:r>
        <w:rPr>
          <w:rStyle w:val="HideTWBExt"/>
        </w:rPr>
        <w:t>&lt;/NumAm&gt;</w:t>
      </w:r>
    </w:p>
    <w:p>
      <w:pPr>
        <w:pStyle w:val="NormalBold"/>
      </w:pPr>
      <w:r>
        <w:rPr>
          <w:rStyle w:val="HideTWBExt"/>
          <w:b w:val="0"/>
        </w:rPr>
        <w:t>&lt;RepeatBlock-By&gt;</w:t>
      </w:r>
      <w:r>
        <w:rPr>
          <w:rStyle w:val="HideTWBExt"/>
          <w:b w:val="0"/>
        </w:rPr>
        <w:t>&lt;Members&gt;</w:t>
      </w:r>
      <w:r>
        <w:t>Martin Hojsík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anche attraverso misure quali </w:t>
            </w:r>
            <w:r>
              <w:rPr>
                <w:b/>
                <w:i/>
              </w:rPr>
              <w:t>l'introduzione del principio del silenzio-assenso della pubblica amministrazione per il rilascio delle</w:t>
            </w:r>
            <w:r>
              <w:t xml:space="preserve"> licenze edilizie per le nuove costruzioni e i lavori di ristrutturazione</w:t>
            </w:r>
            <w:r>
              <w:rPr>
                <w:b/>
                <w:i/>
              </w:rPr>
              <w:t>, tranne nei casi di protezione ambientale, patrimoniale o storica</w:t>
            </w:r>
            <w:r>
              <w:t>; 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anche attraverso misure quali licenze edilizie </w:t>
            </w:r>
            <w:r>
              <w:rPr>
                <w:b/>
                <w:i/>
              </w:rPr>
              <w:t>digitali</w:t>
            </w:r>
            <w:r>
              <w:t xml:space="preserve"> per le nuove costruzioni e i lavori di ristrutturazione; invita la Commissione a pubblicare uno studio che valuti le cause dei tempi eccessivi necessari per ottenere autorizzazioni ed effettuare le procedure per il rilascio di licenze;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759</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t>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w:t>
            </w:r>
            <w:r>
              <w:rPr>
                <w:b/>
                <w:i/>
              </w:rPr>
              <w:t>, nel pieno rispetto del diritto dei cittadini di vivere in un ambiente sicuro e favorevole che promuova l'inclusione sociale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760</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Markus Ferber, Maravillas Abadía Jover, Regina Doherty,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rPr>
                <w:b/>
                <w:i/>
              </w:rPr>
              <w:t>invita la Commissione a fissare un obiettivo di conseguimento dei permessi di costruire entro un termine di 60 giorni;</w:t>
            </w:r>
            <w:r>
              <w:t xml:space="preserve"> 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761</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Markus Ferber, Sebastião Bugalho, Maravillas Abadía Jover, Inese Vaidere, Regina Doherty,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w:t>
            </w:r>
            <w:r>
              <w:rPr>
                <w:b/>
                <w:i/>
              </w:rPr>
              <w:t>pubblicare uno studio che valuti le cause dei tempi eccessivi necessari per ottenere autorizzazioni ed</w:t>
            </w:r>
            <w:r>
              <w:t xml:space="preserve"> effettuare </w:t>
            </w:r>
            <w:r>
              <w:rPr>
                <w:b/>
                <w:i/>
              </w:rPr>
              <w:t>le</w:t>
            </w:r>
            <w:r>
              <w:t xml:space="preserve"> procedure </w:t>
            </w:r>
            <w:r>
              <w:rPr>
                <w:b/>
                <w:i/>
              </w:rPr>
              <w:t>per il</w:t>
            </w:r>
            <w:r>
              <w:t xml:space="preserve"> rilascio </w:t>
            </w:r>
            <w:r>
              <w:rPr>
                <w:b/>
                <w:i/>
              </w:rPr>
              <w:t>di licenze</w:t>
            </w:r>
            <w:r>
              <w:t>;</w:t>
            </w:r>
          </w:p>
        </w:tc>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effettuare </w:t>
            </w:r>
            <w:r>
              <w:rPr>
                <w:b/>
                <w:i/>
              </w:rPr>
              <w:t>un riesame globale delle</w:t>
            </w:r>
            <w:r>
              <w:t xml:space="preserve"> procedure </w:t>
            </w:r>
            <w:r>
              <w:rPr>
                <w:b/>
                <w:i/>
              </w:rPr>
              <w:t>di pianificazione e di</w:t>
            </w:r>
            <w:r>
              <w:t xml:space="preserve"> rilascio </w:t>
            </w:r>
            <w:r>
              <w:rPr>
                <w:b/>
                <w:i/>
              </w:rPr>
              <w:t>dei permessi di costruire in tutti gli Stati membri, individuando le strozzature e le migliori pratiche, al fine di razionalizzare i processi di approvazione per i progetti di costruzione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762</w:t>
      </w:r>
      <w:r>
        <w:rPr>
          <w:rStyle w:val="HideTWBExt"/>
        </w:rPr>
        <w:t>&lt;/NumAm&gt;</w:t>
      </w:r>
    </w:p>
    <w:p>
      <w:pPr>
        <w:pStyle w:val="NormalBold"/>
      </w:pPr>
      <w:r>
        <w:rPr>
          <w:rStyle w:val="HideTWBExt"/>
          <w:b w:val="0"/>
        </w:rPr>
        <w:t>&lt;RepeatBlock-By&gt;</w:t>
      </w:r>
      <w:r>
        <w:rPr>
          <w:rStyle w:val="HideTWBExt"/>
          <w:b w:val="0"/>
        </w:rPr>
        <w:t>&lt;Members&gt;</w:t>
      </w:r>
      <w:r>
        <w:t>Julie Rechagneux, Marie Dauchy, Anne-Sophie Frigout, France Jamet, Mathilde Androuët, Catherine Griset, György Hölvényi, Marie-Luce Brasier-Clain, Aleksandar Nikolic, Mélanie Disdier, Klara Dostalova, Rachel Blom</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w:t>
            </w:r>
            <w:r>
              <w:rPr>
                <w:b/>
                <w:i/>
              </w:rPr>
              <w:t>, patrimoniale o storica</w:t>
            </w:r>
            <w:r>
              <w:t>; 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w:t>
            </w:r>
            <w:r>
              <w:rPr>
                <w:b/>
                <w:i/>
              </w:rPr>
              <w:t>misure di</w:t>
            </w:r>
            <w:r>
              <w:t xml:space="preserve"> protezione ambientale </w:t>
            </w:r>
            <w:r>
              <w:rPr>
                <w:b/>
                <w:i/>
              </w:rPr>
              <w:t>proporzionate o di requisiti per la conservazione del patrimonio culturale, archeologico o architettonico</w:t>
            </w:r>
            <w:r>
              <w:t>; invita la Commissione a pubblicare uno studio che valuti le cause dei tempi eccessivi necessari per ottenere autorizzazioni ed effettuare le procedure per il rilascio di licenze;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763</w:t>
      </w:r>
      <w:r>
        <w:rPr>
          <w:rStyle w:val="HideTWBExt"/>
        </w:rPr>
        <w:t>&lt;/NumAm&gt;</w:t>
      </w:r>
    </w:p>
    <w:p>
      <w:pPr>
        <w:pStyle w:val="NormalBold"/>
      </w:pPr>
      <w:r>
        <w:rPr>
          <w:rStyle w:val="HideTWBExt"/>
          <w:b w:val="0"/>
        </w:rPr>
        <w:t>&lt;RepeatBlock-By&gt;</w:t>
      </w:r>
      <w:r>
        <w:rPr>
          <w:rStyle w:val="HideTWBExt"/>
          <w:b w:val="0"/>
        </w:rPr>
        <w:t>&lt;Members&gt;</w:t>
      </w:r>
      <w:r>
        <w:t>Julie Rechagneux, Marie-Luce Brasier-Clain, Aleksandar Nikolic, Rachel Blom</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w:t>
            </w:r>
            <w:r>
              <w:rPr>
                <w:b/>
                <w:i/>
              </w:rPr>
              <w:t>, patrimoniale o storica</w:t>
            </w:r>
            <w:r>
              <w:t>; 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w:t>
            </w:r>
            <w:r>
              <w:rPr>
                <w:b/>
                <w:i/>
              </w:rPr>
              <w:t>proporzionata o di requisiti di tutela del patrimonio culturale, architettonico o archeologico</w:t>
            </w:r>
            <w:r>
              <w:t>; invita la Commissione a pubblicare uno studio che valuti le cause dei tempi eccessivi necessari per ottenere autorizzazioni ed effettuare le procedure per il rilascio di licenze;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764</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protezione ambientale, patrimoniale o storica; invita la Commissione a pubblicare uno studio che valuti le cause dei tempi eccessivi necessari per ottenere autorizzazioni ed effettuare le procedure per il rilascio di licenze;</w:t>
            </w:r>
          </w:p>
        </w:tc>
        <w:tc>
          <w:tcPr>
            <w:tcW w:w="4876" w:type="dxa"/>
            <w:tcBorders>
              <w:top w:val="nil"/>
              <w:left w:val="nil"/>
              <w:bottom w:val="nil"/>
              <w:right w:val="nil"/>
            </w:tcBorders>
          </w:tcPr>
          <w:p>
            <w:pPr>
              <w:pStyle w:val="Normal6a"/>
            </w:pPr>
            <w:r>
              <w:t>7.</w:t>
            </w:r>
            <w:r>
              <w:tab/>
            </w:r>
            <w:r>
              <w:t xml:space="preserve">invita gli enti pubblici competenti ad agevolare le procedure di autorizzazione per renderle significativamente più rapide e semplici, anche attraverso misure quali l'introduzione del principio del silenzio-assenso della pubblica amministrazione per il rilascio delle licenze edilizie per le nuove costruzioni e i lavori di ristrutturazione, tranne nei casi di </w:t>
            </w:r>
            <w:r>
              <w:rPr>
                <w:b/>
                <w:i/>
              </w:rPr>
              <w:t>sicurezza delle persone o di</w:t>
            </w:r>
            <w:r>
              <w:t xml:space="preserve"> protezione ambientale, patrimoniale o storica; invita la Commissione a pubblicare uno studio che valuti le cause dei tempi eccessivi necessari per ottenere autorizzazioni ed effettuare le procedure per il rilascio di licenze;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765</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bis.</w:t>
            </w:r>
            <w:r>
              <w:tab/>
            </w:r>
            <w:r>
              <w:rPr>
                <w:b/>
                <w:i/>
              </w:rPr>
              <w:t>ritiene che il concetto di alloggi "a prezzi accessibili" dovrebbe andare di pari passo con quelli di alloggi "sostenibili" e "dignitosi", dato che tali tre concetti sono inseparabili, come già sancito nella dichiarazione di Liegi sull'accessibilità degli alloggi nell'UE firmata il 5 marzo 2024 dai ministri dell'edilizia abitativa degli Stati membri dell'UE;</w:t>
            </w:r>
            <w:r>
              <w:t xml:space="preserve"> </w:t>
            </w:r>
            <w:r>
              <w:rPr>
                <w:b/>
                <w:i/>
              </w:rPr>
              <w:t>ritiene fondamentale che tutte le politiche abitative dell'UE e nazionali integrino congiuntamente tali tre concetti, ponendoli anche al centro del primo piano europeo per gli alloggi a prezzi accessibili;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766</w:t>
      </w:r>
      <w:r>
        <w:rPr>
          <w:rStyle w:val="HideTWBExt"/>
        </w:rPr>
        <w:t>&lt;/NumAm&gt;</w:t>
      </w:r>
    </w:p>
    <w:p>
      <w:pPr>
        <w:pStyle w:val="NormalBold"/>
      </w:pPr>
      <w:r>
        <w:rPr>
          <w:rStyle w:val="HideTWBExt"/>
          <w:b w:val="0"/>
        </w:rPr>
        <w:t>&lt;RepeatBlock-By&gt;</w:t>
      </w:r>
      <w:r>
        <w:rPr>
          <w:rStyle w:val="HideTWBExt"/>
          <w:b w:val="0"/>
        </w:rPr>
        <w:t>&lt;Members&gt;</w:t>
      </w:r>
      <w:r>
        <w:t>Rachel Blom, Julie Rechagneux, Klara Dostalova, Mathilde Androuët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bis.</w:t>
            </w:r>
            <w:r>
              <w:tab/>
            </w:r>
            <w:r>
              <w:rPr>
                <w:b/>
                <w:i/>
              </w:rPr>
              <w:t>invita la Commissione, in sede di revisione e attuazione della legislazione ambientale, compresa la direttiva Habitat, a tenere conto della necessità di accelerare i progetti di edilizia abitativa;</w:t>
            </w:r>
            <w:r>
              <w:t xml:space="preserve"> </w:t>
            </w:r>
            <w:r>
              <w:rPr>
                <w:b/>
                <w:i/>
              </w:rPr>
              <w:t>sottolinea che agli Stati membri dovrebbe essere concessa la flessibilità per realizzare progetti di costruzione di alloggi a prezzi accessibili senza eccessivi ritardi dovuti a procedimenti giudiziari;</w:t>
            </w:r>
          </w:p>
        </w:tc>
      </w:tr>
    </w:tbl>
    <w:p>
      <w:pPr>
        <w:pStyle w:val="AmOrLang"/>
      </w:pPr>
      <w:r>
        <w:t xml:space="preserve">Or. </w:t>
      </w:r>
      <w:r>
        <w:rPr>
          <w:rStyle w:val="HideTWBExt"/>
        </w:rPr>
        <w:t>&lt;Original&gt;</w:t>
      </w:r>
      <w:r>
        <w:rPr>
          <w:rStyle w:val="HideTWBInt"/>
        </w:rPr>
        <w:t>{NL}</w:t>
      </w:r>
      <w:r>
        <w:t>nl</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767</w:t>
      </w:r>
      <w:r>
        <w:rPr>
          <w:rStyle w:val="HideTWBExt"/>
        </w:rPr>
        <w:t>&lt;/NumAm&gt;</w:t>
      </w:r>
    </w:p>
    <w:p>
      <w:pPr>
        <w:pStyle w:val="NormalBold"/>
      </w:pPr>
      <w:r>
        <w:rPr>
          <w:rStyle w:val="HideTWBExt"/>
          <w:b w:val="0"/>
        </w:rPr>
        <w:t>&lt;RepeatBlock-By&gt;</w:t>
      </w:r>
      <w:r>
        <w:rPr>
          <w:rStyle w:val="HideTWBExt"/>
          <w:b w:val="0"/>
        </w:rPr>
        <w:t>&lt;Members&gt;</w:t>
      </w:r>
      <w:r>
        <w:t>Regina Doherty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bis.</w:t>
            </w:r>
            <w:r>
              <w:tab/>
            </w:r>
            <w:r>
              <w:rPr>
                <w:b/>
                <w:i/>
              </w:rPr>
              <w:t>invita gli Stati membri a introdurre termini legali massimi in materia di decisioni di pianificazione e autorizzazione non superiori a 16 settimane per le domande standard e a 30 settimane per i progetti più ampi, nonché corsie preferenziali per le conversioni, la costruzione di appartamenti, le ristrutturazioni e i progetti nelle zone di sviluppo strategico;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768</w:t>
      </w:r>
      <w:r>
        <w:rPr>
          <w:rStyle w:val="HideTWBExt"/>
        </w:rPr>
        <w:t>&lt;/NumAm&gt;</w:t>
      </w:r>
    </w:p>
    <w:p>
      <w:pPr>
        <w:pStyle w:val="NormalBold"/>
      </w:pPr>
      <w:r>
        <w:rPr>
          <w:rStyle w:val="HideTWBExt"/>
          <w:b w:val="0"/>
        </w:rPr>
        <w:t>&lt;RepeatBlock-By&gt;</w:t>
      </w:r>
      <w:r>
        <w:rPr>
          <w:rStyle w:val="HideTWBExt"/>
          <w:b w:val="0"/>
        </w:rPr>
        <w:t>&lt;Members&gt;</w:t>
      </w:r>
      <w:r>
        <w:t>Ciaran Mullooly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bis.</w:t>
            </w:r>
            <w:r>
              <w:tab/>
            </w:r>
            <w:r>
              <w:rPr>
                <w:b/>
                <w:i/>
              </w:rPr>
              <w:t>invita gli Stati membri a fornire ulteriori incentivi per la ristrutturazione degli alloggi in stato di degrado e sottolinea che il processo di presentazione delle domande dovrebbe rimanere semplice e che gli alloggi ristrutturati dovrebbero innanzitutto essere messi a disposizione delle persone nelle liste di attesa per gli alloggi o degli acquirenti della prima casa;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769</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r>
        <w:rPr>
          <w:rStyle w:val="HideTWBExt"/>
          <w:b w:val="0"/>
        </w:rPr>
        <w:t>&lt;AuNomDe&gt;</w:t>
      </w:r>
      <w:r>
        <w:rPr>
          <w:rStyle w:val="HideTWBInt"/>
        </w:rPr>
        <w:t>{The Left}</w:t>
      </w:r>
      <w:r>
        <w:t>a nome del gruppo The Left</w:t>
      </w:r>
      <w:r>
        <w:rPr>
          <w:rStyle w:val="HideTWBExt"/>
          <w:b w:val="0"/>
        </w:rPr>
        <w:t>&lt;/AuNomDe&gt;</w:t>
      </w:r>
    </w:p>
    <w:p>
      <w:pPr>
        <w:pStyle w:val="NormalBold"/>
      </w:pP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bis.</w:t>
            </w:r>
            <w:r>
              <w:tab/>
            </w:r>
            <w:r>
              <w:rPr>
                <w:b/>
                <w:i/>
              </w:rPr>
              <w:t>ricorda che agli Stati membri incombono obblighi di partecipazione del pubblico a norma sia del diritto dell'Unione sia della convenzione di Aarhus, e afferma l'importanza di tali obblighi e di un processo di pianificazione partecipativo nella creazione di alloggi e comunità sostenibili;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770</w:t>
      </w:r>
      <w:r>
        <w:rPr>
          <w:rStyle w:val="HideTWBExt"/>
        </w:rPr>
        <w:t>&lt;/NumAm&gt;</w:t>
      </w:r>
    </w:p>
    <w:p>
      <w:pPr>
        <w:pStyle w:val="NormalBold"/>
      </w:pPr>
      <w:r>
        <w:rPr>
          <w:rStyle w:val="HideTWBExt"/>
          <w:b w:val="0"/>
        </w:rPr>
        <w:t>&lt;RepeatBlock-By&gt;</w:t>
      </w:r>
      <w:r>
        <w:rPr>
          <w:rStyle w:val="HideTWBExt"/>
          <w:b w:val="0"/>
        </w:rPr>
        <w:t>&lt;Members&gt;</w:t>
      </w:r>
      <w:r>
        <w:t>Ciaran Mullooly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ter.</w:t>
            </w:r>
            <w:r>
              <w:tab/>
            </w:r>
            <w:r>
              <w:rPr>
                <w:b/>
                <w:i/>
              </w:rPr>
              <w:t>invita gli Stati membri ad adottare un nuovo approccio e a finanziare adeguatamente la ristrutturazione degli immobili destinati all'edilizia abitativa nelle zone tradizionalmente concepite per uso commerciale, in modo che gli immobili situati "sopra i negozi" ai piani superiori siano pienamente utilizzati per soddisfare le urgenti esigenze abitative locali in tali comunità;</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771</w:t>
      </w:r>
      <w:r>
        <w:rPr>
          <w:rStyle w:val="HideTWBExt"/>
        </w:rPr>
        <w:t>&lt;/NumAm&gt;</w:t>
      </w:r>
    </w:p>
    <w:p>
      <w:pPr>
        <w:pStyle w:val="NormalBold"/>
      </w:pPr>
      <w:r>
        <w:rPr>
          <w:rStyle w:val="HideTWBExt"/>
          <w:b w:val="0"/>
        </w:rPr>
        <w:t>&lt;RepeatBlock-By&gt;</w:t>
      </w:r>
      <w:r>
        <w:rPr>
          <w:rStyle w:val="HideTWBExt"/>
          <w:b w:val="0"/>
        </w:rPr>
        <w:t>&lt;Members&gt;</w:t>
      </w:r>
      <w:r>
        <w:t>Ciaran Mullooly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quater.</w:t>
            </w:r>
            <w:r>
              <w:tab/>
            </w:r>
            <w:r>
              <w:rPr>
                <w:b/>
                <w:i/>
              </w:rPr>
              <w:t>esorta gli Stati membri a riconoscere le urgenti esigenze degli acquirenti della prima casa e delle coppie prive di alloggio adottando un approccio flessibile alle norme in materia di tutela che devono essere rispettate in determinate aree urbane, garantendo che i costi non aumentino a causa dell'eccesso di regolamentazione per quanto riguarda il rinnovo degli elementi architettonici degli edifici esistenti;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772</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rPr>
                <w:b/>
                <w:i/>
              </w:rPr>
              <w:t>ritiene che l'UE dovrebbe mantenere condizioni di parità e garantire un uso efficiente delle risorse pubbliche;</w:t>
            </w:r>
            <w:r>
              <w:t xml:space="preserve"> chiede maggiori sforzi per combattere la povertà energetica; invita la Commissione e gli Stati membri a integrare pienamente la strategia della Commissione per l'ondata di ristrutturazioni nelle politiche abitative, garantendo </w:t>
            </w:r>
            <w:r>
              <w:rPr>
                <w:b/>
                <w:i/>
              </w:rPr>
              <w:t>che</w:t>
            </w:r>
            <w:r>
              <w:t xml:space="preserve"> le ristrutturazioni </w:t>
            </w:r>
            <w:r>
              <w:rPr>
                <w:b/>
                <w:i/>
              </w:rPr>
              <w:t>degli edifici siano incentrate non solo sull'efficienza energetica, ma anche sull'aumento dell'offerta abitativa</w:t>
            </w:r>
            <w:r>
              <w:t>;</w:t>
            </w:r>
          </w:p>
        </w:tc>
        <w:tc>
          <w:tcPr>
            <w:tcW w:w="4876" w:type="dxa"/>
            <w:tcBorders>
              <w:top w:val="nil"/>
              <w:left w:val="nil"/>
              <w:bottom w:val="nil"/>
              <w:right w:val="nil"/>
            </w:tcBorders>
          </w:tcPr>
          <w:p>
            <w:pPr>
              <w:pStyle w:val="Normal6a"/>
            </w:pPr>
            <w:r>
              <w:t>8.</w:t>
            </w:r>
            <w:r>
              <w:tab/>
            </w:r>
            <w:r>
              <w:t>chiede maggiori sforzi per combattere la povertà energetica</w:t>
            </w:r>
            <w:r>
              <w:rPr>
                <w:b/>
                <w:i/>
              </w:rPr>
              <w:t>;</w:t>
            </w:r>
            <w:r>
              <w:t xml:space="preserve"> </w:t>
            </w:r>
            <w:r>
              <w:rPr>
                <w:b/>
                <w:i/>
              </w:rPr>
              <w:t>chiede in via prioritaria un accesso diretto ai finanziamenti pubblici, in particolare sotto forma di sovvenzioni, per le ristrutturazioni degli alloggi delle famiglie più vulnerabili colpite dalla povertà energetica e che vivono in alloggi sociali, al fine di coprire i relativi costi iniziali;</w:t>
            </w:r>
            <w:r>
              <w:t xml:space="preserve"> </w:t>
            </w:r>
            <w:r>
              <w:rPr>
                <w:b/>
                <w:i/>
              </w:rPr>
              <w:t>sottolinea che tale approccio comporta chiari benefici socioeconomici e ambientali derivanti dal ritorno sull'investimento riconosciuti in diverse delle principali normative pertinenti, in particolare nell'ambito della direttiva sulla prestazione energetica nell'edilizia</w:t>
            </w:r>
            <w:r>
              <w:t>; invita la Commissione e gli Stati membri a integrare pienamente la strategia della Commissione per l'ondata di ristrutturazioni nelle politiche abitative</w:t>
            </w:r>
            <w:r>
              <w:rPr>
                <w:b/>
                <w:i/>
              </w:rPr>
              <w:t>;</w:t>
            </w:r>
            <w:r>
              <w:t xml:space="preserve"> </w:t>
            </w:r>
            <w:r>
              <w:rPr>
                <w:b/>
                <w:i/>
              </w:rPr>
              <w:t>chiede di integrare pienamente la democrazia energetica nella politica abitativa;</w:t>
            </w:r>
            <w:r>
              <w:t xml:space="preserve"> </w:t>
            </w:r>
            <w:r>
              <w:rPr>
                <w:b/>
                <w:i/>
              </w:rPr>
              <w:t>ritiene che il piano europeo per gli alloggi a prezzi accessibili debba promuovere esplicitamente la titolarità e la partecipazione dei cittadini e delle comunità alla transizione energetica</w:t>
            </w:r>
            <w:r>
              <w:t xml:space="preserve">, garantendo </w:t>
            </w:r>
            <w:r>
              <w:rPr>
                <w:b/>
                <w:i/>
              </w:rPr>
              <w:t>l'accesso ad abitazioni rinnovabili, efficienti sotto il profilo energetico e a prezzi abbordabili in quanto diritto all'abitazione;</w:t>
            </w:r>
            <w:r>
              <w:t xml:space="preserve"> </w:t>
            </w:r>
            <w:r>
              <w:rPr>
                <w:b/>
                <w:i/>
              </w:rPr>
              <w:t>sottolinea che gli Stati membri dovrebbero integrare i modelli energetici dei cittadini, come le comunità energetiche, nei loro piani nazionali per l'edilizia abitativa e garantire processi partecipativi dei cittadini per tutte</w:t>
            </w:r>
            <w:r>
              <w:t xml:space="preserve"> le ristrutturazioni;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773</w:t>
      </w:r>
      <w:r>
        <w:rPr>
          <w:rStyle w:val="HideTWBExt"/>
        </w:rPr>
        <w:t>&lt;/NumAm&gt;</w:t>
      </w:r>
    </w:p>
    <w:p>
      <w:pPr>
        <w:pStyle w:val="NormalBold"/>
      </w:pPr>
      <w:r>
        <w:rPr>
          <w:rStyle w:val="HideTWBExt"/>
          <w:b w:val="0"/>
        </w:rPr>
        <w:t>&lt;RepeatBlock-By&gt;</w:t>
      </w:r>
      <w:r>
        <w:rPr>
          <w:rStyle w:val="HideTWBExt"/>
          <w:b w:val="0"/>
        </w:rPr>
        <w:t>&lt;Members&gt;</w:t>
      </w:r>
      <w:r>
        <w:t>Julie Rechagneux, Marie-Luce Brasier-Clain, Aleksandar Nikolic, Rachel Blom</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ritiene che l'UE dovrebbe mantenere condizioni di parità </w:t>
            </w:r>
            <w:r>
              <w:rPr>
                <w:b/>
                <w:i/>
              </w:rPr>
              <w:t>e garantire</w:t>
            </w:r>
            <w:r>
              <w:t xml:space="preserv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w:t>
            </w:r>
          </w:p>
        </w:tc>
        <w:tc>
          <w:tcPr>
            <w:tcW w:w="4876" w:type="dxa"/>
            <w:tcBorders>
              <w:top w:val="nil"/>
              <w:left w:val="nil"/>
              <w:bottom w:val="nil"/>
              <w:right w:val="nil"/>
            </w:tcBorders>
          </w:tcPr>
          <w:p>
            <w:pPr>
              <w:pStyle w:val="Normal6a"/>
            </w:pPr>
            <w:r>
              <w:t>8.</w:t>
            </w:r>
            <w:r>
              <w:tab/>
            </w:r>
            <w:r>
              <w:t xml:space="preserve">ritiene che l'UE dovrebbe mantenere condizioni di parità </w:t>
            </w:r>
            <w:r>
              <w:rPr>
                <w:b/>
                <w:i/>
              </w:rPr>
              <w:t>tra gli operatori europei e non europei, tra le piccole e grandi imprese, nonché tra i lavoratori edili e le imprese edili nell'UE, anche attraverso la prevenzione del dumping sociale e ambientale e garantendo</w:t>
            </w:r>
            <w:r>
              <w:t xml:space="preserve"> un uso efficiente delle risorse pubbliche; chiede maggiori sforzi per combattere la povertà energetica </w:t>
            </w:r>
            <w:r>
              <w:rPr>
                <w:b/>
                <w:i/>
              </w:rPr>
              <w:t>e l'indecenza e l'indegnità del parco immobiliare</w:t>
            </w:r>
            <w:r>
              <w:t xml:space="preserve">; invita la Commissione e gli Stati membri a integrare pienamente la strategia della Commissione per l'ondata di ristrutturazioni nelle politiche abitative, garantendo che le ristrutturazioni degli edifici siano incentrate non solo sull'efficienza energetica </w:t>
            </w:r>
            <w:r>
              <w:rPr>
                <w:b/>
                <w:i/>
              </w:rPr>
              <w:t>e sulla riduzione dei costi di ristrutturazione</w:t>
            </w:r>
            <w:r>
              <w:t xml:space="preserve">, ma anche sull'aumento dell'offerta abitativa; </w:t>
            </w:r>
            <w:r>
              <w:rPr>
                <w:b/>
                <w:i/>
              </w:rPr>
              <w:t>chiede che i programmi di ristrutturazione includano solo le misure per le quali un'analisi costi-benefici del ciclo di vita dimostra un ritorno sull'investimento sostenibile per le famiglie, in particolare attraverso una riduzione verificabile e duratura della spesa energetica e dei rischi per la salute associati a condizioni abitative inadeguate;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774</w:t>
      </w:r>
      <w:r>
        <w:rPr>
          <w:rStyle w:val="HideTWBExt"/>
        </w:rPr>
        <w:t>&lt;/NumAm&gt;</w:t>
      </w:r>
    </w:p>
    <w:p>
      <w:pPr>
        <w:pStyle w:val="NormalBold"/>
      </w:pPr>
      <w:r>
        <w:rPr>
          <w:rStyle w:val="HideTWBExt"/>
          <w:b w:val="0"/>
        </w:rPr>
        <w:t>&lt;RepeatBlock-By&gt;</w:t>
      </w:r>
      <w:r>
        <w:rPr>
          <w:rStyle w:val="HideTWBExt"/>
          <w:b w:val="0"/>
        </w:rPr>
        <w:t>&lt;Members&gt;</w:t>
      </w:r>
      <w:r>
        <w:t>Julie Rechagneux, Marie Dauchy, Anne-Sophie Frigout, France Jamet, Mathilde Androuët, Catherine Griset, Marie-Luce Brasier-Clain, Aleksandar Nikolic, Mélanie Disdier, Klara Dostalova, Rachel Blom</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w:t>
            </w:r>
          </w:p>
        </w:tc>
        <w:tc>
          <w:tcPr>
            <w:tcW w:w="4876" w:type="dxa"/>
            <w:tcBorders>
              <w:top w:val="nil"/>
              <w:left w:val="nil"/>
              <w:bottom w:val="nil"/>
              <w:right w:val="nil"/>
            </w:tcBorders>
          </w:tcPr>
          <w:p>
            <w:pPr>
              <w:pStyle w:val="Normal6a"/>
            </w:pPr>
            <w:r>
              <w:t>8.</w:t>
            </w:r>
            <w:r>
              <w:tab/>
            </w:r>
            <w:r>
              <w:t xml:space="preserve">ritiene che l'UE dovrebbe mantenere condizioni di parità </w:t>
            </w:r>
            <w:r>
              <w:rPr>
                <w:b/>
                <w:i/>
              </w:rPr>
              <w:t>tra gli operatori europei e non europei, tra le piccole e le grandi imprese, nonché tra i lavoratori edili e le imprese edili all'interno dell'Unione,</w:t>
            </w:r>
            <w:r>
              <w:t xml:space="preserve"> e garantire un uso efficiente delle risorse pubbliche; chiede maggiori sforzi per combattere la povertà energetica </w:t>
            </w:r>
            <w:r>
              <w:rPr>
                <w:b/>
                <w:i/>
              </w:rPr>
              <w:t>e per affrontare le condizioni abitative scadenti e inadeguate</w:t>
            </w:r>
            <w:r>
              <w:t xml:space="preserve">; invita la Commissione e gli Stati membri a integrare pienamente la strategia della Commissione per l'ondata di ristrutturazioni nelle politiche abitative, garantendo che le ristrutturazioni degli edifici siano incentrate non solo sull'efficienza energetica </w:t>
            </w:r>
            <w:r>
              <w:rPr>
                <w:b/>
                <w:i/>
              </w:rPr>
              <w:t>e sulla riduzione dei costi di ristrutturazione</w:t>
            </w:r>
            <w:r>
              <w:t xml:space="preserve">, ma anche sull'aumento dell'offerta abitativa; </w:t>
            </w:r>
            <w:r>
              <w:rPr>
                <w:b/>
                <w:i/>
              </w:rPr>
              <w:t>chiede che i programmi di ristrutturazione includano solo le misure per le quali un'analisi costi-benefici del ciclo di vita dimostra un ritorno sull'investimento sostenibile per le famiglie, in particolare attraverso una riduzione verificabile e duratura della spesa energetica e dei rischi per la salute associati a condizioni abitative inadeguate;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775</w:t>
      </w:r>
      <w:r>
        <w:rPr>
          <w:rStyle w:val="HideTWBExt"/>
        </w:rPr>
        <w:t>&lt;/NumAm&gt;</w:t>
      </w:r>
    </w:p>
    <w:p>
      <w:pPr>
        <w:pStyle w:val="NormalBold"/>
      </w:pPr>
      <w:r>
        <w:rPr>
          <w:rStyle w:val="HideTWBExt"/>
          <w:b w:val="0"/>
        </w:rPr>
        <w:t>&lt;RepeatBlock-By&gt;</w:t>
      </w:r>
      <w:r>
        <w:rPr>
          <w:rStyle w:val="HideTWBExt"/>
          <w:b w:val="0"/>
        </w:rPr>
        <w:t>&lt;Members&gt;</w:t>
      </w:r>
      <w:r>
        <w:t>Irmhild Boßdorf, Volker Schnurrbusch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ritiene che l'UE dovrebbe mantenere condizioni di parità e garantire un uso efficiente delle risorse pubbliche; </w:t>
            </w:r>
            <w:r>
              <w:rPr>
                <w:b/>
                <w:i/>
              </w:rPr>
              <w:t>chiede maggiori sforzi</w:t>
            </w:r>
            <w:r>
              <w:t xml:space="preserve"> per combattere la povertà energetica</w:t>
            </w:r>
            <w:r>
              <w:rPr>
                <w:b/>
                <w:i/>
              </w:rPr>
              <w:t>;</w:t>
            </w:r>
            <w:r>
              <w:t xml:space="preserve"> </w:t>
            </w:r>
            <w:r>
              <w:rPr>
                <w:b/>
                <w:i/>
              </w:rPr>
              <w:t>invita la Commissione e gli</w:t>
            </w:r>
            <w:r>
              <w:t xml:space="preserve"> Stati membri </w:t>
            </w:r>
            <w:r>
              <w:rPr>
                <w:b/>
                <w:i/>
              </w:rPr>
              <w:t>a integrare pienamente la</w:t>
            </w:r>
            <w:r>
              <w:t xml:space="preserve"> strategia della Commissione per l'ondata di ristrutturazioni </w:t>
            </w:r>
            <w:r>
              <w:rPr>
                <w:b/>
                <w:i/>
              </w:rPr>
              <w:t>nelle politiche abitative, garantendo che le</w:t>
            </w:r>
            <w:r>
              <w:t xml:space="preserve"> ristrutturazioni </w:t>
            </w:r>
            <w:r>
              <w:rPr>
                <w:b/>
                <w:i/>
              </w:rPr>
              <w:t>degli edifici siano incentrate non solo sull'efficienza energetica, ma anche sull'aumento dell'offerta abitativa</w:t>
            </w:r>
            <w:r>
              <w:t>;</w:t>
            </w:r>
          </w:p>
        </w:tc>
        <w:tc>
          <w:tcPr>
            <w:tcW w:w="4876" w:type="dxa"/>
            <w:tcBorders>
              <w:top w:val="nil"/>
              <w:left w:val="nil"/>
              <w:bottom w:val="nil"/>
              <w:right w:val="nil"/>
            </w:tcBorders>
          </w:tcPr>
          <w:p>
            <w:pPr>
              <w:pStyle w:val="Normal6a"/>
            </w:pPr>
            <w:r>
              <w:t>8.</w:t>
            </w:r>
            <w:r>
              <w:tab/>
            </w:r>
            <w:r>
              <w:t xml:space="preserve">ritiene che l'UE dovrebbe mantenere condizioni di parità e garantire un uso efficiente delle risorse pubbliche; </w:t>
            </w:r>
            <w:r>
              <w:rPr>
                <w:b/>
                <w:i/>
              </w:rPr>
              <w:t>sottolinea che le misure</w:t>
            </w:r>
            <w:r>
              <w:t xml:space="preserve"> per combattere la povertà energetica </w:t>
            </w:r>
            <w:r>
              <w:rPr>
                <w:b/>
                <w:i/>
              </w:rPr>
              <w:t>sono principalmente di competenza degli</w:t>
            </w:r>
            <w:r>
              <w:t xml:space="preserve"> Stati membri </w:t>
            </w:r>
            <w:r>
              <w:rPr>
                <w:b/>
                <w:i/>
              </w:rPr>
              <w:t>e devono essere attuate in linea con le loro strategie nazionali;</w:t>
            </w:r>
            <w:r>
              <w:t xml:space="preserve"> </w:t>
            </w:r>
            <w:r>
              <w:rPr>
                <w:b/>
                <w:i/>
              </w:rPr>
              <w:t>prende atto della</w:t>
            </w:r>
            <w:r>
              <w:t xml:space="preserve"> strategia della Commissione per l'ondata di ristrutturazioni </w:t>
            </w:r>
            <w:r>
              <w:rPr>
                <w:b/>
                <w:i/>
              </w:rPr>
              <w:t>nell'ambito del Green Deal, ma ne respinge l'attuazione obbligatoria e completa, in quanto comporta costi significativi per i proprietari, i locatari e i bilanci pubblici e interferisce profondamente con le responsabilità nazionali;</w:t>
            </w:r>
            <w:r>
              <w:t xml:space="preserve"> </w:t>
            </w:r>
            <w:r>
              <w:rPr>
                <w:b/>
                <w:i/>
              </w:rPr>
              <w:t>avverte che un obbligo di ristrutturazione a livello dell'UE non è né socialmente né economicamente sostenibile e potrebbe aggravare ulteriormente la carenza di alloggi in molti Stati membri;</w:t>
            </w:r>
            <w:r>
              <w:t xml:space="preserve"> </w:t>
            </w:r>
            <w:r>
              <w:rPr>
                <w:b/>
                <w:i/>
              </w:rPr>
              <w:t>invita pertanto la Commissione ad astenersi dall'attuare ulteriormente l'ondata di</w:t>
            </w:r>
            <w:r>
              <w:t xml:space="preserve"> ristrutturazioni;</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776</w:t>
      </w:r>
      <w:r>
        <w:rPr>
          <w:rStyle w:val="HideTWBExt"/>
        </w:rPr>
        <w:t>&lt;/NumAm&gt;</w:t>
      </w:r>
    </w:p>
    <w:p>
      <w:pPr>
        <w:pStyle w:val="NormalBold"/>
      </w:pPr>
      <w:r>
        <w:rPr>
          <w:rStyle w:val="HideTWBExt"/>
          <w:b w:val="0"/>
        </w:rPr>
        <w:t>&lt;RepeatBlock-By&gt;</w:t>
      </w:r>
      <w:r>
        <w:rPr>
          <w:rStyle w:val="HideTWBExt"/>
          <w:b w:val="0"/>
        </w:rPr>
        <w:t>&lt;Members&gt;</w:t>
      </w:r>
      <w:r>
        <w:t>Aodhán Ó Ríordáin, Andreas Schieder, Gabriele Bischoff, Alicia Homs Ginel, Marit Maij, Nora Mebarek, Isilda Gomes, Joanna Scheuring-Wielgus, Yannis Maniatis,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ritiene che </w:t>
            </w:r>
            <w:r>
              <w:rPr>
                <w:b/>
                <w:i/>
              </w:rPr>
              <w:t>l'UE dovrebbe mantenere condizioni di parità e</w:t>
            </w:r>
            <w:r>
              <w:t xml:space="preserve"> garantire </w:t>
            </w:r>
            <w:r>
              <w:rPr>
                <w:b/>
                <w:i/>
              </w:rPr>
              <w:t>un uso efficiente delle risorse pubbliche</w:t>
            </w:r>
            <w:r>
              <w:t xml:space="preserv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w:t>
            </w:r>
            <w:r>
              <w:rPr>
                <w:b/>
                <w:i/>
              </w:rPr>
              <w:t>abitativa</w:t>
            </w:r>
            <w:r>
              <w:t>;</w:t>
            </w:r>
          </w:p>
        </w:tc>
        <w:tc>
          <w:tcPr>
            <w:tcW w:w="4876" w:type="dxa"/>
            <w:tcBorders>
              <w:top w:val="nil"/>
              <w:left w:val="nil"/>
              <w:bottom w:val="nil"/>
              <w:right w:val="nil"/>
            </w:tcBorders>
          </w:tcPr>
          <w:p>
            <w:pPr>
              <w:pStyle w:val="Normal6a"/>
            </w:pPr>
            <w:r>
              <w:t>8.</w:t>
            </w:r>
            <w:r>
              <w:tab/>
            </w:r>
            <w:r>
              <w:t xml:space="preserve">ritiene che </w:t>
            </w:r>
            <w:r>
              <w:rPr>
                <w:b/>
                <w:i/>
              </w:rPr>
              <w:t>le risorse dell'UE dovrebbero essere destinate ad affrontare l'esclusione abitativa e a</w:t>
            </w:r>
            <w:r>
              <w:t xml:space="preserve"> garantire </w:t>
            </w:r>
            <w:r>
              <w:rPr>
                <w:b/>
                <w:i/>
              </w:rPr>
              <w:t>a tutti alloggi sostenibili, dignitosi e a prezzi accessibili</w:t>
            </w:r>
            <w:r>
              <w:t xml:space="preserv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w:t>
            </w:r>
            <w:r>
              <w:rPr>
                <w:b/>
                <w:i/>
              </w:rPr>
              <w:t>e la decarbonizzazione</w:t>
            </w:r>
            <w:r>
              <w:t xml:space="preserve">, ma anche </w:t>
            </w:r>
            <w:r>
              <w:rPr>
                <w:b/>
                <w:i/>
              </w:rPr>
              <w:t>sull'equità sociale e</w:t>
            </w:r>
            <w:r>
              <w:t xml:space="preserve"> sull'aumento dell'offerta </w:t>
            </w:r>
            <w:r>
              <w:rPr>
                <w:b/>
                <w:i/>
              </w:rPr>
              <w:t>di alloggi sociali e a prezzi accessibili, migliorando la qualità della vita e tutelando i locatari dallo spostamento, dalla perdita di diritti e dall'aumento eccessivo degli affitti durante i lavori di ristrutturazione, nonché garantendo che le ristrutturazioni abitative finanziate con fondi pubblici siano protette dalle vendite immediate e dalla speculazione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777</w:t>
      </w:r>
      <w:r>
        <w:rPr>
          <w:rStyle w:val="HideTWBExt"/>
        </w:rPr>
        <w:t>&lt;/NumAm&gt;</w:t>
      </w:r>
    </w:p>
    <w:p>
      <w:pPr>
        <w:pStyle w:val="NormalBold"/>
      </w:pPr>
      <w:r>
        <w:rPr>
          <w:rStyle w:val="HideTWBExt"/>
          <w:b w:val="0"/>
        </w:rPr>
        <w:t>&lt;RepeatBlock-By&gt;</w:t>
      </w:r>
      <w:r>
        <w:rPr>
          <w:rStyle w:val="HideTWBExt"/>
          <w:b w:val="0"/>
        </w:rPr>
        <w:t>&lt;Members&gt;</w:t>
      </w:r>
      <w:r>
        <w:t>Nils Ušakovs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w:t>
            </w:r>
          </w:p>
        </w:tc>
        <w:tc>
          <w:tcPr>
            <w:tcW w:w="4876" w:type="dxa"/>
            <w:tcBorders>
              <w:top w:val="nil"/>
              <w:left w:val="nil"/>
              <w:bottom w:val="nil"/>
              <w:right w:val="nil"/>
            </w:tcBorders>
          </w:tcPr>
          <w:p>
            <w:pPr>
              <w:pStyle w:val="Normal6a"/>
            </w:pPr>
            <w:r>
              <w:t>8.</w:t>
            </w:r>
            <w:r>
              <w:tab/>
            </w:r>
            <w:r>
              <w:t xml:space="preserve">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 </w:t>
            </w:r>
            <w:r>
              <w:rPr>
                <w:b/>
                <w:i/>
              </w:rPr>
              <w:t>invita in particolare gli Stati membri che si trovano ad affrontare elevate concentrazioni di edifici a più piani standardizzati e a bassa efficienza a sviluppare meccanismi finanziari e amministrativi mirati e su larga scala che permettano di conseguire i tassi annuali di ristrutturazione necessari per rispettare gli obiettivi dell'UE, dato l'elevato costo per edificio dell'isolamento termico e delle ristrutturazioni importanti;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778</w:t>
      </w:r>
      <w:r>
        <w:rPr>
          <w:rStyle w:val="HideTWBExt"/>
        </w:rPr>
        <w:t>&lt;/NumAm&gt;</w:t>
      </w:r>
    </w:p>
    <w:p>
      <w:pPr>
        <w:pStyle w:val="NormalBold"/>
      </w:pPr>
      <w:r>
        <w:rPr>
          <w:rStyle w:val="HideTWBExt"/>
          <w:b w:val="0"/>
        </w:rPr>
        <w:t>&lt;RepeatBlock-By&gt;</w:t>
      </w:r>
      <w:r>
        <w:rPr>
          <w:rStyle w:val="HideTWBExt"/>
          <w:b w:val="0"/>
        </w:rPr>
        <w:t>&lt;Members&gt;</w:t>
      </w:r>
      <w:r>
        <w:t>Marco Falcone, Flavio Tosi, Caterina Chinnici, Letizia Moratti, Massimiliano Salini, Salvatore De Meo, Giusi Princi, Fulvio Martusciello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w:t>
            </w:r>
          </w:p>
        </w:tc>
        <w:tc>
          <w:tcPr>
            <w:tcW w:w="4876" w:type="dxa"/>
            <w:tcBorders>
              <w:top w:val="nil"/>
              <w:left w:val="nil"/>
              <w:bottom w:val="nil"/>
              <w:right w:val="nil"/>
            </w:tcBorders>
          </w:tcPr>
          <w:p>
            <w:pPr>
              <w:pStyle w:val="Normal6a"/>
            </w:pPr>
            <w:r>
              <w:t>8.</w:t>
            </w:r>
            <w:r>
              <w:tab/>
            </w:r>
            <w:r>
              <w:t xml:space="preserve">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 </w:t>
            </w:r>
            <w:r>
              <w:rPr>
                <w:b/>
                <w:i/>
              </w:rPr>
              <w:t>e sulla riduzione dei costi abitativi a lungo termine</w:t>
            </w:r>
            <w:r>
              <w:t xml:space="preserve">; </w:t>
            </w:r>
            <w:r>
              <w:rPr>
                <w:b/>
                <w:i/>
              </w:rPr>
              <w:t>sottolinea l'importanza di definire stanziamenti specifici per la ristrutturazione nell'ambito del prossimo piano per gli alloggi a prezzi accessibili, al fine di dare priorità alla ristrutturazione profonda degli edifici maggiormente inefficienti dal punto di vista energetico, comprese la sostituzione delle finestre e altre misure ad alto impatto;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779</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w:t>
            </w:r>
          </w:p>
        </w:tc>
        <w:tc>
          <w:tcPr>
            <w:tcW w:w="4876" w:type="dxa"/>
            <w:tcBorders>
              <w:top w:val="nil"/>
              <w:left w:val="nil"/>
              <w:bottom w:val="nil"/>
              <w:right w:val="nil"/>
            </w:tcBorders>
          </w:tcPr>
          <w:p>
            <w:pPr>
              <w:pStyle w:val="Normal6a"/>
            </w:pPr>
            <w:r>
              <w:t>8.</w:t>
            </w:r>
            <w:r>
              <w:tab/>
            </w:r>
            <w:r>
              <w:t xml:space="preserve">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 </w:t>
            </w:r>
            <w:r>
              <w:rPr>
                <w:b/>
                <w:i/>
              </w:rPr>
              <w:t>sottolinea che in tal modo le autorità competenti saranno in grado di effettuare un'unica valutazione ambientale e di completare le necessarie fasi amministrative e procedurali per una determinata area geografica prima dello sviluppo di progetti residenziali;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780</w:t>
      </w:r>
      <w:r>
        <w:rPr>
          <w:rStyle w:val="HideTWBExt"/>
        </w:rPr>
        <w:t>&lt;/NumAm&gt;</w:t>
      </w:r>
    </w:p>
    <w:p>
      <w:pPr>
        <w:pStyle w:val="NormalBold"/>
      </w:pPr>
      <w:r>
        <w:rPr>
          <w:rStyle w:val="HideTWBExt"/>
          <w:b w:val="0"/>
        </w:rPr>
        <w:t>&lt;RepeatBlock-By&gt;</w:t>
      </w:r>
      <w:r>
        <w:rPr>
          <w:rStyle w:val="HideTWBExt"/>
          <w:b w:val="0"/>
        </w:rPr>
        <w:t>&lt;Members&gt;</w:t>
      </w:r>
      <w:r>
        <w:t>Johan Danielsson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w:t>
            </w:r>
          </w:p>
        </w:tc>
        <w:tc>
          <w:tcPr>
            <w:tcW w:w="4876" w:type="dxa"/>
            <w:tcBorders>
              <w:top w:val="nil"/>
              <w:left w:val="nil"/>
              <w:bottom w:val="nil"/>
              <w:right w:val="nil"/>
            </w:tcBorders>
          </w:tcPr>
          <w:p>
            <w:pPr>
              <w:pStyle w:val="Normal6a"/>
            </w:pPr>
            <w:r>
              <w:t>8.</w:t>
            </w:r>
            <w:r>
              <w:tab/>
            </w:r>
            <w:r>
              <w:t xml:space="preserve">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 </w:t>
            </w:r>
            <w:r>
              <w:rPr>
                <w:b/>
                <w:i/>
              </w:rPr>
              <w:t>al fine di mantenere una concorrenza leale, gli Stati membri dovrebbero avere la possibilità di considerare le imprese di edilizia abitativa che non utilizzano risorse pubbliche come entità che non rientrano nella definizione di enti pubblici;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781</w:t>
      </w:r>
      <w:r>
        <w:rPr>
          <w:rStyle w:val="HideTWBExt"/>
        </w:rPr>
        <w:t>&lt;/NumAm&gt;</w:t>
      </w:r>
    </w:p>
    <w:p>
      <w:pPr>
        <w:pStyle w:val="NormalBold"/>
      </w:pPr>
      <w:r>
        <w:rPr>
          <w:rStyle w:val="HideTWBExt"/>
          <w:b w:val="0"/>
        </w:rPr>
        <w:t>&lt;RepeatBlock-By&gt;</w:t>
      </w:r>
      <w:r>
        <w:rPr>
          <w:rStyle w:val="HideTWBExt"/>
          <w:b w:val="0"/>
        </w:rPr>
        <w:t>&lt;Members&gt;</w:t>
      </w:r>
      <w:r>
        <w:t>Klara Dostalova, Julie Rechagneux, Ondřej Knotek, Jaroslav Bžoch, Rachel Blom, 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ritiene che l'UE dovrebbe mantenere condizioni di parità e garantire un uso efficiente delle risorse pubbliche; chiede maggiori sforzi per combattere la povertà energetica; invita la Commissione e gli Stati membri a </w:t>
            </w:r>
            <w:r>
              <w:rPr>
                <w:b/>
                <w:i/>
              </w:rPr>
              <w:t>integrare pienamente</w:t>
            </w:r>
            <w:r>
              <w:t xml:space="preserve"> la strategia della Commissione per l'ondata di ristrutturazioni </w:t>
            </w:r>
            <w:r>
              <w:rPr>
                <w:b/>
                <w:i/>
              </w:rPr>
              <w:t>nelle politiche abitative</w:t>
            </w:r>
            <w:r>
              <w:t xml:space="preserve">, garantendo che le </w:t>
            </w:r>
            <w:r>
              <w:rPr>
                <w:b/>
                <w:i/>
              </w:rPr>
              <w:t>ristrutturazioni</w:t>
            </w:r>
            <w:r>
              <w:t xml:space="preserve"> degli </w:t>
            </w:r>
            <w:r>
              <w:rPr>
                <w:b/>
                <w:i/>
              </w:rPr>
              <w:t>edifici siano incentrate non solo sull'efficienza</w:t>
            </w:r>
            <w:r>
              <w:t xml:space="preserve"> energetica</w:t>
            </w:r>
            <w:r>
              <w:rPr>
                <w:b/>
                <w:i/>
              </w:rPr>
              <w:t>, ma anche sull'aumento dell'offerta</w:t>
            </w:r>
            <w:r>
              <w:t xml:space="preserve"> abitativa;</w:t>
            </w:r>
          </w:p>
        </w:tc>
        <w:tc>
          <w:tcPr>
            <w:tcW w:w="4876" w:type="dxa"/>
            <w:tcBorders>
              <w:top w:val="nil"/>
              <w:left w:val="nil"/>
              <w:bottom w:val="nil"/>
              <w:right w:val="nil"/>
            </w:tcBorders>
          </w:tcPr>
          <w:p>
            <w:pPr>
              <w:pStyle w:val="Normal6a"/>
            </w:pPr>
            <w:r>
              <w:t>8.</w:t>
            </w:r>
            <w:r>
              <w:tab/>
            </w:r>
            <w:r>
              <w:t xml:space="preserve">ritiene che l'UE dovrebbe mantenere condizioni di parità e garantire un uso efficiente delle risorse pubbliche; chiede maggiori sforzi per combattere la povertà energetica; invita la Commissione e gli Stati membri a </w:t>
            </w:r>
            <w:r>
              <w:rPr>
                <w:b/>
                <w:i/>
              </w:rPr>
              <w:t>utilizzare</w:t>
            </w:r>
            <w:r>
              <w:t xml:space="preserve"> la strategia della Commissione per l'ondata di ristrutturazioni </w:t>
            </w:r>
            <w:r>
              <w:rPr>
                <w:b/>
                <w:i/>
              </w:rPr>
              <w:t>solo come strumento volontario e di sostegno</w:t>
            </w:r>
            <w:r>
              <w:t xml:space="preserve">, garantendo che le </w:t>
            </w:r>
            <w:r>
              <w:rPr>
                <w:b/>
                <w:i/>
              </w:rPr>
              <w:t>politiche di ristrutturazione restino principalmente di competenza</w:t>
            </w:r>
            <w:r>
              <w:t xml:space="preserve"> degli </w:t>
            </w:r>
            <w:r>
              <w:rPr>
                <w:b/>
                <w:i/>
              </w:rPr>
              <w:t>Stati membri;</w:t>
            </w:r>
            <w:r>
              <w:t xml:space="preserve"> </w:t>
            </w:r>
            <w:r>
              <w:rPr>
                <w:b/>
                <w:i/>
              </w:rPr>
              <w:t>sottolinea che gli sforzi di ristrutturazione non devono comportare costi abitativi più elevati per le famiglie e i comuni e devono andare oltre l'efficienza</w:t>
            </w:r>
            <w:r>
              <w:t xml:space="preserve"> energetica </w:t>
            </w:r>
            <w:r>
              <w:rPr>
                <w:b/>
                <w:i/>
              </w:rPr>
              <w:t>per altresì aumentare l'offerta</w:t>
            </w:r>
            <w:r>
              <w:t xml:space="preserve"> abitativa </w:t>
            </w:r>
            <w:r>
              <w:rPr>
                <w:b/>
                <w:i/>
              </w:rPr>
              <w:t>e migliorare l'accessibilità economica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782</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Maravillas Abadía Jover, Regina Doherty, Isabelle Le Callennec, Alma Ezcurra Almansa, Marco Falcone, Rosa Estaràs Ferragut, Elena Nevado del Campo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w:t>
            </w:r>
          </w:p>
        </w:tc>
        <w:tc>
          <w:tcPr>
            <w:tcW w:w="4876" w:type="dxa"/>
            <w:tcBorders>
              <w:top w:val="nil"/>
              <w:left w:val="nil"/>
              <w:bottom w:val="nil"/>
              <w:right w:val="nil"/>
            </w:tcBorders>
          </w:tcPr>
          <w:p>
            <w:pPr>
              <w:pStyle w:val="Normal6a"/>
            </w:pPr>
            <w:r>
              <w:t>8.</w:t>
            </w:r>
            <w:r>
              <w:tab/>
            </w:r>
            <w:r>
              <w:t xml:space="preserve">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 </w:t>
            </w:r>
            <w:r>
              <w:rPr>
                <w:b/>
                <w:i/>
              </w:rPr>
              <w:t>sottolinea l'importanza di tenere conto dei centri storici delle città e del patrimonio storico e culturale dell'Unione nell'attuazione delle iniziative in materia di edilizia abitativa o di efficienza energetica che possono interessarli;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783</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w:t>
            </w:r>
          </w:p>
        </w:tc>
        <w:tc>
          <w:tcPr>
            <w:tcW w:w="4876" w:type="dxa"/>
            <w:tcBorders>
              <w:top w:val="nil"/>
              <w:left w:val="nil"/>
              <w:bottom w:val="nil"/>
              <w:right w:val="nil"/>
            </w:tcBorders>
          </w:tcPr>
          <w:p>
            <w:pPr>
              <w:pStyle w:val="Normal6a"/>
            </w:pPr>
            <w:r>
              <w:t>8.</w:t>
            </w:r>
            <w:r>
              <w:tab/>
            </w:r>
            <w:r>
              <w:t xml:space="preserve">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 </w:t>
            </w:r>
            <w:r>
              <w:rPr>
                <w:b/>
                <w:i/>
              </w:rPr>
              <w:t>sostiene gli incentivi per la ristrutturazione delle abitazioni nelle zone densamente popolate e promuove soluzioni che incentivino positivamente i proprietari a rimettere sul mercato le abitazioni vuote;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784</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w:t>
            </w:r>
          </w:p>
        </w:tc>
        <w:tc>
          <w:tcPr>
            <w:tcW w:w="4876" w:type="dxa"/>
            <w:tcBorders>
              <w:top w:val="nil"/>
              <w:left w:val="nil"/>
              <w:bottom w:val="nil"/>
              <w:right w:val="nil"/>
            </w:tcBorders>
          </w:tcPr>
          <w:p>
            <w:pPr>
              <w:pStyle w:val="Normal6a"/>
            </w:pPr>
            <w:r>
              <w:t>8.</w:t>
            </w:r>
            <w:r>
              <w:tab/>
            </w:r>
            <w:r>
              <w:t xml:space="preserve">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 </w:t>
            </w:r>
            <w:r>
              <w:rPr>
                <w:b/>
                <w:i/>
              </w:rPr>
              <w:t>invita la Commissione a prendere l'iniziativa per quanto riguarda l'introduzione di "valli degli alloggi", basandosi su iniziative esistenti quali la rete delle valli dell'innovazione;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785</w:t>
      </w:r>
      <w:r>
        <w:rPr>
          <w:rStyle w:val="HideTWBExt"/>
        </w:rPr>
        <w:t>&lt;/NumAm&gt;</w:t>
      </w:r>
    </w:p>
    <w:p>
      <w:pPr>
        <w:pStyle w:val="NormalBold"/>
      </w:pPr>
      <w:r>
        <w:rPr>
          <w:rStyle w:val="HideTWBExt"/>
          <w:b w:val="0"/>
        </w:rPr>
        <w:t>&lt;RepeatBlock-By&gt;</w:t>
      </w:r>
      <w:r>
        <w:rPr>
          <w:rStyle w:val="HideTWBExt"/>
          <w:b w:val="0"/>
        </w:rPr>
        <w:t>&lt;Members&gt;</w:t>
      </w:r>
      <w:r>
        <w:t>György Hölvényi, Pál Szekeres, Julie Rechagneux</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w:t>
            </w:r>
          </w:p>
        </w:tc>
        <w:tc>
          <w:tcPr>
            <w:tcW w:w="4876" w:type="dxa"/>
            <w:tcBorders>
              <w:top w:val="nil"/>
              <w:left w:val="nil"/>
              <w:bottom w:val="nil"/>
              <w:right w:val="nil"/>
            </w:tcBorders>
          </w:tcPr>
          <w:p>
            <w:pPr>
              <w:pStyle w:val="Normal6a"/>
            </w:pPr>
            <w:r>
              <w:t>8.</w:t>
            </w:r>
            <w:r>
              <w:tab/>
            </w:r>
            <w:r>
              <w:t xml:space="preserve">ritiene che l'UE dovrebbe mantenere condizioni di parità e garantire un uso efficiente delle risorse pubbliche; chiede maggiori sforzi per combattere la povertà energetica </w:t>
            </w:r>
            <w:r>
              <w:rPr>
                <w:b/>
                <w:i/>
              </w:rPr>
              <w:t>e, anziché sanzioni e oneri amministrativi aggiuntivi, una maggiore attenzione per quanto riguarda la garanzia dell'accesso a fonti energetiche a prezzi accessibili</w:t>
            </w:r>
            <w:r>
              <w:t>;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786</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Inese Vaidere,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w:t>
            </w:r>
          </w:p>
        </w:tc>
        <w:tc>
          <w:tcPr>
            <w:tcW w:w="4876" w:type="dxa"/>
            <w:tcBorders>
              <w:top w:val="nil"/>
              <w:left w:val="nil"/>
              <w:bottom w:val="nil"/>
              <w:right w:val="nil"/>
            </w:tcBorders>
          </w:tcPr>
          <w:p>
            <w:pPr>
              <w:pStyle w:val="Normal6a"/>
            </w:pPr>
            <w:r>
              <w:t>8.</w:t>
            </w:r>
            <w:r>
              <w:tab/>
            </w:r>
            <w:r>
              <w:t>ritiene che l'UE dovrebbe mantenere condizioni di parità e garantire un uso efficiente delle risorse pubbliche; chiede maggiori sforzi per combattere la povertà energetica</w:t>
            </w:r>
            <w:r>
              <w:rPr>
                <w:b/>
                <w:i/>
              </w:rPr>
              <w:t>, in particolare accelerando e semplificando le procedure per i permessi e le licenze di ristrutturazione efficiente sotto il profilo energetico</w:t>
            </w:r>
            <w:r>
              <w:t>;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787</w:t>
      </w:r>
      <w:r>
        <w:rPr>
          <w:rStyle w:val="HideTWBExt"/>
        </w:rPr>
        <w:t>&lt;/NumAm&gt;</w:t>
      </w:r>
    </w:p>
    <w:p>
      <w:pPr>
        <w:pStyle w:val="NormalBold"/>
      </w:pPr>
      <w:r>
        <w:rPr>
          <w:rStyle w:val="HideTWBExt"/>
          <w:b w:val="0"/>
        </w:rPr>
        <w:t>&lt;RepeatBlock-By&gt;</w:t>
      </w:r>
      <w:r>
        <w:rPr>
          <w:rStyle w:val="HideTWBExt"/>
          <w:b w:val="0"/>
        </w:rPr>
        <w:t>&lt;Members&gt;</w:t>
      </w:r>
      <w:r>
        <w:t>Brigitte van den Berg, Barry Cowen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rPr>
                <w:b/>
                <w:i/>
              </w:rPr>
              <w:t>ritiene che l'UE dovrebbe mantenere condizioni di parità e garantire un uso efficiente delle risorse pubbliche;</w:t>
            </w:r>
            <w:r>
              <w:t xml:space="preserv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w:t>
            </w:r>
          </w:p>
        </w:tc>
        <w:tc>
          <w:tcPr>
            <w:tcW w:w="4876" w:type="dxa"/>
            <w:tcBorders>
              <w:top w:val="nil"/>
              <w:left w:val="nil"/>
              <w:bottom w:val="nil"/>
              <w:right w:val="nil"/>
            </w:tcBorders>
          </w:tcPr>
          <w:p>
            <w:pPr>
              <w:pStyle w:val="Normal6a"/>
            </w:pPr>
            <w:r>
              <w:t>8.</w:t>
            </w:r>
            <w:r>
              <w:tab/>
            </w:r>
            <w:r>
              <w:t>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788</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w:t>
            </w:r>
          </w:p>
        </w:tc>
        <w:tc>
          <w:tcPr>
            <w:tcW w:w="4876" w:type="dxa"/>
            <w:tcBorders>
              <w:top w:val="nil"/>
              <w:left w:val="nil"/>
              <w:bottom w:val="nil"/>
              <w:right w:val="nil"/>
            </w:tcBorders>
          </w:tcPr>
          <w:p>
            <w:pPr>
              <w:pStyle w:val="Normal6a"/>
            </w:pPr>
            <w:r>
              <w:t>8.</w:t>
            </w:r>
            <w:r>
              <w:tab/>
            </w:r>
            <w:r>
              <w:t xml:space="preserve">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w:t>
            </w:r>
            <w:r>
              <w:rPr>
                <w:b/>
                <w:i/>
              </w:rPr>
              <w:t>compresi i regimi di sostegno per l'ammodernamento degli alloggi privati,</w:t>
            </w:r>
            <w:r>
              <w:t xml:space="preserve"> garantendo che le ristrutturazioni degli edifici siano incentrate non solo sull'efficienza energetica, ma anche sull'aumento dell'offerta abitativa;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789</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w:t>
            </w:r>
          </w:p>
        </w:tc>
        <w:tc>
          <w:tcPr>
            <w:tcW w:w="4876" w:type="dxa"/>
            <w:tcBorders>
              <w:top w:val="nil"/>
              <w:left w:val="nil"/>
              <w:bottom w:val="nil"/>
              <w:right w:val="nil"/>
            </w:tcBorders>
          </w:tcPr>
          <w:p>
            <w:pPr>
              <w:pStyle w:val="Normal6a"/>
            </w:pPr>
            <w:r>
              <w:t>8.</w:t>
            </w:r>
            <w:r>
              <w:tab/>
            </w:r>
            <w:r>
              <w:t>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w:t>
            </w:r>
            <w:r>
              <w:rPr>
                <w:b/>
                <w:i/>
              </w:rPr>
              <w:t>, compresi gli spazi per uffici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790</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w:t>
            </w:r>
          </w:p>
        </w:tc>
        <w:tc>
          <w:tcPr>
            <w:tcW w:w="4876" w:type="dxa"/>
            <w:tcBorders>
              <w:top w:val="nil"/>
              <w:left w:val="nil"/>
              <w:bottom w:val="nil"/>
              <w:right w:val="nil"/>
            </w:tcBorders>
          </w:tcPr>
          <w:p>
            <w:pPr>
              <w:pStyle w:val="Normal6a"/>
            </w:pPr>
            <w:r>
              <w:t>8.</w:t>
            </w:r>
            <w:r>
              <w:tab/>
            </w:r>
            <w:r>
              <w:t xml:space="preserve">ritiene che l'UE dovrebbe mantenere condizioni di parità e garantire un uso efficiente delle risorse pubbliche;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w:t>
            </w:r>
            <w:r>
              <w:rPr>
                <w:b/>
                <w:i/>
              </w:rPr>
              <w:t>termica e acustica</w:t>
            </w:r>
            <w:r>
              <w:t>, ma anche sull'aumento dell'offerta abitativa;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791</w:t>
      </w:r>
      <w:r>
        <w:rPr>
          <w:rStyle w:val="HideTWBExt"/>
        </w:rPr>
        <w:t>&lt;/NumAm&gt;</w:t>
      </w:r>
    </w:p>
    <w:p>
      <w:pPr>
        <w:pStyle w:val="NormalBold"/>
      </w:pPr>
      <w:r>
        <w:rPr>
          <w:rStyle w:val="HideTWBExt"/>
          <w:b w:val="0"/>
        </w:rPr>
        <w:t>&lt;RepeatBlock-By&gt;</w:t>
      </w:r>
      <w:r>
        <w:rPr>
          <w:rStyle w:val="HideTWBExt"/>
          <w:b w:val="0"/>
        </w:rPr>
        <w:t>&lt;Members&gt;</w:t>
      </w:r>
      <w:r>
        <w:t>Manon Aubry, Arash Saeidi, Anthony Smith, Giorgos Georgiou, Estrella Galán, Damien Carême, Rima Hassan, Younous Omarjee, Marina Mesure, Catarina Martins, Emma Fourreau, Gaetano Pedulla'</w:t>
      </w:r>
      <w:r>
        <w:rPr>
          <w:rStyle w:val="HideTWBExt"/>
          <w:b w:val="0"/>
        </w:rPr>
        <w:t>&lt;/Members&gt;</w:t>
      </w:r>
    </w:p>
    <w:p>
      <w:r>
        <w:rPr>
          <w:rStyle w:val="HideTWBExt"/>
          <w:b w:val="0"/>
        </w:rPr>
        <w:t>&lt;AuNomDe&gt;</w:t>
      </w:r>
      <w:r>
        <w:rPr>
          <w:rStyle w:val="HideTWBInt"/>
        </w:rPr>
        <w:t>{The Left}</w:t>
      </w:r>
      <w:r>
        <w:t>a nome del gruppo The Left</w:t>
      </w:r>
      <w:r>
        <w:rPr>
          <w:rStyle w:val="HideTWBExt"/>
          <w:b w:val="0"/>
        </w:rPr>
        <w:t>&lt;/AuNomDe&gt;</w:t>
      </w:r>
    </w:p>
    <w:p>
      <w:pPr>
        <w:pStyle w:val="NormalBold"/>
      </w:pPr>
      <w:r>
        <w:rPr>
          <w:rStyle w:val="HideTWBExt"/>
          <w:b w:val="0"/>
        </w:rPr>
        <w:t>&lt;Members&gt;</w:t>
      </w:r>
      <w:r>
        <w:t>Irene Montero, Ilaria Salis, Martin Schirdewan</w:t>
      </w:r>
      <w:r>
        <w:rPr>
          <w:rStyle w:val="HideTWBExt"/>
          <w:b w:val="0"/>
        </w:rPr>
        <w:t>&lt;/Members&gt;</w:t>
      </w:r>
    </w:p>
    <w:p>
      <w:r>
        <w:rPr>
          <w:rStyle w:val="HideTWBExt"/>
          <w:b w:val="0"/>
        </w:rPr>
        <w:t>&lt;AuNomDe&gt;</w:t>
      </w:r>
      <w:r>
        <w:rPr>
          <w:rStyle w:val="HideTWBInt"/>
        </w:rPr>
        <w:t>{HOUS}</w:t>
      </w:r>
      <w:r>
        <w:t>a nome della commissione speciale sulla crisi degli alloggi nell'Unione europea</w:t>
      </w:r>
      <w:r>
        <w:rPr>
          <w:rStyle w:val="HideTWBExt"/>
          <w:b w:val="0"/>
        </w:rPr>
        <w:t>&lt;/AuNomDe&gt;</w:t>
      </w:r>
    </w:p>
    <w:p>
      <w:pPr>
        <w:pStyle w:val="NormalBold"/>
      </w:pPr>
      <w:r>
        <w:rPr>
          <w:rStyle w:val="HideTWBExt"/>
          <w:b w:val="0"/>
        </w:rPr>
        <w:t>&lt;Members&gt;</w:t>
      </w:r>
      <w:r>
        <w:t>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rPr>
                <w:b/>
                <w:i/>
              </w:rPr>
              <w:t>ritiene che l'UE dovrebbe mantenere condizioni di parità e garantire un uso efficiente delle risorse pubbliche;</w:t>
            </w:r>
            <w:r>
              <w:t xml:space="preserve"> 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sull'aumento dell'offerta abitativa;</w:t>
            </w:r>
          </w:p>
        </w:tc>
        <w:tc>
          <w:tcPr>
            <w:tcW w:w="4876" w:type="dxa"/>
            <w:tcBorders>
              <w:top w:val="nil"/>
              <w:left w:val="nil"/>
              <w:bottom w:val="nil"/>
              <w:right w:val="nil"/>
            </w:tcBorders>
          </w:tcPr>
          <w:p>
            <w:pPr>
              <w:pStyle w:val="Normal6a"/>
            </w:pPr>
            <w:r>
              <w:t>8.</w:t>
            </w:r>
            <w:r>
              <w:tab/>
            </w:r>
            <w:r>
              <w:t xml:space="preserve">chiede maggiori sforzi per combattere la povertà energetica; invita la Commissione e gli Stati membri a integrare pienamente la strategia della Commissione per l'ondata di ristrutturazioni nelle politiche abitative, garantendo che le ristrutturazioni degli edifici siano incentrate non solo sull'efficienza energetica, ma anche </w:t>
            </w:r>
            <w:r>
              <w:rPr>
                <w:b/>
                <w:i/>
              </w:rPr>
              <w:t>sulla riduzione degli affitti e</w:t>
            </w:r>
            <w:r>
              <w:t xml:space="preserve"> sull'aumento dell'offerta abitativa </w:t>
            </w:r>
            <w:r>
              <w:rPr>
                <w:b/>
                <w:i/>
              </w:rPr>
              <w:t>attraverso la locazione di qualsiasi alloggio ristrutturato che non sia occupato dal suo proprietario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792</w:t>
      </w:r>
      <w:r>
        <w:rPr>
          <w:rStyle w:val="HideTWBExt"/>
        </w:rPr>
        <w:t>&lt;/NumAm&gt;</w:t>
      </w:r>
    </w:p>
    <w:p>
      <w:pPr>
        <w:pStyle w:val="NormalBold"/>
      </w:pPr>
      <w:r>
        <w:rPr>
          <w:rStyle w:val="HideTWBExt"/>
          <w:b w:val="0"/>
        </w:rPr>
        <w:t>&lt;RepeatBlock-By&gt;</w:t>
      </w:r>
      <w:r>
        <w:rPr>
          <w:rStyle w:val="HideTWBExt"/>
          <w:b w:val="0"/>
        </w:rPr>
        <w:t>&lt;Members&gt;</w:t>
      </w:r>
      <w:r>
        <w:t>Aodhán Ó Ríordáin, Andreas Schieder, Gabriele Bischoff, Alicia Homs Ginel, Marit Maij, Nora Mebarek, Isilda Gomes, Joanna Scheuring-Wielgus, Yannis Maniatis,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 bis.</w:t>
            </w:r>
            <w:r>
              <w:tab/>
            </w:r>
            <w:r>
              <w:rPr>
                <w:b/>
                <w:i/>
              </w:rPr>
              <w:t>invita la Commissione e gli Stati membri a garantire la piena attuazione nelle politiche abitative nazionali della direttiva riveduta sulla prestazione energetica nell'edilizia, garantendo che la ristrutturazione degli edifici contribuisca non solo all'efficienza energetica, ma anche agli obiettivi sociali, tra cui l'accessibilità economica e la disponibilità degli alloggi;</w:t>
            </w:r>
            <w:r>
              <w:t xml:space="preserve"> </w:t>
            </w:r>
            <w:r>
              <w:rPr>
                <w:b/>
                <w:i/>
              </w:rPr>
              <w:t>sottolinea che la direttiva impone agli Stati membri di istituire misure di salvaguardia adeguate affinché i costi di ristrutturazione non comportino aumenti sproporzionati dei canoni di locazione o lo spostamento dei locatari, in particolare delle famiglie vulnerabili;</w:t>
            </w:r>
            <w:r>
              <w:t xml:space="preserve"> </w:t>
            </w:r>
            <w:r>
              <w:rPr>
                <w:b/>
                <w:i/>
              </w:rPr>
              <w:t>ricorda, in linea con il considerando 63 della direttiva, che gli Stati membri possono introdurre misure volte a limitare gli aumenti dei canoni di locazione a seguito delle ristrutturazioni;</w:t>
            </w:r>
            <w:r>
              <w:t xml:space="preserve"> </w:t>
            </w:r>
            <w:r>
              <w:rPr>
                <w:b/>
                <w:i/>
              </w:rPr>
              <w:t>chiede che tali meccanismi facciano parte delle strategie nazionali in materia di alloggi, al fine di evitare che le misure di efficienza energetica aggravino la crisi abitativa;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793</w:t>
      </w:r>
      <w:r>
        <w:rPr>
          <w:rStyle w:val="HideTWBExt"/>
        </w:rPr>
        <w:t>&lt;/NumAm&gt;</w:t>
      </w:r>
    </w:p>
    <w:p>
      <w:pPr>
        <w:pStyle w:val="NormalBold"/>
      </w:pPr>
      <w:r>
        <w:rPr>
          <w:rStyle w:val="HideTWBExt"/>
          <w:b w:val="0"/>
        </w:rPr>
        <w:t>&lt;RepeatBlock-By&gt;</w:t>
      </w:r>
      <w:r>
        <w:rPr>
          <w:rStyle w:val="HideTWBExt"/>
          <w:b w:val="0"/>
        </w:rPr>
        <w:t>&lt;Members&gt;</w:t>
      </w:r>
      <w:r>
        <w:t>Marco Falcone, Flavio Tosi, Caterina Chinnici, Letizia Moratti, Massimiliano Salini, Salvatore De Meo, Giusi Princi, Fulvio Martusciello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 bis.</w:t>
            </w:r>
            <w:r>
              <w:tab/>
            </w:r>
            <w:r>
              <w:rPr>
                <w:b/>
                <w:i/>
              </w:rPr>
              <w:t>chiede l'inclusione di misure specifiche volte a garantire l'efficacia delle politiche abitative nelle regioni rurali, interne, insulari, montane e ultraperiferiche, nel pieno riconoscimento del principio di insularità e delle specificità territoriali;</w:t>
            </w:r>
            <w:r>
              <w:t xml:space="preserve"> </w:t>
            </w:r>
            <w:r>
              <w:rPr>
                <w:b/>
                <w:i/>
              </w:rPr>
              <w:t>sottolinea che il rafforzamento delle politiche abitative in tali zone è essenziale per contrastare lo spopolamento, sostenere lo sviluppo locale e promuovere una distribuzione demografica più equilibrata in tutta l'Unione europea;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794</w:t>
      </w:r>
      <w:r>
        <w:rPr>
          <w:rStyle w:val="HideTWBExt"/>
        </w:rPr>
        <w:t>&lt;/NumAm&gt;</w:t>
      </w:r>
    </w:p>
    <w:p>
      <w:pPr>
        <w:pStyle w:val="NormalBold"/>
      </w:pPr>
      <w:r>
        <w:rPr>
          <w:rStyle w:val="HideTWBExt"/>
          <w:b w:val="0"/>
        </w:rPr>
        <w:t>&lt;RepeatBlock-By&gt;</w:t>
      </w:r>
      <w:r>
        <w:rPr>
          <w:rStyle w:val="HideTWBExt"/>
          <w:b w:val="0"/>
        </w:rPr>
        <w:t>&lt;Members&gt;</w:t>
      </w:r>
      <w:r>
        <w:t>Klara Dostalova, Julie Rechagneux, Ondřej Knotek, Jaroslav Bžoch, Rachel Blom, 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 bis.</w:t>
            </w:r>
            <w:r>
              <w:tab/>
            </w:r>
            <w:r>
              <w:rPr>
                <w:b/>
                <w:i/>
              </w:rPr>
              <w:t>invita la Commissione a effettuare un riesame sistematico della legislazione dell'UE che interessa il settore dell'edilizia e della ristrutturazione, al fine di eliminare o semplificare le disposizioni che aumentano i costi o ritardano i progetti inutilmente;</w:t>
            </w:r>
            <w:r>
              <w:t xml:space="preserve"> </w:t>
            </w:r>
            <w:r>
              <w:rPr>
                <w:b/>
                <w:i/>
              </w:rPr>
              <w:t>insiste sul fatto che la politica abitativa non deve essere gravata da costi eccessivi o da requisiti normativi sproporzionati;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795</w:t>
      </w:r>
      <w:r>
        <w:rPr>
          <w:rStyle w:val="HideTWBExt"/>
        </w:rPr>
        <w:t>&lt;/NumAm&gt;</w:t>
      </w:r>
    </w:p>
    <w:p>
      <w:pPr>
        <w:pStyle w:val="NormalBold"/>
      </w:pPr>
      <w:r>
        <w:rPr>
          <w:rStyle w:val="HideTWBExt"/>
          <w:b w:val="0"/>
        </w:rPr>
        <w:t>&lt;RepeatBlock-By&gt;</w:t>
      </w:r>
      <w:r>
        <w:rPr>
          <w:rStyle w:val="HideTWBExt"/>
          <w:b w:val="0"/>
        </w:rPr>
        <w:t>&lt;Members&gt;</w:t>
      </w:r>
      <w:r>
        <w:t>Manon Aubry, Arash Saeidi, Anthony Smith, Giorgos Georgiou, Estrella Galán, Damien Carême, Rima Hassan, Younous Omarjee, Marina Mesure, Catarina Martins, Emma Fourreau, Gaetano Pedulla'</w:t>
      </w:r>
      <w:r>
        <w:rPr>
          <w:rStyle w:val="HideTWBExt"/>
          <w:b w:val="0"/>
        </w:rPr>
        <w:t>&lt;/Members&gt;</w:t>
      </w:r>
    </w:p>
    <w:p>
      <w:r>
        <w:rPr>
          <w:rStyle w:val="HideTWBExt"/>
          <w:b w:val="0"/>
        </w:rPr>
        <w:t>&lt;AuNomDe&gt;</w:t>
      </w:r>
      <w:r>
        <w:rPr>
          <w:rStyle w:val="HideTWBInt"/>
        </w:rPr>
        <w:t>{The Left}</w:t>
      </w:r>
      <w:r>
        <w:t>a nome del gruppo The Left</w:t>
      </w:r>
      <w:r>
        <w:rPr>
          <w:rStyle w:val="HideTWBExt"/>
          <w:b w:val="0"/>
        </w:rPr>
        <w:t>&lt;/AuNomDe&gt;</w:t>
      </w:r>
    </w:p>
    <w:p>
      <w:pPr>
        <w:pStyle w:val="NormalBold"/>
      </w:pPr>
      <w:r>
        <w:rPr>
          <w:rStyle w:val="HideTWBExt"/>
          <w:b w:val="0"/>
        </w:rPr>
        <w:t>&lt;Members&gt;</w:t>
      </w:r>
      <w:r>
        <w:t>Irene Montero, Ilaria Salis, Martin Schirdewan</w:t>
      </w:r>
      <w:r>
        <w:rPr>
          <w:rStyle w:val="HideTWBExt"/>
          <w:b w:val="0"/>
        </w:rPr>
        <w:t>&lt;/Members&gt;</w:t>
      </w:r>
    </w:p>
    <w:p>
      <w:r>
        <w:rPr>
          <w:rStyle w:val="HideTWBExt"/>
          <w:b w:val="0"/>
        </w:rPr>
        <w:t>&lt;AuNomDe&gt;</w:t>
      </w:r>
      <w:r>
        <w:rPr>
          <w:rStyle w:val="HideTWBInt"/>
        </w:rPr>
        <w:t>{HOUS}</w:t>
      </w:r>
      <w:r>
        <w:t>a nome della commissione speciale sulla crisi degli alloggi nell'Unione europea</w:t>
      </w:r>
      <w:r>
        <w:rPr>
          <w:rStyle w:val="HideTWBExt"/>
          <w:b w:val="0"/>
        </w:rPr>
        <w:t>&lt;/AuNomDe&gt;</w:t>
      </w:r>
    </w:p>
    <w:p>
      <w:pPr>
        <w:pStyle w:val="NormalBold"/>
      </w:pPr>
      <w:r>
        <w:rPr>
          <w:rStyle w:val="HideTWBExt"/>
          <w:b w:val="0"/>
        </w:rPr>
        <w:t>&lt;Members&gt;</w:t>
      </w:r>
      <w:r>
        <w:t>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 bis.</w:t>
            </w:r>
            <w:r>
              <w:tab/>
            </w:r>
            <w:r>
              <w:rPr>
                <w:b/>
                <w:i/>
              </w:rPr>
              <w:t>invita la Commissione a creare un fondo dell'UE per la transizione energetica e in materia di riscaldamento al fine di sostenere i comuni nell'attuazione e nel sostegno dei piani locali di riscaldamento e delle ristrutturazioni per il risparmio energetico unitamente ai cittadini;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796</w:t>
      </w:r>
      <w:r>
        <w:rPr>
          <w:rStyle w:val="HideTWBExt"/>
        </w:rPr>
        <w:t>&lt;/NumAm&gt;</w:t>
      </w:r>
    </w:p>
    <w:p>
      <w:pPr>
        <w:pStyle w:val="NormalBold"/>
      </w:pPr>
      <w:r>
        <w:rPr>
          <w:rStyle w:val="HideTWBExt"/>
          <w:b w:val="0"/>
        </w:rPr>
        <w:t>&lt;RepeatBlock-By&gt;</w:t>
      </w:r>
      <w:r>
        <w:rPr>
          <w:rStyle w:val="HideTWBExt"/>
          <w:b w:val="0"/>
        </w:rPr>
        <w:t>&lt;Members&gt;</w:t>
      </w:r>
      <w:r>
        <w:t>Manon Aubry, Arash Saeidi, Anthony Smith, Giorgos Georgiou, Estrella Galán, Damien Carême, Rima Hassan, Younous Omarjee, Marina Mesure, Catarina Martins, Emma Fourreau, Gaetano Pedulla'</w:t>
      </w:r>
      <w:r>
        <w:rPr>
          <w:rStyle w:val="HideTWBExt"/>
          <w:b w:val="0"/>
        </w:rPr>
        <w:t>&lt;/Members&gt;</w:t>
      </w:r>
    </w:p>
    <w:p>
      <w:r>
        <w:rPr>
          <w:rStyle w:val="HideTWBExt"/>
          <w:b w:val="0"/>
        </w:rPr>
        <w:t>&lt;AuNomDe&gt;</w:t>
      </w:r>
      <w:r>
        <w:rPr>
          <w:rStyle w:val="HideTWBInt"/>
        </w:rPr>
        <w:t>{The Left}</w:t>
      </w:r>
      <w:r>
        <w:t>a nome del gruppo The Left</w:t>
      </w:r>
      <w:r>
        <w:rPr>
          <w:rStyle w:val="HideTWBExt"/>
          <w:b w:val="0"/>
        </w:rPr>
        <w:t>&lt;/AuNomDe&gt;</w:t>
      </w:r>
    </w:p>
    <w:p>
      <w:pPr>
        <w:pStyle w:val="NormalBold"/>
      </w:pPr>
      <w:r>
        <w:rPr>
          <w:rStyle w:val="HideTWBExt"/>
          <w:b w:val="0"/>
        </w:rPr>
        <w:t>&lt;Members&gt;</w:t>
      </w:r>
      <w:r>
        <w:t>Irene Montero, Ilaria Salis, Martin Schirdewan</w:t>
      </w:r>
      <w:r>
        <w:rPr>
          <w:rStyle w:val="HideTWBExt"/>
          <w:b w:val="0"/>
        </w:rPr>
        <w:t>&lt;/Members&gt;</w:t>
      </w:r>
    </w:p>
    <w:p>
      <w:r>
        <w:rPr>
          <w:rStyle w:val="HideTWBExt"/>
          <w:b w:val="0"/>
        </w:rPr>
        <w:t>&lt;AuNomDe&gt;</w:t>
      </w:r>
      <w:r>
        <w:rPr>
          <w:rStyle w:val="HideTWBInt"/>
        </w:rPr>
        <w:t>{HOUS}</w:t>
      </w:r>
      <w:r>
        <w:t>a nome della commissione speciale sulla crisi degli alloggi nell'Unione europea</w:t>
      </w:r>
      <w:r>
        <w:rPr>
          <w:rStyle w:val="HideTWBExt"/>
          <w:b w:val="0"/>
        </w:rPr>
        <w:t>&lt;/AuNomDe&gt;</w:t>
      </w:r>
    </w:p>
    <w:p>
      <w:pPr>
        <w:pStyle w:val="NormalBold"/>
      </w:pPr>
      <w:r>
        <w:rPr>
          <w:rStyle w:val="HideTWBExt"/>
          <w:b w:val="0"/>
        </w:rPr>
        <w:t>&lt;Members&gt;</w:t>
      </w:r>
      <w:r>
        <w:t>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 ter.</w:t>
            </w:r>
            <w:r>
              <w:tab/>
            </w:r>
            <w:r>
              <w:rPr>
                <w:b/>
                <w:i/>
              </w:rPr>
              <w:t>invita la Commissione a dare priorità alle soluzioni volte a sbloccare il parco immobiliare esistente, come l'introduzione di misure di salvaguardia contro la detenzione di immobili a fini speculativi e l'adozione di misure obbligatorie per reintrodurre nel mercato degli affitti gli immobili vacanti;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797</w:t>
      </w:r>
      <w:r>
        <w:rPr>
          <w:rStyle w:val="HideTWBExt"/>
        </w:rPr>
        <w:t>&lt;/NumAm&gt;</w:t>
      </w:r>
    </w:p>
    <w:p>
      <w:pPr>
        <w:pStyle w:val="NormalBold"/>
      </w:pPr>
      <w:r>
        <w:rPr>
          <w:rStyle w:val="HideTWBExt"/>
          <w:b w:val="0"/>
        </w:rPr>
        <w:t>&lt;RepeatBlock-By&gt;</w:t>
      </w:r>
      <w:r>
        <w:rPr>
          <w:rStyle w:val="HideTWBExt"/>
          <w:b w:val="0"/>
        </w:rPr>
        <w:t>&lt;Members&gt;</w:t>
      </w:r>
      <w:r>
        <w:t>Johan Danielsson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invita gli Stati membri a promuovere un sistema fiscale efficiente e basato su incentivi per le politiche abitative;</w:t>
            </w:r>
            <w:r>
              <w:t xml:space="preserve"> </w:t>
            </w:r>
            <w:r>
              <w:rPr>
                <w:b/>
                <w:i/>
              </w:rPr>
              <w:t>ritiene che le norme internazionali dell'OCSE relative alle politiche abitative, come gli sgravi fiscali per i consumatori, la flessibilità nelle relazioni tra proprietari e locatari e il fatto di evitare il controllo degli affitti, si siano dimostrate vantaggiose, incoraggiando gli investimenti immobiliari e contribuendo ad alleviare la pressione sui prezzi delle abitazioni, stimolando in tal modo l'offerta nelle zone ad alta domanda;</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798</w:t>
      </w:r>
      <w:r>
        <w:rPr>
          <w:rStyle w:val="HideTWBExt"/>
        </w:rPr>
        <w:t>&lt;/NumAm&gt;</w:t>
      </w:r>
    </w:p>
    <w:p>
      <w:pPr>
        <w:pStyle w:val="NormalBold"/>
      </w:pPr>
      <w:r>
        <w:rPr>
          <w:rStyle w:val="HideTWBExt"/>
          <w:b w:val="0"/>
        </w:rPr>
        <w:t>&lt;RepeatBlock-By&gt;</w:t>
      </w:r>
      <w:r>
        <w:rPr>
          <w:rStyle w:val="HideTWBExt"/>
          <w:b w:val="0"/>
        </w:rPr>
        <w:t>&lt;Members&gt;</w:t>
      </w:r>
      <w:r>
        <w:t>Aodhán Ó Ríordáin, Andreas Schieder, Gabriele Bischoff, Alicia Homs Ginel, Marit Maij, Nora Mebarek, Isilda Gomes, Joanna Scheuring-Wielgus, Yannis Maniatis,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invita gli Stati membri </w:t>
            </w:r>
            <w:r>
              <w:rPr>
                <w:b/>
                <w:i/>
              </w:rPr>
              <w:t>a promuovere un sistema fiscale efficiente e basato su incentivi per</w:t>
            </w:r>
            <w:r>
              <w:t xml:space="preserve"> le politiche </w:t>
            </w:r>
            <w:r>
              <w:rPr>
                <w:b/>
                <w:i/>
              </w:rPr>
              <w:t>abitative;</w:t>
            </w:r>
            <w:r>
              <w:t xml:space="preserve"> </w:t>
            </w:r>
            <w:r>
              <w:rPr>
                <w:b/>
                <w:i/>
              </w:rPr>
              <w:t>ritiene che le norme internazionali dell'OCSE relative alle politiche abitative, come gli sgravi</w:t>
            </w:r>
            <w:r>
              <w:t xml:space="preserve"> fiscali </w:t>
            </w:r>
            <w:r>
              <w:rPr>
                <w:b/>
                <w:i/>
              </w:rPr>
              <w:t>per i consumatori, la flessibilità nelle relazioni tra proprietari e locatari e il fatto di evitare il controllo degli affitti, si siano dimostrate vantaggiose, incoraggiando</w:t>
            </w:r>
            <w:r>
              <w:t xml:space="preserve"> gli investimenti </w:t>
            </w:r>
            <w:r>
              <w:rPr>
                <w:b/>
                <w:i/>
              </w:rPr>
              <w:t>immobiliari e contribuendo ad alleviare la pressione sui</w:t>
            </w:r>
            <w:r>
              <w:t xml:space="preserve"> prezzi </w:t>
            </w:r>
            <w:r>
              <w:rPr>
                <w:b/>
                <w:i/>
              </w:rPr>
              <w:t>delle abitazioni, stimolando in tal modo l'offerta nelle zone ad alta domanda</w:t>
            </w:r>
            <w:r>
              <w:t>;</w:t>
            </w:r>
          </w:p>
        </w:tc>
        <w:tc>
          <w:tcPr>
            <w:tcW w:w="4876" w:type="dxa"/>
            <w:tcBorders>
              <w:top w:val="nil"/>
              <w:left w:val="nil"/>
              <w:bottom w:val="nil"/>
              <w:right w:val="nil"/>
            </w:tcBorders>
          </w:tcPr>
          <w:p>
            <w:pPr>
              <w:pStyle w:val="Normal6a"/>
            </w:pPr>
            <w:r>
              <w:t>9.</w:t>
            </w:r>
            <w:r>
              <w:tab/>
            </w:r>
            <w:r>
              <w:t xml:space="preserve">invita </w:t>
            </w:r>
            <w:r>
              <w:rPr>
                <w:b/>
                <w:i/>
              </w:rPr>
              <w:t>la Commissione a effettuare una valutazione approfondita del modo in cui gli incentivi fiscali e i regimi preferenziali incidono sul mercato degli alloggi, comprese le imposte sui beni immobili, i programmi relativi ai visti d'oro e le norme fiscali per gli investitori istituzionali, incluse le esenzioni fiscali per i fondi di investimento immobiliare, al fine di mostrarne l'impatto per quanto riguarda l'accessibilità economica, l'equità, l'offerta e la domanda in tutti</w:t>
            </w:r>
            <w:r>
              <w:t xml:space="preserve"> gli Stati membri</w:t>
            </w:r>
            <w:r>
              <w:rPr>
                <w:b/>
                <w:i/>
              </w:rPr>
              <w:t>;</w:t>
            </w:r>
            <w:r>
              <w:t xml:space="preserve"> </w:t>
            </w:r>
            <w:r>
              <w:rPr>
                <w:b/>
                <w:i/>
              </w:rPr>
              <w:t>esorta la Commissione ad agire in modo deciso per eliminare le pratiche fiscali dannose che alimentano la speculazione, riducono la disponibilità e aggravano le disuguaglianze;</w:t>
            </w:r>
            <w:r>
              <w:t xml:space="preserve"> </w:t>
            </w:r>
            <w:r>
              <w:rPr>
                <w:b/>
                <w:i/>
              </w:rPr>
              <w:t>sottolinea che</w:t>
            </w:r>
            <w:r>
              <w:t xml:space="preserve"> le politiche </w:t>
            </w:r>
            <w:r>
              <w:rPr>
                <w:b/>
                <w:i/>
              </w:rPr>
              <w:t>fiscali devono fungere da motori dell'equità e dell'inclusione sociali, rivendicando il diritto a un alloggio dignitoso e a prezzi accessibili per tutti;</w:t>
            </w:r>
            <w:r>
              <w:t xml:space="preserve"> </w:t>
            </w:r>
            <w:r>
              <w:rPr>
                <w:b/>
                <w:i/>
              </w:rPr>
              <w:t>chiede un'indagine sulle strutture</w:t>
            </w:r>
            <w:r>
              <w:t xml:space="preserve"> fiscali </w:t>
            </w:r>
            <w:r>
              <w:rPr>
                <w:b/>
                <w:i/>
              </w:rPr>
              <w:t>dei maggiori investitori istituzionali nel mercato immobiliare europeo;</w:t>
            </w:r>
            <w:r>
              <w:t xml:space="preserve"> </w:t>
            </w:r>
            <w:r>
              <w:rPr>
                <w:b/>
                <w:i/>
              </w:rPr>
              <w:t>prende inoltre in considerazione l'introduzione di un'imposta sui beni immobili speciale a livello dell'UE sugli acquirenti di paesi terzi che acquistano immobili al di là di una residenza principale o nel segmento del lusso, al fine di scoraggiare</w:t>
            </w:r>
            <w:r>
              <w:t xml:space="preserve"> gli investimenti </w:t>
            </w:r>
            <w:r>
              <w:rPr>
                <w:b/>
                <w:i/>
              </w:rPr>
              <w:t>speculativi e fornire una potenziale risorsa propria dell'UE specificamente destinata a un fondo per gli alloggi a</w:t>
            </w:r>
            <w:r>
              <w:t xml:space="preserve"> prezzi </w:t>
            </w:r>
            <w:r>
              <w:rPr>
                <w:b/>
                <w:i/>
              </w:rPr>
              <w:t>accessibili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799</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Markus Ferber, Sebastião Bugalho, Maravillas Abadía Jover, Regina Doherty, Alma Ezcurra Almansa,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invita gli Stati membri a promuovere un sistema fiscale efficiente e basato su incentivi per le politiche abitative; ritiene che le norme internazionali dell'OCSE relative alle politiche abitative, come gli sgravi fiscali per i consumatori, la flessibilità nelle relazioni tra proprietari e locatari e il fatto di evitare il controllo degli affitti, si siano dimostrate vantaggiose, incoraggiando gli investimenti immobiliari e contribuendo ad alleviare la pressione sui prezzi delle abitazioni, stimolando in tal modo l'offerta nelle zone ad alta domanda;</w:t>
            </w:r>
          </w:p>
        </w:tc>
        <w:tc>
          <w:tcPr>
            <w:tcW w:w="4876" w:type="dxa"/>
            <w:tcBorders>
              <w:top w:val="nil"/>
              <w:left w:val="nil"/>
              <w:bottom w:val="nil"/>
              <w:right w:val="nil"/>
            </w:tcBorders>
          </w:tcPr>
          <w:p>
            <w:pPr>
              <w:pStyle w:val="Normal6a"/>
            </w:pPr>
            <w:r>
              <w:t>9.</w:t>
            </w:r>
            <w:r>
              <w:tab/>
            </w:r>
            <w:r>
              <w:t>invita gli Stati membri a promuovere un sistema fiscale efficiente e basato su incentivi per le politiche abitative</w:t>
            </w:r>
            <w:r>
              <w:rPr>
                <w:b/>
                <w:i/>
              </w:rPr>
              <w:t>;</w:t>
            </w:r>
            <w:r>
              <w:t xml:space="preserve"> </w:t>
            </w:r>
            <w:r>
              <w:rPr>
                <w:b/>
                <w:i/>
              </w:rPr>
              <w:t>chiede una riforma della direttiva IVA (2006/112/CE) che potrebbe consentire l'applicazione di un'aliquota super ridotta dell'imposta sul valore aggiunto alla fornitura e alla costruzione di alloggi, nell'ambito di una politica sociale quale definita dagli Stati membri, alla ristrutturazione e alla trasformazione, comprese la demolizione e la ricostruzione, e alla riparazione di alloggi e abitazioni private, nonché alla locazione di beni immobili a uso residenziale</w:t>
            </w:r>
            <w:r>
              <w:t>; ritiene che le norme internazionali dell'OCSE relative alle politiche abitative, come gli sgravi fiscali per i consumatori, la flessibilità nelle relazioni tra proprietari e locatari e il fatto di evitare il controllo degli affitti, si siano dimostrate vantaggiose, incoraggiando gli investimenti immobiliari e contribuendo ad alleviare la pressione sui prezzi delle abitazioni, stimolando in tal modo l'offerta nelle zone ad alta domanda;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800</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invita gli Stati membri a promuovere un sistema fiscale efficiente e basato su incentivi per le politiche abitative; ritiene che </w:t>
            </w:r>
            <w:r>
              <w:rPr>
                <w:b/>
                <w:i/>
              </w:rPr>
              <w:t>le norme internazionali dell'OCSE relative alle politiche abitative, come gli sgravi fiscali per i consumatori, la flessibilità nelle relazioni tra</w:t>
            </w:r>
            <w:r>
              <w:t xml:space="preserve"> proprietari </w:t>
            </w:r>
            <w:r>
              <w:rPr>
                <w:b/>
                <w:i/>
              </w:rPr>
              <w:t>e locatari e il fatto di evitare il controllo degli affitti, si siano dimostrate vantaggiose, incoraggiando gli investimenti immobiliari e contribuendo ad alleviare la pressione sui prezzi delle abitazioni, stimolando in tal modo</w:t>
            </w:r>
            <w:r>
              <w:t xml:space="preserve"> l'offerta nelle zone ad alta domanda;</w:t>
            </w:r>
          </w:p>
        </w:tc>
        <w:tc>
          <w:tcPr>
            <w:tcW w:w="4876" w:type="dxa"/>
            <w:tcBorders>
              <w:top w:val="nil"/>
              <w:left w:val="nil"/>
              <w:bottom w:val="nil"/>
              <w:right w:val="nil"/>
            </w:tcBorders>
          </w:tcPr>
          <w:p>
            <w:pPr>
              <w:pStyle w:val="Normal6a"/>
            </w:pPr>
            <w:r>
              <w:t>9.</w:t>
            </w:r>
            <w:r>
              <w:tab/>
            </w:r>
            <w:r>
              <w:t xml:space="preserve">invita gli Stati membri a promuovere un sistema fiscale efficiente e basato su incentivi per le politiche abitative </w:t>
            </w:r>
            <w:r>
              <w:rPr>
                <w:b/>
                <w:i/>
              </w:rPr>
              <w:t>al fine di scoraggiare la speculazione immobiliare</w:t>
            </w:r>
            <w:r>
              <w:t xml:space="preserve">; ritiene che </w:t>
            </w:r>
            <w:r>
              <w:rPr>
                <w:b/>
                <w:i/>
              </w:rPr>
              <w:t>una tassazione efficace dei</w:t>
            </w:r>
            <w:r>
              <w:t xml:space="preserve"> proprietari </w:t>
            </w:r>
            <w:r>
              <w:rPr>
                <w:b/>
                <w:i/>
              </w:rPr>
              <w:t>di più immobili che mantengono deliberatamente una residenza principale vacante contribuirà a stimolare</w:t>
            </w:r>
            <w:r>
              <w:t xml:space="preserve"> l'offerta nelle zone ad alta domanda; </w:t>
            </w:r>
            <w:r>
              <w:rPr>
                <w:b/>
                <w:i/>
              </w:rPr>
              <w:t>ritiene che la tassazione, la regolamentazione degli affitti e altri strumenti per garantire l'accessibilità economica siano strumenti legittimi e necessari affinché gli Stati membri adempiano il loro obbligo di garantire il diritto all'alloggio;</w:t>
            </w:r>
            <w:r>
              <w:t xml:space="preserve"> </w:t>
            </w:r>
            <w:r>
              <w:rPr>
                <w:b/>
                <w:i/>
              </w:rPr>
              <w:t>ricorda che la governance economica e la politica di concorrenza dell'UE non devono impedire l'adozione di tali misure allorché perseguano obiettivi sociali e tutelino i gruppi vulnerabili;</w:t>
            </w:r>
            <w:r>
              <w:t xml:space="preserve"> </w:t>
            </w:r>
            <w:r>
              <w:rPr>
                <w:b/>
                <w:i/>
              </w:rPr>
              <w:t>invita gli Stati membri a includere la deterrenza fiscale in tale strategia per aumentare l'offerta di alloggi;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801</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rPr>
                <w:b/>
                <w:i/>
              </w:rPr>
              <w:t>invita gli</w:t>
            </w:r>
            <w:r>
              <w:t xml:space="preserve"> Stati membri </w:t>
            </w:r>
            <w:r>
              <w:rPr>
                <w:b/>
                <w:i/>
              </w:rPr>
              <w:t>a promuovere un sistema fiscale efficiente e basato su incentivi per le politiche abitative;</w:t>
            </w:r>
            <w:r>
              <w:t xml:space="preserve"> </w:t>
            </w:r>
            <w:r>
              <w:rPr>
                <w:b/>
                <w:i/>
              </w:rPr>
              <w:t>ritiene che le norme internazionali dell'OCSE relative alle politiche abitative, come gli sgravi fiscali per i consumatori, la flessibilità nelle relazioni tra proprietari e locatari e il fatto di evitare il controllo degli affitti, si siano dimostrate vantaggiose, incoraggiando gli investimenti</w:t>
            </w:r>
            <w:r>
              <w:t xml:space="preserve"> immobiliari </w:t>
            </w:r>
            <w:r>
              <w:rPr>
                <w:b/>
                <w:i/>
              </w:rPr>
              <w:t>e contribuendo ad alleviare la pressione sui prezzi delle</w:t>
            </w:r>
            <w:r>
              <w:t xml:space="preserve"> abitazioni</w:t>
            </w:r>
            <w:r>
              <w:rPr>
                <w:b/>
                <w:i/>
              </w:rPr>
              <w:t>, stimolando in tal modo l'offerta nelle zone ad alta domanda</w:t>
            </w:r>
            <w:r>
              <w:t>;</w:t>
            </w:r>
          </w:p>
        </w:tc>
        <w:tc>
          <w:tcPr>
            <w:tcW w:w="4876" w:type="dxa"/>
            <w:tcBorders>
              <w:top w:val="nil"/>
              <w:left w:val="nil"/>
              <w:bottom w:val="nil"/>
              <w:right w:val="nil"/>
            </w:tcBorders>
          </w:tcPr>
          <w:p>
            <w:pPr>
              <w:pStyle w:val="Normal6a"/>
            </w:pPr>
            <w:r>
              <w:t>9.</w:t>
            </w:r>
            <w:r>
              <w:tab/>
            </w:r>
            <w:r>
              <w:rPr>
                <w:b/>
                <w:i/>
              </w:rPr>
              <w:t>critica il fatto che le attuali politiche fiscali in alcuni</w:t>
            </w:r>
            <w:r>
              <w:t xml:space="preserve"> Stati membri </w:t>
            </w:r>
            <w:r>
              <w:rPr>
                <w:b/>
                <w:i/>
              </w:rPr>
              <w:t>favoriscano in modo sproporzionato gli investitori</w:t>
            </w:r>
            <w:r>
              <w:t xml:space="preserve"> immobiliari</w:t>
            </w:r>
            <w:r>
              <w:rPr>
                <w:b/>
                <w:i/>
              </w:rPr>
              <w:t>, offrendo incentivi distorsivi in materia di alloggi, che aggravano le disuguaglianze e limitano la disponibilità di alloggi per coloro che ne hanno bisogno;</w:t>
            </w:r>
            <w:r>
              <w:t xml:space="preserve"> </w:t>
            </w:r>
            <w:r>
              <w:rPr>
                <w:b/>
                <w:i/>
              </w:rPr>
              <w:t>chiede una combinazione fiscale equilibrata negli Stati membri, che assoggetti a tassazione i redditi da capitale, come il reddito da locazione, in modo equo e progressivo, tassando gli affitti a lungo termine in modo più favorevole rispetto a quelli a breve termine;</w:t>
            </w:r>
            <w:r>
              <w:t xml:space="preserve"> </w:t>
            </w:r>
            <w:r>
              <w:rPr>
                <w:b/>
                <w:i/>
              </w:rPr>
              <w:t>chiede inoltre un'imposta minima sulle plusvalenze nell'UE e un coordinamento su un'imposta sui beni immobili a livello europeo, nonché l'eliminazione degli ostacoli fiscali a livello degli Stati membri per i nuovi arrivati sul mercato degli alloggi, come ad esempio le elevate imposte di registro in alcuni paesi, e l'introduzione nel contempo di imposte sugli alloggi vacanti e sulle</w:t>
            </w:r>
            <w:r>
              <w:t xml:space="preserve"> abitazioni </w:t>
            </w:r>
            <w:r>
              <w:rPr>
                <w:b/>
                <w:i/>
              </w:rPr>
              <w:t>secondarie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802</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Markus Ferber, Sebastião Bugalho, Maravillas Abadía Jover, Regina Doherty, Alma Ezcurra Almansa,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invita gli Stati membri a promuovere un sistema fiscale efficiente e basato su incentivi per le politiche abitative; ritiene che le norme internazionali dell'OCSE relative alle politiche abitative, come gli sgravi fiscali per i consumatori, la flessibilità nelle relazioni tra proprietari e locatari e il fatto di evitare il controllo degli affitti, si siano dimostrate vantaggiose, incoraggiando gli investimenti immobiliari e contribuendo ad alleviare la pressione sui prezzi delle abitazioni, stimolando in tal modo l'offerta nelle zone ad alta domanda;</w:t>
            </w:r>
          </w:p>
        </w:tc>
        <w:tc>
          <w:tcPr>
            <w:tcW w:w="4876" w:type="dxa"/>
            <w:tcBorders>
              <w:top w:val="nil"/>
              <w:left w:val="nil"/>
              <w:bottom w:val="nil"/>
              <w:right w:val="nil"/>
            </w:tcBorders>
          </w:tcPr>
          <w:p>
            <w:pPr>
              <w:pStyle w:val="Normal6a"/>
            </w:pPr>
            <w:r>
              <w:t>9.</w:t>
            </w:r>
            <w:r>
              <w:tab/>
            </w:r>
            <w:r>
              <w:t>invita gli Stati membri a promuovere un sistema fiscale efficiente e basato su incentivi per le politiche abitative</w:t>
            </w:r>
            <w:r>
              <w:rPr>
                <w:b/>
                <w:i/>
              </w:rPr>
              <w:t>;</w:t>
            </w:r>
            <w:r>
              <w:t xml:space="preserve"> </w:t>
            </w:r>
            <w:r>
              <w:rPr>
                <w:b/>
                <w:i/>
              </w:rPr>
              <w:t>sottolinea con la massima fermezza che il patto di stabilità e crescita non deve essere compromesso, in quanto ciò potrebbe provocare instabilità finanziaria nell'Unione, che è essenziale per la proliferazione degli alloggi</w:t>
            </w:r>
            <w:r>
              <w:t>; ritiene che le norme internazionali dell'OCSE relative alle politiche abitative, come gli sgravi fiscali per i consumatori, la flessibilità nelle relazioni tra proprietari e locatari e il fatto di evitare il controllo degli affitti, si siano dimostrate vantaggiose, incoraggiando gli investimenti immobiliari e contribuendo ad alleviare la pressione sui prezzi delle abitazioni, stimolando in tal modo l'offerta nelle zone ad alta domanda;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803</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invita gli Stati membri a promuovere un sistema fiscale efficiente e basato su incentivi per le politiche abitative; ritiene che le norme internazionali dell'OCSE relative alle politiche abitative, come gli sgravi fiscali per i consumatori, la flessibilità nelle relazioni tra proprietari e locatari e il fatto di evitare il controllo degli affitti, si siano dimostrate vantaggiose, incoraggiando gli investimenti immobiliari e contribuendo ad alleviare la pressione sui prezzi delle abitazioni, stimolando in tal modo l'offerta nelle zone ad alta domanda;</w:t>
            </w:r>
          </w:p>
        </w:tc>
        <w:tc>
          <w:tcPr>
            <w:tcW w:w="4876" w:type="dxa"/>
            <w:tcBorders>
              <w:top w:val="nil"/>
              <w:left w:val="nil"/>
              <w:bottom w:val="nil"/>
              <w:right w:val="nil"/>
            </w:tcBorders>
          </w:tcPr>
          <w:p>
            <w:pPr>
              <w:pStyle w:val="Normal6a"/>
            </w:pPr>
            <w:r>
              <w:t>9.</w:t>
            </w:r>
            <w:r>
              <w:tab/>
            </w:r>
            <w:r>
              <w:t xml:space="preserve">invita gli Stati membri a promuovere un sistema fiscale efficiente e basato su incentivi per le politiche abitative; ritiene che le norme internazionali dell'OCSE relative alle politiche abitative, come gli sgravi fiscali per i consumatori, la flessibilità nelle relazioni tra proprietari e locatari e il fatto di evitare il controllo degli affitti, si siano dimostrate vantaggiose, incoraggiando gli investimenti immobiliari e contribuendo ad alleviare la pressione sui prezzi delle abitazioni, stimolando in tal modo l'offerta nelle zone ad alta domanda; </w:t>
            </w:r>
            <w:r>
              <w:rPr>
                <w:b/>
                <w:i/>
              </w:rPr>
              <w:t>chiede l'esenzione delle associazioni di edilizia sociale nella direttiva anti-elusione (direttiva (UE )2016/1164 del Consiglio), mentre devono essere messe in atto misure di salvaguardia contro gli abusi;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804</w:t>
      </w:r>
      <w:r>
        <w:rPr>
          <w:rStyle w:val="HideTWBExt"/>
        </w:rPr>
        <w:t>&lt;/NumAm&gt;</w:t>
      </w:r>
    </w:p>
    <w:p>
      <w:pPr>
        <w:pStyle w:val="NormalBold"/>
      </w:pPr>
      <w:r>
        <w:rPr>
          <w:rStyle w:val="HideTWBExt"/>
          <w:b w:val="0"/>
        </w:rPr>
        <w:t>&lt;RepeatBlock-By&gt;</w:t>
      </w:r>
      <w:r>
        <w:rPr>
          <w:rStyle w:val="HideTWBExt"/>
          <w:b w:val="0"/>
        </w:rPr>
        <w:t>&lt;Members&gt;</w:t>
      </w:r>
      <w:r>
        <w:t>Klara Dostalova, Julie Rechagneux, Ondřej Knotek, Jorge Buxadé Villalba, Jaroslav Bžoch, Rachel Blom, 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invita gli Stati membri a promuovere un sistema fiscale efficiente e basato su incentivi per le politiche abitative; </w:t>
            </w:r>
            <w:r>
              <w:rPr>
                <w:b/>
                <w:i/>
              </w:rPr>
              <w:t>ritiene che le norme</w:t>
            </w:r>
            <w:r>
              <w:t xml:space="preserve"> internazionali </w:t>
            </w:r>
            <w:r>
              <w:rPr>
                <w:b/>
                <w:i/>
              </w:rPr>
              <w:t>dell'OCSE relative alle politiche abitative</w:t>
            </w:r>
            <w:r>
              <w:t xml:space="preserve">, come gli sgravi fiscali per i consumatori, la flessibilità nelle relazioni tra proprietari e locatari e il fatto di evitare il controllo degli affitti, </w:t>
            </w:r>
            <w:r>
              <w:rPr>
                <w:b/>
                <w:i/>
              </w:rPr>
              <w:t>si siano dimostrate vantaggiose, incoraggiando gli investimenti immobiliari e contribuendo ad alleviare la pressione sui prezzi delle abitazioni, stimolando in tal modo l'offerta nelle zone ad alta domanda</w:t>
            </w:r>
            <w:r>
              <w:t>;</w:t>
            </w:r>
          </w:p>
        </w:tc>
        <w:tc>
          <w:tcPr>
            <w:tcW w:w="4876" w:type="dxa"/>
            <w:tcBorders>
              <w:top w:val="nil"/>
              <w:left w:val="nil"/>
              <w:bottom w:val="nil"/>
              <w:right w:val="nil"/>
            </w:tcBorders>
          </w:tcPr>
          <w:p>
            <w:pPr>
              <w:pStyle w:val="Normal6a"/>
            </w:pPr>
            <w:r>
              <w:t>9.</w:t>
            </w:r>
            <w:r>
              <w:tab/>
            </w:r>
            <w:r>
              <w:t xml:space="preserve">invita gli Stati membri a promuovere un sistema fiscale efficiente e basato su incentivi per le politiche abitative; </w:t>
            </w:r>
            <w:r>
              <w:rPr>
                <w:b/>
                <w:i/>
              </w:rPr>
              <w:t>sottolinea che la politica fiscale è di competenza esclusiva degli Stati membri e deve rimanere pienamente sotto la loro autorità;</w:t>
            </w:r>
            <w:r>
              <w:t xml:space="preserve"> </w:t>
            </w:r>
            <w:r>
              <w:rPr>
                <w:b/>
                <w:i/>
              </w:rPr>
              <w:t>sottolinea che gli Stati membri possono trarre ispirazione dalle esperienze</w:t>
            </w:r>
            <w:r>
              <w:t xml:space="preserve"> internazionali, come gli sgravi fiscali per i consumatori, la flessibilità nelle relazioni tra proprietari e locatari e il fatto di evitare il controllo degli affitti, </w:t>
            </w:r>
            <w:r>
              <w:rPr>
                <w:b/>
                <w:i/>
              </w:rPr>
              <w:t>adattando nel contempo tali misure ai contesti nazionali;</w:t>
            </w:r>
            <w:r>
              <w:t xml:space="preserve"> </w:t>
            </w:r>
            <w:r>
              <w:rPr>
                <w:b/>
                <w:i/>
              </w:rPr>
              <w:t>sottolinea che il ruolo dell'UE dovrebbe essere limitato ad agevolare lo scambio di buone pratiche senza imporre norme od obblighi comuni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805</w:t>
      </w:r>
      <w:r>
        <w:rPr>
          <w:rStyle w:val="HideTWBExt"/>
        </w:rPr>
        <w:t>&lt;/NumAm&gt;</w:t>
      </w:r>
    </w:p>
    <w:p>
      <w:pPr>
        <w:pStyle w:val="NormalBold"/>
      </w:pPr>
      <w:r>
        <w:rPr>
          <w:rStyle w:val="HideTWBExt"/>
          <w:b w:val="0"/>
        </w:rPr>
        <w:t>&lt;RepeatBlock-By&gt;</w:t>
      </w:r>
      <w:r>
        <w:rPr>
          <w:rStyle w:val="HideTWBExt"/>
          <w:b w:val="0"/>
        </w:rPr>
        <w:t>&lt;Members&gt;</w:t>
      </w:r>
      <w:r>
        <w:t>Julie Rechagneux, Marie Dauchy, Anne-Sophie Frigout, France Jamet, Mathilde Androuët, Catherine Griset, Marie-Luce Brasier-Clain, Aleksandar Nikolic, Mélanie Disdier, Klara Dostalova, Rachel Blom</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invita gli Stati membri a promuovere un sistema fiscale efficiente e basato su incentivi per le politiche abitative; ritiene che le norme internazionali dell'OCSE relative alle politiche abitative, come gli sgravi fiscali per i consumatori, la flessibilità nelle relazioni tra proprietari e locatari e il fatto di evitare il controllo degli affitti, si siano dimostrate vantaggiose, incoraggiando gli investimenti immobiliari e contribuendo ad alleviare la pressione sui prezzi delle abitazioni, stimolando in tal modo l'offerta nelle zone ad alta domanda;</w:t>
            </w:r>
          </w:p>
        </w:tc>
        <w:tc>
          <w:tcPr>
            <w:tcW w:w="4876" w:type="dxa"/>
            <w:tcBorders>
              <w:top w:val="nil"/>
              <w:left w:val="nil"/>
              <w:bottom w:val="nil"/>
              <w:right w:val="nil"/>
            </w:tcBorders>
          </w:tcPr>
          <w:p>
            <w:pPr>
              <w:pStyle w:val="Normal6a"/>
            </w:pPr>
            <w:r>
              <w:t>9.</w:t>
            </w:r>
            <w:r>
              <w:tab/>
            </w:r>
            <w:r>
              <w:t>invita gli Stati membri a promuovere un sistema fiscale efficiente e basato su incentivi per le politiche abitative; ritiene che le norme internazionali dell'OCSE relative alle politiche abitative, come gli sgravi fiscali per i consumatori, la flessibilità nelle relazioni tra proprietari e locatari</w:t>
            </w:r>
            <w:r>
              <w:rPr>
                <w:b/>
                <w:i/>
              </w:rPr>
              <w:t>, la promozione della circolazione del capitale immobiliare attraverso un regime di tassazione delle plusvalenze basato su incentivi, la moderazione delle spese di successione</w:t>
            </w:r>
            <w:r>
              <w:t> e il fatto di evitare il controllo degli affitti, si siano dimostrate vantaggiose, incoraggiando gli investimenti immobiliari e contribuendo ad alleviare la pressione sui prezzi delle abitazioni, stimolando in tal modo l'offerta nelle zone ad alta domanda;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806</w:t>
      </w:r>
      <w:r>
        <w:rPr>
          <w:rStyle w:val="HideTWBExt"/>
        </w:rPr>
        <w:t>&lt;/NumAm&gt;</w:t>
      </w:r>
    </w:p>
    <w:p>
      <w:pPr>
        <w:pStyle w:val="NormalBold"/>
      </w:pPr>
      <w:r>
        <w:rPr>
          <w:rStyle w:val="HideTWBExt"/>
          <w:b w:val="0"/>
        </w:rPr>
        <w:t>&lt;RepeatBlock-By&gt;</w:t>
      </w:r>
      <w:r>
        <w:rPr>
          <w:rStyle w:val="HideTWBExt"/>
          <w:b w:val="0"/>
        </w:rPr>
        <w:t>&lt;Members&gt;</w:t>
      </w:r>
      <w:r>
        <w:t>Julie Rechagneux, Marie-Luce Brasier-Clain, Aleksandar Nikolic, Rachel Blom</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invita gli Stati membri a promuovere un sistema fiscale efficiente e basato su incentivi per le politiche abitative; ritiene che le norme internazionali dell'OCSE relative alle politiche abitative, come gli sgravi fiscali per i consumatori, la flessibilità nelle relazioni tra proprietari e locatari e il fatto di evitare il controllo degli affitti, si siano dimostrate vantaggiose, incoraggiando gli investimenti immobiliari e contribuendo ad alleviare la pressione sui prezzi delle abitazioni, stimolando in tal modo l'offerta nelle zone ad alta domanda;</w:t>
            </w:r>
          </w:p>
        </w:tc>
        <w:tc>
          <w:tcPr>
            <w:tcW w:w="4876" w:type="dxa"/>
            <w:tcBorders>
              <w:top w:val="nil"/>
              <w:left w:val="nil"/>
              <w:bottom w:val="nil"/>
              <w:right w:val="nil"/>
            </w:tcBorders>
          </w:tcPr>
          <w:p>
            <w:pPr>
              <w:pStyle w:val="Normal6a"/>
            </w:pPr>
            <w:r>
              <w:t>9.</w:t>
            </w:r>
            <w:r>
              <w:tab/>
            </w:r>
            <w:r>
              <w:t>invita gli Stati membri a promuovere un sistema fiscale efficiente e basato su incentivi per le politiche abitative; ritiene che le norme internazionali dell'OCSE relative alle politiche abitative, come gli sgravi fiscali per i consumatori, la flessibilità nelle relazioni tra proprietari e locatari</w:t>
            </w:r>
            <w:r>
              <w:rPr>
                <w:b/>
                <w:i/>
              </w:rPr>
              <w:t>, la promozione della circolazione del capitale immobiliare attraverso un regime di tassazione delle plusvalenze immobiliari basato su incentivi, la moderazione delle spese di successione</w:t>
            </w:r>
            <w:r>
              <w:t> e il fatto di evitare il controllo degli affitti, si siano dimostrate vantaggiose, incoraggiando gli investimenti immobiliari e contribuendo ad alleviare la pressione sui prezzi delle abitazioni, stimolando in tal modo l'offerta nelle zone ad alta domanda;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807</w:t>
      </w:r>
      <w:r>
        <w:rPr>
          <w:rStyle w:val="HideTWBExt"/>
        </w:rPr>
        <w:t>&lt;/NumAm&gt;</w:t>
      </w:r>
    </w:p>
    <w:p>
      <w:pPr>
        <w:pStyle w:val="NormalBold"/>
      </w:pPr>
      <w:r>
        <w:rPr>
          <w:rStyle w:val="HideTWBExt"/>
          <w:b w:val="0"/>
        </w:rPr>
        <w:t>&lt;RepeatBlock-By&gt;</w:t>
      </w:r>
      <w:r>
        <w:rPr>
          <w:rStyle w:val="HideTWBExt"/>
          <w:b w:val="0"/>
        </w:rPr>
        <w:t>&lt;Members&gt;</w:t>
      </w:r>
      <w:r>
        <w:t>Marco Falcone, Flavio Tosi, Caterina Chinnici, Letizia Moratti, Massimiliano Salini, Salvatore De Meo, Giusi Princi, Fulvio Martusciello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invita gli Stati membri a promuovere un sistema fiscale efficiente e basato su incentivi per le politiche abitative; </w:t>
            </w:r>
            <w:r>
              <w:rPr>
                <w:b/>
                <w:i/>
              </w:rPr>
              <w:t>ritiene che le norme internazionali dell'OCSE relative alle politiche abitative, come gli sgravi</w:t>
            </w:r>
            <w:r>
              <w:t xml:space="preserve"> fiscali per </w:t>
            </w:r>
            <w:r>
              <w:rPr>
                <w:b/>
                <w:i/>
              </w:rPr>
              <w:t>i consumatori, la flessibilità nelle relazioni tra proprietari e locatari e il fatto di evitare il controllo</w:t>
            </w:r>
            <w:r>
              <w:t xml:space="preserve"> degli </w:t>
            </w:r>
            <w:r>
              <w:rPr>
                <w:b/>
                <w:i/>
              </w:rPr>
              <w:t>affitti, si siano dimostrate vantaggiose, incoraggiando gli investimenti immobiliari e contribuendo ad alleviare la pressione sui</w:t>
            </w:r>
            <w:r>
              <w:t xml:space="preserve"> prezzi </w:t>
            </w:r>
            <w:r>
              <w:rPr>
                <w:b/>
                <w:i/>
              </w:rPr>
              <w:t>delle abitazioni, stimolando in tal modo l'offerta nelle zone ad alta domanda</w:t>
            </w:r>
            <w:r>
              <w:t>;</w:t>
            </w:r>
          </w:p>
        </w:tc>
        <w:tc>
          <w:tcPr>
            <w:tcW w:w="4876" w:type="dxa"/>
            <w:tcBorders>
              <w:top w:val="nil"/>
              <w:left w:val="nil"/>
              <w:bottom w:val="nil"/>
              <w:right w:val="nil"/>
            </w:tcBorders>
          </w:tcPr>
          <w:p>
            <w:pPr>
              <w:pStyle w:val="Normal6a"/>
            </w:pPr>
            <w:r>
              <w:t>9.</w:t>
            </w:r>
            <w:r>
              <w:tab/>
            </w:r>
            <w:r>
              <w:t xml:space="preserve">invita gli Stati membri a promuovere un sistema fiscale efficiente e basato su incentivi per le politiche abitative; </w:t>
            </w:r>
            <w:r>
              <w:rPr>
                <w:b/>
                <w:i/>
              </w:rPr>
              <w:t>invita la Commissione e gli Stati membri a istituire un quadro coordinato di incentivi</w:t>
            </w:r>
            <w:r>
              <w:t xml:space="preserve"> fiscali per </w:t>
            </w:r>
            <w:r>
              <w:rPr>
                <w:b/>
                <w:i/>
              </w:rPr>
              <w:t>la ristrutturazione</w:t>
            </w:r>
            <w:r>
              <w:t xml:space="preserve"> degli </w:t>
            </w:r>
            <w:r>
              <w:rPr>
                <w:b/>
                <w:i/>
              </w:rPr>
              <w:t>alloggi e le nuove costruzioni, compresa l'applicazione di un'aliquota IVA ridotta non superiore al 4 % per i progetti in materia di alloggi a</w:t>
            </w:r>
            <w:r>
              <w:t xml:space="preserve"> prezzi </w:t>
            </w:r>
            <w:r>
              <w:rPr>
                <w:b/>
                <w:i/>
              </w:rPr>
              <w:t>accessibili, sociali o efficienti sotto il profilo energetico;</w:t>
            </w:r>
            <w:r>
              <w:t xml:space="preserve"> </w:t>
            </w:r>
            <w:r>
              <w:rPr>
                <w:b/>
                <w:i/>
              </w:rPr>
              <w:t>sottolinea che tali misure dovrebbero rispettare la neutralità fiscale, essere coerenti con gli obiettivi del Green Deal europeo e dare priorità al sostegno alle famiglie a basso e medio reddito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808</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Markus Ferber, Sebastião Bugalho, Maravillas Abadía Jover, Regina Doherty, Alma Ezcurra Almansa,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invita gli Stati membri a promuovere un sistema fiscale efficiente e basato su incentivi per le politiche abitative; ritiene che le norme internazionali dell'OCSE relative alle politiche abitative, come gli sgravi fiscali per i consumatori, la flessibilità nelle relazioni tra proprietari e locatari e il fatto di evitare il controllo degli affitti, si siano dimostrate vantaggiose, incoraggiando gli investimenti immobiliari e contribuendo ad alleviare la pressione sui prezzi delle abitazioni, stimolando in tal modo l'offerta nelle zone ad alta domanda;</w:t>
            </w:r>
          </w:p>
        </w:tc>
        <w:tc>
          <w:tcPr>
            <w:tcW w:w="4876" w:type="dxa"/>
            <w:tcBorders>
              <w:top w:val="nil"/>
              <w:left w:val="nil"/>
              <w:bottom w:val="nil"/>
              <w:right w:val="nil"/>
            </w:tcBorders>
          </w:tcPr>
          <w:p>
            <w:pPr>
              <w:pStyle w:val="Normal6a"/>
            </w:pPr>
            <w:r>
              <w:t>9.</w:t>
            </w:r>
            <w:r>
              <w:tab/>
            </w:r>
            <w:r>
              <w:t>invita gli Stati membri a promuovere un sistema fiscale efficiente e basato su incentivi per le politiche abitative</w:t>
            </w:r>
            <w:r>
              <w:rPr>
                <w:b/>
                <w:i/>
              </w:rPr>
              <w:t>;</w:t>
            </w:r>
            <w:r>
              <w:t xml:space="preserve"> </w:t>
            </w:r>
            <w:r>
              <w:rPr>
                <w:b/>
                <w:i/>
              </w:rPr>
              <w:t>sottolinea che sia la clausola di salvaguardia generale sia la clausola di salvaguardia nazionale dovrebbero rimanere uno strumento eccezionale e temporaneo</w:t>
            </w:r>
            <w:r>
              <w:t>; ritiene che le norme internazionali dell'OCSE relative alle politiche abitative, come gli sgravi fiscali per i consumatori, la flessibilità nelle relazioni tra proprietari e locatari e il fatto di evitare il controllo degli affitti, si siano dimostrate vantaggiose, incoraggiando gli investimenti immobiliari e contribuendo ad alleviare la pressione sui prezzi delle abitazioni, stimolando in tal modo l'offerta nelle zone ad alta domanda;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809</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Markus Ferber, Sebastião Bugalho, Maravillas Abadía Jover, Regina Doherty, Alma Ezcurra Almansa,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invita gli Stati membri a promuovere un sistema fiscale efficiente e basato su incentivi per le politiche abitative; ritiene che le norme internazionali dell'OCSE relative alle politiche abitative, come gli sgravi fiscali per i consumatori, la flessibilità nelle relazioni tra proprietari e locatari e il fatto di evitare il controllo degli affitti, si siano dimostrate vantaggiose, incoraggiando gli investimenti immobiliari e contribuendo ad alleviare la pressione sui prezzi delle abitazioni, stimolando in tal modo l'offerta nelle zone ad alta domanda;</w:t>
            </w:r>
          </w:p>
        </w:tc>
        <w:tc>
          <w:tcPr>
            <w:tcW w:w="4876" w:type="dxa"/>
            <w:tcBorders>
              <w:top w:val="nil"/>
              <w:left w:val="nil"/>
              <w:bottom w:val="nil"/>
              <w:right w:val="nil"/>
            </w:tcBorders>
          </w:tcPr>
          <w:p>
            <w:pPr>
              <w:pStyle w:val="Normal6a"/>
            </w:pPr>
            <w:r>
              <w:t>9.</w:t>
            </w:r>
            <w:r>
              <w:tab/>
            </w:r>
            <w:r>
              <w:t>invita gli Stati membri a promuovere un sistema fiscale efficiente e basato su incentivi per le politiche abitative</w:t>
            </w:r>
            <w:r>
              <w:rPr>
                <w:b/>
                <w:i/>
              </w:rPr>
              <w:t>;</w:t>
            </w:r>
            <w:r>
              <w:t xml:space="preserve"> </w:t>
            </w:r>
            <w:r>
              <w:rPr>
                <w:b/>
                <w:i/>
              </w:rPr>
              <w:t>sottolinea che qualsiasi investimento pubblico nell'edilizia abitativa deve rimanere coerente con le norme di bilancio dell'Unione</w:t>
            </w:r>
            <w:r>
              <w:t>; ritiene che le norme internazionali dell'OCSE relative alle politiche abitative, come gli sgravi fiscali per i consumatori, la flessibilità nelle relazioni tra proprietari e locatari e il fatto di evitare il controllo degli affitti, si siano dimostrate vantaggiose, incoraggiando gli investimenti immobiliari e contribuendo ad alleviare la pressione sui prezzi delle abitazioni, stimolando in tal modo l'offerta nelle zone ad alta domanda;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810</w:t>
      </w:r>
      <w:r>
        <w:rPr>
          <w:rStyle w:val="HideTWBExt"/>
        </w:rPr>
        <w:t>&lt;/NumAm&gt;</w:t>
      </w:r>
    </w:p>
    <w:p>
      <w:pPr>
        <w:pStyle w:val="NormalBold"/>
      </w:pPr>
      <w:r>
        <w:rPr>
          <w:rStyle w:val="HideTWBExt"/>
          <w:b w:val="0"/>
        </w:rPr>
        <w:t>&lt;RepeatBlock-By&gt;</w:t>
      </w:r>
      <w:r>
        <w:rPr>
          <w:rStyle w:val="HideTWBExt"/>
          <w:b w:val="0"/>
        </w:rPr>
        <w:t>&lt;Members&gt;</w:t>
      </w:r>
      <w:r>
        <w:t>Brigitte van den Berg, Barry Cowen, Martin Hojsík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invita gli Stati membri a promuovere un sistema fiscale efficiente e basato su incentivi per le politiche abitative; ritiene che le norme internazionali dell'OCSE relative alle politiche abitative</w:t>
            </w:r>
            <w:r>
              <w:rPr>
                <w:b/>
                <w:i/>
              </w:rPr>
              <w:t>, come gli sgravi fiscali per i consumatori, la flessibilità nelle relazioni tra proprietari e locatari e il fatto di evitare il controllo degli affitti,</w:t>
            </w:r>
            <w:r>
              <w:t xml:space="preserve"> si siano dimostrate vantaggiose, incoraggiando gli investimenti immobiliari e contribuendo ad alleviare la pressione sui prezzi delle abitazioni, stimolando in tal modo l'offerta nelle zone ad alta domanda;</w:t>
            </w:r>
          </w:p>
        </w:tc>
        <w:tc>
          <w:tcPr>
            <w:tcW w:w="4876" w:type="dxa"/>
            <w:tcBorders>
              <w:top w:val="nil"/>
              <w:left w:val="nil"/>
              <w:bottom w:val="nil"/>
              <w:right w:val="nil"/>
            </w:tcBorders>
          </w:tcPr>
          <w:p>
            <w:pPr>
              <w:pStyle w:val="Normal6a"/>
            </w:pPr>
            <w:r>
              <w:t>9.</w:t>
            </w:r>
            <w:r>
              <w:tab/>
            </w:r>
            <w:r>
              <w:t>invita gli Stati membri a promuovere un sistema fiscale efficiente e basato su incentivi per le politiche abitative; ritiene che le norme internazionali dell'OCSE relative alle politiche abitative si siano dimostrate vantaggiose, incoraggiando gli investimenti immobiliari e contribuendo ad alleviare la pressione sui prezzi delle abitazioni, stimolando in tal modo l'offerta nelle zone ad alta domanda;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811</w:t>
      </w:r>
      <w:r>
        <w:rPr>
          <w:rStyle w:val="HideTWBExt"/>
        </w:rPr>
        <w:t>&lt;/NumAm&gt;</w:t>
      </w:r>
    </w:p>
    <w:p>
      <w:pPr>
        <w:pStyle w:val="NormalBold"/>
      </w:pPr>
      <w:r>
        <w:rPr>
          <w:rStyle w:val="HideTWBExt"/>
          <w:b w:val="0"/>
        </w:rPr>
        <w:t>&lt;RepeatBlock-By&gt;</w:t>
      </w:r>
      <w:r>
        <w:rPr>
          <w:rStyle w:val="HideTWBExt"/>
          <w:b w:val="0"/>
        </w:rPr>
        <w:t>&lt;Members&gt;</w:t>
      </w:r>
      <w:r>
        <w:t>György Hölvényi, Pál Szekeres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invita gli Stati membri a promuovere un sistema fiscale efficiente e basato su incentivi per le politiche abitative; ritiene che le norme internazionali dell'OCSE relative alle politiche abitative, come gli sgravi fiscali per i consumatori, la flessibilità nelle relazioni tra proprietari e locatari e il fatto di evitare il controllo degli affitti, si siano dimostrate vantaggiose, incoraggiando gli investimenti immobiliari e contribuendo ad alleviare la pressione sui prezzi delle abitazioni, stimolando in tal modo l'offerta nelle zone ad alta domanda;</w:t>
            </w:r>
          </w:p>
        </w:tc>
        <w:tc>
          <w:tcPr>
            <w:tcW w:w="4876" w:type="dxa"/>
            <w:tcBorders>
              <w:top w:val="nil"/>
              <w:left w:val="nil"/>
              <w:bottom w:val="nil"/>
              <w:right w:val="nil"/>
            </w:tcBorders>
          </w:tcPr>
          <w:p>
            <w:pPr>
              <w:pStyle w:val="Normal6a"/>
            </w:pPr>
            <w:r>
              <w:t>9.</w:t>
            </w:r>
            <w:r>
              <w:tab/>
            </w:r>
            <w:r>
              <w:t xml:space="preserve">invita gli Stati membri a promuovere un sistema fiscale efficiente e basato su incentivi per le politiche abitative; ritiene che le norme internazionali dell'OCSE relative alle politiche abitative, come gli sgravi fiscali </w:t>
            </w:r>
            <w:r>
              <w:rPr>
                <w:b/>
                <w:i/>
              </w:rPr>
              <w:t>e i contributi in conto interessi</w:t>
            </w:r>
            <w:r>
              <w:t xml:space="preserve"> per i consumatori, la flessibilità nelle relazioni tra proprietari e locatari e il fatto di evitare il controllo degli affitti, si siano dimostrate vantaggiose, incoraggiando gli investimenti immobiliari e contribuendo ad alleviare la pressione sui prezzi delle abitazioni, stimolando in tal modo l'offerta nelle zone ad alta domanda;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812</w:t>
      </w:r>
      <w:r>
        <w:rPr>
          <w:rStyle w:val="HideTWBExt"/>
        </w:rPr>
        <w:t>&lt;/NumAm&gt;</w:t>
      </w:r>
    </w:p>
    <w:p>
      <w:pPr>
        <w:pStyle w:val="NormalBold"/>
      </w:pPr>
      <w:r>
        <w:rPr>
          <w:rStyle w:val="HideTWBExt"/>
          <w:b w:val="0"/>
        </w:rPr>
        <w:t>&lt;RepeatBlock-By&gt;</w:t>
      </w:r>
      <w:r>
        <w:rPr>
          <w:rStyle w:val="HideTWBExt"/>
          <w:b w:val="0"/>
        </w:rPr>
        <w:t>&lt;Members&gt;</w:t>
      </w:r>
      <w:r>
        <w:t>Georgiana Teodorescu, Antonella Sberna, Lara Magoni, Alessandro Ciriani, Nora Junco García, Nicolas Bay, Ondřej Krutílek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bis.</w:t>
            </w:r>
            <w:r>
              <w:tab/>
            </w:r>
            <w:r>
              <w:rPr>
                <w:b/>
                <w:i/>
              </w:rPr>
              <w:t>esprime profonda preoccupazione per la prevista entrata in vigore nel 2027 dell'ETS 2, che estende il sistema di scambio di quote di emissione dell'UE al settore dell'edilizia;</w:t>
            </w:r>
            <w:r>
              <w:t xml:space="preserve"> </w:t>
            </w:r>
            <w:r>
              <w:rPr>
                <w:b/>
                <w:i/>
              </w:rPr>
              <w:t>condanna l'impatto sproporzionato di tale misura, che porterà a un aumento inaccettabile delle bollette dell'energia, aggravando la povertà energetica e erodendo il potere d'acquisto, in particolare per le famiglie a basso e medio reddito;</w:t>
            </w:r>
            <w:r>
              <w:t xml:space="preserve"> </w:t>
            </w:r>
            <w:r>
              <w:rPr>
                <w:b/>
                <w:i/>
              </w:rPr>
              <w:t>chiede l'immediata sospensione dell'applicazione dell'ETS 2 fino a quando non saranno sviluppate e attuate alternative più eque in grado di conseguire gli obiettivi di efficienza energetica senza penalizzare le famiglie;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813</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bis.</w:t>
            </w:r>
            <w:r>
              <w:tab/>
            </w:r>
            <w:r>
              <w:rPr>
                <w:b/>
                <w:i/>
              </w:rPr>
              <w:t>invita la Commissione a effettuare un riesame globale della legislazione dell'UE, compresi i quadri finanziari, di bilancio e in materia di concorrenza, al fine di individuare ed eliminare gli ostacoli giuridici o pratici che impediscono agli Stati membri di adottare meccanismi efficaci di controllo degli affitti o programmi di edilizia pubblica o di acquistare abitazioni a fini sociali;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814</w:t>
      </w:r>
      <w:r>
        <w:rPr>
          <w:rStyle w:val="HideTWBExt"/>
        </w:rPr>
        <w:t>&lt;/NumAm&gt;</w:t>
      </w:r>
    </w:p>
    <w:p>
      <w:pPr>
        <w:pStyle w:val="NormalBold"/>
      </w:pPr>
      <w:r>
        <w:rPr>
          <w:rStyle w:val="HideTWBExt"/>
          <w:b w:val="0"/>
        </w:rPr>
        <w:t>&lt;RepeatBlock-By&gt;</w:t>
      </w:r>
      <w:r>
        <w:rPr>
          <w:rStyle w:val="HideTWBExt"/>
          <w:b w:val="0"/>
        </w:rPr>
        <w:t>&lt;Members&gt;</w:t>
      </w:r>
      <w:r>
        <w:t>Klara Dostalova, Julie Rechagneux, Ondřej Knotek, Jaroslav Bžoch, Rachel Blom, 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bis.</w:t>
            </w:r>
            <w:r>
              <w:tab/>
            </w:r>
            <w:r>
              <w:rPr>
                <w:b/>
                <w:i/>
              </w:rPr>
              <w:t>sottolinea che qualsiasi requisito ambientale o di efficienza energetica legato agli alloggi deve essere proporzionato e non deve aumentare i costi per le famiglie né ritardare le costruzioni urgentemente necessarie;</w:t>
            </w:r>
            <w:r>
              <w:t xml:space="preserve"> </w:t>
            </w:r>
            <w:r>
              <w:rPr>
                <w:b/>
                <w:i/>
              </w:rPr>
              <w:t>sottolinea che l'accessibilità economica degli alloggi prevale sugli ulteriori obiettivi normativi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815</w:t>
      </w:r>
      <w:r>
        <w:rPr>
          <w:rStyle w:val="HideTWBExt"/>
        </w:rPr>
        <w:t>&lt;/NumAm&gt;</w:t>
      </w:r>
    </w:p>
    <w:p>
      <w:pPr>
        <w:pStyle w:val="NormalBold"/>
      </w:pPr>
      <w:r>
        <w:rPr>
          <w:rStyle w:val="HideTWBExt"/>
          <w:b w:val="0"/>
        </w:rPr>
        <w:t>&lt;RepeatBlock-By&gt;</w:t>
      </w:r>
      <w:r>
        <w:rPr>
          <w:rStyle w:val="HideTWBExt"/>
          <w:b w:val="0"/>
        </w:rPr>
        <w:t>&lt;Members&gt;</w:t>
      </w:r>
      <w:r>
        <w:t>Aodhán Ó Ríordáin, Andreas Schieder, Gabriele Bischoff, Alicia Homs Ginel, Marit Maij, Nora Mebarek, Isilda Gomes, Joanna Scheuring-Wielgus, Yannis Maniatis,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bis.</w:t>
            </w:r>
            <w:r>
              <w:tab/>
            </w:r>
            <w:r>
              <w:rPr>
                <w:b/>
                <w:i/>
              </w:rPr>
              <w:t>invita gli Stati membri a riformare i regimi fiscali in materia di beni immobili attraverso meccanismi quali la creazione di un'imposta sul valore fondiario annuale o di un'imposta sui beni immobili proporzionale in sostituzione delle imposte sulle transazioni, al fine di aumentare la mobilità e di rendere gli alloggi meno attraenti come attività finanziarie;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816</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bis.</w:t>
            </w:r>
            <w:r>
              <w:tab/>
            </w:r>
            <w:r>
              <w:rPr>
                <w:b/>
                <w:i/>
              </w:rPr>
              <w:t>invita gli Stati membri a introdurre misure per l'uso sociale delle proprietà inattive o abbandonate, a promuovere regimi di locazione sociale e a prevenire la speculazione mediante incentivi fiscali e strumenti normativi;</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817</w:t>
      </w:r>
      <w:r>
        <w:rPr>
          <w:rStyle w:val="HideTWBExt"/>
        </w:rPr>
        <w:t>&lt;/NumAm&gt;</w:t>
      </w:r>
    </w:p>
    <w:p>
      <w:pPr>
        <w:pStyle w:val="NormalBold"/>
      </w:pPr>
      <w:r>
        <w:rPr>
          <w:rStyle w:val="HideTWBExt"/>
          <w:b w:val="0"/>
        </w:rPr>
        <w:t>&lt;RepeatBlock-By&gt;</w:t>
      </w:r>
      <w:r>
        <w:rPr>
          <w:rStyle w:val="HideTWBExt"/>
          <w:b w:val="0"/>
        </w:rPr>
        <w:t>&lt;Members&gt;</w:t>
      </w:r>
      <w:r>
        <w:t>Martin Hojsík, Brigitte van den 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bis.</w:t>
            </w:r>
            <w:r>
              <w:tab/>
            </w:r>
            <w:r>
              <w:rPr>
                <w:b/>
                <w:i/>
              </w:rPr>
              <w:t>invita gli Stati membri a provvedere affinché qualsiasi incentivo fiscale e finanziario a sostegno degli alloggi non porti a una domanda speculativa, alla volatilità del mercato e all'inflazione dei prezzi che peggiorerebbero l'accesso ad alloggi a prezzi accessibili;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818</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bis.</w:t>
            </w:r>
            <w:r>
              <w:tab/>
            </w:r>
            <w:r>
              <w:rPr>
                <w:b/>
                <w:i/>
              </w:rPr>
              <w:t>invita la Commissione a provvedere affinché nel processo del semestre europeo e nelle raccomandazioni specifiche per paese si presti una maggiore attenzione agli alloggi a prezzi accessibili, sostenibili e dignitosi e ai relativi parametri;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819</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ter.</w:t>
            </w:r>
            <w:r>
              <w:tab/>
            </w:r>
            <w:r>
              <w:rPr>
                <w:b/>
                <w:i/>
              </w:rPr>
              <w:t>chiede una valutazione dell'accessibilità economica degli alloggi per quanto riguarda legislazione dell'UE vigente nel settore dei servizi finanziari e una valutazione d'impatto sull'accessibilità economica degli alloggi, a seguito di consultazioni pubbliche, per quanto riguarda le nuove proposte legislative nello stesso settore, nonché norme mirate in materia di dovere di diligenza per le imprese finanziarie con classi di attività immobiliari iscritte nel loro bilancio;</w:t>
            </w:r>
            <w:r>
              <w:t xml:space="preserve"> </w:t>
            </w:r>
            <w:r>
              <w:rPr>
                <w:b/>
                <w:i/>
              </w:rPr>
              <w:t>esorta la Commissione e gli Stati membri a effettuare un'analisi strutturale dello squilibrio di potere tra proprietari e locatari, al fine di rafforzare le tutele per i locatari, promuovere la sicurezza delle locazioni a lungo termine e prevenire le pratiche abusive;</w:t>
            </w:r>
            <w:r>
              <w:t xml:space="preserve"> </w:t>
            </w:r>
            <w:r>
              <w:rPr>
                <w:b/>
                <w:i/>
              </w:rPr>
              <w:t>sottolinea che tali valutazioni dovrebbero coinvolgere attivamente le persone in difficoltà abitative al fine di garantire che le politiche riflettano le realtà vissute e rispondano alle esigenze reali;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820</w:t>
      </w:r>
      <w:r>
        <w:rPr>
          <w:rStyle w:val="HideTWBExt"/>
        </w:rPr>
        <w:t>&lt;/NumAm&gt;</w:t>
      </w:r>
    </w:p>
    <w:p>
      <w:pPr>
        <w:pStyle w:val="NormalBold"/>
      </w:pPr>
      <w:r>
        <w:rPr>
          <w:rStyle w:val="HideTWBExt"/>
          <w:b w:val="0"/>
        </w:rPr>
        <w:t>&lt;RepeatBlock-By&gt;</w:t>
      </w:r>
      <w:r>
        <w:rPr>
          <w:rStyle w:val="HideTWBExt"/>
          <w:b w:val="0"/>
        </w:rPr>
        <w:t>&lt;Members&gt;</w:t>
      </w:r>
      <w:r>
        <w:t>Georgiana Teodorescu, Antonella Sberna, Lara Magoni, Alessandro Ciriani, Nora Junco García,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ter.</w:t>
            </w:r>
            <w:r>
              <w:tab/>
            </w:r>
            <w:r>
              <w:rPr>
                <w:b/>
                <w:i/>
              </w:rPr>
              <w:t>sottolinea che la proliferazione di norme ambientali, come l'attestato di prestazione energetica, può avere un impatto negativo sia sul mercato degli affitti sia sui mercati immobiliari;</w:t>
            </w:r>
            <w:r>
              <w:t xml:space="preserve"> </w:t>
            </w:r>
            <w:r>
              <w:rPr>
                <w:b/>
                <w:i/>
              </w:rPr>
              <w:t>esprime preoccupazione per quanto riguarda le discrepanze e le incoerenze nei metodi di calcolo e nell'etichettatura energetica degli edifici residenziali che non riflettono con precisione la prestazione energetica effettiva degli immobili;</w:t>
            </w:r>
            <w:r>
              <w:t xml:space="preserve"> </w:t>
            </w:r>
            <w:r>
              <w:rPr>
                <w:b/>
                <w:i/>
              </w:rPr>
              <w:t>mette in guardia contro le possibili conseguenze di tale etichettatura, che potrebbe condurre molti proprietari, in particolare quelli delle classi operaia e media, a perdere l'uso dei loro immobili e/o il valore dei loro investimenti, in quanto potrebbero non essere più affittati o venduti;</w:t>
            </w:r>
            <w:r>
              <w:t xml:space="preserve"> </w:t>
            </w:r>
            <w:r>
              <w:rPr>
                <w:b/>
                <w:i/>
              </w:rPr>
              <w:t>sottolinea che tale inflazione normativa comporta automaticamente costi più elevati sia per i locatari sia per gli acquirenti di immobili;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821</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ter.</w:t>
            </w:r>
            <w:r>
              <w:tab/>
            </w:r>
            <w:r>
              <w:rPr>
                <w:b/>
                <w:i/>
              </w:rPr>
              <w:t>esprime preoccupazione per il fatto che la proliferazione incontrollata di locazioni turistiche a breve termine ha trasformato gli alloggi in un settore speculativo, privando migliaia di cittadini dell'accesso ad alloggi a prezzi accessibili;</w:t>
            </w:r>
            <w:r>
              <w:t xml:space="preserve"> </w:t>
            </w:r>
            <w:r>
              <w:rPr>
                <w:b/>
                <w:i/>
              </w:rPr>
              <w:t>sottolinea che le piattaforme tipo Airbnb devono essere soggette a norme rigorose in materia di trasparenza, autorizzazioni locali e audit fiscale;</w:t>
            </w:r>
            <w:r>
              <w:t xml:space="preserve"> </w:t>
            </w:r>
            <w:r>
              <w:rPr>
                <w:b/>
                <w:i/>
              </w:rPr>
              <w:t>invita la Commissione a introdurre limiti obbligatori specifici per zona per gli alloggi in locazione a breve termine, dando priorità alle esigenze dei residenti piuttosto che alle richieste delle piattaforme turistiche e garantendo nel contempo che le nuove normative europee in materia di locazione a breve termine diano priorità alla tutela del diritto all'alloggio anziché agli interessi commerciali delle imprese digitali;</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822</w:t>
      </w:r>
      <w:r>
        <w:rPr>
          <w:rStyle w:val="HideTWBExt"/>
        </w:rPr>
        <w:t>&lt;/NumAm&gt;</w:t>
      </w:r>
    </w:p>
    <w:p>
      <w:pPr>
        <w:pStyle w:val="NormalBold"/>
      </w:pPr>
      <w:r>
        <w:rPr>
          <w:rStyle w:val="HideTWBExt"/>
          <w:b w:val="0"/>
        </w:rPr>
        <w:t>&lt;RepeatBlock-By&gt;</w:t>
      </w:r>
      <w:r>
        <w:rPr>
          <w:rStyle w:val="HideTWBExt"/>
          <w:b w:val="0"/>
        </w:rPr>
        <w:t>&lt;Members&gt;</w:t>
      </w:r>
      <w:r>
        <w:t>Aodhán Ó Ríordáin, Alicia Homs Ginel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ter.</w:t>
            </w:r>
            <w:r>
              <w:tab/>
            </w:r>
            <w:r>
              <w:rPr>
                <w:b/>
                <w:i/>
              </w:rPr>
              <w:t>invita la Commissione europea, in cooperazione con gli Stati membri, a creare "zone del mercato degli alloggi sotto pressione", in cui le zone dichiarate sotto pressione per quanto riguarda il mercato residenziale e soggette a crescenti difficoltà nel garantire l'accesso ad alloggi dignitosi a prezzi accessibili e la loro manutenzione possano beneficiare di strumenti e di quadri normativi specifici, quali gli investimenti diretti straordinari negli alloggi a prezzi accessibili, la regolamentazione degli affitti, la protezione contro lo sfratto e lo spostamento o i diritti preferenziali di acquisto, al fine di affrontare le sfide urgenti in materia di alloggi;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823</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ter.</w:t>
            </w:r>
            <w:r>
              <w:tab/>
            </w:r>
            <w:r>
              <w:rPr>
                <w:b/>
                <w:i/>
              </w:rPr>
              <w:t>invita la Commissione a proporre l'abolizione di qualsiasi vantaggio fiscale, come quelli sulle operazioni su azioni per gli investitori e le società immobiliari;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824</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quater.</w:t>
            </w:r>
            <w:r>
              <w:tab/>
            </w:r>
            <w:r>
              <w:rPr>
                <w:b/>
                <w:i/>
              </w:rPr>
              <w:t>chiede di aumentare, ampliare e prorogare il Fondo sociale per il clima, con la Commissione che dovrebbe fornire orientamenti agli Stati membri per quanto riguarda lo stanziamento di un sostegno in materia di ristrutturazioni per le famiglie vulnerabili e in condizioni di povertà energetica, in quanto gli edifici con prestazioni scadenti rappresentano una delle cause profonde della povertà energetica;</w:t>
            </w:r>
            <w:r>
              <w:t xml:space="preserve"> </w:t>
            </w:r>
            <w:r>
              <w:rPr>
                <w:b/>
                <w:i/>
              </w:rPr>
              <w:t>ritiene fondamentale l'uso dei piani sociali per il clima per gli investimenti nella ristrutturazione piuttosto che per misure di compensazione a breve termine per quanto riguarda le bollette, che non affronteranno la causa profonda degli elevati prezzi dell'energia;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825</w:t>
      </w:r>
      <w:r>
        <w:rPr>
          <w:rStyle w:val="HideTWBExt"/>
        </w:rPr>
        <w:t>&lt;/NumAm&gt;</w:t>
      </w:r>
    </w:p>
    <w:p>
      <w:pPr>
        <w:pStyle w:val="NormalBold"/>
      </w:pPr>
      <w:r>
        <w:rPr>
          <w:rStyle w:val="HideTWBExt"/>
          <w:b w:val="0"/>
        </w:rPr>
        <w:t>&lt;RepeatBlock-By&gt;</w:t>
      </w:r>
      <w:r>
        <w:rPr>
          <w:rStyle w:val="HideTWBExt"/>
          <w:b w:val="0"/>
        </w:rPr>
        <w:t>&lt;Members&gt;</w:t>
      </w:r>
      <w:r>
        <w:t>Georgiana Teodorescu, Antonella Sberna, Lara Magoni, Alessandro Ciriani, Nora Junco García, Ondřej Krutílek,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quater.</w:t>
            </w:r>
            <w:r>
              <w:tab/>
            </w:r>
            <w:r>
              <w:rPr>
                <w:b/>
                <w:i/>
              </w:rPr>
              <w:t>sottolinea che la direttiva sulla prestazione energetica nell'edilizia e la direttiva ETS 2 possono avere un impatto significativo sui costi abitativi e sulla proprietà immobiliare, in particolare nelle zone rurali e meno popolate;</w:t>
            </w:r>
            <w:r>
              <w:t xml:space="preserve"> </w:t>
            </w:r>
            <w:r>
              <w:rPr>
                <w:b/>
                <w:i/>
              </w:rPr>
              <w:t>invita la Commissione a rivedere entrambe le direttive e a modificarle per attenuare gli effetti negativi, anche fissando un tetto al prezzo delle quote ETS 2, e a mobilitare tutti i programmi e gli strumenti finanziari dell'UE disponibili per aiutare i cittadini che non possono permettersi investimenti costosi;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826</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quinquies.</w:t>
            </w:r>
            <w:r>
              <w:tab/>
            </w:r>
            <w:r>
              <w:rPr>
                <w:b/>
                <w:i/>
              </w:rPr>
              <w:t>invita la Commissione a provvedere, nel quadro della direttiva sulla prestazione energetica nell'edilizia, all'introduzione di un monitoraggio e di un controllo efficaci nonché di raccomandazioni specifiche per paese efficaci per gli Stati membri, con l'obiettivo di elaborare rapidamente piani nazionali inclusivi di ristrutturazione degli edifici che contribuiscano a migliorare i livelli medi di prestazione energetica del settore dell'edilizia residenziale, in modo da conseguire l'obiettivo della neutralità climatica per gli edifici, dando la priorità a quelli con le prestazioni peggiori;</w:t>
            </w:r>
            <w:r>
              <w:t xml:space="preserve"> </w:t>
            </w:r>
            <w:r>
              <w:rPr>
                <w:b/>
                <w:i/>
              </w:rPr>
              <w:t>chiede che i piani nazionali di ristrutturazione degli edifici siano allineati ai piani previsti dalla direttiva sull'efficienza energetica e ai piani sociali nazionali per il clima, in modo da conseguire un approccio coordinato alla decarbonizzazione degli edifici nel modo più ambizioso e inclusivo;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827</w:t>
      </w:r>
      <w:r>
        <w:rPr>
          <w:rStyle w:val="HideTWBExt"/>
        </w:rPr>
        <w:t>&lt;/NumAm&gt;</w:t>
      </w:r>
    </w:p>
    <w:p>
      <w:pPr>
        <w:pStyle w:val="NormalBold"/>
      </w:pPr>
      <w:r>
        <w:rPr>
          <w:rStyle w:val="HideTWBExt"/>
          <w:b w:val="0"/>
        </w:rPr>
        <w:t>&lt;RepeatBlock-By&gt;</w:t>
      </w:r>
      <w:r>
        <w:rPr>
          <w:rStyle w:val="HideTWBExt"/>
          <w:b w:val="0"/>
        </w:rPr>
        <w:t>&lt;Members&gt;</w:t>
      </w:r>
      <w:r>
        <w:t>Georgiana Teodorescu, Antonella Sberna, Lara Magoni, Alessandro Ciriani, Nora Junco García, Stefano Cavedagna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quinquies.</w:t>
            </w:r>
            <w:r>
              <w:tab/>
            </w:r>
            <w:r>
              <w:rPr>
                <w:b/>
                <w:i/>
              </w:rPr>
              <w:t>ricorda che la locazione immobiliare rimane essenziale per soddisfare le esigenze di gran parte della popolazione e per offrire opportunità ai proprietari;</w:t>
            </w:r>
            <w:r>
              <w:t xml:space="preserve"> </w:t>
            </w:r>
            <w:r>
              <w:rPr>
                <w:b/>
                <w:i/>
              </w:rPr>
              <w:t>invita gli Stati membri a proporre misure fiscali, come ad esempio incentivi fiscali, per incoraggiare i proprietari di seconde case o di immobili vacanti a concederne la disponibilità per affitti a lungo termine, in particolare nelle zone urbane sotto pressione, e ad assicurare adeguate garanzie o meccanismi assicurativi per quei proprietari immobiliari che non affittano per timore del mancato pagamento;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828</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sexies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sexies.</w:t>
            </w:r>
            <w:r>
              <w:tab/>
            </w:r>
            <w:r>
              <w:rPr>
                <w:b/>
                <w:i/>
              </w:rPr>
              <w:t>invita gli Stati membri a sostenere il "ruolo esemplare degli enti pubblici" e il relativo obiettivo annuale di ristrutturazione del 3 % imposto dalla direttiva sull'efficienza energetica, garantendo che gli enti pubblici dispongano della capacità necessaria per conseguire tale obiettivo o superarlo, ad esempio limitando le lacune, il che è fondamentale in particolare per quanto riguarda gli edifici di proprietà pubblica con finalità sociali;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829</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septies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septies.</w:t>
            </w:r>
            <w:r>
              <w:tab/>
            </w:r>
            <w:r>
              <w:rPr>
                <w:b/>
                <w:i/>
              </w:rPr>
              <w:t>chiede la creazione di un quadro favorevole forte e inclusivo per garantire che i progetti di ristrutturazione energetica diventino più accessibili e potenziati attraverso, tra l'altro, servizi di assistenza tecnica e consulenza, come pure strumenti che possano migliorare l'assorbimento dei finanziamenti;</w:t>
            </w:r>
            <w:r>
              <w:t xml:space="preserve"> </w:t>
            </w:r>
            <w:r>
              <w:rPr>
                <w:b/>
                <w:i/>
              </w:rPr>
              <w:t>chiede misure a sostegno della neutralità dei costi degli alloggi, come principio in base al quale il costo complessivo per i locatari rimane invariato anche dopo le ristrutturazioni, in particolare se queste ultime sono effettuate mediante fondi pubblici, e anche per migliorare la tutela dei locatari dai cosiddetti "ristrusfratti" (sfratti causati dalle ristrutturazioni), il che potrebbe verificarsi quando un proprietario di un immobile invia un avviso di sfratto adducendo la necessità di ristrutturazioni importanti;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830</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octies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octies.</w:t>
            </w:r>
            <w:r>
              <w:tab/>
            </w:r>
            <w:r>
              <w:rPr>
                <w:b/>
                <w:i/>
              </w:rPr>
              <w:t>chiede un recepimento armonizzato ed equo delle disposizioni del pacchetto Energia pulita e del pacchetto "Pronti per il 55 %", in modo da garantire i diritti dei cittadini e delle comunità alla produzione, alla titolarità e alla condivisione dell'energia, proteggendoli nel contempo dalla dominanza delle imprese;</w:t>
            </w:r>
            <w:r>
              <w:t xml:space="preserve"> </w:t>
            </w:r>
            <w:r>
              <w:rPr>
                <w:b/>
                <w:i/>
              </w:rPr>
              <w:t>invita gli Stati membri a sostenere il pieno accesso all'autoconsumo di energia rinnovabile, la condivisione dell'energia o la partecipazione alle comunità energetiche per i residenti in alloggi dell'edilizia popolare, con un sostegno tecnico e finanziario dedicato ai progetti di ristrutturazione guidati dai cittadini, di riscaldamento e raffreddamento di tipo partecipativo e di efficienza energetica;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831</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nonies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nonies.</w:t>
            </w:r>
            <w:r>
              <w:tab/>
            </w:r>
            <w:r>
              <w:rPr>
                <w:b/>
                <w:i/>
              </w:rPr>
              <w:t>chiede un maggiore sostegno all'iniziativa del nuovo Bauhaus europeo, che mira a collegare il Green Deal europeo alle esperienze e agli spazi abitativi, con l'ambizione da parte dell'UE di creare luoghi, prodotti e modi di vivere belli, sostenibili e inclusivi, sulla base di tre valori:</w:t>
            </w:r>
            <w:r>
              <w:t xml:space="preserve"> </w:t>
            </w:r>
            <w:r>
              <w:rPr>
                <w:b/>
                <w:i/>
              </w:rPr>
              <w:t>sostenibilità, estetica e inclusione;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832</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decies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decies.</w:t>
            </w:r>
            <w:r>
              <w:tab/>
            </w:r>
            <w:r>
              <w:rPr>
                <w:b/>
                <w:i/>
              </w:rPr>
              <w:t>deplora vivamente il fatto che il sistema di scambio di quote di emissioni per gli edifici e il trasporto su strada (ETS2) sia stato considerato lo strumento principale per la riduzione delle emissioni nei settori dell'edilizia e dei trasporti, a scapito di norme vincolanti ambiziose;</w:t>
            </w:r>
            <w:r>
              <w:t xml:space="preserve"> </w:t>
            </w:r>
            <w:r>
              <w:rPr>
                <w:b/>
                <w:i/>
              </w:rPr>
              <w:t>prende atto dell'onere inaccettabile che tale approccio comporta per le famiglie, in quanto colpirà in modo sproporzionato i proprietari a basso reddito, i locatari e le comunità vulnerabili che già faticano a coprire i costi di base;</w:t>
            </w:r>
            <w:r>
              <w:t xml:space="preserve"> </w:t>
            </w:r>
            <w:r>
              <w:rPr>
                <w:b/>
                <w:i/>
              </w:rPr>
              <w:t>sottolinea il rischio di aggravare le disuguaglianze sociali e di compromettere il sostegno pubblico alla transizione verde;</w:t>
            </w:r>
            <w:r>
              <w:t xml:space="preserve"> </w:t>
            </w:r>
            <w:r>
              <w:rPr>
                <w:b/>
                <w:i/>
              </w:rPr>
              <w:t>evidenzia che ulteriori investimenti e misure normative, come la direttiva sulla prestazione energetica nell'edilizia (EPBD), sono fondamentali per conseguire gli obiettivi climatici dell'UE senza sovraccaricare i cittadini ed esorta la Commissione e gli Stati membri a rafforzare tali misure e a fornire il sostegno finanziario e tecnico necessario per la loro attuazione;</w:t>
            </w:r>
            <w:r>
              <w:t xml:space="preserve"> </w:t>
            </w:r>
            <w:r>
              <w:rPr>
                <w:b/>
                <w:i/>
              </w:rPr>
              <w:t>invita la Commissione a presentare entro la fine del 2026 una proposta volta a prevenire la povertà energetica dei cittadini, comprendente un pacchetto sociale sul clima, e a provvedere affinché sia applicato il principio "chi inquina paga";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833</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undecies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undecies.</w:t>
            </w:r>
            <w:r>
              <w:tab/>
            </w:r>
            <w:r>
              <w:rPr>
                <w:b/>
                <w:i/>
              </w:rPr>
              <w:t>chiede che il prossimo quadro finanziario pluriennale preveda un sostegno finanziario specifico per le comunità energetiche, ispirato a meccanismi come lo strumento per le comunità energetiche, che utilizzi criteri sociali nelle pratiche in materia di appalti pubblici e che preveda premi supplementari per i progetti che coinvolgono gruppi vulnerabili e l'edilizia popolare o i cittadini che si trovano in condizioni di povertà energetica;</w:t>
            </w:r>
            <w:r>
              <w:t xml:space="preserve"> </w:t>
            </w:r>
            <w:r>
              <w:rPr>
                <w:b/>
                <w:i/>
              </w:rPr>
              <w:t>chiede il sostegno di partenariati pubblico-comunale-privato per realizzare progetti di ristrutturazione profonda e di energia rinnovabile, in particolare nei quartieri caratterizzati dalla scarsità di servizi;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834</w:t>
      </w:r>
      <w:r>
        <w:rPr>
          <w:rStyle w:val="HideTWBExt"/>
        </w:rPr>
        <w:t>&lt;/NumAm&gt;</w:t>
      </w:r>
    </w:p>
    <w:p>
      <w:pPr>
        <w:pStyle w:val="NormalBold"/>
      </w:pPr>
      <w:r>
        <w:rPr>
          <w:rStyle w:val="HideTWBExt"/>
          <w:b w:val="0"/>
        </w:rPr>
        <w:t>&lt;RepeatBlock-By&gt;</w:t>
      </w:r>
      <w:r>
        <w:rPr>
          <w:rStyle w:val="HideTWBExt"/>
          <w:b w:val="0"/>
        </w:rPr>
        <w:t>&lt;Members&gt;</w:t>
      </w:r>
      <w:r>
        <w:t>Regina Doherty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Materiali</w:t>
            </w:r>
            <w:r>
              <w:t xml:space="preserve"> da costruzione</w:t>
            </w:r>
          </w:p>
        </w:tc>
        <w:tc>
          <w:tcPr>
            <w:tcW w:w="4876" w:type="dxa"/>
            <w:tcBorders>
              <w:top w:val="nil"/>
              <w:left w:val="nil"/>
              <w:bottom w:val="nil"/>
              <w:right w:val="nil"/>
            </w:tcBorders>
          </w:tcPr>
          <w:p>
            <w:pPr>
              <w:pStyle w:val="Normal6a"/>
            </w:pPr>
            <w:r>
              <w:rPr>
                <w:b/>
                <w:i/>
              </w:rPr>
              <w:t>Materie prime e prodotti</w:t>
            </w:r>
            <w:r>
              <w:t xml:space="preserve"> da costruzione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835</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Materiali</w:t>
            </w:r>
            <w:r>
              <w:t xml:space="preserve"> da costruzione</w:t>
            </w:r>
          </w:p>
        </w:tc>
        <w:tc>
          <w:tcPr>
            <w:tcW w:w="4876" w:type="dxa"/>
            <w:tcBorders>
              <w:top w:val="nil"/>
              <w:left w:val="nil"/>
              <w:bottom w:val="nil"/>
              <w:right w:val="nil"/>
            </w:tcBorders>
          </w:tcPr>
          <w:p>
            <w:pPr>
              <w:pStyle w:val="Normal6a"/>
            </w:pPr>
            <w:r>
              <w:rPr>
                <w:b/>
                <w:i/>
              </w:rPr>
              <w:t>Prodotti</w:t>
            </w:r>
            <w:r>
              <w:t xml:space="preserve"> da costruzione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836</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duodecies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duodecies.</w:t>
            </w:r>
            <w:r>
              <w:tab/>
            </w:r>
            <w:r>
              <w:rPr>
                <w:b/>
                <w:i/>
              </w:rPr>
              <w:t>chiede che siano applicati i principi dell'economia circolare in quanto elementi fondamentali della prossima strategia europea per l'edilizia abitativa, che farà parte del piano europeo per gli alloggi a prezzi accessibili;</w:t>
            </w:r>
            <w:r>
              <w:t xml:space="preserve"> </w:t>
            </w:r>
            <w:r>
              <w:rPr>
                <w:b/>
                <w:i/>
              </w:rPr>
              <w:t>ritiene che occorrano soluzioni innovative per ottenere alloggi a prezzi accessibili e per garantire un parco immobiliare adeguato alle esigenze future, una delle quali è la prefabbricazione o la costruzione offsite per la ristrutturazione, vale a dire il metodo di costruzione che prevede la produzione e la progettazione in un ambiente industriale di componenti strutturali per l'edilizia che sono poi installati in loco, anziché essere costruiti in loco;</w:t>
            </w:r>
            <w:r>
              <w:t xml:space="preserve"> </w:t>
            </w:r>
            <w:r>
              <w:rPr>
                <w:b/>
                <w:i/>
              </w:rPr>
              <w:t>sottolinea che la prefabbricazione industriale può ridurre i tempi di costruzione del 20-50 %, e con essi le perturbazioni associate, oltre a generare notevoli risparmi energetici e in termini di costi;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837</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terdecies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terdecies.</w:t>
            </w:r>
            <w:r>
              <w:tab/>
            </w:r>
            <w:r>
              <w:rPr>
                <w:b/>
                <w:i/>
              </w:rPr>
              <w:t>chiede di garantire che sia il piano europeo per gli alloggi a prezzi accessibili che la strategia europea per l'edilizia abitativa sostengano la creazione di una politica industriale coerente che stimoli un ecosistema edilizio efficiente, cosa che aiuterebbe gli Stati membri a sfruttare appieno i vantaggi di un'economia efficiente sotto il profilo energetico;</w:t>
            </w:r>
            <w:r>
              <w:t xml:space="preserve"> </w:t>
            </w:r>
            <w:r>
              <w:rPr>
                <w:b/>
                <w:i/>
              </w:rPr>
              <w:t>è pienamente convinto dell'importanza fondamentale di consentire la circolarità dei materiali e una maggiore resilienza del settore edilizio, tra l'altro in termini di requisiti di progettazione, per facilitare il riutilizzo e il rafforzamento dell'approvvigionamento locale di materiali da costruzione;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838</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rPr>
                <w:b/>
                <w:i/>
              </w:rPr>
              <w:t>chiede alla</w:t>
            </w:r>
            <w:r>
              <w:t xml:space="preserve"> Commissione </w:t>
            </w:r>
            <w:r>
              <w:rPr>
                <w:b/>
                <w:i/>
              </w:rPr>
              <w:t>di pubblicare una relazione sulla legislazione dell'UE che incide sui</w:t>
            </w:r>
            <w:r>
              <w:t xml:space="preserve"> prezzi </w:t>
            </w:r>
            <w:r>
              <w:rPr>
                <w:b/>
                <w:i/>
              </w:rPr>
              <w:t>e sulla fornitura</w:t>
            </w:r>
            <w:r>
              <w:t xml:space="preserve"> dei materiali da costruzione</w:t>
            </w:r>
            <w:r>
              <w:rPr>
                <w:b/>
                <w:i/>
              </w:rPr>
              <w:t>, al fine di identificare, esaminare ed eliminare i fattori che contribuiscono all'aumento</w:t>
            </w:r>
            <w:r>
              <w:t xml:space="preserve"> dei costi;</w:t>
            </w:r>
          </w:p>
        </w:tc>
        <w:tc>
          <w:tcPr>
            <w:tcW w:w="4876" w:type="dxa"/>
            <w:tcBorders>
              <w:top w:val="nil"/>
              <w:left w:val="nil"/>
              <w:bottom w:val="nil"/>
              <w:right w:val="nil"/>
            </w:tcBorders>
          </w:tcPr>
          <w:p>
            <w:pPr>
              <w:pStyle w:val="Normal6a"/>
            </w:pPr>
            <w:r>
              <w:t>10.</w:t>
            </w:r>
            <w:r>
              <w:tab/>
            </w:r>
            <w:r>
              <w:rPr>
                <w:b/>
                <w:i/>
              </w:rPr>
              <w:t>invita la</w:t>
            </w:r>
            <w:r>
              <w:t xml:space="preserve"> Commissione </w:t>
            </w:r>
            <w:r>
              <w:rPr>
                <w:b/>
                <w:i/>
              </w:rPr>
              <w:t>e gli Stati membri a sanzionare fermamente eventuali atteggiamenti anticoncorrenziali adottati dai portatori di interessi, qualora venga constatato che determinino un aumento dei</w:t>
            </w:r>
            <w:r>
              <w:t xml:space="preserve"> prezzi dei materiali da costruzione</w:t>
            </w:r>
            <w:r>
              <w:rPr>
                <w:b/>
                <w:i/>
              </w:rPr>
              <w:t>;</w:t>
            </w:r>
            <w:r>
              <w:t xml:space="preserve"> </w:t>
            </w:r>
            <w:r>
              <w:rPr>
                <w:b/>
                <w:i/>
              </w:rPr>
              <w:t>ritiene che, per mantenere sotto controllo i prezzi dei materiali da costruzione per l'edilizia nell'ambito dei progetti finanziati con fondi pubblici, sia necessario applicare un rigoroso controllo pubblico e rigorose condizionalità nell'ambito degli appalti pubblici, fra cui i costi di costruzione massimi ammissibili per metro quadro e i massimali sugli affitti netti, il che esercita una pressione indiretta sulla disciplina</w:t>
            </w:r>
            <w:r>
              <w:t xml:space="preserve"> dei costi </w:t>
            </w:r>
            <w:r>
              <w:rPr>
                <w:b/>
                <w:i/>
              </w:rPr>
              <w:t>durante l'intero processo di sviluppo e crea una barriera naturale contro l'inflazione dei prezzi, impedendo in tal modo una manipolazione artificiale dei prezzi dei materiali edilizi basata sul profitto e verso l'alto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839</w:t>
      </w:r>
      <w:r>
        <w:rPr>
          <w:rStyle w:val="HideTWBExt"/>
        </w:rPr>
        <w:t>&lt;/NumAm&gt;</w:t>
      </w:r>
    </w:p>
    <w:p>
      <w:pPr>
        <w:pStyle w:val="NormalBold"/>
      </w:pPr>
      <w:r>
        <w:rPr>
          <w:rStyle w:val="HideTWBExt"/>
          <w:b w:val="0"/>
        </w:rPr>
        <w:t>&lt;RepeatBlock-By&gt;</w:t>
      </w:r>
      <w:r>
        <w:rPr>
          <w:rStyle w:val="HideTWBExt"/>
          <w:b w:val="0"/>
        </w:rPr>
        <w:t>&lt;Members&gt;</w:t>
      </w:r>
      <w:r>
        <w:t>Klara Dostalova, Julie Rechagneux, Ondřej Knotek, Jaroslav Bžoch, Rachel Blom, 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chiede alla Commissione di pubblicare una relazione sulla legislazione dell'UE che incide sui prezzi e sulla fornitura dei materiali da costruzione, al fine di identificare, esaminare ed eliminare i fattori che contribuiscono all'aumento dei costi;</w:t>
            </w:r>
          </w:p>
        </w:tc>
        <w:tc>
          <w:tcPr>
            <w:tcW w:w="4876" w:type="dxa"/>
            <w:tcBorders>
              <w:top w:val="nil"/>
              <w:left w:val="nil"/>
              <w:bottom w:val="nil"/>
              <w:right w:val="nil"/>
            </w:tcBorders>
          </w:tcPr>
          <w:p>
            <w:pPr>
              <w:pStyle w:val="Normal6a"/>
            </w:pPr>
            <w:r>
              <w:t>10.</w:t>
            </w:r>
            <w:r>
              <w:tab/>
            </w:r>
            <w:r>
              <w:t xml:space="preserve">chiede alla Commissione di pubblicare una relazione sulla legislazione dell'UE che incide sui prezzi e sulla fornitura dei materiali da costruzione, al fine di identificare, esaminare ed eliminare i fattori che contribuiscono all'aumento dei costi; </w:t>
            </w:r>
            <w:r>
              <w:rPr>
                <w:b/>
                <w:i/>
              </w:rPr>
              <w:t>sottolinea che tale relazione deve sfociare in proposte concrete per la deregolamentazione e l'eliminazione della burocrazia superflua, anziché rimanere un esercizio generico;</w:t>
            </w:r>
            <w:r>
              <w:t xml:space="preserve"> </w:t>
            </w:r>
            <w:r>
              <w:rPr>
                <w:b/>
                <w:i/>
              </w:rPr>
              <w:t>sottolinea l'importanza di sostenere i produttori locali ed europei di materiali da costruzione per ridurre la dipendenza dalle importazioni e rafforzare l'autosufficienza;</w:t>
            </w:r>
            <w:r>
              <w:t xml:space="preserve"> </w:t>
            </w:r>
            <w:r>
              <w:rPr>
                <w:b/>
                <w:i/>
              </w:rPr>
              <w:t>sottolinea che l'autonomia strategica nel settore delle costruzioni è essenziale affinché l'offerta abitativa non sia tenuta in ostaggio dalle perturbazioni della catena di approvvigionamento globale;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840</w:t>
      </w:r>
      <w:r>
        <w:rPr>
          <w:rStyle w:val="HideTWBExt"/>
        </w:rPr>
        <w:t>&lt;/NumAm&gt;</w:t>
      </w:r>
    </w:p>
    <w:p>
      <w:pPr>
        <w:pStyle w:val="NormalBold"/>
      </w:pPr>
      <w:r>
        <w:rPr>
          <w:rStyle w:val="HideTWBExt"/>
          <w:b w:val="0"/>
        </w:rPr>
        <w:t>&lt;RepeatBlock-By&gt;</w:t>
      </w:r>
      <w:r>
        <w:rPr>
          <w:rStyle w:val="HideTWBExt"/>
          <w:b w:val="0"/>
        </w:rPr>
        <w:t>&lt;Members&gt;</w:t>
      </w:r>
      <w:r>
        <w:t>Martin Hojsík, Brigitte van den 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chiede alla Commissione di pubblicare una relazione </w:t>
            </w:r>
            <w:r>
              <w:rPr>
                <w:b/>
                <w:i/>
              </w:rPr>
              <w:t>sulla legislazione dell'UE che incide</w:t>
            </w:r>
            <w:r>
              <w:t xml:space="preserve"> sui prezzi e sulla fornitura dei materiali da costruzione, al fine di </w:t>
            </w:r>
            <w:r>
              <w:rPr>
                <w:b/>
                <w:i/>
              </w:rPr>
              <w:t>identificare, esaminare ed eliminare i fattori che contribuiscono all'aumento dei costi</w:t>
            </w:r>
            <w:r>
              <w:t>;</w:t>
            </w:r>
          </w:p>
        </w:tc>
        <w:tc>
          <w:tcPr>
            <w:tcW w:w="4876" w:type="dxa"/>
            <w:tcBorders>
              <w:top w:val="nil"/>
              <w:left w:val="nil"/>
              <w:bottom w:val="nil"/>
              <w:right w:val="nil"/>
            </w:tcBorders>
          </w:tcPr>
          <w:p>
            <w:pPr>
              <w:pStyle w:val="Normal6a"/>
            </w:pPr>
            <w:r>
              <w:t>10.</w:t>
            </w:r>
            <w:r>
              <w:tab/>
            </w:r>
            <w:r>
              <w:t xml:space="preserve">chiede alla Commissione di pubblicare una relazione </w:t>
            </w:r>
            <w:r>
              <w:rPr>
                <w:b/>
                <w:i/>
              </w:rPr>
              <w:t>sui fattori o sugli ostacoli che incidono</w:t>
            </w:r>
            <w:r>
              <w:t xml:space="preserve"> sui prezzi e sulla fornitura dei materiali da costruzione, al fine di </w:t>
            </w:r>
            <w:r>
              <w:rPr>
                <w:b/>
                <w:i/>
              </w:rPr>
              <w:t>migliorare l'accesso ai materiali da costruzione, anche attraverso modifiche legislative;</w:t>
            </w:r>
            <w:r>
              <w:t xml:space="preserve"> </w:t>
            </w:r>
            <w:r>
              <w:rPr>
                <w:b/>
                <w:i/>
              </w:rPr>
              <w:t>deplora la mancanza di un mercato unico unificato dei materiali per i prodotti da costruzione e invita la Commissione a migliorare l'espansione dei prodotti innovativi e sostenibili e la loro accessibilità in tutti gli Stati membri, anche attraverso il 28</w:t>
            </w:r>
            <w:r>
              <w:rPr>
                <w:b/>
                <w:i/>
                <w:vertAlign w:val="superscript"/>
              </w:rPr>
              <w:t>o</w:t>
            </w:r>
            <w:r>
              <w:t xml:space="preserve"> </w:t>
            </w:r>
            <w:r>
              <w:rPr>
                <w:b/>
                <w:i/>
              </w:rPr>
              <w:t>regime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841</w:t>
      </w:r>
      <w:r>
        <w:rPr>
          <w:rStyle w:val="HideTWBExt"/>
        </w:rPr>
        <w:t>&lt;/NumAm&gt;</w:t>
      </w:r>
    </w:p>
    <w:p>
      <w:pPr>
        <w:pStyle w:val="NormalBold"/>
      </w:pPr>
      <w:r>
        <w:rPr>
          <w:rStyle w:val="HideTWBExt"/>
          <w:b w:val="0"/>
        </w:rPr>
        <w:t>&lt;RepeatBlock-By&gt;</w:t>
      </w:r>
      <w:r>
        <w:rPr>
          <w:rStyle w:val="HideTWBExt"/>
          <w:b w:val="0"/>
        </w:rPr>
        <w:t>&lt;Members&gt;</w:t>
      </w:r>
      <w:r>
        <w:t>Aodhán Ó Ríordáin, Andreas Schieder, Gabriele Bischoff, Alicia Homs Ginel, Marit Maij, Nora Mebarek, Isilda Gomes, Joanna Scheuring-Wielgus, Yannis Maniatis, Marko Vešligaj, Johan Danielsson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chiede alla Commissione di pubblicare una relazione sulla legislazione dell'UE che incide sui prezzi e sulla fornitura dei materiali da costruzione, al fine di identificare, esaminare ed eliminare i fattori che contribuiscono all'aumento dei costi;</w:t>
            </w:r>
          </w:p>
        </w:tc>
        <w:tc>
          <w:tcPr>
            <w:tcW w:w="4876" w:type="dxa"/>
            <w:tcBorders>
              <w:top w:val="nil"/>
              <w:left w:val="nil"/>
              <w:bottom w:val="nil"/>
              <w:right w:val="nil"/>
            </w:tcBorders>
          </w:tcPr>
          <w:p>
            <w:pPr>
              <w:pStyle w:val="Normal6a"/>
            </w:pPr>
            <w:r>
              <w:t>10.</w:t>
            </w:r>
            <w:r>
              <w:tab/>
            </w:r>
            <w:r>
              <w:t xml:space="preserve">chiede alla Commissione di pubblicare una relazione sulla legislazione dell'UE che incide sui prezzi e sulla fornitura dei materiali da costruzione, al fine di identificare, esaminare ed eliminare i fattori che contribuiscono all'aumento dei costi; </w:t>
            </w:r>
            <w:r>
              <w:rPr>
                <w:b/>
                <w:i/>
              </w:rPr>
              <w:t>chiede che sia effettuato un controllo specifico sulla concorrenza nel settore dei materiali da costruzione, data la sua concentrazione e le potenziali distorsioni;</w:t>
            </w:r>
            <w:r>
              <w:t xml:space="preserve"> </w:t>
            </w:r>
            <w:r>
              <w:rPr>
                <w:b/>
                <w:i/>
              </w:rPr>
              <w:t>sottolinea la necessità di sostenere l'uso circolare dei materiali e la produzione sostenibile;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842</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chiede alla Commissione di pubblicare una relazione sulla legislazione dell'UE che incide sui prezzi e sulla fornitura dei materiali da costruzione, al fine di identificare, esaminare ed eliminare i fattori che contribuiscono all'aumento dei costi;</w:t>
            </w:r>
          </w:p>
        </w:tc>
        <w:tc>
          <w:tcPr>
            <w:tcW w:w="4876" w:type="dxa"/>
            <w:tcBorders>
              <w:top w:val="nil"/>
              <w:left w:val="nil"/>
              <w:bottom w:val="nil"/>
              <w:right w:val="nil"/>
            </w:tcBorders>
          </w:tcPr>
          <w:p>
            <w:pPr>
              <w:pStyle w:val="Normal6a"/>
            </w:pPr>
            <w:r>
              <w:t>10.</w:t>
            </w:r>
            <w:r>
              <w:tab/>
            </w:r>
            <w:r>
              <w:t xml:space="preserve">chiede alla Commissione di pubblicare una relazione sulla legislazione dell'UE che incide sui prezzi e sulla fornitura dei materiali da costruzione, al fine di identificare, esaminare ed eliminare i fattori che contribuiscono all'aumento dei costi; </w:t>
            </w:r>
            <w:r>
              <w:rPr>
                <w:b/>
                <w:i/>
              </w:rPr>
              <w:t>chiede alla Commissione di studiare l'impatto dei dazi all'importazione sulla sicurezza dell'approvvigionamento e sui prezzi dei materiali da costruzione essenziali che sono necessari per il settore delle costruzioni, nonché di esplorare nuovi mercati per tali materiali;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843</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chiede alla Commissione di pubblicare una relazione sulla legislazione dell'UE che incide sui prezzi e sulla fornitura dei materiali da costruzione, al fine di identificare, esaminare ed eliminare i fattori che contribuiscono all'aumento dei costi;</w:t>
            </w:r>
          </w:p>
        </w:tc>
        <w:tc>
          <w:tcPr>
            <w:tcW w:w="4876" w:type="dxa"/>
            <w:tcBorders>
              <w:top w:val="nil"/>
              <w:left w:val="nil"/>
              <w:bottom w:val="nil"/>
              <w:right w:val="nil"/>
            </w:tcBorders>
          </w:tcPr>
          <w:p>
            <w:pPr>
              <w:pStyle w:val="Normal6a"/>
            </w:pPr>
            <w:r>
              <w:t>10.</w:t>
            </w:r>
            <w:r>
              <w:tab/>
            </w:r>
            <w:r>
              <w:t xml:space="preserve">chiede alla Commissione di pubblicare una relazione sulla legislazione dell'UE che incide sui prezzi e sulla fornitura dei materiali da costruzione, al fine di identificare, esaminare ed eliminare i fattori che contribuiscono all'aumento dei costi; </w:t>
            </w:r>
            <w:r>
              <w:rPr>
                <w:b/>
                <w:i/>
              </w:rPr>
              <w:t>chiede che siano promossi gli accordi strategici con i paesi terzi e che sia rafforzato il mercato unico delle materie prime essenziali per il settore dell'edilizia abitativa;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844</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chiede alla Commissione di pubblicare una relazione sulla legislazione dell'UE che incide sui prezzi e sulla fornitura dei materiali da costruzione, al fine di identificare, esaminare ed eliminare i fattori che contribuiscono all'aumento dei costi;</w:t>
            </w:r>
          </w:p>
        </w:tc>
        <w:tc>
          <w:tcPr>
            <w:tcW w:w="4876" w:type="dxa"/>
            <w:tcBorders>
              <w:top w:val="nil"/>
              <w:left w:val="nil"/>
              <w:bottom w:val="nil"/>
              <w:right w:val="nil"/>
            </w:tcBorders>
          </w:tcPr>
          <w:p>
            <w:pPr>
              <w:pStyle w:val="Normal6a"/>
            </w:pPr>
            <w:r>
              <w:t>10.</w:t>
            </w:r>
            <w:r>
              <w:tab/>
            </w:r>
            <w:r>
              <w:t xml:space="preserve">chiede alla Commissione di pubblicare una relazione sulla legislazione dell'UE che incide sui prezzi e sulla fornitura dei materiali da costruzione, al fine di identificare, esaminare ed eliminare i fattori che contribuiscono all'aumento dei costi </w:t>
            </w:r>
            <w:r>
              <w:rPr>
                <w:b/>
                <w:i/>
              </w:rPr>
              <w:t>senza apportare benefici sociali, economici o ambientali, e di raccomandare misure che sostengano la competitività del settore delle costruzioni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845</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chiede alla Commissione di pubblicare una relazione sulla legislazione dell'UE che incide sui prezzi e sulla fornitura dei materiali da costruzione, al fine di identificare, esaminare ed eliminare i fattori che contribuiscono all'aumento dei costi;</w:t>
            </w:r>
          </w:p>
        </w:tc>
        <w:tc>
          <w:tcPr>
            <w:tcW w:w="4876" w:type="dxa"/>
            <w:tcBorders>
              <w:top w:val="nil"/>
              <w:left w:val="nil"/>
              <w:bottom w:val="nil"/>
              <w:right w:val="nil"/>
            </w:tcBorders>
          </w:tcPr>
          <w:p>
            <w:pPr>
              <w:pStyle w:val="Normal6a"/>
            </w:pPr>
            <w:r>
              <w:t>10.</w:t>
            </w:r>
            <w:r>
              <w:tab/>
            </w:r>
            <w:r>
              <w:t xml:space="preserve">chiede alla Commissione di pubblicare una relazione sulla legislazione dell'UE che incide sui prezzi e sulla fornitura dei materiali da costruzione, al fine di identificare, esaminare ed eliminare i fattori che contribuiscono all'aumento dei costi; </w:t>
            </w:r>
            <w:r>
              <w:rPr>
                <w:b/>
                <w:i/>
              </w:rPr>
              <w:t>chiede la rapida attuazione del regolamento sui prodotti da costruzione (regolamento (UE) 2024/3110);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846</w:t>
      </w:r>
      <w:r>
        <w:rPr>
          <w:rStyle w:val="HideTWBExt"/>
        </w:rPr>
        <w:t>&lt;/NumAm&gt;</w:t>
      </w:r>
    </w:p>
    <w:p>
      <w:pPr>
        <w:pStyle w:val="NormalBold"/>
      </w:pPr>
      <w:r>
        <w:rPr>
          <w:rStyle w:val="HideTWBExt"/>
          <w:b w:val="0"/>
        </w:rPr>
        <w:t>&lt;RepeatBlock-By&gt;</w:t>
      </w:r>
      <w:r>
        <w:rPr>
          <w:rStyle w:val="HideTWBExt"/>
          <w:b w:val="0"/>
        </w:rPr>
        <w:t>&lt;Members&gt;</w:t>
      </w:r>
      <w:r>
        <w:t>Leila Chaibi, Irene Montero, Ilaria Salis, Martin Schirdewan, Manon Aubry, Arash Saeidi, Anthony Smith, Giorgos Georgiou, Estrella Galán, Damien Carême, Rima Hassan, Younous Omarjee, Marina Mesure, Catarina Martins, Emma Fourreau, Gaetano Pedullà</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chiede alla Commissione di pubblicare una relazione sulla legislazione dell'UE che incide sui prezzi e sulla fornitura dei materiali da costruzione, al fine di identificare, esaminare ed eliminare i fattori che contribuiscono all'aumento dei costi;</w:t>
            </w:r>
          </w:p>
        </w:tc>
        <w:tc>
          <w:tcPr>
            <w:tcW w:w="4876" w:type="dxa"/>
            <w:tcBorders>
              <w:top w:val="nil"/>
              <w:left w:val="nil"/>
              <w:bottom w:val="nil"/>
              <w:right w:val="nil"/>
            </w:tcBorders>
          </w:tcPr>
          <w:p>
            <w:pPr>
              <w:pStyle w:val="Normal6a"/>
            </w:pPr>
            <w:r>
              <w:t>10.</w:t>
            </w:r>
            <w:r>
              <w:tab/>
            </w:r>
            <w:r>
              <w:t>chiede alla Commissione di pubblicare una relazione sulla legislazione dell'UE che incide sui prezzi e sulla fornitura dei materiali da costruzione, al fine di identificare, esaminare ed eliminare i fattori che contribuiscono all'aumento dei costi</w:t>
            </w:r>
            <w:r>
              <w:rPr>
                <w:b/>
                <w:i/>
              </w:rPr>
              <w:t>, nel pieno rispetto delle norme ambientali e sociali applicabili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847</w:t>
      </w:r>
      <w:r>
        <w:rPr>
          <w:rStyle w:val="HideTWBExt"/>
        </w:rPr>
        <w:t>&lt;/NumAm&gt;</w:t>
      </w:r>
    </w:p>
    <w:p>
      <w:pPr>
        <w:pStyle w:val="NormalBold"/>
      </w:pPr>
      <w:r>
        <w:rPr>
          <w:rStyle w:val="HideTWBExt"/>
          <w:b w:val="0"/>
        </w:rPr>
        <w:t>&lt;RepeatBlock-By&gt;</w:t>
      </w:r>
      <w:r>
        <w:rPr>
          <w:rStyle w:val="HideTWBExt"/>
          <w:b w:val="0"/>
        </w:rPr>
        <w:t>&lt;Members&gt;</w:t>
      </w:r>
      <w:r>
        <w:t>Brigitte van den Berg, Barry Cowen, Martin Hojsík, 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chiede alla Commissione di </w:t>
            </w:r>
            <w:r>
              <w:rPr>
                <w:b/>
                <w:i/>
              </w:rPr>
              <w:t>pubblicare una relazione sulla legislazione dell'UE che incide</w:t>
            </w:r>
            <w:r>
              <w:t xml:space="preserve"> sui prezzi e sulla fornitura dei materiali da costruzione, al fine di identificare</w:t>
            </w:r>
            <w:r>
              <w:rPr>
                <w:b/>
                <w:i/>
              </w:rPr>
              <w:t>, esaminare ed eliminare</w:t>
            </w:r>
            <w:r>
              <w:t xml:space="preserve"> i fattori che contribuiscono all'aumento dei costi;</w:t>
            </w:r>
          </w:p>
        </w:tc>
        <w:tc>
          <w:tcPr>
            <w:tcW w:w="4876" w:type="dxa"/>
            <w:tcBorders>
              <w:top w:val="nil"/>
              <w:left w:val="nil"/>
              <w:bottom w:val="nil"/>
              <w:right w:val="nil"/>
            </w:tcBorders>
          </w:tcPr>
          <w:p>
            <w:pPr>
              <w:pStyle w:val="Normal6a"/>
            </w:pPr>
            <w:r>
              <w:t>10.</w:t>
            </w:r>
            <w:r>
              <w:tab/>
            </w:r>
            <w:r>
              <w:t xml:space="preserve">chiede alla Commissione di </w:t>
            </w:r>
            <w:r>
              <w:rPr>
                <w:b/>
                <w:i/>
              </w:rPr>
              <w:t>effettuare un'analisi delle diverse cause che incidono</w:t>
            </w:r>
            <w:r>
              <w:t xml:space="preserve"> sui prezzi e sulla fornitura dei materiali da costruzione, al fine di identificare </w:t>
            </w:r>
            <w:r>
              <w:rPr>
                <w:b/>
                <w:i/>
              </w:rPr>
              <w:t>e di affrontare, nel rispetto delle competenze dell'UE e dei principi di sussidiarietà,</w:t>
            </w:r>
            <w:r>
              <w:t xml:space="preserve"> i fattori che contribuiscono all'aumento dei costi;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848</w:t>
      </w:r>
      <w:r>
        <w:rPr>
          <w:rStyle w:val="HideTWBExt"/>
        </w:rPr>
        <w:t>&lt;/NumAm&gt;</w:t>
      </w:r>
    </w:p>
    <w:p>
      <w:pPr>
        <w:pStyle w:val="NormalBold"/>
      </w:pPr>
      <w:r>
        <w:rPr>
          <w:rStyle w:val="HideTWBExt"/>
          <w:b w:val="0"/>
        </w:rPr>
        <w:t>&lt;RepeatBlock-By&gt;</w:t>
      </w:r>
      <w:r>
        <w:rPr>
          <w:rStyle w:val="HideTWBExt"/>
          <w:b w:val="0"/>
        </w:rPr>
        <w:t>&lt;Members&gt;</w:t>
      </w:r>
      <w:r>
        <w:t>Regina Doherty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chiede alla Commissione di pubblicare una relazione sulla legislazione dell'UE che incide sui prezzi e sulla fornitura </w:t>
            </w:r>
            <w:r>
              <w:rPr>
                <w:b/>
                <w:i/>
              </w:rPr>
              <w:t>dei materiali</w:t>
            </w:r>
            <w:r>
              <w:t xml:space="preserve"> da costruzione, al fine di identificare, esaminare ed eliminare i fattori che contribuiscono all'aumento dei costi;</w:t>
            </w:r>
          </w:p>
        </w:tc>
        <w:tc>
          <w:tcPr>
            <w:tcW w:w="4876" w:type="dxa"/>
            <w:tcBorders>
              <w:top w:val="nil"/>
              <w:left w:val="nil"/>
              <w:bottom w:val="nil"/>
              <w:right w:val="nil"/>
            </w:tcBorders>
          </w:tcPr>
          <w:p>
            <w:pPr>
              <w:pStyle w:val="Normal6a"/>
            </w:pPr>
            <w:r>
              <w:t>10.</w:t>
            </w:r>
            <w:r>
              <w:tab/>
            </w:r>
            <w:r>
              <w:t xml:space="preserve">chiede alla Commissione di pubblicare una relazione sulla legislazione dell'UE che incide sui prezzi e sulla fornitura </w:t>
            </w:r>
            <w:r>
              <w:rPr>
                <w:b/>
                <w:i/>
              </w:rPr>
              <w:t>delle materie prime e dei prodotti</w:t>
            </w:r>
            <w:r>
              <w:t xml:space="preserve"> da costruzione, al fine di identificare, esaminare ed eliminare i fattori che contribuiscono all'aumento dei costi;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849</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chiede alla Commissione di pubblicare una relazione sulla legislazione dell'UE che incide sui prezzi e sulla fornitura dei </w:t>
            </w:r>
            <w:r>
              <w:rPr>
                <w:b/>
                <w:i/>
              </w:rPr>
              <w:t>materiali</w:t>
            </w:r>
            <w:r>
              <w:t xml:space="preserve"> da costruzione, al fine di identificare, esaminare ed eliminare i fattori che contribuiscono all'aumento dei costi;</w:t>
            </w:r>
          </w:p>
        </w:tc>
        <w:tc>
          <w:tcPr>
            <w:tcW w:w="4876" w:type="dxa"/>
            <w:tcBorders>
              <w:top w:val="nil"/>
              <w:left w:val="nil"/>
              <w:bottom w:val="nil"/>
              <w:right w:val="nil"/>
            </w:tcBorders>
          </w:tcPr>
          <w:p>
            <w:pPr>
              <w:pStyle w:val="Normal6a"/>
            </w:pPr>
            <w:r>
              <w:t>10.</w:t>
            </w:r>
            <w:r>
              <w:tab/>
            </w:r>
            <w:r>
              <w:t xml:space="preserve">chiede alla Commissione di pubblicare una relazione sulla legislazione dell'UE che incide sui prezzi e sulla fornitura dei </w:t>
            </w:r>
            <w:r>
              <w:rPr>
                <w:b/>
                <w:i/>
              </w:rPr>
              <w:t>prodotti</w:t>
            </w:r>
            <w:r>
              <w:t xml:space="preserve"> da costruzione, al fine di identificare, esaminare ed eliminare i fattori che contribuiscono all'aumento dei costi;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850</w:t>
      </w:r>
      <w:r>
        <w:rPr>
          <w:rStyle w:val="HideTWBExt"/>
        </w:rPr>
        <w:t>&lt;/NumAm&gt;</w:t>
      </w:r>
    </w:p>
    <w:p>
      <w:pPr>
        <w:pStyle w:val="NormalBold"/>
      </w:pPr>
      <w:r>
        <w:rPr>
          <w:rStyle w:val="HideTWBExt"/>
          <w:b w:val="0"/>
        </w:rPr>
        <w:t>&lt;RepeatBlock-By&gt;</w:t>
      </w:r>
      <w:r>
        <w:rPr>
          <w:rStyle w:val="HideTWBExt"/>
          <w:b w:val="0"/>
        </w:rPr>
        <w:t>&lt;Members&gt;</w:t>
      </w:r>
      <w:r>
        <w:t>Regina Doherty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bis.</w:t>
            </w:r>
            <w:r>
              <w:tab/>
            </w:r>
            <w:r>
              <w:rPr>
                <w:b/>
                <w:i/>
              </w:rPr>
              <w:t>invita la Commissione a garantire che il processo di armonizzazione dell'acquis relativo al regolamento sui prodotti da costruzione per il cemento e il calcestruzzo consenta un'autentica innovazione e un reale accesso al mercato per le tecnologie a basse emissioni di carbonio;</w:t>
            </w:r>
            <w:r>
              <w:t xml:space="preserve"> </w:t>
            </w:r>
            <w:r>
              <w:rPr>
                <w:b/>
                <w:i/>
              </w:rPr>
              <w:t>osserva che le attuali richieste di normazione escludono alcune soluzioni innovative e creano ostacoli per le PMI;</w:t>
            </w:r>
            <w:r>
              <w:t xml:space="preserve"> </w:t>
            </w:r>
            <w:r>
              <w:rPr>
                <w:b/>
                <w:i/>
              </w:rPr>
              <w:t>esorta la Commissione ad accelerare l'armonizzazione delle norme relative al calcestruzzo e a stabilire percorsi di certificazione più rapidi a livello dell'UE per sostenere l'edilizia sostenibile e la competitività;</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851</w:t>
      </w:r>
      <w:r>
        <w:rPr>
          <w:rStyle w:val="HideTWBExt"/>
        </w:rPr>
        <w:t>&lt;/NumAm&gt;</w:t>
      </w:r>
    </w:p>
    <w:p>
      <w:pPr>
        <w:pStyle w:val="NormalBold"/>
      </w:pPr>
      <w:r>
        <w:rPr>
          <w:rStyle w:val="HideTWBExt"/>
          <w:b w:val="0"/>
        </w:rPr>
        <w:t>&lt;RepeatBlock-By&gt;</w:t>
      </w:r>
      <w:r>
        <w:rPr>
          <w:rStyle w:val="HideTWBExt"/>
          <w:b w:val="0"/>
        </w:rPr>
        <w:t>&lt;Members&gt;</w:t>
      </w:r>
      <w:r>
        <w:t>Aodhán Ó Ríordáin, Andreas Schieder, Gabriele Bischoff, Alicia Homs Ginel, Marit Maij, Nora Mebarek, Isilda Gomes, Joanna Scheuring-Wielgus, Yannis Maniatis,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bis.</w:t>
            </w:r>
            <w:r>
              <w:tab/>
            </w:r>
            <w:r>
              <w:rPr>
                <w:b/>
                <w:i/>
              </w:rPr>
              <w:t>invita la Commissione a garantire maggiori tutele per le famiglie interessate dal problema dei materiali da costruzione difettosi, riconoscendone le gravi conseguenze sociali ed economiche, nonché l'impatto sulla salute delle persone;</w:t>
            </w:r>
            <w:r>
              <w:t xml:space="preserve"> </w:t>
            </w:r>
            <w:r>
              <w:rPr>
                <w:b/>
                <w:i/>
              </w:rPr>
              <w:t>evidenzia che spetta alle autorità e all'industria garantire la responsabilità e standard elevati nell'edilizia e sottolinea la necessità di garanzie a livello dell'UE a tutela dei consumatori;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852</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bis.</w:t>
            </w:r>
            <w:r>
              <w:tab/>
            </w:r>
            <w:r>
              <w:rPr>
                <w:b/>
                <w:i/>
              </w:rPr>
              <w:t>sottolinea che l'efficienza energetica degli alloggi deve essere collegata alla giustizia sociale e alla lotta contro la povertà energetica;</w:t>
            </w:r>
            <w:r>
              <w:t xml:space="preserve"> </w:t>
            </w:r>
            <w:r>
              <w:rPr>
                <w:b/>
                <w:i/>
              </w:rPr>
              <w:t>invita la Commissione e gli Stati membri a finanziare ampi programmi di ristrutturazione abitativa per le famiglie vulnerabili, garantendo che i costi della transizione verde non rappresentino un onere per i gruppi a basso reddito;</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853</w:t>
      </w:r>
      <w:r>
        <w:rPr>
          <w:rStyle w:val="HideTWBExt"/>
        </w:rPr>
        <w:t>&lt;/NumAm&gt;</w:t>
      </w:r>
    </w:p>
    <w:p>
      <w:pPr>
        <w:pStyle w:val="NormalBold"/>
      </w:pPr>
      <w:r>
        <w:rPr>
          <w:rStyle w:val="HideTWBExt"/>
          <w:b w:val="0"/>
        </w:rPr>
        <w:t>&lt;RepeatBlock-By&gt;</w:t>
      </w:r>
      <w:r>
        <w:rPr>
          <w:rStyle w:val="HideTWBExt"/>
          <w:b w:val="0"/>
        </w:rPr>
        <w:t>&lt;Members&gt;</w:t>
      </w:r>
      <w:r>
        <w:t>Klara Dostalova, Julie Rechagneux, Ondřej Knotek, Jaroslav Bžoch, Rachel Blom, 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bis.</w:t>
            </w:r>
            <w:r>
              <w:tab/>
            </w:r>
            <w:r>
              <w:rPr>
                <w:b/>
                <w:i/>
              </w:rPr>
              <w:t>incoraggia gli Stati membri a sperimentare costruzioni industrializzate, modulari e offsite per accelerare la consegna e ridurre i costi, garantendo nel contempo norme di qualità e sicurezza;</w:t>
            </w:r>
            <w:r>
              <w:t xml:space="preserve"> </w:t>
            </w:r>
            <w:r>
              <w:rPr>
                <w:b/>
                <w:i/>
              </w:rPr>
              <w:t>osserva che i metodi industrializzati possono ridurre notevolmente i tempi di costruzione e contribuire a colmare le carenze di approvvigionamento;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854</w:t>
      </w:r>
      <w:r>
        <w:rPr>
          <w:rStyle w:val="HideTWBExt"/>
        </w:rPr>
        <w:t>&lt;/NumAm&gt;</w:t>
      </w:r>
    </w:p>
    <w:p>
      <w:pPr>
        <w:pStyle w:val="NormalBold"/>
      </w:pPr>
      <w:r>
        <w:rPr>
          <w:rStyle w:val="HideTWBExt"/>
          <w:b w:val="0"/>
        </w:rPr>
        <w:t>&lt;RepeatBlock-By&gt;</w:t>
      </w:r>
      <w:r>
        <w:rPr>
          <w:rStyle w:val="HideTWBExt"/>
          <w:b w:val="0"/>
        </w:rPr>
        <w:t>&lt;Members&gt;</w:t>
      </w:r>
      <w:r>
        <w:t>Marco Falcone, Flavio Tosi, Caterina Chinnici, Letizia Moratti, Massimiliano Salini, Salvatore De Meo, Giusi Princi, Fulvio Martusciello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bis.</w:t>
            </w:r>
            <w:r>
              <w:tab/>
            </w:r>
            <w:r>
              <w:rPr>
                <w:b/>
                <w:i/>
              </w:rPr>
              <w:t>sottolinea che la sicurezza antincendio dovrebbe essere considerata un pilastro fondamentale delle politiche abitative dell'Unione, unitamente all'accessibilità economica, alla sostenibilità e all'efficienza energetica, al fine di proteggere le vite umane e garantire la resilienza del parco immobiliare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855</w:t>
      </w:r>
      <w:r>
        <w:rPr>
          <w:rStyle w:val="HideTWBExt"/>
        </w:rPr>
        <w:t>&lt;/NumAm&gt;</w:t>
      </w:r>
    </w:p>
    <w:p>
      <w:pPr>
        <w:pStyle w:val="NormalBold"/>
      </w:pPr>
      <w:r>
        <w:rPr>
          <w:rStyle w:val="HideTWBExt"/>
          <w:b w:val="0"/>
        </w:rPr>
        <w:t>&lt;RepeatBlock-By&gt;</w:t>
      </w:r>
      <w:r>
        <w:rPr>
          <w:rStyle w:val="HideTWBExt"/>
          <w:b w:val="0"/>
        </w:rPr>
        <w:t>&lt;Members&gt;</w:t>
      </w:r>
      <w:r>
        <w:t>Ciaran Mullooly, Brigitte van den 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bis.</w:t>
            </w:r>
            <w:r>
              <w:tab/>
            </w:r>
            <w:r>
              <w:rPr>
                <w:b/>
                <w:i/>
              </w:rPr>
              <w:t>sottolinea l'importanza della sicurezza antincendio e insiste sul fatto che dovrebbe rappresentare una considerazione fondamentale nella politica abitativa dell'UE, trattandosi di un elemento cruciale nella lotta per proteggere le vite umane e garantire la resilienza del parco immobiliare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856</w:t>
      </w:r>
      <w:r>
        <w:rPr>
          <w:rStyle w:val="HideTWBExt"/>
        </w:rPr>
        <w:t>&lt;/NumAm&gt;</w:t>
      </w:r>
    </w:p>
    <w:p>
      <w:pPr>
        <w:pStyle w:val="NormalBold"/>
      </w:pPr>
      <w:r>
        <w:rPr>
          <w:rStyle w:val="HideTWBExt"/>
          <w:b w:val="0"/>
        </w:rPr>
        <w:t>&lt;RepeatBlock-By&gt;</w:t>
      </w:r>
      <w:r>
        <w:rPr>
          <w:rStyle w:val="HideTWBExt"/>
          <w:b w:val="0"/>
        </w:rPr>
        <w:t>&lt;Members&gt;</w:t>
      </w:r>
      <w:r>
        <w:t>Brigitte van den Berg, Barry Cowen, Martin Hojsík, 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bis.</w:t>
            </w:r>
            <w:r>
              <w:tab/>
            </w:r>
            <w:r>
              <w:rPr>
                <w:b/>
                <w:i/>
              </w:rPr>
              <w:t>sottolinea l'importanza che l'UE rafforzi la sua sovranità industriale nel settore delle costruzioni e proponga misure volte a individuare e colmare le carenze nella filiera produttiva delle costruzioni;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857</w:t>
      </w:r>
      <w:r>
        <w:rPr>
          <w:rStyle w:val="HideTWBExt"/>
        </w:rPr>
        <w:t>&lt;/NumAm&gt;</w:t>
      </w:r>
    </w:p>
    <w:p>
      <w:pPr>
        <w:pStyle w:val="NormalBold"/>
      </w:pPr>
      <w:r>
        <w:rPr>
          <w:rStyle w:val="HideTWBExt"/>
          <w:b w:val="0"/>
        </w:rPr>
        <w:t>&lt;RepeatBlock-By&gt;</w:t>
      </w:r>
      <w:r>
        <w:rPr>
          <w:rStyle w:val="HideTWBExt"/>
          <w:b w:val="0"/>
        </w:rPr>
        <w:t>&lt;Members&gt;</w:t>
      </w:r>
      <w:r>
        <w:t>Georgiana Teodorescu, Antonella Sberna, Lara Magoni, Alessandro Ciriani, Nora Junco García,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bis.</w:t>
            </w:r>
            <w:r>
              <w:tab/>
            </w:r>
            <w:r>
              <w:rPr>
                <w:b/>
                <w:i/>
              </w:rPr>
              <w:t>invita gli Stati membri a promuovere l'impiego di materiali da costruzione prodotti nell'Unione europea, sostenendo in tal modo la creazione di posti di lavoro a livello locale e rafforzando la competitività dell'Europa;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858</w:t>
      </w:r>
      <w:r>
        <w:rPr>
          <w:rStyle w:val="HideTWBExt"/>
        </w:rPr>
        <w:t>&lt;/NumAm&gt;</w:t>
      </w:r>
    </w:p>
    <w:p>
      <w:pPr>
        <w:pStyle w:val="NormalBold"/>
      </w:pPr>
      <w:r>
        <w:rPr>
          <w:rStyle w:val="HideTWBExt"/>
          <w:b w:val="0"/>
        </w:rPr>
        <w:t>&lt;RepeatBlock-By&gt;</w:t>
      </w:r>
      <w:r>
        <w:rPr>
          <w:rStyle w:val="HideTWBExt"/>
          <w:b w:val="0"/>
        </w:rPr>
        <w:t>&lt;Members&gt;</w:t>
      </w:r>
      <w:r>
        <w:t>Brigitte van den Berg, Barry Cowen, Martin Hojsík, Oihane Agirregoitia Martínez, Ciaran Mullooly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ter.</w:t>
            </w:r>
            <w:r>
              <w:tab/>
            </w:r>
            <w:r>
              <w:rPr>
                <w:b/>
                <w:i/>
              </w:rPr>
              <w:t>sottolinea l'importanza di migliorare la sostenibilità e la durabilità degli edifici europei, di incentivare ristrutturazioni sostenibili e durature, tenendo debitamente conto, nel contempo, delle situazioni e dei vincoli cui devono far fronte le famiglie che vivono in alloggi che necessitano di ristrutturazione; chiede che le nuove abitazioni soddisfino elevati standard di qualità in materia di isolamento, efficienza energetica, qualità dell'aria interna e sicurezza antincendio;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859</w:t>
      </w:r>
      <w:r>
        <w:rPr>
          <w:rStyle w:val="HideTWBExt"/>
        </w:rPr>
        <w:t>&lt;/NumAm&gt;</w:t>
      </w:r>
    </w:p>
    <w:p>
      <w:pPr>
        <w:pStyle w:val="NormalBold"/>
      </w:pPr>
      <w:r>
        <w:rPr>
          <w:rStyle w:val="HideTWBExt"/>
          <w:b w:val="0"/>
        </w:rPr>
        <w:t>&lt;RepeatBlock-By&gt;</w:t>
      </w:r>
      <w:r>
        <w:rPr>
          <w:rStyle w:val="HideTWBExt"/>
          <w:b w:val="0"/>
        </w:rPr>
        <w:t>&lt;Members&gt;</w:t>
      </w:r>
      <w:r>
        <w:t>Georgiana Teodorescu, Antonella Sberna, Alessandro Ciriani, Lara Magoni, Nora Junco García,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ter.</w:t>
            </w:r>
            <w:r>
              <w:tab/>
            </w:r>
            <w:r>
              <w:rPr>
                <w:b/>
                <w:i/>
              </w:rPr>
              <w:t>invita la Commissione a includere clausole minime di origine per i progetti cofinanziati dall'UE nel settore dell'edilizia sostenibile, stabilendo quote minime di componenti "Made in EU" (fabbricate nell'UE), e ad avviare programmi di sostegno per la riconversione industriale, la ricerca e gli investimenti all'interno della catena del valore europea;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860</w:t>
      </w:r>
      <w:r>
        <w:rPr>
          <w:rStyle w:val="HideTWBExt"/>
        </w:rPr>
        <w:t>&lt;/NumAm&gt;</w:t>
      </w:r>
    </w:p>
    <w:p>
      <w:pPr>
        <w:pStyle w:val="NormalBold"/>
      </w:pPr>
      <w:r>
        <w:rPr>
          <w:rStyle w:val="HideTWBExt"/>
          <w:b w:val="0"/>
        </w:rPr>
        <w:t>&lt;RepeatBlock-By&gt;</w:t>
      </w:r>
      <w:r>
        <w:rPr>
          <w:rStyle w:val="HideTWBExt"/>
          <w:b w:val="0"/>
        </w:rPr>
        <w:t>&lt;Members&gt;</w:t>
      </w:r>
      <w:r>
        <w:t>Ciaran Mullooly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ter.</w:t>
            </w:r>
            <w:r>
              <w:tab/>
            </w:r>
            <w:r>
              <w:rPr>
                <w:b/>
                <w:i/>
              </w:rPr>
              <w:t>chiede un migliore coordinamento a livello dell'UE per aumentare la sicurezza antincendio negli Stati membri;</w:t>
            </w:r>
            <w:r>
              <w:t xml:space="preserve"> </w:t>
            </w:r>
            <w:r>
              <w:rPr>
                <w:b/>
                <w:i/>
              </w:rPr>
              <w:t>sottolinea il valore aggiunto che la cooperazione a livello dell'UE può apportare nel potenziare gli sforzi degli Stati membri;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861</w:t>
      </w:r>
      <w:r>
        <w:rPr>
          <w:rStyle w:val="HideTWBExt"/>
        </w:rPr>
        <w:t>&lt;/NumAm&gt;</w:t>
      </w:r>
    </w:p>
    <w:p>
      <w:pPr>
        <w:pStyle w:val="NormalBold"/>
      </w:pPr>
      <w:r>
        <w:rPr>
          <w:rStyle w:val="HideTWBExt"/>
          <w:b w:val="0"/>
        </w:rPr>
        <w:t>&lt;RepeatBlock-By&gt;</w:t>
      </w:r>
      <w:r>
        <w:rPr>
          <w:rStyle w:val="HideTWBExt"/>
          <w:b w:val="0"/>
        </w:rPr>
        <w:t>&lt;Members&gt;</w:t>
      </w:r>
      <w:r>
        <w:t>Brigitte van den Berg, Barry Cowen, Martin Hojsík, Oihane Agirregoitia Martínez, Ciaran Mullooly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quater.</w:t>
            </w:r>
            <w:r>
              <w:tab/>
            </w:r>
            <w:r>
              <w:rPr>
                <w:b/>
                <w:i/>
              </w:rPr>
              <w:t>mette in guardia contro la bassissima offerta di abitazioni accessibili e gli effetti negativi che essa produce sull'integrazione socioeconomica delle persone con disabilità, nonché sulla loro capacità di condurre una vita indipendente; esorta la Commissione e gli Stati membri ad aumentare significativamente l'offerta di alloggi accessibili e a predisporre meccanismi atti a garantire una proporzione sufficiente di alloggi accessibili nell'ambito delle nuove costruzioni, non da ultimo attraverso l'introduzione della condizionalità per accedere ai relativi fondi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862</w:t>
      </w:r>
      <w:r>
        <w:rPr>
          <w:rStyle w:val="HideTWBExt"/>
        </w:rPr>
        <w:t>&lt;/NumAm&gt;</w:t>
      </w:r>
    </w:p>
    <w:p>
      <w:pPr>
        <w:pStyle w:val="NormalBold"/>
      </w:pPr>
      <w:r>
        <w:rPr>
          <w:rStyle w:val="HideTWBExt"/>
          <w:b w:val="0"/>
        </w:rPr>
        <w:t>&lt;RepeatBlock-By&gt;</w:t>
      </w:r>
      <w:r>
        <w:rPr>
          <w:rStyle w:val="HideTWBExt"/>
          <w:b w:val="0"/>
        </w:rPr>
        <w:t>&lt;Members&gt;</w:t>
      </w:r>
      <w:r>
        <w:t>Ciaran Mullooly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quater.</w:t>
            </w:r>
            <w:r>
              <w:tab/>
            </w:r>
            <w:r>
              <w:rPr>
                <w:b/>
                <w:i/>
              </w:rPr>
              <w:t>esorta gli Stati membri interessati a garantire un risarcimento integrale e tempestivo a tutte le persone, ai proprietari di alloggi, alle comunità e alle piccole imprese interessate dal problema dei prodotti in calcestruzzo difettosi, compresa la contaminazione da mica, introducendo un sistema di indennizzo che copra il 100 % dei costi di bonifica, risanamento o ricostruzione;</w:t>
            </w:r>
            <w:r>
              <w:t xml:space="preserve"> </w:t>
            </w:r>
            <w:r>
              <w:rPr>
                <w:b/>
                <w:i/>
              </w:rPr>
              <w:t>sottolinea che questo strumento di ricorso deve includere tutte le giurisdizioni interessate, assicurando la coerenza transfrontaliera;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863</w:t>
      </w:r>
      <w:r>
        <w:rPr>
          <w:rStyle w:val="HideTWBExt"/>
        </w:rPr>
        <w:t>&lt;/NumAm&gt;</w:t>
      </w:r>
    </w:p>
    <w:p>
      <w:pPr>
        <w:pStyle w:val="NormalBold"/>
      </w:pPr>
      <w:r>
        <w:rPr>
          <w:rStyle w:val="HideTWBExt"/>
          <w:b w:val="0"/>
        </w:rPr>
        <w:t>&lt;RepeatBlock-By&gt;</w:t>
      </w:r>
      <w:r>
        <w:rPr>
          <w:rStyle w:val="HideTWBExt"/>
          <w:b w:val="0"/>
        </w:rPr>
        <w:t>&lt;Members&gt;</w:t>
      </w:r>
      <w:r>
        <w:t>Ciaran Mullooly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quinquies.</w:t>
            </w:r>
            <w:r>
              <w:tab/>
            </w:r>
            <w:r>
              <w:rPr>
                <w:b/>
                <w:i/>
              </w:rPr>
              <w:t>invita la Commissione a verificare con urgenza, in stretta consultazione con gli Stati membri interessati, se la regolamentazione, i finanziamenti, le norme in materia di aiuti di Stato o le norme dell'UE, come ad esempio la norma I.S EN 771- 3:2011+A1:2015, possano essere utilizzate o adattate al fine di garantire che i sistemi di indennizzo, in particolare quelli per i prodotti in calcestruzzo difettosi, compresa la contaminazione da mica, dispongano di finanziamenti adeguati e siano conformi agli obblighi dell'UE, compresi quelli relativi alle norme ambientali e in materia di sicurezza, consumatori e prodotti da costruzione;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864</w:t>
      </w:r>
      <w:r>
        <w:rPr>
          <w:rStyle w:val="HideTWBExt"/>
        </w:rPr>
        <w:t>&lt;/NumAm&gt;</w:t>
      </w:r>
    </w:p>
    <w:p>
      <w:pPr>
        <w:pStyle w:val="NormalBold"/>
      </w:pPr>
      <w:r>
        <w:rPr>
          <w:rStyle w:val="HideTWBExt"/>
          <w:b w:val="0"/>
        </w:rPr>
        <w:t>&lt;RepeatBlock-By&gt;</w:t>
      </w:r>
      <w:r>
        <w:rPr>
          <w:rStyle w:val="HideTWBExt"/>
          <w:b w:val="0"/>
        </w:rPr>
        <w:t>&lt;Members&gt;</w:t>
      </w:r>
      <w:r>
        <w:t>Ciaran Mullooly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 sexies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sexies.</w:t>
            </w:r>
            <w:r>
              <w:tab/>
            </w:r>
            <w:r>
              <w:rPr>
                <w:b/>
                <w:i/>
              </w:rPr>
              <w:t>segnala agli Stati membri che potrebbero prendere in considerazione riduzioni temporanee dell'IVA sui materiali da costruzione per l'edilizia abitativa, per ridurre i costi abitativi e accelerare la costruzione;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865</w:t>
      </w:r>
      <w:r>
        <w:rPr>
          <w:rStyle w:val="HideTWBExt"/>
        </w:rPr>
        <w:t>&lt;/NumAm&gt;</w:t>
      </w:r>
    </w:p>
    <w:p>
      <w:pPr>
        <w:pStyle w:val="NormalBold"/>
      </w:pPr>
      <w:r>
        <w:rPr>
          <w:rStyle w:val="HideTWBExt"/>
          <w:b w:val="0"/>
        </w:rPr>
        <w:t>&lt;RepeatBlock-By&gt;</w:t>
      </w:r>
      <w:r>
        <w:rPr>
          <w:rStyle w:val="HideTWBExt"/>
          <w:b w:val="0"/>
        </w:rPr>
        <w:t>&lt;Members&gt;</w:t>
      </w:r>
      <w:r>
        <w:t>Irmhild Boßdorf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11.</w:t>
            </w:r>
            <w:r>
              <w:tab/>
            </w:r>
            <w:r>
              <w:rPr>
                <w:b/>
                <w:i/>
              </w:rPr>
              <w:t>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w:t>
            </w:r>
            <w:r>
              <w:t xml:space="preserve"> </w:t>
            </w:r>
            <w:r>
              <w:rPr>
                <w:b/>
                <w:i/>
              </w:rPr>
              <w:t>chiede che i fondi dell'UE e nazionali rafforzino il sostegno all'innovazione nel settore edile, in particolare quella basata sulle microimprese e le PMI incentrate sulla ricerca di nuovi materiali;</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866</w:t>
      </w:r>
      <w:r>
        <w:rPr>
          <w:rStyle w:val="HideTWBExt"/>
        </w:rPr>
        <w:t>&lt;/NumAm&gt;</w:t>
      </w:r>
    </w:p>
    <w:p>
      <w:pPr>
        <w:pStyle w:val="NormalBold"/>
      </w:pPr>
      <w:r>
        <w:rPr>
          <w:rStyle w:val="HideTWBExt"/>
          <w:b w:val="0"/>
        </w:rPr>
        <w:t>&lt;RepeatBlock-By&gt;</w:t>
      </w:r>
      <w:r>
        <w:rPr>
          <w:rStyle w:val="HideTWBExt"/>
          <w:b w:val="0"/>
        </w:rPr>
        <w:t>&lt;Members&gt;</w:t>
      </w:r>
      <w:r>
        <w:t>Klara Dostalova, Julie Rechagneux, Ondřej Knotek, Jaroslav Bžoch, Rachel Blom, 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w:t>
            </w:r>
            <w:r>
              <w:rPr>
                <w:b/>
                <w:i/>
              </w:rPr>
              <w:t>, mantenendo nel contempo standard ragionevoli di prestazione energetica e acustica</w:t>
            </w:r>
            <w:r>
              <w:t xml:space="preserve">,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 </w:t>
            </w:r>
            <w:r>
              <w:rPr>
                <w:b/>
                <w:i/>
              </w:rPr>
              <w:t>sottolinea che l'innovazione deve in primo luogo ridurre i costi e accelerare la costruzione, sostenere le imprese locali e l'artigianato tradizionale e contribuire all'autosufficienza europea;</w:t>
            </w:r>
            <w:r>
              <w:t xml:space="preserve"> </w:t>
            </w:r>
            <w:r>
              <w:rPr>
                <w:b/>
                <w:i/>
              </w:rPr>
              <w:t>insiste sul fatto che il sostegno all'innovazione non deve creare ulteriori oneri amministrativi a carico delle piccole imprese;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867</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c>
          <w:tcPr>
            <w:tcW w:w="4876" w:type="dxa"/>
            <w:tcBorders>
              <w:top w:val="nil"/>
              <w:left w:val="nil"/>
              <w:bottom w:val="nil"/>
              <w:right w:val="nil"/>
            </w:tcBorders>
          </w:tcPr>
          <w:p>
            <w:pPr>
              <w:pStyle w:val="Normal6a"/>
            </w:pPr>
            <w:r>
              <w:t>11.</w:t>
            </w:r>
            <w:r>
              <w:tab/>
            </w:r>
            <w:r>
              <w:t xml:space="preserve">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 </w:t>
            </w:r>
            <w:r>
              <w:rPr>
                <w:b/>
                <w:i/>
              </w:rPr>
              <w:t>chiede lo sviluppo e la diffusione di tecnologie e soluzioni di "smart home" (casa intelligente), in particolare per le persone con esigenze specifiche, che consentano loro di condurre una vita indipendente e promuovano l'inclusione sociale come alternativa al sostegno istituzionale;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868</w:t>
      </w:r>
      <w:r>
        <w:rPr>
          <w:rStyle w:val="HideTWBExt"/>
        </w:rPr>
        <w:t>&lt;/NumAm&gt;</w:t>
      </w:r>
    </w:p>
    <w:p>
      <w:pPr>
        <w:pStyle w:val="NormalBold"/>
      </w:pPr>
      <w:r>
        <w:rPr>
          <w:rStyle w:val="HideTWBExt"/>
          <w:b w:val="0"/>
        </w:rPr>
        <w:t>&lt;RepeatBlock-By&gt;</w:t>
      </w:r>
      <w:r>
        <w:rPr>
          <w:rStyle w:val="HideTWBExt"/>
          <w:b w:val="0"/>
        </w:rPr>
        <w:t>&lt;Members&gt;</w:t>
      </w:r>
      <w:r>
        <w:t>Aodhán Ó Ríordáin, Andreas Schieder, Gabriele Bischoff, Alicia Homs Ginel, Marit Maij, Nora Mebarek, Isilda Gomes, Joanna Scheuring-Wielgus, Yannis Maniatis,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incoraggia le autorità pubbliche competenti a investire </w:t>
            </w:r>
            <w:r>
              <w:rPr>
                <w:b/>
                <w:i/>
              </w:rPr>
              <w:t>nell'innovazione</w:t>
            </w:r>
            <w:r>
              <w:t xml:space="preserv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w:t>
            </w:r>
            <w:r>
              <w:rPr>
                <w:b/>
                <w:i/>
              </w:rPr>
              <w:t>in particolare</w:t>
            </w:r>
            <w:r>
              <w:t xml:space="preserve"> quella basata sulle microimprese e le PMI incentrate sulla ricerca di nuovi materiali;</w:t>
            </w:r>
          </w:p>
        </w:tc>
        <w:tc>
          <w:tcPr>
            <w:tcW w:w="4876" w:type="dxa"/>
            <w:tcBorders>
              <w:top w:val="nil"/>
              <w:left w:val="nil"/>
              <w:bottom w:val="nil"/>
              <w:right w:val="nil"/>
            </w:tcBorders>
          </w:tcPr>
          <w:p>
            <w:pPr>
              <w:pStyle w:val="Normal6a"/>
            </w:pPr>
            <w:r>
              <w:t>11.</w:t>
            </w:r>
            <w:r>
              <w:tab/>
            </w:r>
            <w:r>
              <w:t xml:space="preserve">incoraggia le autorità pubbliche competenti a investire </w:t>
            </w:r>
            <w:r>
              <w:rPr>
                <w:b/>
                <w:i/>
              </w:rPr>
              <w:t>in un'innovazione socialmente responsabile</w:t>
            </w:r>
            <w:r>
              <w:t xml:space="preserve"> nel settore dell'edilizia abitativa non solo per migliorare la qualità del parco immobiliare, in termini di efficienza energetica, isolamento acustico e termico, solidità strutturale e accessibilità economica, ma anche per </w:t>
            </w:r>
            <w:r>
              <w:rPr>
                <w:b/>
                <w:i/>
              </w:rPr>
              <w:t>migliorare le norme del lavoro,</w:t>
            </w:r>
            <w:r>
              <w:t xml:space="preserve"> promuovere la produttività e l'efficienza nel processo di costruzione stesso, attraverso metodi più rapidi, più efficaci in termini di costi e a minore intensità di manodopera, comprese l'industrializzazione e la digitalizzazione delle tecniche di costruzione; </w:t>
            </w:r>
            <w:r>
              <w:rPr>
                <w:b/>
                <w:i/>
              </w:rPr>
              <w:t>invita le autorità pubbliche competenti a provvedere affinché l'innovazione nel settore dell'edilizia abitativa non comporti un aumento dei costi abitativi o l'abbandono da parte dei residenti;</w:t>
            </w:r>
            <w:r>
              <w:t xml:space="preserve"> chiede che i fondi dell'UE e nazionali rafforzino il sostegno all'innovazione nel settore edile, </w:t>
            </w:r>
            <w:r>
              <w:rPr>
                <w:b/>
                <w:i/>
              </w:rPr>
              <w:t>ad esempio</w:t>
            </w:r>
            <w:r>
              <w:t xml:space="preserve"> quella basata sulle microimprese e le PMI incentrate sulla ricerca di nuovi materiali;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869</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w:t>
            </w:r>
            <w:r>
              <w:rPr>
                <w:b/>
                <w:i/>
              </w:rPr>
              <w:t>, ove opportuno, garantendo nel contempo la continuità del sostegno ai metodi di costruzione tradizionali e ibridi, soprattutto nel contesto delle ristrutturazioni</w:t>
            </w:r>
            <w:r>
              <w:t>; chiede che i fondi dell'UE e nazionali rafforzino il sostegno all'innovazione nel settore edile, in particolare quella basata sulle microimprese e le PMI incentrate sulla ricerca di nuovi materiali;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870</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Inese Vaidere,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c>
          <w:tcPr>
            <w:tcW w:w="4876" w:type="dxa"/>
            <w:tcBorders>
              <w:top w:val="nil"/>
              <w:left w:val="nil"/>
              <w:bottom w:val="nil"/>
              <w:right w:val="nil"/>
            </w:tcBorders>
          </w:tcPr>
          <w:p>
            <w:pPr>
              <w:pStyle w:val="Normal6a"/>
            </w:pPr>
            <w:r>
              <w:t>11.</w:t>
            </w:r>
            <w:r>
              <w:tab/>
            </w:r>
            <w:r>
              <w:t xml:space="preserve">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 </w:t>
            </w:r>
            <w:r>
              <w:rPr>
                <w:b/>
                <w:i/>
              </w:rPr>
              <w:t>chiede di incentivare le tecnologie innovative prodotte nell'Unione in grado di affrontare la povertà energetica;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871</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c>
          <w:tcPr>
            <w:tcW w:w="4876" w:type="dxa"/>
            <w:tcBorders>
              <w:top w:val="nil"/>
              <w:left w:val="nil"/>
              <w:bottom w:val="nil"/>
              <w:right w:val="nil"/>
            </w:tcBorders>
          </w:tcPr>
          <w:p>
            <w:pPr>
              <w:pStyle w:val="Normal6a"/>
            </w:pPr>
            <w:r>
              <w:t>11.</w:t>
            </w:r>
            <w:r>
              <w:tab/>
            </w:r>
            <w:r>
              <w:t xml:space="preserve">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 </w:t>
            </w:r>
            <w:r>
              <w:rPr>
                <w:b/>
                <w:i/>
              </w:rPr>
              <w:t>chiede l'introduzione di strumenti finanziari europei per aiutare le PMI ad ampliare la realizzazione di alloggi modulari e offsite;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872</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c>
          <w:tcPr>
            <w:tcW w:w="4876" w:type="dxa"/>
            <w:tcBorders>
              <w:top w:val="nil"/>
              <w:left w:val="nil"/>
              <w:bottom w:val="nil"/>
              <w:right w:val="nil"/>
            </w:tcBorders>
          </w:tcPr>
          <w:p>
            <w:pPr>
              <w:pStyle w:val="Normal6a"/>
            </w:pPr>
            <w:r>
              <w:t>11.</w:t>
            </w:r>
            <w:r>
              <w:tab/>
            </w:r>
            <w:r>
              <w:t xml:space="preserve">incoraggia le autorità pubbliche competenti a investire nell'innovazione nel settore dell'edilizia abitativa non solo per migliorare la qualità del parco immobiliare, in termini di </w:t>
            </w:r>
            <w:r>
              <w:rPr>
                <w:b/>
                <w:i/>
              </w:rPr>
              <w:t>prestazione energetica,</w:t>
            </w:r>
            <w:r>
              <w:t xml:space="preserve">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r>
              <w:rPr>
                <w:b/>
                <w:i/>
              </w:rPr>
              <w:t>, e associno il sostegno all'innovazione all'accessibilità economica e alla riduzione delle emissioni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873</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Inese Vaidere,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c>
          <w:tcPr>
            <w:tcW w:w="4876" w:type="dxa"/>
            <w:tcBorders>
              <w:top w:val="nil"/>
              <w:left w:val="nil"/>
              <w:bottom w:val="nil"/>
              <w:right w:val="nil"/>
            </w:tcBorders>
          </w:tcPr>
          <w:p>
            <w:pPr>
              <w:pStyle w:val="Normal6a"/>
            </w:pPr>
            <w:r>
              <w:t>11.</w:t>
            </w:r>
            <w:r>
              <w:tab/>
            </w:r>
            <w:r>
              <w:rPr>
                <w:b/>
                <w:i/>
              </w:rPr>
              <w:t>sottolinea che i quadri normativi dovrebbero sostenere piuttosto che ostacolare l'innovazione;</w:t>
            </w:r>
            <w:r>
              <w:t xml:space="preserve"> 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874</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c>
          <w:tcPr>
            <w:tcW w:w="4876" w:type="dxa"/>
            <w:tcBorders>
              <w:top w:val="nil"/>
              <w:left w:val="nil"/>
              <w:bottom w:val="nil"/>
              <w:right w:val="nil"/>
            </w:tcBorders>
          </w:tcPr>
          <w:p>
            <w:pPr>
              <w:pStyle w:val="Normal6a"/>
            </w:pPr>
            <w:r>
              <w:t>11.</w:t>
            </w:r>
            <w:r>
              <w:tab/>
            </w:r>
            <w:r>
              <w:t xml:space="preserve">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 </w:t>
            </w:r>
            <w:r>
              <w:rPr>
                <w:b/>
                <w:i/>
              </w:rPr>
              <w:t>invita a rafforzare l'osservatorio europeo del settore edilizio;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875</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c>
          <w:tcPr>
            <w:tcW w:w="4876" w:type="dxa"/>
            <w:tcBorders>
              <w:top w:val="nil"/>
              <w:left w:val="nil"/>
              <w:bottom w:val="nil"/>
              <w:right w:val="nil"/>
            </w:tcBorders>
          </w:tcPr>
          <w:p>
            <w:pPr>
              <w:pStyle w:val="Normal6a"/>
            </w:pPr>
            <w:r>
              <w:t>11.</w:t>
            </w:r>
            <w:r>
              <w:tab/>
            </w:r>
            <w:r>
              <w:t xml:space="preserve">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 </w:t>
            </w:r>
            <w:r>
              <w:rPr>
                <w:b/>
                <w:i/>
              </w:rPr>
              <w:t>chiede la standardizzazione della modellizzazione delle informazioni di costruzione;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876</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c>
          <w:tcPr>
            <w:tcW w:w="4876" w:type="dxa"/>
            <w:tcBorders>
              <w:top w:val="nil"/>
              <w:left w:val="nil"/>
              <w:bottom w:val="nil"/>
              <w:right w:val="nil"/>
            </w:tcBorders>
          </w:tcPr>
          <w:p>
            <w:pPr>
              <w:pStyle w:val="Normal6a"/>
            </w:pPr>
            <w:r>
              <w:t>11.</w:t>
            </w:r>
            <w:r>
              <w:tab/>
            </w:r>
            <w:r>
              <w:t>incoraggia le autorità pubbliche competenti a investire nell'innovazione</w:t>
            </w:r>
            <w:r>
              <w:rPr>
                <w:b/>
                <w:i/>
              </w:rPr>
              <w:t>, ad esempio attraverso procedure di appalto pubblico trasparenti,</w:t>
            </w:r>
            <w:r>
              <w:t xml:space="preserv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877</w:t>
      </w:r>
      <w:r>
        <w:rPr>
          <w:rStyle w:val="HideTWBExt"/>
        </w:rPr>
        <w:t>&lt;/NumAm&gt;</w:t>
      </w:r>
    </w:p>
    <w:p>
      <w:pPr>
        <w:pStyle w:val="NormalBold"/>
      </w:pPr>
      <w:r>
        <w:rPr>
          <w:rStyle w:val="HideTWBExt"/>
          <w:b w:val="0"/>
        </w:rPr>
        <w:t>&lt;RepeatBlock-By&gt;</w:t>
      </w:r>
      <w:r>
        <w:rPr>
          <w:rStyle w:val="HideTWBExt"/>
          <w:b w:val="0"/>
        </w:rPr>
        <w:t>&lt;Members&gt;</w:t>
      </w:r>
      <w:r>
        <w:t>Brigitte van den Berg, Barry Cowen, Martin Hojsík, Ciaran Mullooly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c>
          <w:tcPr>
            <w:tcW w:w="4876" w:type="dxa"/>
            <w:tcBorders>
              <w:top w:val="nil"/>
              <w:left w:val="nil"/>
              <w:bottom w:val="nil"/>
              <w:right w:val="nil"/>
            </w:tcBorders>
          </w:tcPr>
          <w:p>
            <w:pPr>
              <w:pStyle w:val="Normal6a"/>
            </w:pPr>
            <w:r>
              <w:t>11.</w:t>
            </w:r>
            <w:r>
              <w:tab/>
            </w:r>
            <w:r>
              <w:t xml:space="preserve">incoraggia le autorità pubbliche competenti a investire nell'innovazione nel settore dell'edilizia abitativa non solo per migliorare la qualità del parco immobiliare, in termini di efficienza energetica, </w:t>
            </w:r>
            <w:r>
              <w:rPr>
                <w:b/>
                <w:i/>
              </w:rPr>
              <w:t>qualità dell'aria interna e ventilazione,</w:t>
            </w:r>
            <w:r>
              <w:t xml:space="preserve"> isolamento acustico e termico, solidità strutturale e accessibilità economica</w:t>
            </w:r>
            <w:r>
              <w:rPr>
                <w:b/>
                <w:i/>
              </w:rPr>
              <w:t>, nonché sicurezza antincendio</w:t>
            </w:r>
            <w:r>
              <w:t>,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878</w:t>
      </w:r>
      <w:r>
        <w:rPr>
          <w:rStyle w:val="HideTWBExt"/>
        </w:rPr>
        <w:t>&lt;/NumAm&gt;</w:t>
      </w:r>
    </w:p>
    <w:p>
      <w:pPr>
        <w:pStyle w:val="NormalBold"/>
      </w:pPr>
      <w:r>
        <w:rPr>
          <w:rStyle w:val="HideTWBExt"/>
          <w:b w:val="0"/>
        </w:rPr>
        <w:t>&lt;RepeatBlock-By&gt;</w:t>
      </w:r>
      <w:r>
        <w:rPr>
          <w:rStyle w:val="HideTWBExt"/>
          <w:b w:val="0"/>
        </w:rPr>
        <w:t>&lt;Members&gt;</w:t>
      </w:r>
      <w:r>
        <w:t>Barry Cowen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w:t>
            </w:r>
            <w:r>
              <w:rPr>
                <w:b/>
                <w:i/>
              </w:rPr>
              <w:t>, isolamento acustico e termico, solidità strutturale</w:t>
            </w:r>
            <w:r>
              <w:t xml:space="preserv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c>
          <w:tcPr>
            <w:tcW w:w="4876" w:type="dxa"/>
            <w:tcBorders>
              <w:top w:val="nil"/>
              <w:left w:val="nil"/>
              <w:bottom w:val="nil"/>
              <w:right w:val="nil"/>
            </w:tcBorders>
          </w:tcPr>
          <w:p>
            <w:pPr>
              <w:pStyle w:val="Normal6a"/>
            </w:pPr>
            <w:r>
              <w:t>11.</w:t>
            </w:r>
            <w:r>
              <w:tab/>
            </w:r>
            <w:r>
              <w:t xml:space="preserve">incoraggia le autorità pubbliche competenti a investire </w:t>
            </w:r>
            <w:r>
              <w:rPr>
                <w:b/>
                <w:i/>
              </w:rPr>
              <w:t>nella produttività e</w:t>
            </w:r>
            <w:r>
              <w:t xml:space="preserve"> nell'innovazione nel settore dell'edilizia abitativa </w:t>
            </w:r>
            <w:r>
              <w:rPr>
                <w:b/>
                <w:i/>
              </w:rPr>
              <w:t>per aumentare la capacità e ridurre i costi di costruzione e, nel contempo,</w:t>
            </w:r>
            <w:r>
              <w:t xml:space="preserve"> non solo per migliorare la qualità del parco immobiliare, in termini di efficienza energetica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w:t>
            </w:r>
            <w:r>
              <w:rPr>
                <w:b/>
                <w:i/>
              </w:rPr>
              <w:t>e alla ricerca</w:t>
            </w:r>
            <w:r>
              <w:t xml:space="preserve"> nel settore edile, in particolare quella basata sulle microimprese e le PMI incentrate sulla ricerca di nuovi materiali </w:t>
            </w:r>
            <w:r>
              <w:rPr>
                <w:b/>
                <w:i/>
              </w:rPr>
              <w:t>e metodi di costruzione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879</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c>
          <w:tcPr>
            <w:tcW w:w="4876" w:type="dxa"/>
            <w:tcBorders>
              <w:top w:val="nil"/>
              <w:left w:val="nil"/>
              <w:bottom w:val="nil"/>
              <w:right w:val="nil"/>
            </w:tcBorders>
          </w:tcPr>
          <w:p>
            <w:pPr>
              <w:pStyle w:val="Normal6a"/>
            </w:pPr>
            <w:r>
              <w:t>11.</w:t>
            </w:r>
            <w:r>
              <w:tab/>
            </w:r>
            <w:r>
              <w:t>incoraggia le autorità pubbliche competenti a investire nell'innovazione</w:t>
            </w:r>
            <w:r>
              <w:rPr>
                <w:b/>
                <w:i/>
              </w:rPr>
              <w:t>, anche attraverso le iniziative di Orizzonte Europa,</w:t>
            </w:r>
            <w:r>
              <w:t xml:space="preserv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880</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w:t>
            </w:r>
            <w:r>
              <w:rPr>
                <w:b/>
                <w:i/>
              </w:rPr>
              <w:t>, qualità dell'aria interna e ventilazione</w:t>
            </w:r>
            <w:r>
              <w:t>,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881</w:t>
      </w:r>
      <w:r>
        <w:rPr>
          <w:rStyle w:val="HideTWBExt"/>
        </w:rPr>
        <w:t>&lt;/NumAm&gt;</w:t>
      </w:r>
    </w:p>
    <w:p>
      <w:pPr>
        <w:pStyle w:val="NormalBold"/>
      </w:pPr>
      <w:r>
        <w:rPr>
          <w:rStyle w:val="HideTWBExt"/>
          <w:b w:val="0"/>
        </w:rPr>
        <w:t>&lt;RepeatBlock-By&gt;</w:t>
      </w:r>
      <w:r>
        <w:rPr>
          <w:rStyle w:val="HideTWBExt"/>
          <w:b w:val="0"/>
        </w:rPr>
        <w:t>&lt;Members&gt;</w:t>
      </w:r>
      <w:r>
        <w:t>Regina Doherty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w:t>
            </w:r>
            <w:r>
              <w:rPr>
                <w:b/>
                <w:i/>
              </w:rPr>
              <w:t>e</w:t>
            </w:r>
            <w:r>
              <w:t xml:space="preserv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w:t>
            </w:r>
            <w:r>
              <w:rPr>
                <w:b/>
                <w:i/>
              </w:rPr>
              <w:t>,</w:t>
            </w:r>
            <w:r>
              <w:t xml:space="preserve"> l'efficienza </w:t>
            </w:r>
            <w:r>
              <w:rPr>
                <w:b/>
                <w:i/>
              </w:rPr>
              <w:t>e la decarbonizzazione</w:t>
            </w:r>
            <w:r>
              <w:t xml:space="preserve"> nel processo di costruzione stesso, attraverso metodi più rapidi, più efficaci in termini di costi e a minore intensità di manodopera </w:t>
            </w:r>
            <w:r>
              <w:rPr>
                <w:b/>
                <w:i/>
              </w:rPr>
              <w:t>e di carbonio</w:t>
            </w:r>
            <w:r>
              <w:t>,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882</w:t>
      </w:r>
      <w:r>
        <w:rPr>
          <w:rStyle w:val="HideTWBExt"/>
        </w:rPr>
        <w:t>&lt;/NumAm&gt;</w:t>
      </w:r>
    </w:p>
    <w:p>
      <w:pPr>
        <w:pStyle w:val="NormalBold"/>
      </w:pPr>
      <w:r>
        <w:rPr>
          <w:rStyle w:val="HideTWBExt"/>
          <w:b w:val="0"/>
        </w:rPr>
        <w:t>&lt;RepeatBlock-By&gt;</w:t>
      </w:r>
      <w:r>
        <w:rPr>
          <w:rStyle w:val="HideTWBExt"/>
          <w:b w:val="0"/>
        </w:rPr>
        <w:t>&lt;Members&gt;</w:t>
      </w:r>
      <w:r>
        <w:t>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incoraggia le autorità pubbliche competenti a investire nell'innovazione nel settore dell'edilizia abitativa non solo per migliorare la qualità del parco immobiliare, in termini di efficienza energetica, isolamento acustico e termico, solidità strutturale e accessibilità </w:t>
            </w:r>
            <w:r>
              <w:rPr>
                <w:b/>
                <w:i/>
              </w:rPr>
              <w:t>economica</w:t>
            </w:r>
            <w:r>
              <w:t>,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c>
          <w:tcPr>
            <w:tcW w:w="4876" w:type="dxa"/>
            <w:tcBorders>
              <w:top w:val="nil"/>
              <w:left w:val="nil"/>
              <w:bottom w:val="nil"/>
              <w:right w:val="nil"/>
            </w:tcBorders>
          </w:tcPr>
          <w:p>
            <w:pPr>
              <w:pStyle w:val="Normal6a"/>
            </w:pPr>
            <w:r>
              <w:t>11.</w:t>
            </w:r>
            <w:r>
              <w:tab/>
            </w:r>
            <w:r>
              <w:t xml:space="preserve">incoraggia le autorità pubbliche competenti a investire nell'innovazione nel settore dell'edilizia abitativa non solo per migliorare la qualità del parco immobiliare, in termini di efficienza energetica, isolamento acustico e termico, solidità strutturale e accessibilità </w:t>
            </w:r>
            <w:r>
              <w:rPr>
                <w:b/>
                <w:i/>
              </w:rPr>
              <w:t>anche sul piano economico</w:t>
            </w:r>
            <w:r>
              <w:t>,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883</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w:t>
            </w:r>
            <w:r>
              <w:rPr>
                <w:b/>
                <w:i/>
              </w:rPr>
              <w:t>, la prefabbricazione</w:t>
            </w:r>
            <w:r>
              <w:t xml:space="preserve"> e la digitalizzazione delle tecniche di costruzione; chiede che i fondi dell'UE e nazionali rafforzino il sostegno all'innovazione nel settore edile, in particolare quella basata sulle microimprese e le PMI incentrate sulla ricerca di nuovi materiali;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884</w:t>
      </w:r>
      <w:r>
        <w:rPr>
          <w:rStyle w:val="HideTWBExt"/>
        </w:rPr>
        <w:t>&lt;/NumAm&gt;</w:t>
      </w:r>
    </w:p>
    <w:p>
      <w:pPr>
        <w:pStyle w:val="NormalBold"/>
      </w:pPr>
      <w:r>
        <w:rPr>
          <w:rStyle w:val="HideTWBExt"/>
          <w:b w:val="0"/>
        </w:rPr>
        <w:t>&lt;RepeatBlock-By&gt;</w:t>
      </w:r>
      <w:r>
        <w:rPr>
          <w:rStyle w:val="HideTWBExt"/>
          <w:b w:val="0"/>
        </w:rPr>
        <w:t>&lt;Members&gt;</w:t>
      </w:r>
      <w:r>
        <w:t>Borja Giménez Larraz, Dirk Gotink, Nikolina Brnjac, Jagna Marczułajtis-Walczak, Daniel Buda, Niels Geuking, David Casa, Markus Ferber, Sebastião Bugalho, Maravillas Abadía Jover, Regina Doherty, Isabelle Le Callennec, Alma Ezcurra Almansa, Marco Falcone, Rosa Estaràs Ferragut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incoraggia le autorità pubbliche competenti a investire nell'innovazione nel settore dell'edilizia abitativa non solo per migliorare la qualità del parco immobiliare, in termini di efficienza energetica, isolamento acustico e termico, solidità strutturale e accessibilità </w:t>
            </w:r>
            <w:r>
              <w:rPr>
                <w:b/>
                <w:i/>
              </w:rPr>
              <w:t>economica</w:t>
            </w:r>
            <w:r>
              <w:t>,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c>
          <w:tcPr>
            <w:tcW w:w="4876" w:type="dxa"/>
            <w:tcBorders>
              <w:top w:val="nil"/>
              <w:left w:val="nil"/>
              <w:bottom w:val="nil"/>
              <w:right w:val="nil"/>
            </w:tcBorders>
          </w:tcPr>
          <w:p>
            <w:pPr>
              <w:pStyle w:val="Normal6a"/>
            </w:pPr>
            <w:r>
              <w:t>11.</w:t>
            </w:r>
            <w:r>
              <w:tab/>
            </w:r>
            <w:r>
              <w:t xml:space="preserve">incoraggia le autorità pubbliche competenti a investire nell'innovazione nel settore dell'edilizia abitativa non solo per migliorare la qualità del parco immobiliare, in termini di efficienza energetica, isolamento acustico e termico, solidità strutturale e accessibilità </w:t>
            </w:r>
            <w:r>
              <w:rPr>
                <w:b/>
                <w:i/>
              </w:rPr>
              <w:t>anche sul piano economico</w:t>
            </w:r>
            <w:r>
              <w:t>,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885</w:t>
      </w:r>
      <w:r>
        <w:rPr>
          <w:rStyle w:val="HideTWBExt"/>
        </w:rPr>
        <w:t>&lt;/NumAm&gt;</w:t>
      </w:r>
    </w:p>
    <w:p>
      <w:pPr>
        <w:pStyle w:val="NormalBold"/>
      </w:pPr>
      <w:r>
        <w:rPr>
          <w:rStyle w:val="HideTWBExt"/>
          <w:b w:val="0"/>
        </w:rPr>
        <w:t>&lt;RepeatBlock-By&gt;</w:t>
      </w:r>
      <w:r>
        <w:rPr>
          <w:rStyle w:val="HideTWBExt"/>
          <w:b w:val="0"/>
        </w:rPr>
        <w:t>&lt;Members&gt;</w:t>
      </w:r>
      <w:r>
        <w:t>Martin Hojsík, Brigitte van den Berg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incentrate sulla ricerca di nuovi materiali;</w:t>
            </w:r>
          </w:p>
        </w:tc>
        <w:tc>
          <w:tcPr>
            <w:tcW w:w="4876" w:type="dxa"/>
            <w:tcBorders>
              <w:top w:val="nil"/>
              <w:left w:val="nil"/>
              <w:bottom w:val="nil"/>
              <w:right w:val="nil"/>
            </w:tcBorders>
          </w:tcPr>
          <w:p>
            <w:pPr>
              <w:pStyle w:val="Normal6a"/>
            </w:pPr>
            <w:r>
              <w:t>11.</w:t>
            </w:r>
            <w:r>
              <w:tab/>
            </w:r>
            <w:r>
              <w:t xml:space="preserve">incoraggia le autorità pubbliche competenti a investire nell'innovazione nel settore dell'edilizia abitativa non solo per migliorare la qualità del parco immobiliare, in termini di efficienza energetica, isolamento acustico e termico, solidità strutturale e accessibilità economica, ma anche per promuovere la produttività e l'efficienza nel processo di costruzione stesso, attraverso metodi più rapidi, più efficaci in termini di costi e a minore intensità di manodopera, comprese l'industrializzazione e la digitalizzazione delle tecniche di costruzione; chiede che i fondi dell'UE e nazionali rafforzino il sostegno all'innovazione nel settore edile, in particolare quella basata sulle microimprese e le PMI </w:t>
            </w:r>
            <w:r>
              <w:rPr>
                <w:b/>
                <w:i/>
              </w:rPr>
              <w:t>europee</w:t>
            </w:r>
            <w:r>
              <w:t xml:space="preserve"> incentrate sulla ricerca di nuovi materiali;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886</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 – comma 1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Protezione della residenza principale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887</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bis.</w:t>
            </w:r>
            <w:r>
              <w:tab/>
            </w:r>
            <w:r>
              <w:rPr>
                <w:b/>
                <w:i/>
              </w:rPr>
              <w:t>invita la Commissione ad adottare misure per sviluppare un quadro europeo per la protezione delle residenze principali, al fine di evitare aste che privino le famiglie vulnerabili del loro diritto fondamentale all'alloggio;</w:t>
            </w:r>
            <w:r>
              <w:t xml:space="preserve"> </w:t>
            </w:r>
            <w:r>
              <w:rPr>
                <w:b/>
                <w:i/>
              </w:rPr>
              <w:t>sottolinea che la perdita di una residenza principale a causa di difficoltà finanziarie è un'ingiustizia sociale e una violazione dei principi del pilastro europeo dei diritti sociali;</w:t>
            </w:r>
            <w:r>
              <w:t xml:space="preserve"> </w:t>
            </w:r>
            <w:r>
              <w:rPr>
                <w:b/>
                <w:i/>
              </w:rPr>
              <w:t>invita la Commissione e gli Stati membri a istituire meccanismi di prevenzione e protezione, come programmi di aiuti di Stato, la ristrutturazione del debito, sussidi agli affitti o il riacquisto sociale dell'alloggio, in modo che nessuna famiglia, in particolare quelle a basso reddito, e i disoccupati, gli anziani e le persone con disabilità non perdano la casa in ragione di difficoltà finanziarie temporanee o strutturali;</w:t>
            </w:r>
            <w:r>
              <w:t xml:space="preserve"> </w:t>
            </w:r>
            <w:r>
              <w:rPr>
                <w:b/>
                <w:i/>
              </w:rPr>
              <w:t>sottolinea la necessità di orientamenti europei che garantiscano la proporzionalità, la trasparenza e il rispetto della dignità umana nei procedimenti esecutivi;</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888</w:t>
      </w:r>
      <w:r>
        <w:rPr>
          <w:rStyle w:val="HideTWBExt"/>
        </w:rPr>
        <w:t>&lt;/NumAm&gt;</w:t>
      </w:r>
    </w:p>
    <w:p>
      <w:pPr>
        <w:pStyle w:val="NormalBold"/>
      </w:pPr>
      <w:r>
        <w:rPr>
          <w:rStyle w:val="HideTWBExt"/>
          <w:b w:val="0"/>
        </w:rPr>
        <w:t>&lt;RepeatBlock-By&gt;</w:t>
      </w:r>
      <w:r>
        <w:rPr>
          <w:rStyle w:val="HideTWBExt"/>
          <w:b w:val="0"/>
        </w:rPr>
        <w:t>&lt;Members&gt;</w:t>
      </w:r>
      <w:r>
        <w:t>Aodhán Ó Ríordáin, Andreas Schieder, Gabriele Bischoff, Alicia Homs Ginel, Marit Maij, Nora Mebarek, Isilda Gomes, Joanna Scheuring-Wielgus, Yannis Maniatis,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bis.</w:t>
            </w:r>
            <w:r>
              <w:tab/>
            </w:r>
            <w:r>
              <w:rPr>
                <w:b/>
                <w:i/>
              </w:rPr>
              <w:t>sottolinea che l'innovazione deve andare di pari passo con norme del lavoro rigorose, condizioni di lavoro sicure e contratti stabili per rendere il settore delle costruzioni più attraente e sostenibile;</w:t>
            </w:r>
            <w:r>
              <w:t xml:space="preserve"> </w:t>
            </w:r>
            <w:r>
              <w:rPr>
                <w:b/>
                <w:i/>
              </w:rPr>
              <w:t>sottolinea pertanto che i diritti dei lavoratori devono essere pienamente rispettati e applicati;</w:t>
            </w:r>
            <w:r>
              <w:t xml:space="preserve"> </w:t>
            </w:r>
            <w:r>
              <w:rPr>
                <w:b/>
                <w:i/>
              </w:rPr>
              <w:t>chiede un monitoraggio e un'applicazione più rigorosi nel settore delle costruzioni per garantire l'osservanza del diritto e delle norme del lavoro;</w:t>
            </w:r>
            <w:r>
              <w:t xml:space="preserve"> </w:t>
            </w:r>
            <w:r>
              <w:rPr>
                <w:b/>
                <w:i/>
              </w:rPr>
              <w:t>sottolinea il potenziale degli strumenti di applicazione digitali, come le carte d'identità sociali, la tessera europea di sicurezza sociale e i registri delle imprese, per migliorare l'applicazione e individuare frodi e abusi, in particolare nelle catene di subappalto;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889</w:t>
      </w:r>
      <w:r>
        <w:rPr>
          <w:rStyle w:val="HideTWBExt"/>
        </w:rPr>
        <w:t>&lt;/NumAm&gt;</w:t>
      </w:r>
    </w:p>
    <w:p>
      <w:pPr>
        <w:pStyle w:val="NormalBold"/>
      </w:pPr>
      <w:r>
        <w:rPr>
          <w:rStyle w:val="HideTWBExt"/>
          <w:b w:val="0"/>
        </w:rPr>
        <w:t>&lt;RepeatBlock-By&gt;</w:t>
      </w:r>
      <w:r>
        <w:rPr>
          <w:rStyle w:val="HideTWBExt"/>
          <w:b w:val="0"/>
        </w:rPr>
        <w:t>&lt;Members&gt;</w:t>
      </w:r>
      <w:r>
        <w:t>Marco Falcone, Letizia Moratti, Flavio Tosi, Caterina Chinnici, Massimiliano Salini, Salvatore De Meo, Giusi Princi, Fulvio Martusciello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bis.</w:t>
            </w:r>
            <w:r>
              <w:tab/>
            </w:r>
            <w:r>
              <w:rPr>
                <w:b/>
                <w:i/>
              </w:rPr>
              <w:t>chiede maggiori investimenti nell'innovazione nel settore dell'edilizia abitativa, al fine di sviluppare nuove tecnologie che migliorino il parco immobiliare, rendendolo più efficiente sotto il profilo energetico, più duraturo, di qualità più elevata e maggiormente accessibile sul piano economico;</w:t>
            </w:r>
            <w:r>
              <w:t xml:space="preserve"> </w:t>
            </w:r>
            <w:r>
              <w:rPr>
                <w:b/>
                <w:i/>
              </w:rPr>
              <w:t>chiede, alla luce del potenziale afflusso di prodotti provenienti da paesi terzi nel mercato dell'UE, di incentivare le tecnologie prodotte in Europa che possano affrontare la povertà energetica, come le pompe di calore e altre tecnologie a basso impatto, attraverso sovvenzioni mirate e applicando il principio della preferenza europea negli appalti pubblici;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890</w:t>
      </w:r>
      <w:r>
        <w:rPr>
          <w:rStyle w:val="HideTWBExt"/>
        </w:rPr>
        <w:t>&lt;/NumAm&gt;</w:t>
      </w:r>
    </w:p>
    <w:p>
      <w:pPr>
        <w:pStyle w:val="NormalBold"/>
      </w:pPr>
      <w:r>
        <w:rPr>
          <w:rStyle w:val="HideTWBExt"/>
          <w:b w:val="0"/>
        </w:rPr>
        <w:t>&lt;RepeatBlock-By&gt;</w:t>
      </w:r>
      <w:r>
        <w:rPr>
          <w:rStyle w:val="HideTWBExt"/>
          <w:b w:val="0"/>
        </w:rPr>
        <w:t>&lt;Members&gt;</w:t>
      </w:r>
      <w:r>
        <w:t>Georgiana Teodorescu, Antonella Sberna, Alessandro Ciriani, Lara Magoni, Nora Junco García,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bis.</w:t>
            </w:r>
            <w:r>
              <w:tab/>
            </w:r>
            <w:r>
              <w:rPr>
                <w:b/>
                <w:i/>
              </w:rPr>
              <w:t>prende atto del ruolo promettente della costruzione offsite nel sostenere la modernizzazione del settore delle costruzioni e nel migliorare l'efficienza lungo tutta la catena del valore;</w:t>
            </w:r>
            <w:r>
              <w:t xml:space="preserve"> </w:t>
            </w:r>
            <w:r>
              <w:rPr>
                <w:b/>
                <w:i/>
              </w:rPr>
              <w:t>osserva che la fabbricazione offsite può contribuire a una realizzazione dei progetti significativamente più rapida e al conseguimento di potenziali risparmi sui costi rispetto ai metodi tradizionali, garantendo nel contempo una migliore qualità e producendo meno rifiuti;</w:t>
            </w:r>
            <w:r>
              <w:t xml:space="preserve"> </w:t>
            </w:r>
            <w:r>
              <w:rPr>
                <w:b/>
                <w:i/>
              </w:rPr>
              <w:t>sottolinea che questo approccio può anche migliorare le norme di sicurezza, contribuire ad affrontare le carenze di manodopera e rafforzare le catene di approvvigionamento locali e la creazione di posti di lavoro;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891</w:t>
      </w:r>
      <w:r>
        <w:rPr>
          <w:rStyle w:val="HideTWBExt"/>
        </w:rPr>
        <w:t>&lt;/NumAm&gt;</w:t>
      </w:r>
    </w:p>
    <w:p>
      <w:pPr>
        <w:pStyle w:val="NormalBold"/>
      </w:pPr>
      <w:r>
        <w:rPr>
          <w:rStyle w:val="HideTWBExt"/>
          <w:b w:val="0"/>
        </w:rPr>
        <w:t>&lt;RepeatBlock-By&gt;</w:t>
      </w:r>
      <w:r>
        <w:rPr>
          <w:rStyle w:val="HideTWBExt"/>
          <w:b w:val="0"/>
        </w:rPr>
        <w:t>&lt;Members&gt;</w:t>
      </w:r>
      <w:r>
        <w:t>Klara Dostalova, Julie Rechagneux, Ondřej Knotek, Jaroslav Bžoch, Rachel Blom, Tomáš Kubín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bis.</w:t>
            </w:r>
            <w:r>
              <w:tab/>
            </w:r>
            <w:r>
              <w:rPr>
                <w:b/>
                <w:i/>
              </w:rPr>
              <w:t>sottolinea l'importanza di trovare un equilibrio tra la ristrutturazione e le nuove costruzioni, riconoscendo che, sebbene la ristrutturazione sia spesso più rapida ed efficace sotto il profilo dei costi, l'offerta di nuovi alloggi rimane indispensabile nelle aree urbane in rapida crescita;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892</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11b.</w:t>
            </w:r>
            <w:r>
              <w:tab/>
            </w:r>
            <w:r>
              <w:rPr>
                <w:b/>
                <w:i/>
              </w:rPr>
              <w:t>osserva che gli Stati membri che consentono o incoraggiano diffusamente le aste di residenze principali violano i valori sociali fondamentali e rendono i loro cittadini vulnerabili all'esclusione sociale;</w:t>
            </w:r>
            <w:r>
              <w:t xml:space="preserve"> </w:t>
            </w:r>
            <w:r>
              <w:rPr>
                <w:b/>
                <w:i/>
              </w:rPr>
              <w:t>invita la Commissione a prendere in considerazione l'imposizione di sanzioni o la sospensione dei finanziamenti europei nei casi in cui il diritto all'alloggio sia sistematicamente violato;</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893</w:t>
      </w:r>
      <w:r>
        <w:rPr>
          <w:rStyle w:val="HideTWBExt"/>
        </w:rPr>
        <w:t>&lt;/NumAm&gt;</w:t>
      </w:r>
    </w:p>
    <w:p>
      <w:pPr>
        <w:pStyle w:val="NormalBold"/>
      </w:pPr>
      <w:r>
        <w:rPr>
          <w:rStyle w:val="HideTWBExt"/>
          <w:b w:val="0"/>
        </w:rPr>
        <w:t>&lt;RepeatBlock-By&gt;</w:t>
      </w:r>
      <w:r>
        <w:rPr>
          <w:rStyle w:val="HideTWBExt"/>
          <w:b w:val="0"/>
        </w:rPr>
        <w:t>&lt;Members&gt;</w:t>
      </w:r>
      <w:r>
        <w:t>Maria Ohisalo, Vicent Marzà Ibáñez, Marie Toussaint, Gordan Bosanac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Garantire la certezza del diritto</w:t>
            </w:r>
            <w:r>
              <w:rPr>
                <w:b/>
                <w:i/>
              </w:rPr>
              <w:t>:</w:t>
            </w:r>
            <w:r>
              <w:t xml:space="preserve"> </w:t>
            </w:r>
            <w:r>
              <w:rPr>
                <w:b/>
                <w:i/>
              </w:rPr>
              <w:t>il diritto fondamentale</w:t>
            </w:r>
            <w:r>
              <w:t xml:space="preserve"> alla proprietà privata</w:t>
            </w:r>
          </w:p>
        </w:tc>
        <w:tc>
          <w:tcPr>
            <w:tcW w:w="4876" w:type="dxa"/>
            <w:tcBorders>
              <w:top w:val="nil"/>
              <w:left w:val="nil"/>
              <w:bottom w:val="nil"/>
              <w:right w:val="nil"/>
            </w:tcBorders>
          </w:tcPr>
          <w:p>
            <w:pPr>
              <w:pStyle w:val="Normal6a"/>
            </w:pPr>
            <w:r>
              <w:t>Garantire la certezza del diritto</w:t>
            </w:r>
            <w:r>
              <w:rPr>
                <w:b/>
                <w:i/>
              </w:rPr>
              <w:t> conformemente alla Carta dei diritti fondamentali dell'Unione europea:</w:t>
            </w:r>
            <w:r>
              <w:t xml:space="preserve"> </w:t>
            </w:r>
            <w:r>
              <w:rPr>
                <w:b/>
                <w:i/>
              </w:rPr>
              <w:t>i diritti fondamentali alla dignità umana,</w:t>
            </w:r>
            <w:r>
              <w:t xml:space="preserve"> </w:t>
            </w:r>
            <w:r>
              <w:rPr>
                <w:b/>
                <w:i/>
              </w:rPr>
              <w:t>al divieto di trattamenti degradanti,</w:t>
            </w:r>
            <w:r>
              <w:t xml:space="preserve"> </w:t>
            </w:r>
            <w:r>
              <w:rPr>
                <w:b/>
                <w:i/>
              </w:rPr>
              <w:t>alla non discriminazione e</w:t>
            </w:r>
            <w:r>
              <w:t xml:space="preserve"> alla proprietà privata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894</w:t>
      </w:r>
      <w:r>
        <w:rPr>
          <w:rStyle w:val="HideTWBExt"/>
        </w:rPr>
        <w:t>&lt;/NumAm&gt;</w:t>
      </w:r>
    </w:p>
    <w:p>
      <w:pPr>
        <w:pStyle w:val="NormalBold"/>
      </w:pPr>
      <w:r>
        <w:rPr>
          <w:rStyle w:val="HideTWBExt"/>
          <w:b w:val="0"/>
        </w:rPr>
        <w:t>&lt;RepeatBlock-By&gt;</w:t>
      </w:r>
      <w:r>
        <w:rPr>
          <w:rStyle w:val="HideTWBExt"/>
          <w:b w:val="0"/>
        </w:rPr>
        <w:t>&lt;Members&gt;</w:t>
      </w:r>
      <w:r>
        <w:t>Brigitte van den Berg, Barry Cowen, Martin Hojsík, 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Garantire la certezza del diritto: il diritto fondamentale alla proprietà privata</w:t>
            </w:r>
          </w:p>
        </w:tc>
        <w:tc>
          <w:tcPr>
            <w:tcW w:w="4876" w:type="dxa"/>
            <w:tcBorders>
              <w:top w:val="nil"/>
              <w:left w:val="nil"/>
              <w:bottom w:val="nil"/>
              <w:right w:val="nil"/>
            </w:tcBorders>
          </w:tcPr>
          <w:p>
            <w:pPr>
              <w:pStyle w:val="Normal6a"/>
            </w:pPr>
            <w:r>
              <w:t xml:space="preserve">Garantire la certezza del diritto: il diritto fondamentale alla proprietà privata </w:t>
            </w:r>
            <w:r>
              <w:rPr>
                <w:b/>
                <w:i/>
              </w:rPr>
              <w:t>e all'assistenza abitativa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895</w:t>
      </w:r>
      <w:r>
        <w:rPr>
          <w:rStyle w:val="HideTWBExt"/>
        </w:rPr>
        <w:t>&lt;/NumAm&gt;</w:t>
      </w:r>
    </w:p>
    <w:p>
      <w:pPr>
        <w:pStyle w:val="NormalBold"/>
      </w:pPr>
      <w:r>
        <w:rPr>
          <w:rStyle w:val="HideTWBExt"/>
          <w:b w:val="0"/>
        </w:rPr>
        <w:t>&lt;RepeatBlock-By&gt;</w:t>
      </w:r>
      <w:r>
        <w:rPr>
          <w:rStyle w:val="HideTWBExt"/>
          <w:b w:val="0"/>
        </w:rPr>
        <w:t>&lt;Members&gt;</w:t>
      </w:r>
      <w:r>
        <w:t>Martin Hojsík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Garantire la certezza del diritto: il diritto </w:t>
            </w:r>
            <w:r>
              <w:rPr>
                <w:b/>
                <w:i/>
              </w:rPr>
              <w:t>fondamentale alla proprietà privata</w:t>
            </w:r>
          </w:p>
        </w:tc>
        <w:tc>
          <w:tcPr>
            <w:tcW w:w="4876" w:type="dxa"/>
            <w:tcBorders>
              <w:top w:val="nil"/>
              <w:left w:val="nil"/>
              <w:bottom w:val="nil"/>
              <w:right w:val="nil"/>
            </w:tcBorders>
          </w:tcPr>
          <w:p>
            <w:pPr>
              <w:pStyle w:val="Normal6a"/>
            </w:pPr>
            <w:r>
              <w:t xml:space="preserve">Garantire la certezza del diritto: il diritto </w:t>
            </w:r>
            <w:r>
              <w:rPr>
                <w:b/>
                <w:i/>
              </w:rPr>
              <w:t>umano a un alloggio adeguato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896</w:t>
      </w:r>
      <w:r>
        <w:rPr>
          <w:rStyle w:val="HideTWBExt"/>
        </w:rPr>
        <w:t>&lt;/NumAm&gt;</w:t>
      </w:r>
    </w:p>
    <w:p>
      <w:pPr>
        <w:pStyle w:val="NormalBold"/>
      </w:pPr>
      <w:r>
        <w:rPr>
          <w:rStyle w:val="HideTWBExt"/>
          <w:b w:val="0"/>
        </w:rPr>
        <w:t>&lt;RepeatBlock-By&gt;</w:t>
      </w:r>
      <w:r>
        <w:rPr>
          <w:rStyle w:val="HideTWBExt"/>
          <w:b w:val="0"/>
        </w:rPr>
        <w:t>&lt;Members&gt;</w:t>
      </w:r>
      <w:r>
        <w:t>Aodhán Ó Ríordáin, Andreas Schieder, Gabriele Bischoff, Alicia Homs Ginel, Marit Maij, Nora Mebarek, Isilda Gomes, Joanna Scheuring-Wielgus, Yannis Maniatis, Marko Vešligaj</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Garantire la certezza del</w:t>
            </w:r>
            <w:r>
              <w:t xml:space="preserve"> diritto</w:t>
            </w:r>
            <w:r>
              <w:rPr>
                <w:b/>
                <w:i/>
              </w:rPr>
              <w:t>:</w:t>
            </w:r>
            <w:r>
              <w:t xml:space="preserve"> il diritto </w:t>
            </w:r>
            <w:r>
              <w:rPr>
                <w:b/>
                <w:i/>
              </w:rPr>
              <w:t>fondamentale alla proprietà privata</w:t>
            </w:r>
          </w:p>
        </w:tc>
        <w:tc>
          <w:tcPr>
            <w:tcW w:w="4876" w:type="dxa"/>
            <w:tcBorders>
              <w:top w:val="nil"/>
              <w:left w:val="nil"/>
              <w:bottom w:val="nil"/>
              <w:right w:val="nil"/>
            </w:tcBorders>
          </w:tcPr>
          <w:p>
            <w:pPr>
              <w:pStyle w:val="Normal6a"/>
            </w:pPr>
            <w:r>
              <w:rPr>
                <w:b/>
                <w:i/>
              </w:rPr>
              <w:t>Il</w:t>
            </w:r>
            <w:r>
              <w:t xml:space="preserve"> diritto </w:t>
            </w:r>
            <w:r>
              <w:rPr>
                <w:b/>
                <w:i/>
              </w:rPr>
              <w:t>di proprietà e</w:t>
            </w:r>
            <w:r>
              <w:t xml:space="preserve"> il diritto </w:t>
            </w:r>
            <w:r>
              <w:rPr>
                <w:b/>
                <w:i/>
              </w:rPr>
              <w:t>a un alloggio adeguato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897</w:t>
      </w:r>
      <w:r>
        <w:rPr>
          <w:rStyle w:val="HideTWBExt"/>
        </w:rPr>
        <w:t>&lt;/NumAm&gt;</w:t>
      </w:r>
    </w:p>
    <w:p>
      <w:pPr>
        <w:pStyle w:val="NormalBold"/>
      </w:pPr>
      <w:r>
        <w:rPr>
          <w:rStyle w:val="HideTWBExt"/>
          <w:b w:val="0"/>
        </w:rPr>
        <w:t>&lt;RepeatBlock-By&gt;</w:t>
      </w:r>
      <w:r>
        <w:rPr>
          <w:rStyle w:val="HideTWBExt"/>
          <w:b w:val="0"/>
        </w:rPr>
        <w:t>&lt;Members&gt;</w:t>
      </w:r>
      <w:r>
        <w:t>Irmhild Boßdorf, Volker Schnurrbusch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ricorda che i cittadini dell'UE hanno il diritto di godere della proprietà dei beni che hanno acquisito legalmente, di usarli, di disporne e di lasciarli in eredità; chiede politiche coordinate a livello dell'UE per prevenire e affrontare tutte le forme di occupazione illegale di abitazioni, quale elemento fondamentale per garantire la certezza del diritto, la stabilità economica e la sicurezza; chiede l'istituzione di un registro europeo delle occupazioni illegali per sostenere la cooperazione, la raccolta di dati e la condivisione di informazioni tra gli Stati membri e per identificare modelli di occupazione legati alla criminalità; ritiene essenziale difendere il diritto di proprietà e combattere l'occupazione illegale, garantendo meccanismi giuridici efficaci e rapidi per il recupero dei beni;</w:t>
            </w:r>
          </w:p>
        </w:tc>
        <w:tc>
          <w:tcPr>
            <w:tcW w:w="4876" w:type="dxa"/>
            <w:tcBorders>
              <w:top w:val="nil"/>
              <w:left w:val="nil"/>
              <w:bottom w:val="nil"/>
              <w:right w:val="nil"/>
            </w:tcBorders>
          </w:tcPr>
          <w:p>
            <w:pPr>
              <w:pStyle w:val="Normal6a"/>
            </w:pPr>
            <w:r>
              <w:t>12.</w:t>
            </w:r>
            <w:r>
              <w:tab/>
            </w:r>
            <w:r>
              <w:t xml:space="preserve">ricorda che i cittadini dell'UE hanno il diritto di godere della proprietà dei beni che hanno acquisito legalmente, di usarli, di disporne e di lasciarli in eredità; chiede politiche coordinate a livello dell'UE per prevenire e affrontare tutte le forme di occupazione illegale di abitazioni, quale elemento fondamentale per garantire la certezza del diritto, la stabilità economica e la sicurezza; chiede l'istituzione di un registro europeo delle occupazioni illegali per sostenere la cooperazione, la raccolta di dati e la condivisione di informazioni tra gli Stati membri e per identificare modelli di occupazione legati alla criminalità; ritiene essenziale difendere il diritto di proprietà e combattere l'occupazione illegale, garantendo meccanismi giuridici efficaci e rapidi per il recupero dei beni; </w:t>
            </w:r>
            <w:r>
              <w:rPr>
                <w:b/>
                <w:i/>
              </w:rPr>
              <w:t>mette in guardia, nel contempo, contro i divieti nazionali di locazione di edifici a bassa efficienza energetica, in quanto tali misure possono violare il diritto di proprietà di cui all'articolo 17 della Carta dei diritti fondamentali dell'Unione europea;</w:t>
            </w:r>
            <w:r>
              <w:t xml:space="preserve"> </w:t>
            </w:r>
            <w:r>
              <w:rPr>
                <w:b/>
                <w:i/>
              </w:rPr>
              <w:t>sottolinea che le ristrutturazioni energetiche possono avvenire solo su base volontaria e respinge qualsiasi misura obbligatoria o invasiva nell'ambito del Green Deal, in quanto interferirebbe in modo sproporzionato con le competenze nazionali e il diritto di proprietà dei cittadini;</w:t>
            </w:r>
            <w:r>
              <w:t xml:space="preserve"> </w:t>
            </w:r>
            <w:r>
              <w:rPr>
                <w:b/>
                <w:i/>
              </w:rPr>
              <w:t>invita la Commissione ad astenersi dal continuare ad attuare simili requisiti;</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898</w:t>
      </w:r>
      <w:r>
        <w:rPr>
          <w:rStyle w:val="HideTWBExt"/>
        </w:rPr>
        <w:t>&lt;/NumAm&gt;</w:t>
      </w:r>
    </w:p>
    <w:p>
      <w:pPr>
        <w:pStyle w:val="NormalBold"/>
      </w:pPr>
      <w:r>
        <w:rPr>
          <w:rStyle w:val="HideTWBExt"/>
          <w:b w:val="0"/>
        </w:rPr>
        <w:t>&lt;RepeatBlock-By&gt;</w:t>
      </w:r>
      <w:r>
        <w:rPr>
          <w:rStyle w:val="HideTWBExt"/>
          <w:b w:val="0"/>
        </w:rPr>
        <w:t>&lt;Members&gt;</w:t>
      </w:r>
      <w:r>
        <w:t>Julie Rechagneux, Marie-Luce Brasier-Clain, Aleksandar Nikolic, Rachel Blom</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ricorda che i cittadini dell'UE hanno il diritto di godere della proprietà dei beni che hanno acquisito legalmente, di usarli, di disporne e di lasciarli in eredità; chiede politiche coordinate a livello dell'UE per prevenire e affrontare tutte le forme di occupazione illegale di abitazioni, quale elemento fondamentale per garantire la certezza del diritto, la stabilità economica e la sicurezza; chiede l'istituzione di un registro europeo delle occupazioni illegali per sostenere la cooperazione, la raccolta di dati e la condivisione di informazioni tra gli Stati membri e per identificare modelli di occupazione legati alla criminalità; ritiene essenziale difendere il diritto di proprietà e combattere l'occupazione illegale, garantendo meccanismi giuridici efficaci e rapidi per il recupero dei beni;</w:t>
            </w:r>
          </w:p>
        </w:tc>
        <w:tc>
          <w:tcPr>
            <w:tcW w:w="4876" w:type="dxa"/>
            <w:tcBorders>
              <w:top w:val="nil"/>
              <w:left w:val="nil"/>
              <w:bottom w:val="nil"/>
              <w:right w:val="nil"/>
            </w:tcBorders>
          </w:tcPr>
          <w:p>
            <w:pPr>
              <w:pStyle w:val="Normal6a"/>
            </w:pPr>
            <w:r>
              <w:t>12.</w:t>
            </w:r>
            <w:r>
              <w:tab/>
            </w:r>
            <w:r>
              <w:t>ricorda che i cittadini dell'UE hanno il diritto di godere della proprietà dei beni che hanno acquisito legalmente, di usarli, di disporne e di lasciarli in eredità</w:t>
            </w:r>
            <w:r>
              <w:rPr>
                <w:b/>
                <w:i/>
              </w:rPr>
              <w:t>;</w:t>
            </w:r>
            <w:r>
              <w:t xml:space="preserve"> </w:t>
            </w:r>
            <w:r>
              <w:rPr>
                <w:b/>
                <w:i/>
              </w:rPr>
              <w:t>chiede politiche coordinate, nel rispetto delle competenze nazionali, per prevenire e combattere tutte le forme di occupazione abitativa illegale, compresa l'occupazione abusiva ("squatting"), che viola direttamente i diritti fondamentali dei proprietari</w:t>
            </w:r>
            <w:r>
              <w:t xml:space="preserve">; chiede politiche coordinate a livello dell'UE per prevenire e affrontare tutte le forme di occupazione illegale di abitazioni, quale elemento fondamentale per garantire la certezza del diritto, la stabilità economica e la sicurezza; chiede l'istituzione di un registro europeo delle occupazioni illegali per sostenere la cooperazione, la raccolta di dati e la condivisione di informazioni tra gli Stati membri e per identificare modelli di occupazione legati alla criminalità; ritiene essenziale difendere il diritto di proprietà e combattere l'occupazione illegale, garantendo meccanismi giuridici efficaci e rapidi per il recupero dei beni; </w:t>
            </w:r>
            <w:r>
              <w:rPr>
                <w:b/>
                <w:i/>
              </w:rPr>
              <w:t>condanna la strumentalizzazione della crisi abitativa da parte di alcune associazioni di sostegno ai senzatetto che utilizzano lo "squatting" come forma di attivismo militante, violando così i diritti di proprietà e perturbando l'ordine pubblico;</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899</w:t>
      </w:r>
      <w:r>
        <w:rPr>
          <w:rStyle w:val="HideTWBExt"/>
        </w:rPr>
        <w:t>&lt;/NumAm&gt;</w:t>
      </w:r>
    </w:p>
    <w:p>
      <w:pPr>
        <w:pStyle w:val="NormalBold"/>
      </w:pPr>
      <w:r>
        <w:rPr>
          <w:rStyle w:val="HideTWBExt"/>
          <w:b w:val="0"/>
        </w:rPr>
        <w:t>&lt;RepeatBlock-By&gt;</w:t>
      </w:r>
      <w:r>
        <w:rPr>
          <w:rStyle w:val="HideTWBExt"/>
          <w:b w:val="0"/>
        </w:rPr>
        <w:t>&lt;Members&gt;</w:t>
      </w:r>
      <w:r>
        <w:t>Julie Rechagneux, Marie Dauchy, Anne-Sophie Frigout, France Jamet, Mathilde Androuët, Catherine Griset, György Hölvényi, Marie-Luce Brasier-Clain, Aleksandar Nikolic, Mélanie Disdier, Klara Dostalova, Rachel Blom</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ricorda che i cittadini dell'UE hanno il diritto di godere della proprietà dei beni che hanno acquisito legalmente, di usarli, di disporne e di lasciarli in eredità; chiede politiche coordinate a livello dell'UE per prevenire e affrontare tutte le forme di occupazione illegale di abitazioni, quale elemento fondamentale per garantire la certezza del diritto, la stabilità economica e la sicurezza; chiede l'istituzione di un registro europeo delle occupazioni illegali per sostenere la cooperazione, la raccolta di dati e la condivisione di informazioni tra gli Stati membri e per identificare modelli di occupazione legati alla criminalità; ritiene essenziale difendere il diritto di proprietà e combattere l'occupazione illegale, garantendo meccanismi giuridici efficaci e rapidi per il recupero dei beni;</w:t>
            </w:r>
          </w:p>
        </w:tc>
        <w:tc>
          <w:tcPr>
            <w:tcW w:w="4876" w:type="dxa"/>
            <w:tcBorders>
              <w:top w:val="nil"/>
              <w:left w:val="nil"/>
              <w:bottom w:val="nil"/>
              <w:right w:val="nil"/>
            </w:tcBorders>
          </w:tcPr>
          <w:p>
            <w:pPr>
              <w:pStyle w:val="Normal6a"/>
            </w:pPr>
            <w:r>
              <w:t>12.</w:t>
            </w:r>
            <w:r>
              <w:tab/>
            </w:r>
            <w:r>
              <w:t>ricorda che i cittadini dell'UE hanno il diritto di godere della proprietà dei beni che hanno acquisito legalmente, di usarli, di disporne e di lasciarli in eredità; chiede politiche coordinate a livello dell'UE per prevenire e affrontare tutte le forme di occupazione illegale di abitazioni, quale elemento fondamentale per garantire la certezza del diritto, la stabilità economica e la sicurezza</w:t>
            </w:r>
            <w:r>
              <w:rPr>
                <w:b/>
                <w:i/>
              </w:rPr>
              <w:t>;</w:t>
            </w:r>
            <w:r>
              <w:t xml:space="preserve"> </w:t>
            </w:r>
            <w:r>
              <w:rPr>
                <w:b/>
                <w:i/>
              </w:rPr>
              <w:t>chiede politiche coordinate, nel rispetto delle competenze nazionali, per prevenire e combattere tutte le forme di occupazione abitativa illegale, compresa l'occupazione abusiva ("squatting"), che viola direttamente i diritti fondamentali dei proprietari di immobili</w:t>
            </w:r>
            <w:r>
              <w:t xml:space="preserve">; chiede l'istituzione di un registro europeo delle occupazioni illegali per sostenere la cooperazione, la raccolta di dati e la condivisione di informazioni tra gli Stati membri e per identificare modelli di occupazione legati alla criminalità; ritiene essenziale difendere il diritto di proprietà e combattere l'occupazione illegale, garantendo meccanismi giuridici efficaci e rapidi per il recupero dei beni; </w:t>
            </w:r>
            <w:r>
              <w:rPr>
                <w:b/>
                <w:i/>
              </w:rPr>
              <w:t>condanna la strumentalizzazione della crisi abitativa da parte di alcune associazioni di sostegno ai senzatetto che utilizzano lo "squatting" come forma di attivismo, violando così i diritti di proprietà e perturbando l'ordine pubblico;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900</w:t>
      </w:r>
      <w:r>
        <w:rPr>
          <w:rStyle w:val="HideTWBExt"/>
        </w:rPr>
        <w:t>&lt;/NumAm&gt;</w:t>
      </w:r>
    </w:p>
    <w:p>
      <w:pPr>
        <w:pStyle w:val="NormalBold"/>
      </w:pPr>
      <w:r>
        <w:rPr>
          <w:rStyle w:val="HideTWBExt"/>
          <w:b w:val="0"/>
        </w:rPr>
        <w:t>&lt;RepeatBlock-By&gt;</w:t>
      </w:r>
      <w:r>
        <w:rPr>
          <w:rStyle w:val="HideTWBExt"/>
          <w:b w:val="0"/>
        </w:rPr>
        <w:t>&lt;Members&gt;</w:t>
      </w:r>
      <w:r>
        <w:t>Georgiana Teodorescu, Antonella Sberna, Lara Magoni, Alessandro Ciriani, Nora Junco García, Nicolas Bay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ricorda che i cittadini dell'UE hanno il diritto di godere della proprietà dei beni che hanno acquisito legalmente, di usarli, di disporne e di lasciarli in eredità; chiede politiche coordinate a livello dell'UE per prevenire e affrontare tutte le forme di occupazione illegale di abitazioni, quale elemento fondamentale per garantire la certezza del diritto, la stabilità economica e la sicurezza; chiede l'istituzione di un registro europeo delle occupazioni illegali per sostenere la cooperazione, la raccolta di dati e la condivisione di informazioni tra gli Stati membri e per identificare modelli di occupazione legati alla criminalità; ritiene essenziale difendere il diritto di proprietà e combattere l'occupazione illegale, garantendo meccanismi giuridici efficaci e rapidi per il recupero dei beni;</w:t>
            </w:r>
          </w:p>
        </w:tc>
        <w:tc>
          <w:tcPr>
            <w:tcW w:w="4876" w:type="dxa"/>
            <w:tcBorders>
              <w:top w:val="nil"/>
              <w:left w:val="nil"/>
              <w:bottom w:val="nil"/>
              <w:right w:val="nil"/>
            </w:tcBorders>
          </w:tcPr>
          <w:p>
            <w:pPr>
              <w:pStyle w:val="Normal6a"/>
            </w:pPr>
            <w:r>
              <w:t>12.</w:t>
            </w:r>
            <w:r>
              <w:tab/>
            </w:r>
            <w:r>
              <w:rPr>
                <w:b/>
                <w:i/>
              </w:rPr>
              <w:t>condanna fermamente il fenomeno dell'occupazione illegale di proprietà private e pubbliche in tutta Europa ("squatting"), che viola il diritto fondamentale alla proprietà privata, e invita gli Stati membri a tutelare tale diritto fondamentale e a garantire meccanismi giuridici rapidi ed efficaci, tra cui l'incriminazione, per ripristinare il possesso legittimo;</w:t>
            </w:r>
            <w:r>
              <w:t xml:space="preserve"> ricorda che i cittadini dell'UE hanno il diritto di godere della proprietà dei beni che hanno acquisito legalmente, di usarli, di disporne e di lasciarli in eredità; chiede politiche coordinate a livello dell'UE per prevenire e affrontare tutte le forme di occupazione illegale di </w:t>
            </w:r>
            <w:r>
              <w:rPr>
                <w:b/>
                <w:i/>
              </w:rPr>
              <w:t>abitazioni, come pure i casi di inosservanza prolungata o abusiva dei contratti di locazione che privano i proprietari dell'uso legittimo delle loro</w:t>
            </w:r>
            <w:r>
              <w:t xml:space="preserve"> abitazioni, quale elemento fondamentale per garantire la certezza del diritto, la stabilità economica e la sicurezza; chiede l'istituzione di un registro europeo delle occupazioni illegali per sostenere la cooperazione, la raccolta di dati e la condivisione di informazioni tra gli Stati membri e per identificare modelli di occupazione legati alla criminalità; ritiene essenziale difendere il diritto di proprietà e combattere l'occupazione illegale, garantendo meccanismi giuridici efficaci e rapidi per il recupero dei beni;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778.372</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190</w:t>
    </w:r>
    <w:r>
      <w:fldChar w:fldCharType="end"/>
    </w:r>
    <w:r>
      <w:t>/</w:t>
    </w:r>
    <w:r>
      <w:fldChar w:fldCharType="begin"/>
    </w:r>
    <w:r>
      <w:instrText xml:space="preserve"> NUMPAGES </w:instrText>
    </w:r>
    <w:r>
      <w:fldChar w:fldCharType="separate"/>
    </w:r>
    <w:r>
      <w:t>191</w:t>
    </w:r>
    <w:r>
      <w:fldChar w:fldCharType="end"/>
    </w:r>
    <w:r>
      <w:tab/>
    </w:r>
    <w:r>
      <w:rPr>
        <w:rStyle w:val="HideTWBExt"/>
      </w:rPr>
      <w:t>&lt;PathFdR&gt;</w:t>
    </w:r>
    <w:r>
      <w:t>AM\1330076IT.docx</w:t>
    </w:r>
    <w:r>
      <w:rPr>
        <w:rStyle w:val="HideTWBExt"/>
      </w:rPr>
      <w:t>&lt;/PathFdR&gt;</w:t>
    </w:r>
  </w:p>
  <w:p>
    <w:pPr>
      <w:pStyle w:val="EPFooter2"/>
    </w:pPr>
    <w:r>
      <w:t>IT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AM\1330076IT.docx</w:t>
    </w:r>
    <w:r>
      <w:rPr>
        <w:rStyle w:val="HideTWBExt"/>
      </w:rPr>
      <w:t>&lt;/PathFdR&gt;</w:t>
    </w:r>
    <w:r>
      <w:tab/>
    </w:r>
    <w:r>
      <w:fldChar w:fldCharType="begin"/>
    </w:r>
    <w:r>
      <w:instrText xml:space="preserve"> PAGE </w:instrText>
    </w:r>
    <w:r>
      <w:fldChar w:fldCharType="separate"/>
    </w:r>
    <w:r>
      <w:t>191</w:t>
    </w:r>
    <w:r>
      <w:fldChar w:fldCharType="end"/>
    </w:r>
    <w:r>
      <w:t>/</w:t>
    </w:r>
    <w:r>
      <w:fldChar w:fldCharType="begin"/>
    </w:r>
    <w:r>
      <w:instrText xml:space="preserve"> NUMPAGES </w:instrText>
    </w:r>
    <w:r>
      <w:fldChar w:fldCharType="separate"/>
    </w:r>
    <w:r>
      <w:t>191</w:t>
    </w:r>
    <w:r>
      <w:fldChar w:fldCharType="end"/>
    </w:r>
    <w:r>
      <w:tab/>
    </w:r>
    <w:r>
      <w:t>PE</w:t>
    </w:r>
    <w:r>
      <w:rPr>
        <w:rStyle w:val="HideTWBExt"/>
      </w:rPr>
      <w:t>&lt;NoPE&gt;</w:t>
    </w:r>
    <w:r>
      <w:t>778.372</w:t>
    </w:r>
    <w:r>
      <w:rPr>
        <w:rStyle w:val="HideTWBExt"/>
      </w:rPr>
      <w:t>&lt;/NoPE&gt;</w:t>
    </w:r>
    <w:r>
      <w:rPr>
        <w:rStyle w:val="HideTWBExt"/>
      </w:rPr>
      <w:t>&lt;Version&gt;</w:t>
    </w:r>
    <w:r>
      <w:t>v01-00</w:t>
    </w:r>
    <w:r>
      <w:rPr>
        <w:rStyle w:val="HideTWBExt"/>
      </w:rPr>
      <w:t>&lt;/Version&gt;</w:t>
    </w:r>
  </w:p>
  <w:p>
    <w:pPr>
      <w:pStyle w:val="EPFooter2"/>
    </w:pPr>
    <w:r>
      <w:tab/>
    </w:r>
    <w:r>
      <w:tab/>
    </w:r>
    <w:r>
      <w:t>IT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AM\1330076IT.docx</w:t>
    </w:r>
    <w:r>
      <w:rPr>
        <w:rStyle w:val="HideTWBExt"/>
      </w:rPr>
      <w:t>&lt;/PathFdR&gt;</w:t>
    </w:r>
    <w:r>
      <w:tab/>
    </w:r>
    <w:r>
      <w:tab/>
    </w:r>
    <w:r>
      <w:t>PE</w:t>
    </w:r>
    <w:r>
      <w:rPr>
        <w:rStyle w:val="HideTWBExt"/>
      </w:rPr>
      <w:t>&lt;NoPE&gt;</w:t>
    </w:r>
    <w:r>
      <w:t>778.372</w:t>
    </w:r>
    <w:r>
      <w:rPr>
        <w:rStyle w:val="HideTWBExt"/>
      </w:rPr>
      <w:t>&lt;/NoPE&gt;</w:t>
    </w:r>
    <w:r>
      <w:rPr>
        <w:rStyle w:val="HideTWBExt"/>
      </w:rPr>
      <w:t>&lt;Version&gt;</w:t>
    </w:r>
    <w:r>
      <w:t>v01-00</w:t>
    </w:r>
    <w:r>
      <w:rPr>
        <w:rStyle w:val="HideTWBExt"/>
      </w:rPr>
      <w:t>&lt;/Version&gt;</w:t>
    </w:r>
  </w:p>
  <w:p>
    <w:pPr>
      <w:pStyle w:val="EPFooter2"/>
    </w:pPr>
    <w:r>
      <w:t>IT</w:t>
    </w:r>
    <w:r>
      <w:tab/>
    </w:r>
    <w:r>
      <w:rPr>
        <w:rStyle w:val="EPFooter2Motto"/>
      </w:rPr>
      <w:t>Unita nella diversità</w:t>
    </w:r>
    <w:r>
      <w:tab/>
    </w:r>
    <w:r>
      <w:t>IT</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Body">
    <w:name w:val="EPBody"/>
    <w:basedOn w:val="Normal"/>
    <w:pPr>
      <w:widowControl/>
      <w:jc w:val="center"/>
    </w:pPr>
    <w:rPr>
      <w:rFonts w:ascii="Arial" w:eastAsia="Arial" w:hAnsi="Arial" w:cs="Arial"/>
      <w:i/>
      <w:sz w:val="22"/>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191</Pages>
  <Words>51647</Words>
  <Characters>321956</Characters>
  <Application>Microsoft Office Word</Application>
  <DocSecurity>0</DocSecurity>
  <Lines>1</Lines>
  <Paragraphs>2609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1330076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285348</vt:lpwstr>
  </property>
  <property fmtid="{D5CDD505-2E9C-101B-9397-08002B2CF9AE}" pid="7" name="dmxml.render.traceId">
    <vt:lpwstr>6914b3455f6bebcfa01edfa8418de020</vt:lpwstr>
  </property>
  <property fmtid="{D5CDD505-2E9C-101B-9397-08002B2CF9AE}" pid="8" name="FooterPath">
    <vt:lpwstr>AM\1330076IT.docx</vt:lpwstr>
  </property>
  <property fmtid="{D5CDD505-2E9C-101B-9397-08002B2CF9AE}" pid="9" name="PE Number">
    <vt:lpwstr>778.372</vt:lpwstr>
  </property>
  <property fmtid="{D5CDD505-2E9C-101B-9397-08002B2CF9AE}" pid="10" name="UID">
    <vt:lpwstr>eu.europa.europarl-DIN1-2025-0000202156_01.00-it-01.00_text-xml</vt:lpwstr>
  </property>
</Properties>
</file>