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Parlamento Europeo</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{IMCO}</w:t>
      </w:r>
      <w:r>
        <w:t>Comisión de Mercado Interior y Protección del Consumidor</w:t>
      </w:r>
      <w:r>
        <w:rPr>
          <w:rStyle w:val="HideTWBExt"/>
        </w:rPr>
        <w:t>&lt;/Commission&gt;</w:t>
      </w:r>
    </w:p>
    <w:p>
      <w:pPr>
        <w:pStyle w:val="LineBottom"/>
      </w:pPr>
      <w:r>
        <w:t xml:space="preserve"> </w:t>
      </w:r>
    </w:p>
    <w:p>
      <w:pPr>
        <w:pStyle w:val="CoverReference"/>
      </w:pPr>
      <w:r>
        <w:rPr>
          <w:rStyle w:val="HideTWBExt"/>
        </w:rPr>
        <w:t>&lt;RefProc&gt;</w:t>
      </w:r>
      <w:r>
        <w:t>2023/0090</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{06/09/2023}</w:t>
      </w:r>
      <w:r>
        <w:t>6.9.2023</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49</w:t>
      </w:r>
      <w:r>
        <w:t xml:space="preserve"> - </w:t>
      </w:r>
      <w:r>
        <w:t>161</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Tom Vandenkendelaere</w:t>
      </w:r>
      <w:r>
        <w:rPr>
          <w:rStyle w:val="HideTWBExt"/>
        </w:rPr>
        <w:t>&lt;/Rapporteur&gt;</w:t>
      </w:r>
    </w:p>
    <w:p>
      <w:pPr>
        <w:pStyle w:val="CoverNormal24a"/>
      </w:pPr>
      <w:r>
        <w:rPr>
          <w:rStyle w:val="HideTWBExt"/>
        </w:rPr>
        <w:t>&lt;DocRefPE&gt;</w:t>
      </w:r>
      <w:r>
        <w:t>(PE750.138v01-00)</w:t>
      </w:r>
      <w:r>
        <w:rPr>
          <w:rStyle w:val="HideTWBExt"/>
        </w:rPr>
        <w:t>&lt;/DocRefPE&gt;</w:t>
      </w:r>
    </w:p>
    <w:p>
      <w:pPr>
        <w:pStyle w:val="CoverNormal24a"/>
      </w:pPr>
      <w:r>
        <w:rPr>
          <w:rStyle w:val="HideTWBExt"/>
        </w:rPr>
        <w:t>&lt;Titre&gt;</w:t>
      </w:r>
      <w:r>
        <w:t>Homologación y vigilancia del mercado de las máquinas móviles no de carretera que circulan por vías públicas y modificación del Reglamento (UE) 2019/1020</w:t>
      </w:r>
      <w:r>
        <w:rPr>
          <w:rStyle w:val="HideTWBExt"/>
        </w:rPr>
        <w:t>&lt;/Titre&gt;</w:t>
      </w:r>
    </w:p>
    <w:p>
      <w:pPr>
        <w:pStyle w:val="CoverNormal"/>
      </w:pPr>
      <w:r>
        <w:rPr>
          <w:rStyle w:val="HideTWBExt"/>
        </w:rPr>
        <w:t>&lt;DocAmend&gt;</w:t>
      </w:r>
      <w:r>
        <w:t>Propuesta de Reglamento</w:t>
      </w:r>
      <w:r>
        <w:rPr>
          <w:rStyle w:val="HideTWBExt"/>
        </w:rPr>
        <w:t>&lt;/DocAmend&gt;</w:t>
      </w:r>
    </w:p>
    <w:p>
      <w:pPr>
        <w:pStyle w:val="CoverNormal24a"/>
      </w:pPr>
      <w:r>
        <w:rPr>
          <w:rStyle w:val="HideTWBExt"/>
        </w:rPr>
        <w:t>&lt;DocRef&gt;</w:t>
      </w:r>
      <w:r>
        <w:t>(COM(2023)0178 – C9-0120/2023 – 2023/0090(COD))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A efectos del desarrollo y el funcionamiento del mercado interior de la Unión, conviene establecer un sistema armonizado de homologación de tipo respecto a la seguridad vial de las máquinas móviles no de carretera </w:t>
            </w:r>
            <w:r>
              <w:rPr>
                <w:b/>
                <w:i/>
              </w:rPr>
              <w:t>destinadas a</w:t>
            </w:r>
            <w:r>
              <w:t xml:space="preserve"> circular por la vía pública.</w:t>
            </w:r>
          </w:p>
        </w:tc>
        <w:tc>
          <w:tcPr>
            <w:tcW w:w="4876" w:type="dxa"/>
          </w:tcPr>
          <w:p>
            <w:pPr>
              <w:pStyle w:val="Normal6a"/>
            </w:pPr>
            <w:r>
              <w:t>(5)</w:t>
            </w:r>
            <w:r>
              <w:tab/>
            </w:r>
            <w:r>
              <w:t xml:space="preserve">A efectos del desarrollo y el funcionamiento del mercado interior de la Unión, conviene establecer un sistema armonizado de homologación de tipo respecto a la seguridad vial de las máquinas móviles no de carretera </w:t>
            </w:r>
            <w:r>
              <w:rPr>
                <w:b/>
                <w:i/>
              </w:rPr>
              <w:t>capaces de</w:t>
            </w:r>
            <w:r>
              <w:t xml:space="preserve"> circular por la vía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5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bis)</w:t>
            </w:r>
            <w:r>
              <w:tab/>
            </w:r>
            <w:r>
              <w:rPr>
                <w:b/>
                <w:i/>
              </w:rPr>
              <w:t>El objetivo del presente Reglamento es abordar los riesgos asociados a la circulación por la vía pública de máquinas móviles no de carretera.</w:t>
            </w:r>
            <w:r>
              <w:t xml:space="preserve"> </w:t>
            </w:r>
            <w:r>
              <w:rPr>
                <w:b/>
                <w:i/>
              </w:rPr>
              <w:t>Así pues, las máquinas móviles no de carretera que no vayan a circular por la vía pública deben quedar excluidas del ámbito de aplicación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Habida cuenta de que la finalidad del presente Reglamento es regular la circulación por carretera de las máquinas móviles no de carretera diseñadas y fabricadas para realizar trabajos, y no para transportar trabajadores, las máquinas móviles equipadas con más de tres plazas de asiento, incluida la del conductor, también deben quedar excluidas de él.</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El mercado de las máquinas móviles no de carretera está formado mayoritariamente por máquinas de esta clase que no alcanzan grandes velocidades.</w:t>
            </w:r>
            <w:r>
              <w:t xml:space="preserve"> </w:t>
            </w:r>
            <w:r>
              <w:rPr>
                <w:b/>
                <w:i/>
              </w:rPr>
              <w:t>Además, algunos Estados miembros han fijado un límite de velocidad de 40 km/h para la circulación por carretera de las máquinas móviles no de carretera.</w:t>
            </w:r>
            <w:r>
              <w:t xml:space="preserve"> </w:t>
            </w:r>
            <w:r>
              <w:rPr>
                <w:b/>
                <w:i/>
              </w:rPr>
              <w:t>Por otro lado, dado que los riesgos para la seguridad vial son proporcionales a la velocidad en carretera, no sería coherente que un marco que aborda los riesgos de seguridad correspondientes a las máquinas móviles no de carretera únicamente y no a los vehículos ordinarios abarcase las máquinas móviles no de carretera rápidas.</w:t>
            </w:r>
            <w:r>
              <w:t xml:space="preserve"> </w:t>
            </w:r>
            <w:r>
              <w:rPr>
                <w:b/>
                <w:i/>
              </w:rPr>
              <w:t>Por consiguiente, el presente Reglamento no debe aplicarse a las máquinas móviles con una velocidad máxima de fabricación superior a 40 km/h.</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Considerando 12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(12 bis)</w:t>
            </w:r>
            <w:r>
              <w:tab/>
            </w:r>
            <w:r>
              <w:rPr>
                <w:b/>
                <w:i/>
              </w:rPr>
              <w:t>Una formación adecuada debe garantizar que quienes utilicen la máquina sean competentes para usarla de forma segura.</w:t>
            </w:r>
            <w:r>
              <w:t xml:space="preserve"> </w:t>
            </w:r>
            <w:r>
              <w:rPr>
                <w:b/>
                <w:i/>
              </w:rPr>
              <w:t>Esto implica garantizar que tengan las capacidades, los conocimientos y la experiencia correctos; a veces, puede ser necesario un título de formación.</w:t>
            </w:r>
            <w:r>
              <w:t xml:space="preserve"> </w:t>
            </w:r>
            <w:r>
              <w:rPr>
                <w:b/>
                <w:i/>
              </w:rPr>
              <w:t>Los supervisores también deben estar debidamente formados y ser competentes para ser eficaces.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El presente Reglamento establece los requisitos técnicos y administrativos y los procedimientos para la homologación de tipo UE y la </w:t>
            </w:r>
            <w:r>
              <w:rPr>
                <w:b/>
                <w:i/>
              </w:rPr>
              <w:t>introducción en el mercado</w:t>
            </w:r>
            <w:r>
              <w:t xml:space="preserve"> de máquinas móviles no de carretera destinadas a circular por la vía pública.</w:t>
            </w:r>
          </w:p>
        </w:tc>
        <w:tc>
          <w:tcPr>
            <w:tcW w:w="4876" w:type="dxa"/>
          </w:tcPr>
          <w:p>
            <w:pPr>
              <w:pStyle w:val="Normal6a"/>
            </w:pPr>
            <w:r>
              <w:t>1.</w:t>
            </w:r>
            <w:r>
              <w:tab/>
            </w:r>
            <w:r>
              <w:t xml:space="preserve">El presente Reglamento establece los requisitos técnicos y administrativos y los procedimientos para la homologación de tipo UE y la </w:t>
            </w:r>
            <w:r>
              <w:rPr>
                <w:b/>
                <w:i/>
              </w:rPr>
              <w:t>circulación por la vía pública</w:t>
            </w:r>
            <w:r>
              <w:t xml:space="preserve"> de máquinas móviles no de carretera destinadas a circular por la vía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El presente Reglamento establece los requisitos técnicos y administrativos y los procedimientos para la homologación de tipo UE y la introducción en el mercado de máquinas móviles no de carretera </w:t>
            </w:r>
            <w:r>
              <w:rPr>
                <w:b/>
                <w:i/>
              </w:rPr>
              <w:t>destinadas a</w:t>
            </w:r>
            <w:r>
              <w:t xml:space="preserve"> circular por la vía pública.</w:t>
            </w:r>
          </w:p>
        </w:tc>
        <w:tc>
          <w:tcPr>
            <w:tcW w:w="4876" w:type="dxa"/>
          </w:tcPr>
          <w:p>
            <w:pPr>
              <w:pStyle w:val="Normal6a"/>
            </w:pPr>
            <w:r>
              <w:t>1.</w:t>
            </w:r>
            <w:r>
              <w:tab/>
            </w:r>
            <w:r>
              <w:t xml:space="preserve">El presente Reglamento establece los requisitos técnicos y administrativos y los procedimientos para la homologación de tipo UE y la introducción en el mercado de máquinas móviles no de carretera </w:t>
            </w:r>
            <w:r>
              <w:rPr>
                <w:b/>
                <w:i/>
              </w:rPr>
              <w:t>capaces de</w:t>
            </w:r>
            <w:r>
              <w:t xml:space="preserve"> circular por la vía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El presente Reglamento se aplica a las máquinas móviles no de carretera cuando se introduzcan en el mercado y </w:t>
            </w:r>
            <w:r>
              <w:rPr>
                <w:b/>
                <w:i/>
              </w:rPr>
              <w:t>estén destinadas a</w:t>
            </w:r>
            <w:r>
              <w:t xml:space="preserve"> circular, con conductor o sin él, por una vía pública.</w:t>
            </w:r>
          </w:p>
        </w:tc>
        <w:tc>
          <w:tcPr>
            <w:tcW w:w="4876" w:type="dxa"/>
          </w:tcPr>
          <w:p>
            <w:pPr>
              <w:pStyle w:val="Normal6a"/>
            </w:pPr>
            <w:r>
              <w:t>1.</w:t>
            </w:r>
            <w:r>
              <w:tab/>
            </w:r>
            <w:r>
              <w:t xml:space="preserve">El presente Reglamento se aplica a las máquinas móviles no de carretera cuando se introduzcan en el mercado y </w:t>
            </w:r>
            <w:r>
              <w:rPr>
                <w:b/>
                <w:i/>
              </w:rPr>
              <w:t>sean capaces de</w:t>
            </w:r>
            <w:r>
              <w:t xml:space="preserve"> circular, con conductor o sin él, por una vía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El presente Reglamento se aplica a las máquinas móviles no de carretera cuando se introduzcan en el mercado y </w:t>
            </w:r>
            <w:r>
              <w:rPr>
                <w:b/>
                <w:i/>
              </w:rPr>
              <w:t>estén destinadas a circular</w:t>
            </w:r>
            <w:r>
              <w:t>, con conductor o sin él, por una vía pública.</w:t>
            </w:r>
          </w:p>
        </w:tc>
        <w:tc>
          <w:tcPr>
            <w:tcW w:w="4876" w:type="dxa"/>
          </w:tcPr>
          <w:p>
            <w:pPr>
              <w:pStyle w:val="Normal6a"/>
            </w:pPr>
            <w:r>
              <w:t>1.</w:t>
            </w:r>
            <w:r>
              <w:tab/>
            </w:r>
            <w:r>
              <w:t xml:space="preserve">El presente Reglamento se aplica a las máquinas móviles no de carretera cuando se introduzcan en el mercado y </w:t>
            </w:r>
            <w:r>
              <w:rPr>
                <w:b/>
                <w:i/>
              </w:rPr>
              <w:t>circulen</w:t>
            </w:r>
            <w:r>
              <w:t>, con conductor o sin él, por una vía pública.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2 – párrafo 1 – letra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las máquinas móviles no de carretera con una velocidad máxima de fabricación superior a 40 km/h;</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2 – párrafo 1 – letra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las máquinas móviles no de carretera equipadas con más de tres plazas de asiento, incluida la del conductor;</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2 – párrafo 1 – letra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las homologaciones individuales de máquinas móviles no de carretera para circular por vías públicas, concedidas de conformidad con la legislación nacional, y las máquinas móviles no de carretera que cumplan dicha legislación nacional;</w:t>
            </w:r>
          </w:p>
        </w:tc>
        <w:tc>
          <w:tcPr>
            <w:tcW w:w="4876" w:type="dxa"/>
          </w:tcPr>
          <w:p>
            <w:pPr>
              <w:pStyle w:val="Normal6a"/>
            </w:pPr>
            <w:r>
              <w:t>f)</w:t>
            </w:r>
            <w:r>
              <w:tab/>
            </w:r>
            <w:r>
              <w:t xml:space="preserve">las homologaciones individuales de máquinas móviles no de carretera para circular por vías públicas, concedidas de conformidad con la legislación nacional, </w:t>
            </w:r>
            <w:r>
              <w:rPr>
                <w:b/>
                <w:i/>
              </w:rPr>
              <w:t>sujetas a una necesidad urgente y esencial para la seguridad nacional,</w:t>
            </w:r>
            <w:r>
              <w:t xml:space="preserve"> y las máquinas móviles no de carretera que cumplan dicha legislación 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2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bis.</w:t>
            </w:r>
            <w:r>
              <w:tab/>
            </w:r>
            <w:r>
              <w:rPr>
                <w:b/>
                <w:i/>
              </w:rPr>
              <w:t>En el caso de las máquinas móviles no de carretera sujetas a homologación individual, el fabricante podrá elegir entre aplicar los requisitos establecidos en el presente Reglamento, cuando proceda, o cumplir la legislación nacional pertinente a que se refiere el párrafo primero, letra 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 – apartado 2 ter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ter.</w:t>
            </w:r>
            <w:r>
              <w:tab/>
            </w:r>
            <w:r>
              <w:rPr>
                <w:b/>
                <w:i/>
              </w:rPr>
              <w:t>En el caso de los equipos remolcados, el fabricante podrá elegir entre solicitar la homologación de tipo UE o cumplir la legislación nacional pertinente a que se refiere el párrafo primero, letra 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«máquina móvil no de carretera»: toda máquina móvil automotora que entre en el ámbito de aplicación de la Directiva 2006/42/CE y que esté diseñada o fabricada con el propósito de realizar trabajos;</w:t>
            </w:r>
          </w:p>
        </w:tc>
        <w:tc>
          <w:tcPr>
            <w:tcW w:w="4876" w:type="dxa"/>
          </w:tcPr>
          <w:p>
            <w:pPr>
              <w:pStyle w:val="Normal6a"/>
            </w:pPr>
            <w:r>
              <w:t>1)</w:t>
            </w:r>
            <w:r>
              <w:tab/>
            </w:r>
            <w:r>
              <w:t xml:space="preserve">«máquina móvil no de carretera»: toda máquina móvil automotora </w:t>
            </w:r>
            <w:r>
              <w:rPr>
                <w:b/>
                <w:i/>
              </w:rPr>
              <w:t>con sistema de propulsión o equipo remolcado </w:t>
            </w:r>
            <w:r>
              <w:t xml:space="preserve">que entre en el ámbito de aplicación de la Directiva 2006/42/CE y que esté diseñada o fabricada con el propósito de realizar trabajos </w:t>
            </w:r>
            <w:r>
              <w:rPr>
                <w:b/>
                <w:i/>
              </w:rPr>
              <w:t>y destinada a circular por la vía pública, principalmente para su transporte de un lugar de trabajo a otro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«máquina móvil no de carretera»: toda máquina móvil automotora que entre en el ámbito de aplicación de la Directiva 2006/42/CE y que </w:t>
            </w:r>
            <w:r>
              <w:rPr>
                <w:b/>
                <w:i/>
              </w:rPr>
              <w:t>esté diseñada o fabricada con el propósito de realizar trabajos</w:t>
            </w:r>
            <w:r>
              <w:t>;</w:t>
            </w:r>
          </w:p>
        </w:tc>
        <w:tc>
          <w:tcPr>
            <w:tcW w:w="4876" w:type="dxa"/>
          </w:tcPr>
          <w:p>
            <w:pPr>
              <w:pStyle w:val="Normal6a"/>
            </w:pPr>
            <w:r>
              <w:t>1)</w:t>
            </w:r>
            <w:r>
              <w:tab/>
            </w:r>
            <w:r>
              <w:t xml:space="preserve">«máquina móvil no de carretera»: toda máquina móvil automotora que entre en el ámbito de aplicación de la Directiva 2006/42/CE y que </w:t>
            </w:r>
            <w:r>
              <w:rPr>
                <w:b/>
                <w:i/>
              </w:rPr>
              <w:t>pueda requerir, ya sea de forma ocasional o frecuente, circular por la vía pública, principalmente para su transporte de un lugar de trabajo a otro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Ivars Ijabs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«máquina móvil no de carretera producida en series cortas»: homologación de tipo nacional de un tipo de máquina móvil no de carretera cuyo número de unidades comercializadas, matriculadas o puestas en servicio no puede exceder, por año y en cada Estado miembro, de </w:t>
            </w:r>
            <w:r>
              <w:rPr>
                <w:b/>
                <w:i/>
              </w:rPr>
              <w:t>cincuenta</w:t>
            </w:r>
            <w:r>
              <w:t xml:space="preserve"> unidades por tipo;</w:t>
            </w:r>
          </w:p>
        </w:tc>
        <w:tc>
          <w:tcPr>
            <w:tcW w:w="4876" w:type="dxa"/>
          </w:tcPr>
          <w:p>
            <w:pPr>
              <w:pStyle w:val="Normal6a"/>
            </w:pPr>
            <w:r>
              <w:t>3)</w:t>
            </w:r>
            <w:r>
              <w:tab/>
            </w:r>
            <w:r>
              <w:t xml:space="preserve">«máquina móvil no de carretera producida en series cortas»: homologación de tipo nacional de un tipo de máquina móvil no de carretera cuyo número de unidades comercializadas, matriculadas o puestas en servicio no puede exceder, por año y en cada Estado miembro, de </w:t>
            </w:r>
            <w:r>
              <w:rPr>
                <w:b/>
                <w:i/>
              </w:rPr>
              <w:t>cien</w:t>
            </w:r>
            <w:r>
              <w:t xml:space="preserve"> unidades por tipo;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24 – letra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rPr>
                <w:b/>
                <w:i/>
              </w:rPr>
              <w:t>motor</w:t>
            </w:r>
            <w:r>
              <w:t xml:space="preserve"> (combustión interna / híbrido / eléctrico / híbrido-eléctrico);</w:t>
            </w:r>
          </w:p>
        </w:tc>
        <w:tc>
          <w:tcPr>
            <w:tcW w:w="4876" w:type="dxa"/>
          </w:tcPr>
          <w:p>
            <w:pPr>
              <w:pStyle w:val="Normal6a"/>
            </w:pPr>
            <w:r>
              <w:t>c)</w:t>
            </w:r>
            <w:r>
              <w:tab/>
            </w:r>
            <w:r>
              <w:rPr>
                <w:b/>
                <w:i/>
              </w:rPr>
              <w:t>sistema de propulsión</w:t>
            </w:r>
            <w:r>
              <w:t xml:space="preserve"> (combustión interna / híbrido / eléctrico / híbrido-eléctrico);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24 – letra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rPr>
                <w:b/>
                <w:i/>
              </w:rPr>
              <w:t>motor</w:t>
            </w:r>
            <w:r>
              <w:t xml:space="preserve"> (combustión interna / híbrido / eléctrico / híbrido-eléctrico);</w:t>
            </w:r>
          </w:p>
        </w:tc>
        <w:tc>
          <w:tcPr>
            <w:tcW w:w="4876" w:type="dxa"/>
          </w:tcPr>
          <w:p>
            <w:pPr>
              <w:pStyle w:val="Normal6a"/>
            </w:pPr>
            <w:r>
              <w:t>c)</w:t>
            </w:r>
            <w:r>
              <w:tab/>
            </w:r>
            <w:r>
              <w:rPr>
                <w:b/>
                <w:i/>
              </w:rPr>
              <w:t>sistema de propulsión</w:t>
            </w:r>
            <w:r>
              <w:t xml:space="preserve"> (combustión interna / híbrido / eléctrico / híbrido-eléctrico);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24 – letra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número y disposición de los cilindros;</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24 – letra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diferencias de potencia no superiores al 30 % (la potencia más elevada será, como máximo, 1,3 veces superior a la potencia más baja);</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24 – letra 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g)</w:t>
            </w:r>
            <w:r>
              <w:tab/>
            </w:r>
            <w:r>
              <w:rPr>
                <w:b/>
                <w:i/>
              </w:rPr>
              <w:t>diferencias de cilindrada no superiores al 20 % (el valor más elevado será, como máximo, 1,2 veces superior al valor más bajo);</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24 – letra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ejes direccionales (número y posición);</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24 – letra 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j)</w:t>
            </w:r>
            <w:r>
              <w:tab/>
            </w:r>
            <w:r>
              <w:rPr>
                <w:b/>
                <w:i/>
              </w:rPr>
              <w:t>masa máxima en carga que no varíe más del 10 %;</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24 – letra l</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l)</w:t>
            </w:r>
            <w:r>
              <w:tab/>
            </w:r>
            <w:r>
              <w:rPr>
                <w:b/>
                <w:i/>
              </w:rPr>
              <w:t>dispositivo de protección contra el vuelco;</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24 – letra m</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m)</w:t>
            </w:r>
            <w:r>
              <w:tab/>
            </w:r>
            <w:r>
              <w:rPr>
                <w:b/>
                <w:i/>
              </w:rPr>
              <w:t>ejes con frenos (número);</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Ivars Ijabs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«máquina móvil no de carretera que comporta un riesgo grave»: máquina móvil no de carretera que, sobre la base de una evaluación adecuada del riesgo que tenga en cuenta la naturaleza del peligro y la probabilidad de que ocurra, presenta un riesgo grave en relación con </w:t>
            </w:r>
            <w:r>
              <w:rPr>
                <w:b/>
                <w:i/>
              </w:rPr>
              <w:t>los aspectos cubiertos</w:t>
            </w:r>
            <w:r>
              <w:t xml:space="preserve"> por el presente Reglamento;</w:t>
            </w:r>
          </w:p>
        </w:tc>
        <w:tc>
          <w:tcPr>
            <w:tcW w:w="4876" w:type="dxa"/>
          </w:tcPr>
          <w:p>
            <w:pPr>
              <w:pStyle w:val="Normal6a"/>
            </w:pPr>
            <w:r>
              <w:t>29)</w:t>
            </w:r>
            <w:r>
              <w:tab/>
            </w:r>
            <w:r>
              <w:t xml:space="preserve">«máquina móvil no de carretera que comporta un riesgo grave»: máquina móvil no de carretera que, sobre la base de una evaluación adecuada del riesgo que tenga en cuenta la naturaleza del peligro y la probabilidad de que ocurra, presenta un riesgo grave en relación con </w:t>
            </w:r>
            <w:r>
              <w:rPr>
                <w:b/>
                <w:i/>
              </w:rPr>
              <w:t>su uso seguro en la vía pública cubierto</w:t>
            </w:r>
            <w:r>
              <w:t xml:space="preserve"> por 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«máquina móvil no de carretera que comporta un riesgo </w:t>
            </w:r>
            <w:r>
              <w:rPr>
                <w:b/>
                <w:i/>
              </w:rPr>
              <w:t>grave</w:t>
            </w:r>
            <w:r>
              <w:t xml:space="preserve">»: máquina móvil no de carretera que, sobre la base de una evaluación adecuada del riesgo que tenga en cuenta la naturaleza del peligro y la probabilidad de que ocurra, presenta un riesgo </w:t>
            </w:r>
            <w:r>
              <w:rPr>
                <w:b/>
                <w:i/>
              </w:rPr>
              <w:t>grave</w:t>
            </w:r>
            <w:r>
              <w:t xml:space="preserve"> en relación con los aspectos cubiertos por el presente Reglamento;</w:t>
            </w:r>
          </w:p>
        </w:tc>
        <w:tc>
          <w:tcPr>
            <w:tcW w:w="4876" w:type="dxa"/>
          </w:tcPr>
          <w:p>
            <w:pPr>
              <w:pStyle w:val="Normal6a"/>
            </w:pPr>
            <w:r>
              <w:t>29)</w:t>
            </w:r>
            <w:r>
              <w:tab/>
            </w:r>
            <w:r>
              <w:t>«máquina móvil no de carretera que comporta un riesgo»: máquina móvil no de carretera que, sobre la base de una evaluación adecuada del riesgo que tenga en cuenta la naturaleza del peligro y la probabilidad de que ocurra, presenta un riesgo en relación con los aspectos cubiertos por 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«recuperación»: toda medida destinada a obtener la devolución de una máquina móvil no de carretera </w:t>
            </w:r>
            <w:r>
              <w:rPr>
                <w:b/>
                <w:i/>
              </w:rPr>
              <w:t>ya puesta a disposición del usuario final</w:t>
            </w:r>
            <w:r>
              <w:t>;</w:t>
            </w:r>
          </w:p>
        </w:tc>
        <w:tc>
          <w:tcPr>
            <w:tcW w:w="4876" w:type="dxa"/>
          </w:tcPr>
          <w:p>
            <w:pPr>
              <w:pStyle w:val="Normal6a"/>
            </w:pPr>
            <w:r>
              <w:t>30)</w:t>
            </w:r>
            <w:r>
              <w:tab/>
            </w:r>
            <w:r>
              <w:t xml:space="preserve">«recuperación»: toda medida destinada a obtener la devolución de una máquina móvil no de carretera </w:t>
            </w:r>
            <w:r>
              <w:rPr>
                <w:b/>
                <w:i/>
              </w:rPr>
              <w:t>a la que ya se le haya concedido una homologación para circular por la vía pública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 xml:space="preserve">«retirada»: toda medida destinada a impedir la </w:t>
            </w:r>
            <w:r>
              <w:rPr>
                <w:b/>
                <w:i/>
              </w:rPr>
              <w:t>comercialización</w:t>
            </w:r>
            <w:r>
              <w:t xml:space="preserve"> de una máquina móvil no de carretera que se encuentra en la cadena de suministro.</w:t>
            </w:r>
          </w:p>
        </w:tc>
        <w:tc>
          <w:tcPr>
            <w:tcW w:w="4876" w:type="dxa"/>
          </w:tcPr>
          <w:p>
            <w:pPr>
              <w:pStyle w:val="Normal6a"/>
            </w:pPr>
            <w:r>
              <w:t>31)</w:t>
            </w:r>
            <w:r>
              <w:tab/>
            </w:r>
            <w:r>
              <w:t xml:space="preserve">«retirada»: toda medida destinada a impedir la </w:t>
            </w:r>
            <w:r>
              <w:rPr>
                <w:b/>
                <w:i/>
              </w:rPr>
              <w:t>circulación por la vía pública</w:t>
            </w:r>
            <w:r>
              <w:t xml:space="preserve"> de una máquina móvil no de carretera que se encuentra en la cadena de suministro.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 – párrafo 1 – punto 31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31 bis)</w:t>
            </w:r>
            <w:r>
              <w:tab/>
            </w:r>
            <w:r>
              <w:rPr>
                <w:b/>
                <w:i/>
              </w:rPr>
              <w:t>«uso no autorizado»: uso de la máquina móvil no de carretera por parte de personas sin cualificación o sin formación, incluidos los nuevos trabajadores sin instrucción, formación ni supervisión.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Maria-Manuel Leitão-Marques, René Repasi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1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bis.</w:t>
            </w:r>
            <w:r>
              <w:tab/>
            </w:r>
            <w:r>
              <w:rPr>
                <w:b/>
                <w:i/>
              </w:rPr>
              <w:t>Los Estados miembros velarán por que sus autoridades de homologación y vigilancia del mercado dispongan de los suficientes recursos, incluidos suficientes recursos presupuestarios y de otro tipo, como es un número suficiente de personal competente, conocimientos especializados, procedimientos y otros medios para el adecuado ejercicio de sus funciones.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 ajusta a la redacción del Reglamento (UE) 2019/1020 del Parlamento Europeo y del Consejo, de 20 de junio de 2019, relativo a la vigilancia del mercado y la conformidad de los productos y por el que se modifican la Directiva 2004/42/CE y los Reglamentos (CE) n.º 765/2008 y (UE) n.º 305/2011.</w:t>
      </w:r>
    </w:p>
    <w:p>
      <w:r>
        <w:rPr>
          <w:rStyle w:val="HideTWBExt"/>
        </w:rPr>
        <w:t>&lt;/Amend&gt;</w:t>
      </w:r>
    </w:p>
    <w:p>
      <w:pPr>
        <w:pStyle w:val="AmNumberTabs"/>
      </w:pPr>
      <w:r>
        <w:rPr>
          <w:rStyle w:val="HideTWBExt"/>
        </w:rPr>
        <w:t>&lt;Amend&gt;</w:t>
      </w:r>
      <w:r>
        <w:t>Enmienda</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Por lo que se refiere a los aspectos regulados por el presente Reglamento, los Estados miembros no podrán prohibir, restringir o impedir la comercialización, la matriculación, la puesta en servicio o la circulación en la vía pública de máquinas móviles no de carretera que cumplan lo dispuesto en el presente Reglamento.</w:t>
            </w:r>
          </w:p>
        </w:tc>
        <w:tc>
          <w:tcPr>
            <w:tcW w:w="4876" w:type="dxa"/>
          </w:tcPr>
          <w:p>
            <w:pPr>
              <w:pStyle w:val="Normal6a"/>
            </w:pPr>
            <w:r>
              <w:t>4.</w:t>
            </w:r>
            <w:r>
              <w:tab/>
            </w:r>
            <w:r>
              <w:t xml:space="preserve">Por lo que se refiere a los aspectos regulados por el presente Reglamento, los Estados miembros no podrán prohibir, restringir o impedir la comercialización, la matriculación, la puesta en servicio o la circulación en la vía pública de máquinas móviles no de carretera que cumplan lo dispuesto en el presente Reglamento </w:t>
            </w:r>
            <w:r>
              <w:rPr>
                <w:b/>
                <w:i/>
              </w:rPr>
              <w:t>en el momento de su introducción en el mercado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5 – párrafo 2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La Comisión estará facultada para adoptar actos delegados de conformidad con el artículo 47 relativos a las normas detalladas con arreglo a las cuales los Estados miembros no pueden rechazar la verificación —especificada en el artículo 19— ya realizada por la autoridad de homologación de otro Estado miembro.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enmienda tiene por objeto garantizar que la conformidad de la producción, como resultado de un examen en un país, sea aceptada más fácilmente en otros países con el fin de evitar dificultades con las cargas relacionadas con la conformidad de la producción.</w:t>
      </w:r>
    </w:p>
    <w:p>
      <w:r>
        <w:rPr>
          <w:rStyle w:val="HideTWBExt"/>
        </w:rPr>
        <w:t>&lt;/Amend&gt;</w:t>
      </w:r>
    </w:p>
    <w:p>
      <w:pPr>
        <w:pStyle w:val="AmNumberTabs"/>
      </w:pPr>
      <w:r>
        <w:rPr>
          <w:rStyle w:val="HideTWBExt"/>
        </w:rPr>
        <w:t>&lt;Amend&gt;</w:t>
      </w:r>
      <w:r>
        <w:t>Enmienda</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 – apartado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Los Estados miembros organizarán y llevarán a cabo actividades de vigilancia del mercado y controles de las máquinas móviles no de carretera que </w:t>
            </w:r>
            <w:r>
              <w:rPr>
                <w:b/>
                <w:i/>
              </w:rPr>
              <w:t>entren en el mercado</w:t>
            </w:r>
            <w:r>
              <w:t xml:space="preserve"> de conformidad con los capítulos IV, V y VII del Reglamento (UE) 2019/1020.</w:t>
            </w:r>
          </w:p>
        </w:tc>
        <w:tc>
          <w:tcPr>
            <w:tcW w:w="4876" w:type="dxa"/>
          </w:tcPr>
          <w:p>
            <w:pPr>
              <w:pStyle w:val="Normal6a"/>
            </w:pPr>
            <w:r>
              <w:t>6.</w:t>
            </w:r>
            <w:r>
              <w:tab/>
            </w:r>
            <w:r>
              <w:t xml:space="preserve">Los Estados miembros organizarán y llevarán a cabo actividades de vigilancia del mercado y controles de las máquinas móviles no de carretera que </w:t>
            </w:r>
            <w:r>
              <w:rPr>
                <w:b/>
                <w:i/>
              </w:rPr>
              <w:t>circulen por la vía pública</w:t>
            </w:r>
            <w:r>
              <w:t xml:space="preserve"> de conformidad con los capítulos IV, V y VII del Reglamento (UE) 2019/1020.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Los fabricantes se asegurarán de que las máquinas móviles no de carretera que introduzcan en el mercado pertenezcan a un tipo al que se haya concedido una homologación de tipo UE y estén diseñadas y fabricadas de conformidad con dicho tipo.</w:t>
            </w:r>
          </w:p>
        </w:tc>
        <w:tc>
          <w:tcPr>
            <w:tcW w:w="4876" w:type="dxa"/>
          </w:tcPr>
          <w:p>
            <w:pPr>
              <w:pStyle w:val="Normal6a"/>
            </w:pPr>
            <w:r>
              <w:t>1.</w:t>
            </w:r>
            <w:r>
              <w:tab/>
            </w:r>
            <w:r>
              <w:t xml:space="preserve">Los fabricantes se asegurarán de que las máquinas móviles no de carretera que introduzcan en el mercado </w:t>
            </w:r>
            <w:r>
              <w:rPr>
                <w:b/>
                <w:i/>
              </w:rPr>
              <w:t>para que circulen por la vía pública</w:t>
            </w:r>
            <w:r>
              <w:t xml:space="preserve"> pertenezcan a un tipo al que se haya concedido una homologación de tipo UE y estén diseñadas y fabricadas de conformidad con dicho tipo.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6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Los fabricantes indicarán su nombre, nombre comercial registrado o marca comercial registrada, y su dirección postal y dirección de correo electrónico de contacto en la máquina móvil no de carretera o, cuando ello no sea posible, en </w:t>
            </w:r>
            <w:r>
              <w:rPr>
                <w:b/>
                <w:i/>
              </w:rPr>
              <w:t>su embalaje o en</w:t>
            </w:r>
            <w:r>
              <w:t xml:space="preserve"> un documento que la acompañe. La dirección indicará un único punto de contacto con el fabricante. Los datos de contacto figurarán en una lengua fácilmente comprensible para los usuarios finales y para las autoridades de vigilancia del mercado.</w:t>
            </w:r>
          </w:p>
        </w:tc>
        <w:tc>
          <w:tcPr>
            <w:tcW w:w="4876" w:type="dxa"/>
          </w:tcPr>
          <w:p>
            <w:pPr>
              <w:pStyle w:val="Normal6a"/>
            </w:pPr>
            <w:r>
              <w:t>4.</w:t>
            </w:r>
            <w:r>
              <w:tab/>
            </w:r>
            <w:r>
              <w:t>Los fabricantes indicarán su nombre, nombre comercial registrado o marca comercial registrada, y su dirección postal y dirección de correo electrónico de contacto en la máquina móvil no de carretera o, cuando ello no sea posible, en un documento que la acompañe. La dirección indicará un único punto de contacto con el fabricante. Los datos de contacto figurarán en una lengua fácilmente comprensible para los usuarios finales y para las autoridades de vigilancia del mercado.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No es útil indicarlo en el embalaje, pues el usuario no lo conserva en la mayoría de los casos.</w:t>
      </w:r>
    </w:p>
    <w:p>
      <w:r>
        <w:rPr>
          <w:rStyle w:val="HideTWBExt"/>
        </w:rPr>
        <w:t>&lt;/Amend&gt;</w:t>
      </w:r>
    </w:p>
    <w:p>
      <w:pPr>
        <w:pStyle w:val="AmNumberTabs"/>
      </w:pPr>
      <w:r>
        <w:rPr>
          <w:rStyle w:val="HideTWBExt"/>
        </w:rPr>
        <w:t>&lt;Amend&gt;</w:t>
      </w:r>
      <w:r>
        <w:t>Enmienda</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1 – párrafo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Los fabricantes que tengan motivos suficientes para creer que una máquina móvil no de carretera que han comercializado no es conforme con el presente Reglamento adoptarán inmediatamente las medidas correctoras necesarias para que esta máquina sea conforme, retirarla del mercado o recuperarla, según corresponda.</w:t>
            </w:r>
          </w:p>
        </w:tc>
        <w:tc>
          <w:tcPr>
            <w:tcW w:w="4876" w:type="dxa"/>
          </w:tcPr>
          <w:p>
            <w:pPr>
              <w:pStyle w:val="Normal6a"/>
            </w:pPr>
            <w:r>
              <w:t xml:space="preserve">Los fabricantes que tengan motivos suficientes para creer que una máquina móvil no de carretera que han comercializado </w:t>
            </w:r>
            <w:r>
              <w:rPr>
                <w:b/>
                <w:i/>
              </w:rPr>
              <w:t>para que circule por la vía pública</w:t>
            </w:r>
            <w:r>
              <w:t xml:space="preserve"> no es conforme con el presente Reglamento adoptarán inmediatamente las medidas correctoras necesarias para que esta máquina sea conforme, retirarla del mercado o recuperarla, según corresponda.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Los fabricantes que tengan motivos suficientes para creer que una máquina móvil no de carretera que han comercializado comporta un riesgo grave informarán inmediatamente de ello a las autoridades de homologación y de vigilancia del mercado de los Estados miembros en los que se haya comercializado la máquina móvil no de carretera, y darán detalles sobre la no conformidad y las medidas correctoras adoptadas.</w:t>
            </w:r>
          </w:p>
        </w:tc>
        <w:tc>
          <w:tcPr>
            <w:tcW w:w="4876" w:type="dxa"/>
          </w:tcPr>
          <w:p>
            <w:pPr>
              <w:pStyle w:val="Normal6a"/>
            </w:pPr>
            <w:r>
              <w:t>2.</w:t>
            </w:r>
            <w:r>
              <w:tab/>
            </w:r>
            <w:r>
              <w:t xml:space="preserve">Los fabricantes que tengan motivos suficientes para creer que una máquina móvil no de carretera que han comercializado comporta un riesgo grave informarán inmediatamente de ello a las autoridades de homologación y de vigilancia del mercado de los Estados miembros en los que se haya comercializado la máquina móvil no de carretera, y darán detalles sobre la no conformidad y las medidas correctoras adoptadas. </w:t>
            </w:r>
            <w:r>
              <w:rPr>
                <w:b/>
                <w:i/>
              </w:rPr>
              <w:t>Los fabricantes informarán inmediatamente a los usuarios a través de los medios adecuados.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Los fabricantes que tengan motivos </w:t>
            </w:r>
            <w:r>
              <w:rPr>
                <w:b/>
                <w:i/>
              </w:rPr>
              <w:t>suficientes</w:t>
            </w:r>
            <w:r>
              <w:t xml:space="preserve"> para creer que una máquina móvil no de carretera que han comercializado comporta un riesgo </w:t>
            </w:r>
            <w:r>
              <w:rPr>
                <w:b/>
                <w:i/>
              </w:rPr>
              <w:t>grave</w:t>
            </w:r>
            <w:r>
              <w:t xml:space="preserve"> informarán inmediatamente de ello a las autoridades de homologación y de vigilancia del mercado de los Estados miembros en los que se haya comercializado la máquina móvil no de carretera, y darán detalles sobre la no conformidad y las medidas correctoras adoptadas.</w:t>
            </w:r>
          </w:p>
        </w:tc>
        <w:tc>
          <w:tcPr>
            <w:tcW w:w="4876" w:type="dxa"/>
          </w:tcPr>
          <w:p>
            <w:pPr>
              <w:pStyle w:val="Normal6a"/>
            </w:pPr>
            <w:r>
              <w:t>2.</w:t>
            </w:r>
            <w:r>
              <w:tab/>
            </w:r>
            <w:r>
              <w:t>Los fabricantes que tengan motivos para creer que una máquina móvil no de carretera que han comercializado comporta un riesgo informarán inmediatamente de ello a las autoridades de homologación y de vigilancia del mercado de los Estados miembros en los que se haya comercializado la máquina móvil no de carretera, y darán detalles sobre la no conformidad y las medidas correctoras adoptadas.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Maria-Manuel Leitão-Marques, René Repasi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5 – párrafo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Los fabricantes examinarán toda reclamación que reciban acerca de riesgos, presuntos incidentes o problemas de incumplimiento con las máquinas móviles no de carretera que hayan introducido en el mercado.</w:t>
            </w:r>
          </w:p>
        </w:tc>
        <w:tc>
          <w:tcPr>
            <w:tcW w:w="4876" w:type="dxa"/>
          </w:tcPr>
          <w:p>
            <w:pPr>
              <w:pStyle w:val="Normal6a"/>
            </w:pPr>
            <w:r>
              <w:t xml:space="preserve">Los fabricantes examinarán </w:t>
            </w:r>
            <w:r>
              <w:rPr>
                <w:b/>
                <w:i/>
              </w:rPr>
              <w:t>debidamente, sin demora indebida,</w:t>
            </w:r>
            <w:r>
              <w:t xml:space="preserve"> toda reclamación que reciban acerca de riesgos, presuntos incidentes o problemas de incumplimiento con las máquinas móviles no de carretera que hayan introducido en el mercado.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5 – párrafo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Los fabricantes examinarán toda reclamación que reciban acerca de riesgos, presuntos incidentes o problemas de incumplimiento con las máquinas móviles no de carretera que hayan introducido en el mercado.</w:t>
            </w:r>
          </w:p>
        </w:tc>
        <w:tc>
          <w:tcPr>
            <w:tcW w:w="4876" w:type="dxa"/>
          </w:tcPr>
          <w:p>
            <w:pPr>
              <w:pStyle w:val="Normal6a"/>
            </w:pPr>
            <w:r>
              <w:t xml:space="preserve">Los fabricantes examinarán toda reclamación </w:t>
            </w:r>
            <w:r>
              <w:rPr>
                <w:b/>
                <w:i/>
              </w:rPr>
              <w:t>fundada</w:t>
            </w:r>
            <w:r>
              <w:t xml:space="preserve"> que reciban acerca de riesgos, presuntos incidentes o problemas de incumplimiento con las máquinas móviles no de carretera que hayan introducido en el mercado.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Maria-Manuel Leitão-Marques, René Repasi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7 – apartado 5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En caso de reclamación fundada, los fabricantes informarán de ello a sus distribuidores e importadores.</w:t>
            </w:r>
          </w:p>
        </w:tc>
        <w:tc>
          <w:tcPr>
            <w:tcW w:w="4876" w:type="dxa"/>
          </w:tcPr>
          <w:p>
            <w:pPr>
              <w:pStyle w:val="Normal6a"/>
            </w:pPr>
            <w:r>
              <w:t xml:space="preserve">En caso de reclamación fundada, los fabricantes informarán de ello </w:t>
            </w:r>
            <w:r>
              <w:rPr>
                <w:b/>
                <w:i/>
              </w:rPr>
              <w:t>rápidamente </w:t>
            </w:r>
            <w:r>
              <w:t>a sus distribuidores e importadores.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8 – párrafo 1 – letra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cooperar con las autoridades de homologación o de vigilancia del mercado, a petición de estas, en cualquier acción destinada a eliminar los riesgos </w:t>
            </w:r>
            <w:r>
              <w:rPr>
                <w:b/>
                <w:i/>
              </w:rPr>
              <w:t>graves</w:t>
            </w:r>
            <w:r>
              <w:t xml:space="preserve"> que comporten las máquinas móviles no de carretera objeto de su mandato.</w:t>
            </w:r>
          </w:p>
        </w:tc>
        <w:tc>
          <w:tcPr>
            <w:tcW w:w="4876" w:type="dxa"/>
          </w:tcPr>
          <w:p>
            <w:pPr>
              <w:pStyle w:val="Normal6a"/>
            </w:pPr>
            <w:r>
              <w:t>c)</w:t>
            </w:r>
            <w:r>
              <w:tab/>
            </w:r>
            <w:r>
              <w:t>cooperar con las autoridades de homologación o de vigilancia del mercado, a petición de estas, en cualquier acción destinada a eliminar los riesgos que comporten las máquinas móviles no de carretera objeto de su mandato.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10 – apartado 3 – párrafo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Los importadores que tengan motivos </w:t>
            </w:r>
            <w:r>
              <w:rPr>
                <w:b/>
                <w:i/>
              </w:rPr>
              <w:t>suficientes</w:t>
            </w:r>
            <w:r>
              <w:t xml:space="preserve"> para creer que una máquina móvil no de carretera que han comercializado comporta un riesgo </w:t>
            </w:r>
            <w:r>
              <w:rPr>
                <w:b/>
                <w:i/>
              </w:rPr>
              <w:t>grave</w:t>
            </w:r>
            <w:r>
              <w:t xml:space="preserve"> informarán inmediatamente de ello al fabricante y a las autoridades de homologación y de vigilancia del mercado de los Estados miembros en los que la hayan introducido en el mercado o puesto en servicio.</w:t>
            </w:r>
          </w:p>
        </w:tc>
        <w:tc>
          <w:tcPr>
            <w:tcW w:w="4876" w:type="dxa"/>
          </w:tcPr>
          <w:p>
            <w:pPr>
              <w:pStyle w:val="Normal6a"/>
            </w:pPr>
            <w:r>
              <w:t>Los importadores que tengan motivos para creer que una máquina móvil no de carretera que han comercializado comporta un riesgo informarán inmediatamente de ello al fabricante y a las autoridades de homologación y de vigilancia del mercado de los Estados miembros en los que la hayan introducido en el mercado o puesto en servicio.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10 – apartado 3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Los importadores les informarán asimismo de cualquier medida que se haya tomado y darán detalles sobre el riesgo </w:t>
            </w:r>
            <w:r>
              <w:rPr>
                <w:b/>
                <w:i/>
              </w:rPr>
              <w:t>grave</w:t>
            </w:r>
            <w:r>
              <w:t xml:space="preserve"> y las medidas correctoras adoptadas por el fabricante.</w:t>
            </w:r>
          </w:p>
        </w:tc>
        <w:tc>
          <w:tcPr>
            <w:tcW w:w="4876" w:type="dxa"/>
          </w:tcPr>
          <w:p>
            <w:pPr>
              <w:pStyle w:val="Normal6a"/>
            </w:pPr>
            <w:r>
              <w:t>Los importadores les informarán asimismo de cualquier medida que se haya tomado y darán detalles sobre el riesgo y las medidas correctoras adoptadas por el fabricante.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Maria-Manuel Leitão-Marques, René Repasi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11 – apartado 3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bis.</w:t>
            </w:r>
            <w:r>
              <w:tab/>
            </w:r>
            <w:r>
              <w:rPr>
                <w:b/>
                <w:i/>
              </w:rPr>
              <w:t>Los distribuidores indicarán su nombre y su dirección postal y dirección de correo electrónico de contacto en la máquina móvil no de carretera o, cuando ello no sea posible, en su embalaje o en un documento que la acompañe.</w:t>
            </w:r>
            <w:r>
              <w:t xml:space="preserve"> </w:t>
            </w:r>
            <w:r>
              <w:rPr>
                <w:b/>
                <w:i/>
              </w:rPr>
              <w:t>La dirección indicará un único punto de contacto con el distribuidor.</w:t>
            </w:r>
            <w:r>
              <w:t xml:space="preserve"> </w:t>
            </w:r>
            <w:r>
              <w:rPr>
                <w:b/>
                <w:i/>
              </w:rPr>
              <w:t>Los datos de contacto figurarán en una lengua fácilmente comprensible para los usuarios finales y para las autoridades de vigilancia del mercado.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Teniendo en cuenta que los distribuidores tienen la obligación de informar a los fabricantes (artículo 12, apartado 5) de las reclamaciones recibidas, es mejor que tanto los usuarios como los distribuidores se aseguren de que estos dispongan de un único punto de contacto a tal efecto.</w:t>
      </w:r>
    </w:p>
    <w:p>
      <w:r>
        <w:rPr>
          <w:rStyle w:val="HideTWBExt"/>
        </w:rPr>
        <w:t>&lt;/Amend&gt;</w:t>
      </w:r>
    </w:p>
    <w:p>
      <w:pPr>
        <w:pStyle w:val="AmNumberTabs"/>
      </w:pPr>
      <w:r>
        <w:rPr>
          <w:rStyle w:val="HideTWBExt"/>
        </w:rPr>
        <w:t>&lt;Amend&gt;</w:t>
      </w:r>
      <w:r>
        <w:t>Enmienda</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apartado 3 – párrafo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Los distribuidores que tengan motivos </w:t>
            </w:r>
            <w:r>
              <w:rPr>
                <w:b/>
                <w:i/>
              </w:rPr>
              <w:t>suficientes</w:t>
            </w:r>
            <w:r>
              <w:t xml:space="preserve"> para creer que una máquina móvil no de carretera que han comercializado comporta un riesgo </w:t>
            </w:r>
            <w:r>
              <w:rPr>
                <w:b/>
                <w:i/>
              </w:rPr>
              <w:t>grave</w:t>
            </w:r>
            <w:r>
              <w:t xml:space="preserve"> informarán inmediatamente de ello al fabricante, al importador y a las autoridades de homologación y de vigilancia del mercado de los Estados miembros en los que la hayan comercializado.</w:t>
            </w:r>
          </w:p>
        </w:tc>
        <w:tc>
          <w:tcPr>
            <w:tcW w:w="4876" w:type="dxa"/>
          </w:tcPr>
          <w:p>
            <w:pPr>
              <w:pStyle w:val="Normal6a"/>
            </w:pPr>
            <w:r>
              <w:t>Los distribuidores que tengan motivos para creer que una máquina móvil no de carretera que han comercializado comporta un riesgo informarán inmediatamente de ello al fabricante, al importador y a las autoridades de homologación y de vigilancia del mercado de los Estados miembros en los que la hayan comercializado.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12 – apartado 3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Los distribuidores les informarán asimismo de cualquier medida que se haya adoptado y facilitarán detalles, en particular, del riesgo </w:t>
            </w:r>
            <w:r>
              <w:rPr>
                <w:b/>
                <w:i/>
              </w:rPr>
              <w:t>grave</w:t>
            </w:r>
            <w:r>
              <w:t xml:space="preserve"> y de las medidas correctoras adoptadas por el fabricante.</w:t>
            </w:r>
          </w:p>
        </w:tc>
        <w:tc>
          <w:tcPr>
            <w:tcW w:w="4876" w:type="dxa"/>
          </w:tcPr>
          <w:p>
            <w:pPr>
              <w:pStyle w:val="Normal6a"/>
            </w:pPr>
            <w:r>
              <w:t>Los distribuidores les informarán asimismo de cualquier medida que se haya adoptado y facilitarán detalles, en particular, del riesgo y de las medidas correctoras adoptadas por el fabricante.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parte introductoria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La Comisión estará facultada para adoptar actos delegados con arreglo al artículo 47 relativos a las normas detalladas sobre los requisitos establecidos en el apartado 1 respecto a los siguientes elementos:</w:t>
            </w:r>
          </w:p>
        </w:tc>
        <w:tc>
          <w:tcPr>
            <w:tcW w:w="4876" w:type="dxa"/>
          </w:tcPr>
          <w:p>
            <w:pPr>
              <w:pStyle w:val="Normal6a"/>
            </w:pPr>
            <w:r>
              <w:t xml:space="preserve">La Comisión estará facultada para adoptar actos delegados con arreglo al artículo 47 relativos a las normas detalladas </w:t>
            </w:r>
            <w:r>
              <w:rPr>
                <w:b/>
                <w:i/>
              </w:rPr>
              <w:t>no discriminatorias</w:t>
            </w:r>
            <w:r>
              <w:t xml:space="preserve"> sobre los requisitos </w:t>
            </w:r>
            <w:r>
              <w:rPr>
                <w:b/>
                <w:i/>
              </w:rPr>
              <w:t>relativos a la circulación vial</w:t>
            </w:r>
            <w:r>
              <w:t xml:space="preserve"> establecidos en el apartado 1 respecto a los siguientes elementos: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Tom Vandenkendelaere</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parte introductoria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La Comisión estará facultada para adoptar actos delegados con arreglo al artículo 47 relativos a las normas detalladas sobre los requisitos establecidos en el apartado 1 respecto a los siguientes elementos:</w:t>
            </w:r>
          </w:p>
        </w:tc>
        <w:tc>
          <w:tcPr>
            <w:tcW w:w="4876" w:type="dxa"/>
          </w:tcPr>
          <w:p>
            <w:pPr>
              <w:pStyle w:val="Normal6a"/>
            </w:pPr>
            <w:r>
              <w:t xml:space="preserve">La Comisión estará facultada para adoptar actos delegados con arreglo al artículo 47 relativos a las normas detalladas sobre los requisitos </w:t>
            </w:r>
            <w:r>
              <w:rPr>
                <w:b/>
                <w:i/>
              </w:rPr>
              <w:t>únicamente en cuanto a los riesgos relacionados con la circulación vial</w:t>
            </w:r>
            <w:r>
              <w:t xml:space="preserve"> establecidos en el apartado 1 respecto a los siguientes elementos: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parte introductoria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La Comisión estará facultada para adoptar actos delegados con arreglo al artículo 47 relativos a las normas detalladas sobre los requisitos establecidos en el apartado 1 respecto a los siguientes elementos:</w:t>
            </w:r>
          </w:p>
        </w:tc>
        <w:tc>
          <w:tcPr>
            <w:tcW w:w="4876" w:type="dxa"/>
          </w:tcPr>
          <w:p>
            <w:pPr>
              <w:pStyle w:val="Normal6a"/>
            </w:pPr>
            <w:r>
              <w:t xml:space="preserve">La Comisión estará facultada para adoptar actos delegados con arreglo al artículo 47 relativos a las normas detalladas sobre los requisitos </w:t>
            </w:r>
            <w:r>
              <w:rPr>
                <w:b/>
                <w:i/>
              </w:rPr>
              <w:t>únicamente en cuanto a los riesgos relacionados con la circulación vial</w:t>
            </w:r>
            <w:r>
              <w:t xml:space="preserve"> establecidos en el apartado 1 respecto a los siguientes elementos: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la integridad de la estructura del vehículo;</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la integridad de la estructura </w:t>
            </w:r>
            <w:r>
              <w:rPr>
                <w:b/>
                <w:i/>
              </w:rPr>
              <w:t>del vehículo</w:t>
            </w:r>
            <w:r>
              <w:t>;</w:t>
            </w:r>
          </w:p>
        </w:tc>
        <w:tc>
          <w:tcPr>
            <w:tcW w:w="4876" w:type="dxa"/>
          </w:tcPr>
          <w:p>
            <w:pPr>
              <w:pStyle w:val="Normal6a"/>
            </w:pPr>
            <w:r>
              <w:t>a)</w:t>
            </w:r>
            <w:r>
              <w:tab/>
            </w:r>
            <w:r>
              <w:t xml:space="preserve">la integridad de la estructura </w:t>
            </w:r>
            <w:r>
              <w:rPr>
                <w:b/>
                <w:i/>
              </w:rPr>
              <w:t>de la máquina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j)</w:t>
            </w:r>
            <w:r>
              <w:tab/>
            </w:r>
            <w:r>
              <w:rPr>
                <w:b/>
                <w:i/>
              </w:rPr>
              <w:t>la posición del exterior del vehículo y los accesorios en el uso en carretera, incluidos los equipos de trabajo y la estructura basculante;</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Ya cubierto por el Reglamento relativo a las máquinas, que abarca todo el ciclo de vida y todas las operaciones.</w:t>
      </w:r>
    </w:p>
    <w:p>
      <w:r>
        <w:rPr>
          <w:rStyle w:val="HideTWBExt"/>
        </w:rPr>
        <w:t>&lt;/Amend&gt;</w:t>
      </w:r>
    </w:p>
    <w:p>
      <w:pPr>
        <w:pStyle w:val="AmNumberTabs"/>
      </w:pPr>
      <w:r>
        <w:rPr>
          <w:rStyle w:val="HideTWBExt"/>
        </w:rPr>
        <w:t>&lt;Amend&gt;</w:t>
      </w:r>
      <w:r>
        <w:t>Enmienda</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j)</w:t>
            </w:r>
            <w:r>
              <w:tab/>
            </w:r>
            <w:r>
              <w:t xml:space="preserve">la posición del exterior </w:t>
            </w:r>
            <w:r>
              <w:rPr>
                <w:b/>
                <w:i/>
              </w:rPr>
              <w:t>del vehículo</w:t>
            </w:r>
            <w:r>
              <w:t xml:space="preserve"> y los accesorios en el uso en carretera, incluidos los equipos de trabajo y la estructura basculante;</w:t>
            </w:r>
          </w:p>
        </w:tc>
        <w:tc>
          <w:tcPr>
            <w:tcW w:w="4876" w:type="dxa"/>
          </w:tcPr>
          <w:p>
            <w:pPr>
              <w:pStyle w:val="Normal6a"/>
            </w:pPr>
            <w:r>
              <w:t>j)</w:t>
            </w:r>
            <w:r>
              <w:tab/>
            </w:r>
            <w:r>
              <w:t xml:space="preserve">la posición del exterior </w:t>
            </w:r>
            <w:r>
              <w:rPr>
                <w:b/>
                <w:i/>
              </w:rPr>
              <w:t>de la máquina</w:t>
            </w:r>
            <w:r>
              <w:t xml:space="preserve"> y los accesorios en el uso en carretera, incluidos los equipos de trabajo y la estructura basculante;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l</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l)</w:t>
            </w:r>
            <w:r>
              <w:tab/>
            </w:r>
            <w:r>
              <w:rPr>
                <w:b/>
                <w:i/>
              </w:rPr>
              <w:t>sistemas de calefacción, deshielo y desempañado;</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p</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p)</w:t>
            </w:r>
            <w:r>
              <w:tab/>
            </w:r>
            <w:r>
              <w:t>masas, incluida la masa máxima en carga en carretera;</w:t>
            </w:r>
          </w:p>
        </w:tc>
        <w:tc>
          <w:tcPr>
            <w:tcW w:w="4876" w:type="dxa"/>
          </w:tcPr>
          <w:p>
            <w:pPr>
              <w:pStyle w:val="Normal6a"/>
            </w:pPr>
            <w:r>
              <w:t>p)</w:t>
            </w:r>
            <w:r>
              <w:tab/>
            </w:r>
            <w:r>
              <w:t xml:space="preserve">masas, incluida la masa máxima en carga </w:t>
            </w:r>
            <w:r>
              <w:rPr>
                <w:b/>
                <w:i/>
              </w:rPr>
              <w:t>admisible</w:t>
            </w:r>
            <w:r>
              <w:t xml:space="preserve"> en carretera;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q</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q)</w:t>
            </w:r>
            <w:r>
              <w:tab/>
            </w:r>
            <w:r>
              <w:rPr>
                <w:b/>
                <w:i/>
              </w:rPr>
              <w:t>depósitos de combustible;</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Ivars Ijabs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q</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q)</w:t>
            </w:r>
            <w:r>
              <w:tab/>
            </w:r>
            <w:r>
              <w:rPr>
                <w:b/>
                <w:i/>
              </w:rPr>
              <w:t>depósitos de combustible;</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w</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w:t>
            </w:r>
            <w:r>
              <w:tab/>
            </w:r>
            <w:r>
              <w:rPr>
                <w:b/>
                <w:i/>
              </w:rPr>
              <w:t>manual de uso en carretera del operario;</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Ya cubierto por el Reglamento relativo a las máquinas.</w:t>
      </w:r>
    </w:p>
    <w:p>
      <w:r>
        <w:rPr>
          <w:rStyle w:val="HideTWBExt"/>
        </w:rPr>
        <w:t>&lt;/Amend&gt;</w:t>
      </w:r>
    </w:p>
    <w:p>
      <w:pPr>
        <w:pStyle w:val="AmNumberTabs"/>
      </w:pPr>
      <w:r>
        <w:rPr>
          <w:rStyle w:val="HideTWBExt"/>
        </w:rPr>
        <w:t>&lt;Amend&gt;</w:t>
      </w:r>
      <w:r>
        <w:t>Enmienda</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y)</w:t>
            </w:r>
            <w:r>
              <w:tab/>
            </w:r>
            <w:r>
              <w:rPr>
                <w:b/>
                <w:i/>
              </w:rPr>
              <w:t>información, señales de advertencia y distintivos para el uso en carretera.</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Ivars Ijabs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y</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y)</w:t>
            </w:r>
            <w:r>
              <w:tab/>
            </w:r>
            <w:r>
              <w:rPr>
                <w:b/>
                <w:i/>
              </w:rPr>
              <w:t>información, señales de advertencia y distintivos para el uso en carretera.</w:t>
            </w:r>
          </w:p>
        </w:tc>
        <w:tc>
          <w:tcPr>
            <w:tcW w:w="4876" w:type="dxa"/>
          </w:tcPr>
          <w:p>
            <w:pPr>
              <w:pStyle w:val="Normal6a"/>
            </w:pPr>
            <w:r>
              <w:rPr>
                <w:b/>
                <w:i/>
              </w:rPr>
              <w:t>suprimida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 trata de una cuestión de competencia nacional.</w:t>
      </w:r>
    </w:p>
    <w:p>
      <w:r>
        <w:rPr>
          <w:rStyle w:val="HideTWBExt"/>
        </w:rPr>
        <w:t>&lt;/Amend&gt;</w:t>
      </w:r>
    </w:p>
    <w:p>
      <w:pPr>
        <w:pStyle w:val="AmNumberTabs"/>
      </w:pPr>
      <w:r>
        <w:rPr>
          <w:rStyle w:val="HideTWBExt"/>
        </w:rPr>
        <w:t>&lt;Amend&gt;</w:t>
      </w:r>
      <w:r>
        <w:t>Enmienda</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y bis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y bis)</w:t>
            </w:r>
            <w:r>
              <w:tab/>
            </w:r>
            <w:r>
              <w:rPr>
                <w:b/>
                <w:i/>
              </w:rPr>
              <w:t>la seguridad eléctrica;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y ter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y ter)</w:t>
            </w:r>
            <w:r>
              <w:tab/>
            </w:r>
            <w:r>
              <w:rPr>
                <w:b/>
                <w:i/>
              </w:rPr>
              <w:t>la seguridad funcional;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y quater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y quater)</w:t>
            </w:r>
            <w:r>
              <w:tab/>
            </w:r>
            <w:r>
              <w:rPr>
                <w:b/>
                <w:i/>
              </w:rPr>
              <w:t>elementos antimanipulación;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y quinquies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y quinquies)</w:t>
            </w:r>
            <w:r>
              <w:tab/>
            </w:r>
            <w:r>
              <w:rPr>
                <w:b/>
                <w:i/>
              </w:rPr>
              <w:t>la protección contra el uso no autorizado;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y sexies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y sexies)</w:t>
            </w:r>
            <w:r>
              <w:tab/>
            </w:r>
            <w:r>
              <w:rPr>
                <w:b/>
                <w:i/>
              </w:rPr>
              <w:t>el nivel sonoro (externo);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y septies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y septies)</w:t>
            </w:r>
            <w:r>
              <w:tab/>
            </w:r>
            <w:r>
              <w:rPr>
                <w:b/>
                <w:i/>
              </w:rPr>
              <w:t>la compatibilidad electromagnética;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1 – letra y octies (nueva)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y octies)</w:t>
            </w:r>
            <w:r>
              <w:tab/>
            </w:r>
            <w:r>
              <w:rPr>
                <w:b/>
                <w:i/>
              </w:rPr>
              <w:t>el índice de combustión del material de la cabina.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15 – apartado 2 – párrafo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Los actos delegados a los que se refiere el párrafo primero </w:t>
            </w:r>
            <w:r>
              <w:rPr>
                <w:b/>
                <w:i/>
              </w:rPr>
              <w:t>especificarán</w:t>
            </w:r>
            <w:r>
              <w:t xml:space="preserve"> las clases o categorías a las que se apliquen las normas detalladas y podrán establecer normas detalladas diferentes en función de las distintas clases o categorías de máquinas móviles no de carretera.</w:t>
            </w:r>
          </w:p>
        </w:tc>
        <w:tc>
          <w:tcPr>
            <w:tcW w:w="4876" w:type="dxa"/>
          </w:tcPr>
          <w:p>
            <w:pPr>
              <w:pStyle w:val="Normal6a"/>
            </w:pPr>
            <w:r>
              <w:t xml:space="preserve">Los actos delegados a los que se refiere el párrafo primero </w:t>
            </w:r>
            <w:r>
              <w:rPr>
                <w:b/>
                <w:i/>
              </w:rPr>
              <w:t>podrán especificar</w:t>
            </w:r>
            <w:r>
              <w:t xml:space="preserve"> las clases o categorías a las que se apliquen las normas detalladas y podrán establecer normas detalladas diferentes en función de las distintas clases o categorías de máquinas móviles no de carretera.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16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Las máquinas móviles no de carretera no se </w:t>
            </w:r>
            <w:r>
              <w:rPr>
                <w:b/>
                <w:i/>
              </w:rPr>
              <w:t>comercializarán,</w:t>
            </w:r>
            <w:r>
              <w:t xml:space="preserve"> matricularán ni pondrán en servicio a menos que sean conformes con el presente Reglamento.</w:t>
            </w:r>
          </w:p>
        </w:tc>
        <w:tc>
          <w:tcPr>
            <w:tcW w:w="4876" w:type="dxa"/>
          </w:tcPr>
          <w:p>
            <w:pPr>
              <w:pStyle w:val="Normal6a"/>
            </w:pPr>
            <w:r>
              <w:t>1.</w:t>
            </w:r>
            <w:r>
              <w:tab/>
            </w:r>
            <w:r>
              <w:t xml:space="preserve">Las máquinas móviles no de carretera </w:t>
            </w:r>
            <w:r>
              <w:rPr>
                <w:b/>
                <w:i/>
              </w:rPr>
              <w:t>destinadas a la circulación vial</w:t>
            </w:r>
            <w:r>
              <w:t xml:space="preserve"> no se matricularán ni pondrán en servicio </w:t>
            </w:r>
            <w:r>
              <w:rPr>
                <w:b/>
                <w:i/>
              </w:rPr>
              <w:t>si la matriculación no es obligatoria,</w:t>
            </w:r>
            <w:r>
              <w:t xml:space="preserve"> a menos que sean conformes con el presente Reglamento </w:t>
            </w:r>
            <w:r>
              <w:rPr>
                <w:b/>
                <w:i/>
              </w:rPr>
              <w:t>en el momento de su introducción en el mercado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16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Las máquinas móviles no de carretera no se comercializarán, matricularán ni pondrán en servicio a menos que sean conformes con el presente Reglamento.</w:t>
            </w:r>
          </w:p>
        </w:tc>
        <w:tc>
          <w:tcPr>
            <w:tcW w:w="4876" w:type="dxa"/>
          </w:tcPr>
          <w:p>
            <w:pPr>
              <w:pStyle w:val="Normal6a"/>
            </w:pPr>
            <w:r>
              <w:t>1.</w:t>
            </w:r>
            <w:r>
              <w:tab/>
            </w:r>
            <w:r>
              <w:rPr>
                <w:b/>
                <w:i/>
              </w:rPr>
              <w:t>Cuando estén destinadas a circular por la vía pública,</w:t>
            </w:r>
            <w:r>
              <w:t xml:space="preserve"> las máquinas móviles no de carretera no se comercializarán, matricularán ni pondrán en servicio a menos que sean conformes con 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apartado 2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Si una autoridad de homologación considera que un tipo de máquina móvil no de carretera, pese a su conformidad con los requisitos técnicos pertinentes, comporta un riesgo </w:t>
            </w:r>
            <w:r>
              <w:rPr>
                <w:b/>
                <w:i/>
              </w:rPr>
              <w:t>grave</w:t>
            </w:r>
            <w:r>
              <w:t>, podrá denegar la concesión de la homologación de tipo UE. En ese caso, enviará inmediatamente a las autoridades de homologación de los demás Estados miembros y a la Comisión un expediente detallado en el que explique los motivos de su decisión e incluya pruebas de sus constataciones.</w:t>
            </w:r>
          </w:p>
        </w:tc>
        <w:tc>
          <w:tcPr>
            <w:tcW w:w="4876" w:type="dxa"/>
          </w:tcPr>
          <w:p>
            <w:pPr>
              <w:pStyle w:val="Normal6a"/>
            </w:pPr>
            <w:r>
              <w:t>Si una autoridad de homologación considera que un tipo de máquina móvil no de carretera, pese a su conformidad con los requisitos técnicos pertinentes, comporta un riesgo, podrá denegar la concesión de la homologación de tipo UE. En ese caso, enviará inmediatamente a las autoridades de homologación de los demás Estados miembros y a la Comisión un expediente detallado en el que explique los motivos de su decisión e incluya pruebas de sus constataciones.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19 – apartado 4 – letra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un índice en el que se enumere su contenido y cuyas páginas estén convenientemente numeradas </w:t>
            </w:r>
            <w:r>
              <w:rPr>
                <w:b/>
                <w:i/>
              </w:rPr>
              <w:t>o marcadas para identificar claramente todas las páginas y el formato de cada documento, de forma que se</w:t>
            </w:r>
            <w:r>
              <w:t xml:space="preserve"> presente un registro de las sucesivas etapas de la gestión de la homologación de tipo UE, en particular de las fechas de las revisiones y actualizaciones. La autoridad de homologación mantendrá disponible la información incluida en el expediente de homologación durante un período de diez años una vez finalizada la validez de la homologación correspondiente.</w:t>
            </w:r>
          </w:p>
        </w:tc>
        <w:tc>
          <w:tcPr>
            <w:tcW w:w="4876" w:type="dxa"/>
          </w:tcPr>
          <w:p>
            <w:pPr>
              <w:pStyle w:val="Normal6a"/>
            </w:pPr>
            <w:r>
              <w:t>b)</w:t>
            </w:r>
            <w:r>
              <w:tab/>
            </w:r>
            <w:r>
              <w:t>un índice en el que se enumere su contenido y cuyas páginas estén convenientemente numeradas</w:t>
            </w:r>
            <w:r>
              <w:rPr>
                <w:b/>
                <w:i/>
              </w:rPr>
              <w:t>, que</w:t>
            </w:r>
            <w:r>
              <w:t xml:space="preserve"> presente un registro de las sucesivas etapas de la gestión de la homologación de tipo UE, en particular de las fechas de las revisiones y actualizaciones. La autoridad de homologación mantendrá disponible la información incluida en el expediente de homologación durante un período de diez años una vez finalizada la validez de la homologación correspondiente.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Menos burocracia.</w:t>
      </w:r>
      <w:r>
        <w:t xml:space="preserve"> </w:t>
      </w:r>
      <w:r>
        <w:t>No es necesario regular en este sentido.</w:t>
      </w:r>
    </w:p>
    <w:p>
      <w:r>
        <w:rPr>
          <w:rStyle w:val="HideTWBExt"/>
        </w:rPr>
        <w:t>&lt;/Amend&gt;</w:t>
      </w:r>
    </w:p>
    <w:p>
      <w:pPr>
        <w:pStyle w:val="AmNumberTabs"/>
      </w:pPr>
      <w:r>
        <w:rPr>
          <w:rStyle w:val="HideTWBExt"/>
        </w:rPr>
        <w:t>&lt;Amend&gt;</w:t>
      </w:r>
      <w:r>
        <w:t>Enmienda</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21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 efectos de la concesión de la homologación de tipo UE, </w:t>
            </w:r>
            <w:r>
              <w:rPr>
                <w:b/>
                <w:i/>
              </w:rPr>
              <w:t>deberá demostrarse</w:t>
            </w:r>
            <w:r>
              <w:t xml:space="preserve"> el cumplimiento de los requisitos del presente Reglamento </w:t>
            </w:r>
            <w:r>
              <w:rPr>
                <w:b/>
                <w:i/>
              </w:rPr>
              <w:t>y, en particular,</w:t>
            </w:r>
            <w:r>
              <w:t xml:space="preserve"> de los </w:t>
            </w:r>
            <w:r>
              <w:rPr>
                <w:b/>
                <w:i/>
              </w:rPr>
              <w:t>requisitos técnicos aplicables</w:t>
            </w:r>
            <w:r>
              <w:t>.</w:t>
            </w:r>
          </w:p>
        </w:tc>
        <w:tc>
          <w:tcPr>
            <w:tcW w:w="4876" w:type="dxa"/>
          </w:tcPr>
          <w:p>
            <w:pPr>
              <w:pStyle w:val="Normal6a"/>
            </w:pPr>
            <w:r>
              <w:t>1.</w:t>
            </w:r>
            <w:r>
              <w:tab/>
            </w:r>
            <w:r>
              <w:t xml:space="preserve">A efectos de la concesión de la homologación de tipo UE, </w:t>
            </w:r>
            <w:r>
              <w:rPr>
                <w:b/>
                <w:i/>
              </w:rPr>
              <w:t>la autoridad de homologación comprobará</w:t>
            </w:r>
            <w:r>
              <w:t xml:space="preserve"> el cumplimiento de los requisitos </w:t>
            </w:r>
            <w:r>
              <w:rPr>
                <w:b/>
                <w:i/>
              </w:rPr>
              <w:t>técnicos</w:t>
            </w:r>
            <w:r>
              <w:t xml:space="preserve"> del presente Reglamento </w:t>
            </w:r>
            <w:r>
              <w:rPr>
                <w:b/>
                <w:i/>
              </w:rPr>
              <w:t>por medio</w:t>
            </w:r>
            <w:r>
              <w:t xml:space="preserve"> de los </w:t>
            </w:r>
            <w:r>
              <w:rPr>
                <w:b/>
                <w:i/>
              </w:rPr>
              <w:t>ensayos apropiados realizados por sus servicios técnicos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26 – apartado 2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Sin embargo, en el caso del párrafo primero, letra</w:t>
            </w:r>
            <w:r>
              <w:rPr>
                <w:b/>
                <w:i/>
              </w:rPr>
              <w:t xml:space="preserve"> b)</w:t>
            </w:r>
            <w:r>
              <w:t xml:space="preserve">, la homologación de tipo UE y el correspondiente certificado de homologación de tipo UE dejarán de ser válidos </w:t>
            </w:r>
            <w:r>
              <w:rPr>
                <w:b/>
                <w:i/>
              </w:rPr>
              <w:t>dieciocho</w:t>
            </w:r>
            <w:r>
              <w:t xml:space="preserve"> meses después de la fecha de aplicabilidad de los nuevos requisitos a que se refiere el párrafo primero, letra</w:t>
            </w:r>
            <w:r>
              <w:rPr>
                <w:b/>
                <w:i/>
              </w:rPr>
              <w:t xml:space="preserve"> b)</w:t>
            </w:r>
            <w:r>
              <w:t>.</w:t>
            </w:r>
          </w:p>
        </w:tc>
        <w:tc>
          <w:tcPr>
            <w:tcW w:w="4876" w:type="dxa"/>
          </w:tcPr>
          <w:p>
            <w:pPr>
              <w:pStyle w:val="Normal6a"/>
            </w:pPr>
            <w:r>
              <w:t>Sin embargo, en el caso del párrafo primero, letra</w:t>
            </w:r>
            <w:r>
              <w:rPr>
                <w:b/>
                <w:i/>
              </w:rPr>
              <w:t> b)</w:t>
            </w:r>
            <w:r>
              <w:t xml:space="preserve">, la homologación de tipo UE y el correspondiente certificado de homologación de tipo UE dejarán de ser válidos </w:t>
            </w:r>
            <w:r>
              <w:rPr>
                <w:b/>
                <w:i/>
              </w:rPr>
              <w:t>para la introducción en el mercado veinticuatro</w:t>
            </w:r>
            <w:r>
              <w:t xml:space="preserve"> meses después de la fecha de aplicabilidad de los nuevos requisitos a que se refiere el párrafo primero, letra</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Dieciocho meses es un plazo demasiado corto y sigue siendo un problema para la venta de máquinas de uso estacional, como las cosechadoras de productos agrícolas.</w:t>
      </w:r>
      <w:r>
        <w:t xml:space="preserve"> </w:t>
      </w:r>
      <w:r>
        <w:t>El plazo de entrega debe ampliarse al menos a veinticuatro meses, en la misma línea que el plazo de veinticuatro meses estipulado en la disposición similar sobre el fin de serie de los tractores agrícolas en virtud del Reglamento (UE) n.º 167/2013.</w:t>
      </w:r>
    </w:p>
    <w:p>
      <w:r>
        <w:rPr>
          <w:rStyle w:val="HideTWBExt"/>
        </w:rPr>
        <w:t>&lt;/Amend&gt;</w:t>
      </w:r>
    </w:p>
    <w:p>
      <w:pPr>
        <w:pStyle w:val="AmNumberTabs"/>
      </w:pPr>
      <w:r>
        <w:rPr>
          <w:rStyle w:val="HideTWBExt"/>
        </w:rPr>
        <w:t>&lt;Amend&gt;</w:t>
      </w:r>
      <w:r>
        <w:t>Enmienda</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Ivars Ijabs</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26 – apartado 2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Sin embargo, en el caso del párrafo primero, letra</w:t>
            </w:r>
            <w:r>
              <w:rPr>
                <w:b/>
                <w:i/>
              </w:rPr>
              <w:t xml:space="preserve"> b)</w:t>
            </w:r>
            <w:r>
              <w:t xml:space="preserve">, la homologación de tipo UE y el correspondiente certificado de homologación de tipo UE dejarán de ser válidos </w:t>
            </w:r>
            <w:r>
              <w:rPr>
                <w:b/>
                <w:i/>
              </w:rPr>
              <w:t>dieciocho</w:t>
            </w:r>
            <w:r>
              <w:t xml:space="preserve"> meses después de la fecha de aplicabilidad de los nuevos requisitos a que se refiere el párrafo primero, letra</w:t>
            </w:r>
            <w:r>
              <w:rPr>
                <w:b/>
                <w:i/>
              </w:rPr>
              <w:t xml:space="preserve"> b)</w:t>
            </w:r>
            <w:r>
              <w:t>.</w:t>
            </w:r>
          </w:p>
        </w:tc>
        <w:tc>
          <w:tcPr>
            <w:tcW w:w="4876" w:type="dxa"/>
          </w:tcPr>
          <w:p>
            <w:pPr>
              <w:pStyle w:val="Normal6a"/>
            </w:pPr>
            <w:r>
              <w:t>Sin embargo, en el caso del párrafo primero, letra</w:t>
            </w:r>
            <w:r>
              <w:rPr>
                <w:b/>
                <w:i/>
              </w:rPr>
              <w:t> b)</w:t>
            </w:r>
            <w:r>
              <w:t xml:space="preserve">, la homologación de tipo UE y el correspondiente certificado de homologación de tipo UE dejarán de ser válidos </w:t>
            </w:r>
            <w:r>
              <w:rPr>
                <w:b/>
                <w:i/>
              </w:rPr>
              <w:t>treinta y seis</w:t>
            </w:r>
            <w:r>
              <w:t xml:space="preserve"> meses después de la fecha de aplicabilidad de los nuevos requisitos a que se refiere el párrafo primero, letra</w:t>
            </w:r>
            <w:r>
              <w:rPr>
                <w:b/>
                <w:i/>
              </w:rPr>
              <w:t> 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26 – apartado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En la comunicación a que se refiere el apartado 6 se especificará, en concreto, la fecha de fabricación y </w:t>
            </w:r>
            <w:r>
              <w:rPr>
                <w:b/>
                <w:i/>
              </w:rPr>
              <w:t>el</w:t>
            </w:r>
            <w:r>
              <w:t xml:space="preserve"> número de identificación </w:t>
            </w:r>
            <w:r>
              <w:rPr>
                <w:b/>
                <w:i/>
              </w:rPr>
              <w:t>del vehículo</w:t>
            </w:r>
            <w:r>
              <w:t xml:space="preserve"> de la última máquina móvil no de carretera fabricada.</w:t>
            </w:r>
          </w:p>
        </w:tc>
        <w:tc>
          <w:tcPr>
            <w:tcW w:w="4876" w:type="dxa"/>
          </w:tcPr>
          <w:p>
            <w:pPr>
              <w:pStyle w:val="Normal6a"/>
            </w:pPr>
            <w:r>
              <w:t>7.</w:t>
            </w:r>
            <w:r>
              <w:tab/>
            </w:r>
            <w:r>
              <w:t xml:space="preserve">En la comunicación a que se refiere el apartado 6 se especificará, en concreto, la fecha de fabricación y </w:t>
            </w:r>
            <w:r>
              <w:rPr>
                <w:b/>
                <w:i/>
              </w:rPr>
              <w:t>un</w:t>
            </w:r>
            <w:r>
              <w:t xml:space="preserve"> número de identificación </w:t>
            </w:r>
            <w:r>
              <w:rPr>
                <w:b/>
                <w:i/>
              </w:rPr>
              <w:t>único</w:t>
            </w:r>
            <w:r>
              <w:t xml:space="preserve"> de la última máquina móvil no de carretera fabricada.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28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El fabricante </w:t>
            </w:r>
            <w:r>
              <w:rPr>
                <w:b/>
                <w:i/>
              </w:rPr>
              <w:t>de una máquina móvil no de carretera</w:t>
            </w:r>
            <w:r>
              <w:t xml:space="preserve"> colocará en cada máquina móvil no de carretera fabricada de conformidad con el tipo homologado una placa reglamentaria con el marcado.</w:t>
            </w:r>
          </w:p>
        </w:tc>
        <w:tc>
          <w:tcPr>
            <w:tcW w:w="4876" w:type="dxa"/>
          </w:tcPr>
          <w:p>
            <w:pPr>
              <w:pStyle w:val="Normal6a"/>
            </w:pPr>
            <w:r>
              <w:t>1.</w:t>
            </w:r>
            <w:r>
              <w:tab/>
            </w:r>
            <w:r>
              <w:t>El fabricante colocará en cada máquina móvil no de carretera fabricada de conformidad con el tipo homologado una placa reglamentaria con el marcado.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No es necesaria ninguna precisión, tal como se describe en el punto 12 de las definiciones del artículo 3.</w:t>
      </w:r>
      <w:r>
        <w:t xml:space="preserve"> </w:t>
      </w:r>
      <w:r>
        <w:t>Hace que la versión alemana sea difícil de leer.</w:t>
      </w:r>
    </w:p>
    <w:p>
      <w:r>
        <w:rPr>
          <w:rStyle w:val="HideTWBExt"/>
        </w:rPr>
        <w:t>&lt;/Amend&gt;</w:t>
      </w:r>
    </w:p>
    <w:p>
      <w:pPr>
        <w:pStyle w:val="AmNumberTabs"/>
      </w:pPr>
      <w:r>
        <w:rPr>
          <w:rStyle w:val="HideTWBExt"/>
        </w:rPr>
        <w:t>&lt;Amend&gt;</w:t>
      </w:r>
      <w:r>
        <w:t>Enmienda</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31 – título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Evaluación nacional relativa a máquinas móviles no de carretera de las que se sospecha que comportan un riesgo </w:t>
            </w:r>
            <w:r>
              <w:rPr>
                <w:b/>
                <w:i/>
              </w:rPr>
              <w:t>grave</w:t>
            </w:r>
            <w:r>
              <w:t xml:space="preserve"> o que no son conformes</w:t>
            </w:r>
          </w:p>
        </w:tc>
        <w:tc>
          <w:tcPr>
            <w:tcW w:w="4876" w:type="dxa"/>
          </w:tcPr>
          <w:p>
            <w:pPr>
              <w:pStyle w:val="Normal6a"/>
            </w:pPr>
            <w:r>
              <w:t>Evaluación nacional relativa a máquinas móviles no de carretera de las que se sospecha que comportan un riesgo o que no son conformes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31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Cuando la autoridad de vigilancia del mercado de un Estado miembro, basándose en sus propias actividades de vigilancia del mercado, en la información facilitada por una autoridad de homologación o por un fabricante o en reclamaciones, tenga motivos </w:t>
            </w:r>
            <w:r>
              <w:rPr>
                <w:b/>
                <w:i/>
              </w:rPr>
              <w:t>suficientes</w:t>
            </w:r>
            <w:r>
              <w:t xml:space="preserve"> para pensar que una máquina móvil no de carretera comporta un riesgo </w:t>
            </w:r>
            <w:r>
              <w:rPr>
                <w:b/>
                <w:i/>
              </w:rPr>
              <w:t>grave</w:t>
            </w:r>
            <w:r>
              <w:t xml:space="preserve"> o no es conforme con el presente Reglamento, llevará a cabo una evaluación de la máquina móvil no de carretera de que se trate que abarque las disposiciones pertinentes del presente Reglamento.</w:t>
            </w:r>
          </w:p>
        </w:tc>
        <w:tc>
          <w:tcPr>
            <w:tcW w:w="4876" w:type="dxa"/>
          </w:tcPr>
          <w:p>
            <w:pPr>
              <w:pStyle w:val="Normal6a"/>
            </w:pPr>
            <w:r>
              <w:t>1.</w:t>
            </w:r>
            <w:r>
              <w:tab/>
            </w:r>
            <w:r>
              <w:t>Cuando la autoridad de vigilancia del mercado de un Estado miembro, basándose en sus propias actividades de vigilancia del mercado, en la información facilitada por una autoridad de homologación o por un fabricante o en reclamaciones, tenga motivos para pensar que una máquina móvil no de carretera comporta un riesgo o no es conforme con el presente Reglamento, llevará a cabo una evaluación de la máquina móvil no de carretera de que se trate que abarque las disposiciones pertinentes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título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Procedimientos nacionales en el caso de máquinas móviles no de carretera que comportan un riesgo </w:t>
            </w:r>
            <w:r>
              <w:rPr>
                <w:b/>
                <w:i/>
              </w:rPr>
              <w:t>grave</w:t>
            </w:r>
            <w:r>
              <w:t xml:space="preserve"> o no son conformes</w:t>
            </w:r>
          </w:p>
        </w:tc>
        <w:tc>
          <w:tcPr>
            <w:tcW w:w="4876" w:type="dxa"/>
          </w:tcPr>
          <w:p>
            <w:pPr>
              <w:pStyle w:val="Normal6a"/>
            </w:pPr>
            <w:r>
              <w:t>Procedimientos nacionales en el caso de máquinas móviles no de carretera que comportan un riesgo o no son conformes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Cuando, tras haber efectuado la evaluación con arreglo al artículo 31, la autoridad de vigilancia del mercado considere que una máquina móvil no de carretera comporta un riesgo grave, requerirá sin demora al agente económico en cuestión que adopte todas las medidas correctoras adecuadas sin demora para asegurarse de que la máquina móvil no de carretera ya no comporte ese riesgo.</w:t>
            </w:r>
          </w:p>
        </w:tc>
        <w:tc>
          <w:tcPr>
            <w:tcW w:w="4876" w:type="dxa"/>
          </w:tcPr>
          <w:p>
            <w:pPr>
              <w:pStyle w:val="Normal6a"/>
            </w:pPr>
            <w:r>
              <w:t>1.</w:t>
            </w:r>
            <w:r>
              <w:tab/>
            </w:r>
            <w:r>
              <w:t xml:space="preserve">Cuando, tras haber efectuado la evaluación con arreglo al artículo 31, la autoridad de vigilancia del mercado considere que una máquina móvil no de carretera comporta un riesgo grave </w:t>
            </w:r>
            <w:r>
              <w:rPr>
                <w:b/>
                <w:i/>
              </w:rPr>
              <w:t>o no es conforme con el presente Reglamento</w:t>
            </w:r>
            <w:r>
              <w:t xml:space="preserve">, requerirá sin demora al agente económico en cuestión que adopte todas las medidas correctoras adecuadas sin demora para asegurarse de que la máquina móvil no de carretera ya no comporte ese riesgo. </w:t>
            </w:r>
            <w:r>
              <w:rPr>
                <w:b/>
                <w:i/>
              </w:rPr>
              <w:t>Dicho plazo será proporcional a la gravedad del incumplimiento.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No es necesario distinguir entre el alto riesgo y la no conformidad.</w:t>
      </w:r>
      <w:r>
        <w:t xml:space="preserve"> </w:t>
      </w:r>
      <w:r>
        <w:t>Puede describirse en un solo apartado.</w:t>
      </w:r>
      <w:r>
        <w:t xml:space="preserve"> </w:t>
      </w:r>
      <w:r>
        <w:t>Esto simplifica el Reglamento.</w:t>
      </w:r>
    </w:p>
    <w:p>
      <w:r>
        <w:rPr>
          <w:rStyle w:val="HideTWBExt"/>
        </w:rPr>
        <w:t>&lt;/Amend&gt;</w:t>
      </w:r>
    </w:p>
    <w:p>
      <w:pPr>
        <w:pStyle w:val="AmNumberTabs"/>
      </w:pPr>
      <w:r>
        <w:rPr>
          <w:rStyle w:val="HideTWBExt"/>
        </w:rPr>
        <w:t>&lt;Amend&gt;</w:t>
      </w:r>
      <w:r>
        <w:t>Enmienda</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Cuando, tras haber efectuado la evaluación con arreglo al artículo 31, la autoridad de vigilancia del mercado considere que una máquina móvil no de carretera comporta un riesgo </w:t>
            </w:r>
            <w:r>
              <w:rPr>
                <w:b/>
                <w:i/>
              </w:rPr>
              <w:t>grave</w:t>
            </w:r>
            <w:r>
              <w:t>, requerirá sin demora al agente económico en cuestión que adopte todas las medidas correctoras adecuadas sin demora para asegurarse de que la máquina móvil no de carretera ya no comporte ese riesgo.</w:t>
            </w:r>
          </w:p>
        </w:tc>
        <w:tc>
          <w:tcPr>
            <w:tcW w:w="4876" w:type="dxa"/>
          </w:tcPr>
          <w:p>
            <w:pPr>
              <w:pStyle w:val="Normal6a"/>
            </w:pPr>
            <w:r>
              <w:t>1.</w:t>
            </w:r>
            <w:r>
              <w:tab/>
            </w:r>
            <w:r>
              <w:t>Cuando, tras haber efectuado la evaluación con arreglo al artículo 31, la autoridad de vigilancia del mercado considere que una máquina móvil no de carretera comporta un riesgo, requerirá sin demora al agente económico en cuestión que adopte todas las medidas correctoras adecuadas sin demora para asegurarse de que la máquina móvil no de carretera ya no comporte ese riesgo.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Cuando, tras haber efectuado la evaluación con arreglo al artículo 31, la autoridad de vigilancia del mercado considere que una máquina móvil no de carretera no es conforme con el presente Reglamento, pero no comporta un riesgo grave tal y como se contempla en el apartado 1, dicha autoridad requerirá sin demora al agente económico en cuestión que adopte todas las medidas correctoras adecuadas en un plazo razonable para poner en conformidad esa máquina.</w:t>
            </w:r>
            <w:r>
              <w:t xml:space="preserve"> </w:t>
            </w:r>
            <w:r>
              <w:rPr>
                <w:b/>
                <w:i/>
              </w:rPr>
              <w:t>Dicho plazo será proporcional a la gravedad del incumplimiento.</w:t>
            </w:r>
          </w:p>
        </w:tc>
        <w:tc>
          <w:tcPr>
            <w:tcW w:w="4876" w:type="dxa"/>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apartado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Cuando, tras haber efectuado la evaluación con arreglo al artículo 31, la autoridad de vigilancia del mercado considere que una máquina móvil no de carretera no es conforme con el presente Reglamento, pero no comporta un riesgo </w:t>
            </w:r>
            <w:r>
              <w:rPr>
                <w:b/>
                <w:i/>
              </w:rPr>
              <w:t>grave</w:t>
            </w:r>
            <w:r>
              <w:t xml:space="preserve"> tal y como se contempla en el apartado 1, dicha autoridad requerirá sin demora al agente económico en cuestión que adopte todas las medidas correctoras adecuadas en un plazo razonable para poner en conformidad esa máquina. Dicho plazo será proporcional a la gravedad del incumplimiento.</w:t>
            </w:r>
          </w:p>
        </w:tc>
        <w:tc>
          <w:tcPr>
            <w:tcW w:w="4876" w:type="dxa"/>
          </w:tcPr>
          <w:p>
            <w:pPr>
              <w:pStyle w:val="Normal6a"/>
            </w:pPr>
            <w:r>
              <w:t>2.</w:t>
            </w:r>
            <w:r>
              <w:tab/>
            </w:r>
            <w:r>
              <w:t>Cuando, tras haber efectuado la evaluación con arreglo al artículo 31, la autoridad de vigilancia del mercado considere que una máquina móvil no de carretera no es conforme con el presente Reglamento, pero no comporta un riesgo tal y como se contempla en el apartado 1, dicha autoridad requerirá sin demora al agente económico en cuestión que adopte todas las medidas correctoras adecuadas en un plazo razonable para poner en conformidad esa máquina. Dicho plazo será proporcional a la gravedad del incumplimiento.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Si los agentes económicos no adoptan las medidas correctoras apropiadas en el plazo </w:t>
            </w:r>
            <w:r>
              <w:rPr>
                <w:b/>
                <w:i/>
              </w:rPr>
              <w:t>pertinente indicado en el apartado 1 o 2</w:t>
            </w:r>
            <w:r>
              <w:t xml:space="preserve"> o cuando el riesgo exija actuar con rapidez, las autoridades nacionales adoptarán todas la medidas </w:t>
            </w:r>
            <w:r>
              <w:rPr>
                <w:b/>
                <w:i/>
              </w:rPr>
              <w:t>restrictivas</w:t>
            </w:r>
            <w:r>
              <w:t xml:space="preserve"> provisionales apropiadas para prohibir o restringir en sus mercados nacionales la comercialización, la matriculación, incluida la prohibición de circular por la vía pública, o la puesta en servicio de las máquinas móviles no de carretera afectadas, o para retirarlas del mercado o recuperarlas.</w:t>
            </w:r>
          </w:p>
        </w:tc>
        <w:tc>
          <w:tcPr>
            <w:tcW w:w="4876" w:type="dxa"/>
          </w:tcPr>
          <w:p>
            <w:pPr>
              <w:pStyle w:val="Normal6a"/>
            </w:pPr>
            <w:r>
              <w:t>4.</w:t>
            </w:r>
            <w:r>
              <w:tab/>
            </w:r>
            <w:r>
              <w:t xml:space="preserve">Si los agentes económicos no adoptan las medidas correctoras apropiadas en el plazo </w:t>
            </w:r>
            <w:r>
              <w:rPr>
                <w:b/>
                <w:i/>
              </w:rPr>
              <w:t>requerido</w:t>
            </w:r>
            <w:r>
              <w:t xml:space="preserve"> o cuando el riesgo exija actuar con rapidez, las autoridades nacionales adoptarán todas la medidas provisionales apropiadas para prohibir o restringir en sus mercados nacionales la comercialización, la matriculación, incluida la prohibición de circular por la vía pública, o la puesta en servicio de las máquinas móviles no de carretera afectadas, o para retirarlas del mercado o recuperarlas.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distinción de las medidas no aporta ningún valor.</w:t>
      </w:r>
      <w:r>
        <w:t xml:space="preserve"> </w:t>
      </w:r>
      <w:r>
        <w:t>Mantener el texto lo más sencillo posible garantizará su aplicación.</w:t>
      </w:r>
      <w:r>
        <w:t xml:space="preserve"> </w:t>
      </w:r>
      <w:r>
        <w:t>Deben evitarse complicaciones innecesarias.</w:t>
      </w:r>
    </w:p>
    <w:p>
      <w:r>
        <w:rPr>
          <w:rStyle w:val="HideTWBExt"/>
        </w:rPr>
        <w:t>&lt;/Amend&gt;</w:t>
      </w:r>
    </w:p>
    <w:p>
      <w:pPr>
        <w:pStyle w:val="AmNumberTabs"/>
      </w:pPr>
      <w:r>
        <w:rPr>
          <w:rStyle w:val="HideTWBExt"/>
        </w:rPr>
        <w:t>&lt;Amend&gt;</w:t>
      </w:r>
      <w:r>
        <w:t>Enmienda</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32 – apartado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El artículo 18 del Reglamento (UE) 2019/1020 se aplicará a las medidas </w:t>
            </w:r>
            <w:r>
              <w:rPr>
                <w:b/>
                <w:i/>
              </w:rPr>
              <w:t>restrictivas</w:t>
            </w:r>
            <w:r>
              <w:t xml:space="preserve"> a las que se refiere el apartado 4.</w:t>
            </w:r>
          </w:p>
        </w:tc>
        <w:tc>
          <w:tcPr>
            <w:tcW w:w="4876" w:type="dxa"/>
          </w:tcPr>
          <w:p>
            <w:pPr>
              <w:pStyle w:val="Normal6a"/>
            </w:pPr>
            <w:r>
              <w:t>5.</w:t>
            </w:r>
            <w:r>
              <w:tab/>
            </w:r>
            <w:r>
              <w:t>El artículo 18 del Reglamento (UE) 2019/1020 se aplicará a las medidas a las que se refiere el apartado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33 – apartado 1 – párrafo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La autoridad de vigilancia del mercado que adopte medidas </w:t>
            </w:r>
            <w:r>
              <w:rPr>
                <w:b/>
                <w:i/>
              </w:rPr>
              <w:t>correctoras o restrictivas</w:t>
            </w:r>
            <w:r>
              <w:t xml:space="preserve"> de conformidad con el artículo 32 lo notificará sin demora a la Comisión y a las autoridades nacionales de los demás Estados miembros, por medio del sistema de información y comunicación al que se refiere el artículo 34, apartado 1, del Reglamento (UE) 2019/1020.</w:t>
            </w:r>
          </w:p>
        </w:tc>
        <w:tc>
          <w:tcPr>
            <w:tcW w:w="4876" w:type="dxa"/>
          </w:tcPr>
          <w:p>
            <w:pPr>
              <w:pStyle w:val="Normal6a"/>
            </w:pPr>
            <w:r>
              <w:t>La autoridad de vigilancia del mercado que adopte medidas de conformidad con el artículo 32 lo notificará sin demora a la Comisión y a las autoridades nacionales de los demás Estados miembros, por medio del sistema de información y comunicación al que se refiere el artículo 34, apartado 1, del Reglamento (UE) 2019/1020.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33 – apartado 1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Dicho Estado miembro también informará sin demora de sus conclusiones a la autoridad de homologación que haya concedido la homologación. En el caso de las máquinas no de carretera que comporten un riesgo grave, las medidas </w:t>
            </w:r>
            <w:r>
              <w:rPr>
                <w:b/>
                <w:i/>
              </w:rPr>
              <w:t>correctoras o restrictivas</w:t>
            </w:r>
            <w:r>
              <w:t xml:space="preserve"> también se notificarán a través del sistema de intercambio rápido de información (RAPEX) al que se refiere el artículo 12 de la Directiva 2001/95/CE del Parlamento Europeo y del Consejo</w:t>
            </w:r>
            <w:r>
              <w:rPr>
                <w:vertAlign w:val="superscript"/>
              </w:rPr>
              <w:t>31</w:t>
            </w:r>
            <w:r>
              <w:t>.</w:t>
            </w:r>
          </w:p>
        </w:tc>
        <w:tc>
          <w:tcPr>
            <w:tcW w:w="4876" w:type="dxa"/>
          </w:tcPr>
          <w:p>
            <w:pPr>
              <w:pStyle w:val="Normal6a"/>
            </w:pPr>
            <w:r>
              <w:t>Dicho Estado miembro también informará sin demora de sus conclusiones a la autoridad de homologación que haya concedido la homologación. En el caso de las máquinas no de carretera que comporten un riesgo grave, las medidas también se notificarán a través del sistema de intercambio rápido de información (RAPEX) al que se refiere el artículo 12 de la Directiva 2001/95/CE del Parlamento Europeo y del Consejo</w:t>
            </w:r>
            <w:r>
              <w:rPr>
                <w:vertAlign w:val="superscript"/>
              </w:rPr>
              <w:t>31</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31</w:t>
            </w:r>
            <w:r>
              <w:t xml:space="preserve"> </w:t>
            </w:r>
            <w:r>
              <w:t>Directiva 2001/95/CE del Parlamento Europeo y del Consejo, de 3 de diciembre de 2001, relativa a la seguridad general de los productos (DO L 11 de 15.1.2002, p.</w:t>
            </w:r>
            <w:r>
              <w:rPr>
                <w:b/>
                <w:i/>
              </w:rPr>
              <w:t xml:space="preserve"> 4)</w:t>
            </w:r>
            <w:r>
              <w:t>.</w:t>
            </w:r>
          </w:p>
        </w:tc>
        <w:tc>
          <w:tcPr>
            <w:tcW w:w="4876" w:type="dxa"/>
          </w:tcPr>
          <w:p>
            <w:pPr>
              <w:pStyle w:val="Normal6a"/>
            </w:pPr>
            <w:r>
              <w:rPr>
                <w:vertAlign w:val="superscript"/>
              </w:rPr>
              <w:t>31</w:t>
            </w:r>
            <w:r>
              <w:t xml:space="preserve"> </w:t>
            </w:r>
            <w:r>
              <w:t>Directiva 2001/95/CE del Parlamento Europeo y del Consejo, de 3 de diciembre de 2001, relativa a la seguridad general de los productos (DO L 11 de 15.1.2002, p.</w:t>
            </w:r>
            <w:r>
              <w:rPr>
                <w:b/>
                <w:i/>
              </w:rPr>
              <w:t> 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33 – apartado 1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Dicho Estado miembro también informará sin demora de sus conclusiones a la autoridad de homologación que haya concedido la homologación. En el caso de las máquinas no de carretera que comporten un riesgo </w:t>
            </w:r>
            <w:r>
              <w:rPr>
                <w:b/>
                <w:i/>
              </w:rPr>
              <w:t>grave</w:t>
            </w:r>
            <w:r>
              <w:t>, las medidas correctoras o restrictivas también se notificarán a través del sistema de intercambio rápido de información (RAPEX) al que se refiere el artículo 12 de la Directiva 2001/95/CE del Parlamento Europeo y del Consejo</w:t>
            </w:r>
            <w:r>
              <w:rPr>
                <w:vertAlign w:val="superscript"/>
              </w:rPr>
              <w:t>31</w:t>
            </w:r>
            <w:r>
              <w:t>.</w:t>
            </w:r>
          </w:p>
        </w:tc>
        <w:tc>
          <w:tcPr>
            <w:tcW w:w="4876" w:type="dxa"/>
          </w:tcPr>
          <w:p>
            <w:pPr>
              <w:pStyle w:val="Normal6a"/>
            </w:pPr>
            <w:r>
              <w:t>Dicho Estado miembro también informará sin demora de sus conclusiones a la autoridad de homologación que haya concedido la homologación. En el caso de las máquinas no de carretera que comporten un riesgo, las medidas correctoras o restrictivas también se notificarán a través del sistema de intercambio rápido de información (RAPEX) al que se refiere el artículo 12 de la Directiva 2001/95/CE del Parlamento Europeo y del Consejo</w:t>
            </w:r>
            <w:r>
              <w:rPr>
                <w:vertAlign w:val="superscript"/>
              </w:rPr>
              <w:t>31</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31</w:t>
            </w:r>
            <w:r>
              <w:t xml:space="preserve"> </w:t>
            </w:r>
            <w:r>
              <w:t>Directiva 2001/95/CE del Parlamento Europeo y del Consejo, de 3 de diciembre de 2001, relativa a la seguridad general de los productos (DO L 11 de 15.1.2002, p.</w:t>
            </w:r>
            <w:r>
              <w:rPr>
                <w:b/>
                <w:i/>
              </w:rPr>
              <w:t xml:space="preserve"> 4)</w:t>
            </w:r>
            <w:r>
              <w:t>.</w:t>
            </w:r>
          </w:p>
        </w:tc>
        <w:tc>
          <w:tcPr>
            <w:tcW w:w="4876" w:type="dxa"/>
          </w:tcPr>
          <w:p>
            <w:pPr>
              <w:pStyle w:val="Normal6a"/>
            </w:pPr>
            <w:r>
              <w:rPr>
                <w:vertAlign w:val="superscript"/>
              </w:rPr>
              <w:t>31</w:t>
            </w:r>
            <w:r>
              <w:t xml:space="preserve"> </w:t>
            </w:r>
            <w:r>
              <w:t>Directiva 2001/95/CE del Parlamento Europeo y del Consejo, de 3 de diciembre de 2001, relativa a la seguridad general de los productos (DO L 11 de 15.1.2002, p.</w:t>
            </w:r>
            <w:r>
              <w:rPr>
                <w:b/>
                <w:i/>
              </w:rPr>
              <w:t> 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33 – apartado 1 – párrafo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La información proporcionada con arreglo a los párrafos primero y segundo incluirá todos los detalles de que se disponga, en particular los datos necesarios para la identificación de la máquina móvil no de carretera afectada, </w:t>
            </w:r>
            <w:r>
              <w:rPr>
                <w:b/>
                <w:i/>
              </w:rPr>
              <w:t>el</w:t>
            </w:r>
            <w:r>
              <w:t xml:space="preserve"> origen </w:t>
            </w:r>
            <w:r>
              <w:rPr>
                <w:b/>
                <w:i/>
              </w:rPr>
              <w:t>de dicha máquina móvil no de carretera</w:t>
            </w:r>
            <w:r>
              <w:t xml:space="preserve">, la naturaleza del incumplimiento alegado o del riesgo planteado, la naturaleza y la duración de las medidas </w:t>
            </w:r>
            <w:r>
              <w:rPr>
                <w:b/>
                <w:i/>
              </w:rPr>
              <w:t>correctoras y restrictivas</w:t>
            </w:r>
            <w:r>
              <w:t xml:space="preserve"> nacionales adoptadas y</w:t>
            </w:r>
            <w:r>
              <w:rPr>
                <w:b/>
                <w:i/>
              </w:rPr>
              <w:t>, en su caso,</w:t>
            </w:r>
            <w:r>
              <w:t xml:space="preserve"> los argumentos expresados por el agente económico en cuestión.</w:t>
            </w:r>
          </w:p>
        </w:tc>
        <w:tc>
          <w:tcPr>
            <w:tcW w:w="4876" w:type="dxa"/>
          </w:tcPr>
          <w:p>
            <w:pPr>
              <w:pStyle w:val="Normal6a"/>
            </w:pPr>
            <w:r>
              <w:t xml:space="preserve">La información proporcionada con arreglo a los párrafos primero y segundo incluirá todos los detalles de que se disponga, en particular los datos necesarios para la identificación de la máquina móvil no de carretera afectada, </w:t>
            </w:r>
            <w:r>
              <w:rPr>
                <w:b/>
                <w:i/>
              </w:rPr>
              <w:t>su</w:t>
            </w:r>
            <w:r>
              <w:t xml:space="preserve"> origen, la naturaleza del incumplimiento alegado o del riesgo planteado, la naturaleza y la duración de las medidas nacionales adoptadas y los argumentos expresados por el agente económico en cuestión.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Redacción.</w:t>
      </w:r>
    </w:p>
    <w:p>
      <w:r>
        <w:rPr>
          <w:rStyle w:val="HideTWBExt"/>
        </w:rPr>
        <w:t>&lt;/Amend&gt;</w:t>
      </w:r>
    </w:p>
    <w:p>
      <w:pPr>
        <w:pStyle w:val="AmNumberTabs"/>
      </w:pPr>
      <w:r>
        <w:rPr>
          <w:rStyle w:val="HideTWBExt"/>
        </w:rPr>
        <w:t>&lt;Amend&gt;</w:t>
      </w:r>
      <w:r>
        <w:t>Enmienda</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33 – apartado 2 – parte introductoria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El Estado miembro que adopte las medidas </w:t>
            </w:r>
            <w:r>
              <w:rPr>
                <w:b/>
                <w:i/>
              </w:rPr>
              <w:t>correctoras o restrictivas</w:t>
            </w:r>
            <w:r>
              <w:t xml:space="preserve"> indicará si el riesgo o el incumplimiento se debe a alguna de las razones siguientes:</w:t>
            </w:r>
          </w:p>
        </w:tc>
        <w:tc>
          <w:tcPr>
            <w:tcW w:w="4876" w:type="dxa"/>
          </w:tcPr>
          <w:p>
            <w:pPr>
              <w:pStyle w:val="Normal6a"/>
            </w:pPr>
            <w:r>
              <w:t>2.</w:t>
            </w:r>
            <w:r>
              <w:tab/>
            </w:r>
            <w:r>
              <w:t>El Estado miembro que adopte las medidas indicará si el riesgo o el incumplimiento se debe a alguna de las razones siguientes: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33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Los Estados miembros que no sean el que adopte medidas </w:t>
            </w:r>
            <w:r>
              <w:rPr>
                <w:b/>
                <w:i/>
              </w:rPr>
              <w:t>correctoras o restrictivas</w:t>
            </w:r>
            <w:r>
              <w:t xml:space="preserve"> informarán a la Comisión y a los demás Estados miembros, en el plazo de un mes tras la notificación a que se refiere el apartado 1, de toda medida </w:t>
            </w:r>
            <w:r>
              <w:rPr>
                <w:b/>
                <w:i/>
              </w:rPr>
              <w:t>correctora o restrictiva</w:t>
            </w:r>
            <w:r>
              <w:t xml:space="preserve"> adoptada y de cualquier dato del que dispongan sobre el incumplimiento o el riesgo de la máquina móvil no de carretera en cuestión y, en caso de desacuerdo con la medida nacional notificada, de sus objeciones al respecto.</w:t>
            </w:r>
          </w:p>
        </w:tc>
        <w:tc>
          <w:tcPr>
            <w:tcW w:w="4876" w:type="dxa"/>
          </w:tcPr>
          <w:p>
            <w:pPr>
              <w:pStyle w:val="Normal6a"/>
            </w:pPr>
            <w:r>
              <w:t>3.</w:t>
            </w:r>
            <w:r>
              <w:tab/>
            </w:r>
            <w:r>
              <w:t>Los Estados miembros que no sean el que adopte medidas informarán a la Comisión y a los demás Estados miembros, en el plazo de un mes tras la notificación a que se refiere el apartado 1, de toda medida adoptada y de cualquier dato del que dispongan sobre el incumplimiento o el riesgo de la máquina móvil no de carretera en cuestión y, en caso de desacuerdo con la medida nacional notificada, de sus objeciones al respecto.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Maria-Manuel Leitão-Marques, René Repasi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33 – apartado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Si, en el plazo de </w:t>
            </w:r>
            <w:r>
              <w:rPr>
                <w:b/>
                <w:i/>
              </w:rPr>
              <w:t>tres meses</w:t>
            </w:r>
            <w:r>
              <w:t xml:space="preserve"> después de la notificación a que se refiere el apartado 1, ningún otro Estado miembro ni la Comisión formulan objeción alguna sobre una medida nacional notificada, los demás Estados miembros velarán por que se adopten sin demora medidas correctoras o restrictivas similares en su territorio con respecto a la máquina móvil no de carretera de que se trate.</w:t>
            </w:r>
          </w:p>
        </w:tc>
        <w:tc>
          <w:tcPr>
            <w:tcW w:w="4876" w:type="dxa"/>
          </w:tcPr>
          <w:p>
            <w:pPr>
              <w:pStyle w:val="Normal6a"/>
            </w:pPr>
            <w:r>
              <w:t>4.</w:t>
            </w:r>
            <w:r>
              <w:tab/>
            </w:r>
            <w:r>
              <w:t xml:space="preserve">Si, en el plazo de </w:t>
            </w:r>
            <w:r>
              <w:rPr>
                <w:b/>
                <w:i/>
              </w:rPr>
              <w:t>un mes</w:t>
            </w:r>
            <w:r>
              <w:t xml:space="preserve"> después de la notificación a que se refiere el apartado 1, ningún otro Estado miembro ni la Comisión formulan objeción alguna sobre una medida nacional notificada, los demás Estados miembros velarán por que se adopten sin demora medidas correctoras o restrictivas similares en su territorio con respecto a la máquina móvil no de carretera de que se trate.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Maria-Manuel Leitão-Marques, René Repasi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33 – apartado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Si, en el plazo de </w:t>
            </w:r>
            <w:r>
              <w:rPr>
                <w:b/>
                <w:i/>
              </w:rPr>
              <w:t>tres meses</w:t>
            </w:r>
            <w:r>
              <w:t xml:space="preserve"> tras la notificación indicada en el apartado 1, otro Estado miembro o la Comisión presentan objeciones sobre una medida nacional notificada, o si la Comisión considera que una medida nacional notificada es contraria al Derecho de la Unión, la Comisión consultará, sin demora, a los Estados miembros afectados y al agente o agentes económicos pertinentes.</w:t>
            </w:r>
          </w:p>
        </w:tc>
        <w:tc>
          <w:tcPr>
            <w:tcW w:w="4876" w:type="dxa"/>
          </w:tcPr>
          <w:p>
            <w:pPr>
              <w:pStyle w:val="Normal6a"/>
            </w:pPr>
            <w:r>
              <w:t>5.</w:t>
            </w:r>
            <w:r>
              <w:tab/>
            </w:r>
            <w:r>
              <w:t xml:space="preserve">Si, en el plazo de </w:t>
            </w:r>
            <w:r>
              <w:rPr>
                <w:b/>
                <w:i/>
              </w:rPr>
              <w:t>un mes</w:t>
            </w:r>
            <w:r>
              <w:t xml:space="preserve"> tras la notificación indicada en el apartado 1, otro Estado miembro o la Comisión presentan objeciones sobre una medida nacional notificada, o si la Comisión considera que una medida nacional notificada es contraria al Derecho de la Unión, la Comisión consultará, sin demora, a los Estados miembros afectados y al agente o agentes económicos pertinentes.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33 – apartado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Basándose en la consulta a la que se refiere el apartado 5, la Comisión adoptará actos de ejecución para decidir respecto de medidas </w:t>
            </w:r>
            <w:r>
              <w:rPr>
                <w:b/>
                <w:i/>
              </w:rPr>
              <w:t>correctoras o restrictivas</w:t>
            </w:r>
            <w:r>
              <w:t xml:space="preserve"> armonizadas a escala de la Unión. Dichos actos de ejecución se adoptarán de conformidad con el procedimiento de examen mencionado en el artículo 46, apartado 2.</w:t>
            </w:r>
          </w:p>
        </w:tc>
        <w:tc>
          <w:tcPr>
            <w:tcW w:w="4876" w:type="dxa"/>
          </w:tcPr>
          <w:p>
            <w:pPr>
              <w:pStyle w:val="Normal6a"/>
            </w:pPr>
            <w:r>
              <w:t>6.</w:t>
            </w:r>
            <w:r>
              <w:tab/>
            </w:r>
            <w:r>
              <w:t>Basándose en la consulta a la que se refiere el apartado 5, la Comisión adoptará actos de ejecución para decidir respecto de medidas armonizadas a escala de la Unión. Dichos actos de ejecución se adoptarán de conformidad con el procedimiento de examen mencionado en el artículo 46, apartado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34 – apartado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La información a que se refiere el apartado 2 se facilitará en el manual de uso en carretera del operario.</w:t>
            </w:r>
          </w:p>
        </w:tc>
        <w:tc>
          <w:tcPr>
            <w:tcW w:w="4876" w:type="dxa"/>
          </w:tcPr>
          <w:p>
            <w:pPr>
              <w:pStyle w:val="Normal6a"/>
            </w:pPr>
            <w:r>
              <w:t>3.</w:t>
            </w:r>
            <w:r>
              <w:tab/>
            </w:r>
            <w:r>
              <w:t xml:space="preserve">La información a que se refiere el apartado 2 se facilitará en el manual de uso en carretera del operario </w:t>
            </w:r>
            <w:r>
              <w:rPr>
                <w:b/>
                <w:i/>
              </w:rPr>
              <w:t>o como parte diferenciada de otras instrucciones para el operario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Andreas Schwab</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34 – apartado 4 – párrafo 1 – letra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en papel o en formato electrónico.</w:t>
            </w:r>
          </w:p>
        </w:tc>
        <w:tc>
          <w:tcPr>
            <w:tcW w:w="4876" w:type="dxa"/>
          </w:tcPr>
          <w:p>
            <w:pPr>
              <w:pStyle w:val="Normal6a"/>
            </w:pPr>
            <w:r>
              <w:t>b)</w:t>
            </w:r>
            <w:r>
              <w:tab/>
            </w:r>
            <w:r>
              <w:t xml:space="preserve">en papel o en formato electrónico </w:t>
            </w:r>
            <w:r>
              <w:rPr>
                <w:b/>
                <w:i/>
              </w:rPr>
              <w:t>fácilmente accesible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34 – apartado 4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Cuando el manual del operario se facilite en formato electrónico, el fabricante facilitará información </w:t>
            </w:r>
            <w:r>
              <w:rPr>
                <w:b/>
                <w:i/>
              </w:rPr>
              <w:t>en formato impreso o en papel</w:t>
            </w:r>
            <w:r>
              <w:t xml:space="preserve"> sobre cómo acceder a dicho manual o dónde encontrarlo, en las lenguas oficiales del Estado miembro en el que vaya a introducirse en el mercado, matricularse o ponerse en servicio la máquina móvil no de carretera.</w:t>
            </w:r>
          </w:p>
        </w:tc>
        <w:tc>
          <w:tcPr>
            <w:tcW w:w="4876" w:type="dxa"/>
          </w:tcPr>
          <w:p>
            <w:pPr>
              <w:pStyle w:val="Normal6a"/>
            </w:pPr>
            <w:r>
              <w:t>Cuando el manual del operario se facilite en formato electrónico, el fabricante facilitará información sobre cómo acceder a dicho manual o dónde encontrarlo, en las lenguas oficiales del Estado miembro en el que vaya a introducirse en el mercado, matricularse o ponerse en servicio la máquina móvil no de carretera.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Maria-Manuel Leitão-Marques, René Repasi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35 – apartado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El servicio técnico y su personal llevarán a cabo las categorías de actividades para las que han sido designados con el máximo nivel de integridad profesional y con la competencia técnica exigida para el campo específico, y estarán libres de cualquier presión o incentivo, especialmente de índole financiera, que pudiera influir en su apreciación o en el resultado de sus actividades de evaluación, en particular la presión o incentivo que pudieran ejercer personas o grupos de personas que tengan algún interés en los resultados de estas actividades.</w:t>
            </w:r>
          </w:p>
        </w:tc>
        <w:tc>
          <w:tcPr>
            <w:tcW w:w="4876" w:type="dxa"/>
          </w:tcPr>
          <w:p>
            <w:pPr>
              <w:pStyle w:val="Normal6a"/>
            </w:pPr>
            <w:r>
              <w:t>6.</w:t>
            </w:r>
            <w:r>
              <w:tab/>
            </w:r>
            <w:r>
              <w:t xml:space="preserve">El servicio técnico y su personal </w:t>
            </w:r>
            <w:r>
              <w:rPr>
                <w:b/>
                <w:i/>
              </w:rPr>
              <w:t>serán independientes y</w:t>
            </w:r>
            <w:r>
              <w:t xml:space="preserve"> llevarán a cabo las categorías de actividades para las que han sido designados con el máximo nivel de integridad profesional y con la competencia técnica exigida para el campo específico, y estarán libres de cualquier presión o incentivo, especialmente de índole financiera, que pudiera influir en su apreciación o en el resultado de sus actividades de evaluación, en particular la presión o incentivo que pudieran ejercer personas o grupos de personas que tengan algún interés en los resultados de estas actividades.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Para ajustarse a la redacción del Reglamento (UE) 2018/858 del Parlamento Europeo y del Consejo, de 30 de mayo de 2018, sobre la homologación y la vigilancia del mercado de los vehículos de motor y sus remolques y de los sistemas, los componentes y las unidades técnicas independientes destinados a dichos vehículos, por el que se modifican los Reglamentos (CE) n.º 715/2007 y (CE) n.º 595/2009 y por el que se deroga la Directiva 2007/46/CE.</w:t>
      </w:r>
    </w:p>
    <w:p>
      <w:r>
        <w:rPr>
          <w:rStyle w:val="HideTWBExt"/>
        </w:rPr>
        <w:t>&lt;/Amend&gt;</w:t>
      </w:r>
    </w:p>
    <w:p>
      <w:pPr>
        <w:pStyle w:val="AmNumberTabs"/>
      </w:pPr>
      <w:r>
        <w:rPr>
          <w:rStyle w:val="HideTWBExt"/>
        </w:rPr>
        <w:t>&lt;Amend&gt;</w:t>
      </w:r>
      <w:r>
        <w:t>Enmienda</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Maria-Manuel Leitão-Marques, René Repasi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40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La autoridad de homologación designadora elaborará un informe de evaluación en el que se demuestre que se ha evaluado si el servicio técnico candidato cumple los requisitos del presente Reglamento y los actos delegados adoptados en virtud de este. Dicho informe podrá incluir un certificado de acreditación expedido por un organismo de acreditación.</w:t>
            </w:r>
          </w:p>
        </w:tc>
        <w:tc>
          <w:tcPr>
            <w:tcW w:w="4876" w:type="dxa"/>
          </w:tcPr>
          <w:p>
            <w:pPr>
              <w:pStyle w:val="Normal6a"/>
            </w:pPr>
            <w:r>
              <w:t>1.</w:t>
            </w:r>
            <w:r>
              <w:tab/>
            </w:r>
            <w:r>
              <w:t xml:space="preserve">La autoridad de homologación designadora elaborará un informe de evaluación en el que se demuestre que se ha evaluado si el servicio técnico candidato </w:t>
            </w:r>
            <w:r>
              <w:rPr>
                <w:b/>
                <w:i/>
              </w:rPr>
              <w:t>y, cuando proceda, cualquier filial o subcontratista </w:t>
            </w:r>
            <w:r>
              <w:t>cumple los requisitos del presente Reglamento y los actos delegados adoptados en virtud de este. Dicho informe podrá incluir un certificado de acreditación expedido por un organismo de acreditación.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43 – apartado 4 – párrafo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Si un Estado miembro no adopta las medidas correctoras necesarias, la Comisión </w:t>
            </w:r>
            <w:r>
              <w:rPr>
                <w:b/>
                <w:i/>
              </w:rPr>
              <w:t>podrá adoptar</w:t>
            </w:r>
            <w:r>
              <w:t xml:space="preserve"> actos de ejecución para decidir restringir, suspender o retirar la designación del servicio técnico en cuestión. Dichos actos de ejecución se adoptarán de conformidad con el procedimiento de examen mencionado en el artículo 46, apartado 2. La Comisión notificará tales actos de ejecución al Estado miembro de que se trate y actualizará en consecuencia la información publicada a la que se refiere el artículo 41, apartado 6.</w:t>
            </w:r>
          </w:p>
        </w:tc>
        <w:tc>
          <w:tcPr>
            <w:tcW w:w="4876" w:type="dxa"/>
          </w:tcPr>
          <w:p>
            <w:pPr>
              <w:pStyle w:val="Normal6a"/>
            </w:pPr>
            <w:r>
              <w:t xml:space="preserve">Si un Estado miembro no adopta las medidas correctoras necesarias, la Comisión </w:t>
            </w:r>
            <w:r>
              <w:rPr>
                <w:b/>
                <w:i/>
              </w:rPr>
              <w:t>adoptará</w:t>
            </w:r>
            <w:r>
              <w:t xml:space="preserve"> actos de ejecución para decidir restringir, suspender o retirar la designación del servicio técnico en cuestión. Dichos actos de ejecución se adoptarán de conformidad con el procedimiento de examen mencionado en el artículo 46, apartado 2. La Comisión notificará tales actos de ejecución al Estado miembro de que se trate y actualizará en consecuencia la información publicada a la que se refiere el artículo 41, apartado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49 – apartado 1 – párrafo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Siempre que proceda, se podrá invitar al Foro en calidad de observadores, de conformidad con el reglamento interno mencionado en el apartado 6, a servicios técnicos, representantes del Parlamento Europeo, del sector y de otros agentes económicos pertinentes, así como de interesados que se ocupen de cuestiones de seguridad.</w:t>
            </w:r>
          </w:p>
        </w:tc>
        <w:tc>
          <w:tcPr>
            <w:tcW w:w="4876" w:type="dxa"/>
          </w:tcPr>
          <w:p>
            <w:pPr>
              <w:pStyle w:val="Normal6a"/>
            </w:pPr>
            <w:r>
              <w:t xml:space="preserve">Siempre que proceda, se podrá invitar al Foro en calidad de observadores, de conformidad con el reglamento interno mencionado en el apartado 6, a servicios técnicos, representantes del Parlamento Europeo, </w:t>
            </w:r>
            <w:r>
              <w:rPr>
                <w:b/>
                <w:i/>
              </w:rPr>
              <w:t>de los sindicatos,</w:t>
            </w:r>
            <w:r>
              <w:t xml:space="preserve"> del sector y de otros agentes económicos pertinentes, así como de interesados que se ocupen de cuestiones de seguridad.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51 – apartado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A más tardar el [OP: insértese la fecha correspondiente a </w:t>
            </w:r>
            <w:r>
              <w:rPr>
                <w:b/>
                <w:i/>
              </w:rPr>
              <w:t>sesenta</w:t>
            </w:r>
            <w:r>
              <w:t xml:space="preserve"> meses después de la fecha de aplicación del presente Reglamento.], la Comisión presentará un informe al Parlamento Europeo y al Consejo sobre la aplicación del presente Reglamento, acompañado, en su caso, de las propuestas legislativas pertinentes.</w:t>
            </w:r>
          </w:p>
        </w:tc>
        <w:tc>
          <w:tcPr>
            <w:tcW w:w="4876" w:type="dxa"/>
          </w:tcPr>
          <w:p>
            <w:pPr>
              <w:pStyle w:val="Normal6a"/>
            </w:pPr>
            <w:r>
              <w:t>1.</w:t>
            </w:r>
            <w:r>
              <w:tab/>
            </w:r>
            <w:r>
              <w:t xml:space="preserve">A más tardar el [OP: insértese la fecha correspondiente a </w:t>
            </w:r>
            <w:r>
              <w:rPr>
                <w:b/>
                <w:i/>
              </w:rPr>
              <w:t>treinta</w:t>
            </w:r>
            <w:r>
              <w:t xml:space="preserve"> meses después de la fecha de aplicación del presente Reglamento.], la Comisión presentará un informe al Parlamento Europeo y al Consejo sobre la aplicación del presente Reglamento, acompañado, en su caso, de las propuestas legislativas pertinentes.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51 – apartado 3 – parte introductoria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A más tardar el [OP: insértese la fecha correspondiente a </w:t>
            </w:r>
            <w:r>
              <w:rPr>
                <w:b/>
                <w:i/>
              </w:rPr>
              <w:t>cuarenta y ocho</w:t>
            </w:r>
            <w:r>
              <w:t xml:space="preserve"> meses después de la fecha de aplicación del presente Reglamento.], los Estados miembros informarán a la Comisión de lo siguiente:</w:t>
            </w:r>
          </w:p>
        </w:tc>
        <w:tc>
          <w:tcPr>
            <w:tcW w:w="4876" w:type="dxa"/>
          </w:tcPr>
          <w:p>
            <w:pPr>
              <w:pStyle w:val="Normal6a"/>
            </w:pPr>
            <w:r>
              <w:t>3.</w:t>
            </w:r>
            <w:r>
              <w:tab/>
            </w:r>
            <w:r>
              <w:t xml:space="preserve">A más tardar el [OP: insértese la fecha correspondiente a </w:t>
            </w:r>
            <w:r>
              <w:rPr>
                <w:b/>
                <w:i/>
              </w:rPr>
              <w:t>veinticuatro</w:t>
            </w:r>
            <w:r>
              <w:t xml:space="preserve"> meses después de la fecha de aplicación del presente Reglamento.], los Estados miembros informarán a la Comisión de lo siguiente: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52 – título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Disposiciones transitorias</w:t>
            </w:r>
          </w:p>
        </w:tc>
        <w:tc>
          <w:tcPr>
            <w:tcW w:w="4876" w:type="dxa"/>
          </w:tcPr>
          <w:p>
            <w:pPr>
              <w:pStyle w:val="Normal6a"/>
            </w:pPr>
            <w:r>
              <w:rPr>
                <w:b/>
                <w:i/>
              </w:rPr>
              <w:t>Series cortas y equipos específicos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Beata Mazurek, Adam Bielan, Kosma Złotowski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52 – párrafo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No obstante lo dispuesto en el presente Reglamento, </w:t>
            </w:r>
            <w:r>
              <w:rPr>
                <w:b/>
                <w:i/>
              </w:rPr>
              <w:t>hasta el... [insértese la fecha:</w:t>
            </w:r>
            <w:r>
              <w:t xml:space="preserve"> </w:t>
            </w:r>
            <w:r>
              <w:rPr>
                <w:b/>
                <w:i/>
              </w:rPr>
              <w:t>ocho años a partir de la fecha de aplicación],</w:t>
            </w:r>
            <w:r>
              <w:t xml:space="preserve"> los Estados miembros podrán </w:t>
            </w:r>
            <w:r>
              <w:rPr>
                <w:b/>
                <w:i/>
              </w:rPr>
              <w:t>aplicar</w:t>
            </w:r>
            <w:r>
              <w:t xml:space="preserve"> cualquier disposición legislativa nacional sobre homologación de tipo nacional de máquinas móviles no de carretera para la circulación por la vía pública respecto a las máquinas móviles no de carretera introducidas en el mercado </w:t>
            </w:r>
            <w:r>
              <w:rPr>
                <w:b/>
                <w:i/>
              </w:rPr>
              <w:t>entre el ... [Insértese la fecha de aplicación] y el ... [insértese la fecha:</w:t>
            </w:r>
            <w:r>
              <w:t xml:space="preserve"> </w:t>
            </w:r>
            <w:r>
              <w:rPr>
                <w:b/>
                <w:i/>
              </w:rPr>
              <w:t>ocho años a partir de la fecha de aplicación]</w:t>
            </w:r>
            <w:r>
              <w:t>. Durante ese período, los fabricantes podrán elegir entre solicitar la homologación de tipo UE o cumplir la legislación nacional pertinente.</w:t>
            </w:r>
          </w:p>
        </w:tc>
        <w:tc>
          <w:tcPr>
            <w:tcW w:w="4876" w:type="dxa"/>
          </w:tcPr>
          <w:p>
            <w:pPr>
              <w:pStyle w:val="Normal6a"/>
            </w:pPr>
            <w:r>
              <w:t xml:space="preserve">No obstante lo dispuesto en el presente Reglamento, los Estados miembros podrán </w:t>
            </w:r>
            <w:r>
              <w:rPr>
                <w:b/>
                <w:i/>
              </w:rPr>
              <w:t>seguir aplicando</w:t>
            </w:r>
            <w:r>
              <w:t xml:space="preserve"> cualquier disposición legislativa nacional sobre homologación de tipo nacional de máquinas móviles no de carretera para la circulación por la vía pública respecto a las máquinas móviles no de carretera introducidas en el mercado </w:t>
            </w:r>
            <w:r>
              <w:rPr>
                <w:b/>
                <w:i/>
              </w:rPr>
              <w:t>en series cortas o esenciales para la seguridad nacional</w:t>
            </w:r>
            <w:r>
              <w:t>. Durante ese período, los fabricantes podrán elegir entre solicitar la homologación de tipo UE o cumplir la legislación nacional pertinente.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Kateřina Konečná</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53 – párrafo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Será aplicable a partir del [OP: insértese la fecha correspondiente a </w:t>
            </w:r>
            <w:r>
              <w:rPr>
                <w:b/>
                <w:i/>
              </w:rPr>
              <w:t>treinta y seis</w:t>
            </w:r>
            <w:r>
              <w:t xml:space="preserve"> meses después de la entrada en vigor del presente Reglamento].</w:t>
            </w:r>
          </w:p>
        </w:tc>
        <w:tc>
          <w:tcPr>
            <w:tcW w:w="4876" w:type="dxa"/>
          </w:tcPr>
          <w:p>
            <w:pPr>
              <w:pStyle w:val="Normal6a"/>
            </w:pPr>
            <w:r>
              <w:t xml:space="preserve">Será aplicable a partir del [OP: insértese la fecha correspondiente a </w:t>
            </w:r>
            <w:r>
              <w:rPr>
                <w:b/>
                <w:i/>
              </w:rPr>
              <w:t>dieciocho</w:t>
            </w:r>
            <w:r>
              <w:t xml:space="preserve"> meses después de la entrada en vigor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53 – párrafo 2 – párrafo -1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partir del [fecha de entrada en vigor], las autoridades nacionales no denegarán, si un fabricante lo solicita, la concesión de una homologación de tipo UE o de una homologación de tipo nacional para un nuevo tipo de máquina móvil no de carretera, ni prohibirán la introducción en el mercado, la matriculación o la puesta en servicio de una máquina móvil no de carretera nueva cuando cumpla lo dispuesto en el presente Reglamento y en los actos delegados y de ejecución adoptados en virtud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Tom Vandenkendelaere</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53 – párrafo 2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partir del [fecha de entrada en vigor], las autoridades nacionales no denegarán, si un fabricante lo solicita, la concesión de una homologación de tipo UE o de una homologación de tipo nacional para un nuevo tipo de máquina móvil no de carretera, ni prohibirán la introducción en el mercado, la matriculación o la puesta en servicio de una máquina móvil no de carretera nueva cuando cumpla lo dispuesto en el presente Reglamento y en los actos delegados y de ejecución adoptados en virtud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 caso de que los actos delegados y de ejecución se publiquen antes de la fecha de aplicación (treinta y seis meses después de la entrada en vigor), los fabricantes deben poder confiar en la legislación si todas las autoridades y los servicios técnicos están preparados.</w:t>
      </w:r>
    </w:p>
    <w:p>
      <w:r>
        <w:rPr>
          <w:rStyle w:val="HideTWBExt"/>
        </w:rPr>
        <w:t>&lt;/Amend&gt;</w:t>
      </w:r>
    </w:p>
    <w:p>
      <w:pPr>
        <w:pStyle w:val="AmNumberTabs"/>
      </w:pPr>
      <w:r>
        <w:rPr>
          <w:rStyle w:val="HideTWBExt"/>
        </w:rPr>
        <w:t>&lt;Amend&gt;</w:t>
      </w:r>
      <w:r>
        <w:t>Enmienda</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Marco Campomenosi, Alessandra Basso, Antonio Maria Rinaldi, Isabella Tovaglieri</w:t>
      </w:r>
      <w:r>
        <w:rPr>
          <w:rStyle w:val="HideTWBExt"/>
        </w:rPr>
        <w:t>&lt;/Members&gt;</w:t>
      </w:r>
    </w:p>
    <w:p>
      <w:pPr>
        <w:pStyle w:val="NormalBold"/>
      </w:pPr>
      <w:r>
        <w:rPr>
          <w:rStyle w:val="HideTWBExt"/>
        </w:rPr>
        <w:t>&lt;/RepeatBlock-By&gt;</w:t>
      </w:r>
    </w:p>
    <w:p>
      <w:pPr>
        <w:pStyle w:val="NormalBold"/>
      </w:pPr>
      <w:r>
        <w:rPr>
          <w:rStyle w:val="HideTWBExt"/>
        </w:rPr>
        <w:t>&lt;DocAmend&gt;</w:t>
      </w:r>
      <w:r>
        <w:t>Propuesta de Reglamento</w:t>
      </w:r>
      <w:r>
        <w:rPr>
          <w:rStyle w:val="HideTWBExt"/>
        </w:rPr>
        <w:t>&lt;/DocAmend&gt;</w:t>
      </w:r>
    </w:p>
    <w:p>
      <w:pPr>
        <w:pStyle w:val="NormalBold"/>
      </w:pPr>
      <w:r>
        <w:rPr>
          <w:rStyle w:val="HideTWBExt"/>
        </w:rPr>
        <w:t>&lt;Article&gt;</w:t>
      </w:r>
      <w:r>
        <w:t>Artículo 53 – párrafo 2 bis (nuevo)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Texto de la Comisión</w:t>
            </w:r>
          </w:p>
        </w:tc>
        <w:tc>
          <w:tcPr>
            <w:tcW w:w="4876" w:type="dxa"/>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Los poderes de la Comisión para adoptar actos delegados con arreglo al artículo 47 se aplicarán a partir del [fecha de entrada en vigor del presente Reglamento]. La Comisión adoptará todos los actos delegados a que se refieren el artículo 4, apartado 5, el artículo 15, apartado 2, el artículo 21, apartado 9, el artículo 22, apartado 6, y el artículo 39 antes del [veinticuatro meses a partir de la fecha de entrada en vigor del presente Reglamento].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752.780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50</w:t>
    </w:r>
    <w:r>
      <w:fldChar w:fldCharType="end"/>
    </w:r>
    <w:r>
      <w:tab/>
    </w:r>
    <w:r>
      <w:rPr>
        <w:rStyle w:val="HideTWBExt"/>
      </w:rPr>
      <w:t>&lt;PathFdR&gt;</w:t>
    </w:r>
    <w:r>
      <w:t>AM\1284913ES.docx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AM\1284913ES.docx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50</w:t>
    </w:r>
    <w:r>
      <w:fldChar w:fldCharType="end"/>
    </w:r>
    <w:r>
      <w:tab/>
    </w:r>
    <w:r>
      <w:t>PE</w:t>
    </w:r>
    <w:r>
      <w:rPr>
        <w:rStyle w:val="HideTWBExt"/>
      </w:rPr>
      <w:t>&lt;NoPE&gt;</w:t>
    </w:r>
    <w:r>
      <w:t>752.780</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AM\1284913ES.docx</w:t>
    </w:r>
    <w:r>
      <w:rPr>
        <w:rStyle w:val="HideTWBExt"/>
      </w:rPr>
      <w:t>&lt;/PathFdR&gt;</w:t>
    </w:r>
    <w:r>
      <w:tab/>
    </w:r>
    <w:r>
      <w:tab/>
    </w:r>
    <w:r>
      <w:t>PE</w:t>
    </w:r>
    <w:r>
      <w:rPr>
        <w:rStyle w:val="HideTWBExt"/>
      </w:rPr>
      <w:t>&lt;NoPE&gt;</w:t>
    </w:r>
    <w:r>
      <w:t>752.780</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00"/>
    </w:pPr>
  </w:style>
  <w:style w:type="paragraph" w:customStyle="1" w:styleId="CoverNormal">
    <w:name w:val="CoverNormal"/>
    <w:basedOn w:val="Normal"/>
    <w:pPr>
      <w:widowControl w:val="0"/>
      <w:ind w:left="1400"/>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00"/>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00"/>
    </w:pPr>
    <w:rPr>
      <w:rFonts w:ascii="Arial" w:eastAsia="Arial" w:hAnsi="Arial" w:cs="Arial"/>
      <w:b/>
      <w:sz w:val="48"/>
    </w:rPr>
  </w:style>
  <w:style w:type="paragraph" w:customStyle="1" w:styleId="CoverBold">
    <w:name w:val="CoverBold"/>
    <w:basedOn w:val="Normal"/>
    <w:pPr>
      <w:widowControl w:val="0"/>
      <w:ind w:left="1400"/>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widowControl w:val="0"/>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pPr>
      <w:widowControl w:val="0"/>
    </w:pPr>
    <w:rPr>
      <w:sz w:val="0"/>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50</Pages>
  <Words>11133</Words>
  <Characters>59244</Characters>
  <Application>Microsoft Office Word</Application>
  <DocSecurity>0</DocSecurity>
  <Lines>1</Lines>
  <Paragraphs>1051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1284913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24487</vt:lpwstr>
  </property>
  <property fmtid="{D5CDD505-2E9C-101B-9397-08002B2CF9AE}" pid="7" name="dmxml.render.traceId">
    <vt:lpwstr>65086b22b4588302d15f0f442d5813d8</vt:lpwstr>
  </property>
  <property fmtid="{D5CDD505-2E9C-101B-9397-08002B2CF9AE}" pid="8" name="FooterPath">
    <vt:lpwstr>AM\1284913ES.docx</vt:lpwstr>
  </property>
  <property fmtid="{D5CDD505-2E9C-101B-9397-08002B2CF9AE}" pid="9" name="PE Number">
    <vt:lpwstr>752.780</vt:lpwstr>
  </property>
  <property fmtid="{D5CDD505-2E9C-101B-9397-08002B2CF9AE}" pid="10" name="UID">
    <vt:lpwstr>eu.europa.europarl-DIN1-2023-0000113316_02.00-es-01.00_text-xml</vt:lpwstr>
  </property>
</Properties>
</file>