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{IMCO}</w:t>
      </w:r>
      <w:r>
        <w:t>Odbor za unutarnje tržište i zaštitu potrošača</w:t>
      </w:r>
      <w:r>
        <w:rPr>
          <w:rStyle w:val="HideTWBExt"/>
        </w:rPr>
        <w:t>&lt;/Commission&gt;</w:t>
      </w:r>
    </w:p>
    <w:p>
      <w:pPr>
        <w:pStyle w:val="LineBottom"/>
      </w:pPr>
      <w:r>
        <w:t xml:space="preserve"> </w:t>
      </w:r>
    </w:p>
    <w:p>
      <w:pPr>
        <w:pStyle w:val="CoverReference"/>
      </w:pPr>
      <w:r>
        <w:rPr>
          <w:rStyle w:val="HideTWBExt"/>
        </w:rPr>
        <w:t>&lt;RefProc&gt;</w:t>
      </w:r>
      <w:r>
        <w:t>2025/0134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{27/10/2025}</w:t>
      </w:r>
      <w:r>
        <w:t>27.10.2025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167</w:t>
      </w:r>
      <w:r>
        <w:rPr>
          <w:rStyle w:val="HideTWBExt"/>
        </w:rPr>
        <w:t>&lt;/RangeAM&gt;</w:t>
      </w:r>
    </w:p>
    <w:p>
      <w:pPr>
        <w:pStyle w:val="CoverBold"/>
      </w:pPr>
      <w:r>
        <w:rPr>
          <w:rStyle w:val="HideTWBExt"/>
        </w:rPr>
        <w:t>&lt;TitreType&gt;</w:t>
      </w:r>
      <w:r>
        <w:t>Nacrt mišljenja</w:t>
      </w:r>
      <w:r>
        <w:rPr>
          <w:rStyle w:val="HideTWBExt"/>
        </w:rPr>
        <w:t>&lt;/TitreType&gt;</w:t>
      </w:r>
    </w:p>
    <w:p>
      <w:pPr>
        <w:pStyle w:val="CoverBold"/>
      </w:pPr>
      <w:r>
        <w:rPr>
          <w:rStyle w:val="HideTWBExt"/>
        </w:rPr>
        <w:t>&lt;Rapporteur&gt;</w:t>
      </w:r>
      <w:r>
        <w:t>Reinier Van Lanschot</w:t>
      </w:r>
      <w:r>
        <w:rPr>
          <w:rStyle w:val="HideTWBExt"/>
        </w:rPr>
        <w:t>&lt;/Rapporteur&gt;</w:t>
      </w:r>
    </w:p>
    <w:p>
      <w:pPr>
        <w:pStyle w:val="CoverNormal24a"/>
      </w:pPr>
      <w:r>
        <w:rPr>
          <w:rStyle w:val="HideTWBExt"/>
        </w:rPr>
        <w:t>&lt;Titre&gt;</w:t>
      </w:r>
      <w:r>
        <w:t>o izmjeni uredbi (EU) br. 765/2008, (EU) 2016/424, (EU) 2016/425, (EU) 2016/426, (EU) 2023/1230, (EU) 2023/1542 i (EU) 2024/1781 u pogledu digitalizacije i zajedničkih specifikacija</w:t>
      </w:r>
      <w:r>
        <w:rPr>
          <w:rStyle w:val="HideTWBExt"/>
        </w:rPr>
        <w:t>&lt;/Titre&gt;</w:t>
      </w:r>
    </w:p>
    <w:p>
      <w:pPr>
        <w:pStyle w:val="CoverNormal"/>
      </w:pPr>
      <w:r>
        <w:rPr>
          <w:rStyle w:val="HideTWBExt"/>
        </w:rPr>
        <w:t>&lt;DocAmend&gt;</w:t>
      </w:r>
      <w:r>
        <w:t>Prijedlog uredbe</w:t>
      </w:r>
      <w:r>
        <w:rPr>
          <w:rStyle w:val="HideTWBExt"/>
        </w:rPr>
        <w:t>&lt;/DocAmend&gt;</w:t>
      </w:r>
    </w:p>
    <w:p>
      <w:pPr>
        <w:pStyle w:val="CoverNormal24a"/>
      </w:pPr>
      <w:r>
        <w:rPr>
          <w:rStyle w:val="HideTWBExt"/>
        </w:rPr>
        <w:t>&lt;DocRef&gt;</w:t>
      </w:r>
      <w:r>
        <w:t>(COM(2025)0504 – 2025/0134(COD))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Zahtjevi u pogledu izvješćivanja bitni su za osiguravanje primjerenog praćenja i pravilne provedbe zakonodavstva. Međutim, kako bi se osiguralo da ispunjavaju svrhu za koju su namijenjeni i ograničilo administrativno opterećenje, važno je pojednostavniti te zahtjeve.</w:t>
            </w:r>
          </w:p>
        </w:tc>
        <w:tc>
          <w:tcPr>
            <w:tcW w:w="4876" w:type="dxa"/>
            <w:tcBorders>
              <w:top w:val="nil"/>
              <w:left w:val="nil"/>
              <w:bottom w:val="nil"/>
              <w:right w:val="nil"/>
            </w:tcBorders>
          </w:tcPr>
          <w:p>
            <w:pPr>
              <w:pStyle w:val="Normal6a"/>
            </w:pPr>
            <w:r>
              <w:rPr>
                <w:b/>
                <w:i/>
              </w:rPr>
              <w:t>1.</w:t>
            </w:r>
            <w:r>
              <w:tab/>
            </w:r>
            <w:r>
              <w:t>Zahtjevi u pogledu izvješćivanja bitni su za osiguravanje primjerenog praćenja i pravilne provedbe zakonodavstva</w:t>
            </w:r>
            <w:r>
              <w:rPr>
                <w:b/>
                <w:i/>
              </w:rPr>
              <w:t>. Troškovi izvješćivanja uglavnom su neutralizirani koristima koje donose, osobito u smislu praćenja i osiguravanja usklađenosti s ključnim mjerama politike</w:t>
            </w:r>
            <w:r>
              <w:t>. Međutim, kako bi se osiguralo da ispunjavaju svrhu za koju su namijenjeni i ograničilo administrativno opterećenje, važno je pojednostavniti te zahtjeve.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Zbog sve veće važnosti digitalizacije u pojednostavnjenju regulatornih okvira potrebno je smanjiti i modernizirati zahtjeve za izvješćivanje i obveze gospodarskih subjekata. U skladu s nastojanjima da se ubrza digitalizacija potrebno je u potpunosti digitalizirati izvješćivanje između poduzeća i relevantnih tijela te obveze gospodarskih subjekata ako one ne utječu na zaštitu i sigurnost potrošača. Prihvaćanjem digitalizacije pojednostavnit će se postupci usklađivanja, ali i povećati ukupna učinkovitost regulatornog okvira, što će u konačnici koristiti i poduzećima i nadležnim tijelima.</w:t>
            </w:r>
          </w:p>
        </w:tc>
        <w:tc>
          <w:tcPr>
            <w:tcW w:w="4876" w:type="dxa"/>
            <w:tcBorders>
              <w:top w:val="nil"/>
              <w:left w:val="nil"/>
              <w:bottom w:val="nil"/>
              <w:right w:val="nil"/>
            </w:tcBorders>
          </w:tcPr>
          <w:p>
            <w:pPr>
              <w:pStyle w:val="Normal6a"/>
            </w:pPr>
            <w:r>
              <w:rPr>
                <w:b/>
                <w:i/>
              </w:rPr>
              <w:t>4.</w:t>
            </w:r>
            <w:r>
              <w:tab/>
            </w:r>
            <w:r>
              <w:t>Zbog sve veće važnosti digitalizacije u pojednostavnjenju regulatornih okvira potrebno je smanjiti</w:t>
            </w:r>
            <w:r>
              <w:rPr>
                <w:b/>
                <w:i/>
              </w:rPr>
              <w:t>, uskladiti</w:t>
            </w:r>
            <w:r>
              <w:t xml:space="preserve"> i modernizirati zahtjeve za izvješćivanje i obveze gospodarskih subjekata. U skladu s nastojanjima da se ubrza digitalizacija potrebno je u potpunosti digitalizirati izvješćivanje između poduzeća i relevantnih tijela te obveze gospodarskih subjekata ako one ne utječu na zaštitu i sigurnost potrošača. Prihvaćanjem digitalizacije pojednostavnit će se postupci usklađivanja, ali i povećati ukupna učinkovitost regulatornog okvira, što će u konačnici koristiti i poduzećima i nadležnim tijelima.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Kako bi se popratila digitalna tranzicija i spriječilo nerazmjerno opterećenje za mikropoduzeća te mala i srednja poduzeća (MSP-ovi), Komisija i države članice dužne su staviti na raspolaganje namjenske „tehničke servise” za provedbu digitalnih postupaka povezanih s europskim digitalno-inovacijskim centrima programa Digitalna Europa i pružiti besplatnu ili sufinanciranu pomoć, uključujući osposobljavanje i pristup standardiziranim alatima.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t xml:space="preserve">Nadalje, uredbama (EU) 2016/424, (EU) 2016/425, (EU) 2016/426 i (EU) 2023/1230 zahtijeva se da uz proizvod bude priložen primjerak izjave o sukladnosti. S obzirom na razvoj digitalizacije tu je obvezu potrebno modernizirati zahtjevom da takva EU izjava o sukladnosti bude priložena uz proizvod u elektroničkom obliku. Proizvođač će osigurati </w:t>
            </w:r>
            <w:r>
              <w:rPr>
                <w:b/>
                <w:i/>
              </w:rPr>
              <w:t>dostupnost EU izjave</w:t>
            </w:r>
            <w:r>
              <w:t xml:space="preserve"> o sukladnosti putem internetske adrese ili strojno čitljivog koda.</w:t>
            </w:r>
          </w:p>
        </w:tc>
        <w:tc>
          <w:tcPr>
            <w:tcW w:w="4876" w:type="dxa"/>
            <w:tcBorders>
              <w:top w:val="nil"/>
              <w:left w:val="nil"/>
              <w:bottom w:val="nil"/>
              <w:right w:val="nil"/>
            </w:tcBorders>
          </w:tcPr>
          <w:p>
            <w:pPr>
              <w:pStyle w:val="Normal6a"/>
            </w:pPr>
            <w:r>
              <w:rPr>
                <w:b/>
                <w:i/>
              </w:rPr>
              <w:t>7.</w:t>
            </w:r>
            <w:r>
              <w:tab/>
            </w:r>
            <w:r>
              <w:t xml:space="preserve">Nadalje, uredbama (EU) 2016/424, (EU) 2016/425, (EU) 2016/426 i (EU) 2023/1230 zahtijeva se da uz proizvod bude priložen primjerak izjave o sukladnosti. S obzirom na razvoj digitalizacije tu je obvezu potrebno modernizirati zahtjevom da takva EU izjava o sukladnosti bude priložena uz proizvod u elektroničkom obliku. Proizvođač će osigurati </w:t>
            </w:r>
            <w:r>
              <w:rPr>
                <w:b/>
                <w:i/>
              </w:rPr>
              <w:t>da je EU izjava</w:t>
            </w:r>
            <w:r>
              <w:t xml:space="preserve"> o sukladnosti </w:t>
            </w:r>
            <w:r>
              <w:rPr>
                <w:b/>
                <w:i/>
              </w:rPr>
              <w:t>izravno dostupna</w:t>
            </w:r>
            <w:r>
              <w:t xml:space="preserve"> putem internetske adrese ili strojno čitljivog koda</w:t>
            </w:r>
            <w:r>
              <w:rPr>
                <w:b/>
                <w:i/>
              </w:rPr>
              <w:t>, što znači da se nadležna tijela ne bi trebala snalaziti u međukoracima, kao što su izbornici za pretraživanje, vanjske internetske stranice ili dodatni postupci za prijavu kako bi došla do posebne EU izjave o sukladnosti</w:t>
            </w:r>
            <w:r>
              <w:t xml:space="preserve">. </w:t>
            </w:r>
            <w:r>
              <w:rPr>
                <w:b/>
                <w:i/>
              </w:rPr>
              <w:t>Izravan pristup putem internetske adrese ili strojno čitljivog koda trebao bi biti besplatan, bez potrebe za pružanjem osobnih podataka, preuzimanjem ili uporabom dodatnih aplikacija specifičnih za gospodarski subjekt ili obvezom registracije isključivo radi pristupa EU izjavi o sukladnosti.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t xml:space="preserve">Nadalje, uredbama (EU) 2016/424, (EU) 2016/425, (EU) 2016/426 i (EU) 2023/1230 zahtijeva se da uz proizvod bude priložen primjerak izjave o sukladnosti. S obzirom na razvoj digitalizacije </w:t>
            </w:r>
            <w:r>
              <w:rPr>
                <w:b/>
                <w:i/>
              </w:rPr>
              <w:t>tu je obvezu potrebno</w:t>
            </w:r>
            <w:r>
              <w:t xml:space="preserve"> modernizirati zahtjevom da takva EU izjava o sukladnosti bude priložena uz proizvod u elektroničkom obliku. Proizvođač </w:t>
            </w:r>
            <w:r>
              <w:rPr>
                <w:b/>
                <w:i/>
              </w:rPr>
              <w:t>će</w:t>
            </w:r>
            <w:r>
              <w:t xml:space="preserve"> osigurati </w:t>
            </w:r>
            <w:r>
              <w:rPr>
                <w:b/>
                <w:i/>
              </w:rPr>
              <w:t>dostupnost EU izjave</w:t>
            </w:r>
            <w:r>
              <w:t xml:space="preserve"> o sukladnosti putem internetske adrese ili strojno čitljivog koda.</w:t>
            </w:r>
          </w:p>
        </w:tc>
        <w:tc>
          <w:tcPr>
            <w:tcW w:w="4876" w:type="dxa"/>
            <w:tcBorders>
              <w:top w:val="nil"/>
              <w:left w:val="nil"/>
              <w:bottom w:val="nil"/>
              <w:right w:val="nil"/>
            </w:tcBorders>
          </w:tcPr>
          <w:p>
            <w:pPr>
              <w:pStyle w:val="Normal6a"/>
            </w:pPr>
            <w:r>
              <w:rPr>
                <w:b/>
                <w:i/>
              </w:rPr>
              <w:t>7.</w:t>
            </w:r>
            <w:r>
              <w:tab/>
            </w:r>
            <w:r>
              <w:t xml:space="preserve">Nadalje, uredbama (EU) 2016/424, (EU) 2016/425, (EU) 2016/426 i (EU) 2023/1230 zahtijeva se da uz proizvod bude priložen primjerak </w:t>
            </w:r>
            <w:r>
              <w:rPr>
                <w:b/>
                <w:i/>
              </w:rPr>
              <w:t>EU</w:t>
            </w:r>
            <w:r>
              <w:t xml:space="preserve"> izjave o sukladnosti. S obzirom na razvoj digitalizacije</w:t>
            </w:r>
            <w:r>
              <w:rPr>
                <w:b/>
                <w:i/>
              </w:rPr>
              <w:t>, ključno je</w:t>
            </w:r>
            <w:r>
              <w:t xml:space="preserve"> modernizirati </w:t>
            </w:r>
            <w:r>
              <w:rPr>
                <w:b/>
                <w:i/>
              </w:rPr>
              <w:t>tu obvezu</w:t>
            </w:r>
            <w:r>
              <w:t xml:space="preserve"> zahtjevom da takva EU izjava o sukladnosti bude priložena uz proizvod u elektroničkom obliku. Proizvođač </w:t>
            </w:r>
            <w:r>
              <w:rPr>
                <w:b/>
                <w:i/>
              </w:rPr>
              <w:t>bi stoga trebao</w:t>
            </w:r>
            <w:r>
              <w:t xml:space="preserve"> osigurati </w:t>
            </w:r>
            <w:r>
              <w:rPr>
                <w:b/>
                <w:i/>
              </w:rPr>
              <w:t>da je EU izjava</w:t>
            </w:r>
            <w:r>
              <w:t xml:space="preserve"> o sukladnosti </w:t>
            </w:r>
            <w:r>
              <w:rPr>
                <w:b/>
                <w:i/>
              </w:rPr>
              <w:t>besplatno i izravno dostupna</w:t>
            </w:r>
            <w:r>
              <w:t xml:space="preserve"> putem internetske adrese ili strojno čitljivog koda</w:t>
            </w:r>
            <w:r>
              <w:rPr>
                <w:b/>
                <w:i/>
              </w:rPr>
              <w:t>, bez potrebe za pružanjem osobnih podataka, preuzimanjem ili upotrebom dodatnih aplikacija specifičnih za gospodarski subjekt ili obvezom registracije isključivo radi pristupa EU izjavi o sukladnosti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Uzimajući u obzir da je 2024. najmanje 94 % kućanstava u EU-u imalo pristup internetu</w:t>
            </w:r>
            <w:r>
              <w:rPr>
                <w:vertAlign w:val="superscript"/>
              </w:rPr>
              <w:t>10</w:t>
            </w:r>
            <w:r>
              <w:t xml:space="preserve">, papirnati oblik uputa za uporabu priloženih proizvodima obuhvaćenima područjem primjene predmetnih uredbi zastario je i nije u skladu s trenutačnim tehnologijama, praksom potrošača ni sa zelenim ciljevima. Stoga bi u predmetne uredbe trebalo uvesti mogućnost digitalnog formata uputa. Time će se proizvođačima omogućiti da ako to žele upute osiguraju u digitalnom formatu. Ako proizvođači odluče osigurati upute u digitalnom formatu, </w:t>
            </w:r>
            <w:r>
              <w:rPr>
                <w:b/>
                <w:i/>
              </w:rPr>
              <w:t>radi kontinuirane zaštite sigurnosti potrošača sigurnosne bi</w:t>
            </w:r>
            <w:r>
              <w:t xml:space="preserve"> informacije, uključujući upute koje utječu na </w:t>
            </w:r>
            <w:r>
              <w:rPr>
                <w:b/>
                <w:i/>
              </w:rPr>
              <w:t>sigurnost</w:t>
            </w:r>
            <w:r>
              <w:t xml:space="preserve"> proizvoda, </w:t>
            </w:r>
            <w:r>
              <w:rPr>
                <w:b/>
                <w:i/>
              </w:rPr>
              <w:t>trebale biti navedene</w:t>
            </w:r>
            <w:r>
              <w:t xml:space="preserve"> u papirnatom obliku ili </w:t>
            </w:r>
            <w:r>
              <w:rPr>
                <w:b/>
                <w:i/>
              </w:rPr>
              <w:t>označene</w:t>
            </w:r>
            <w:r>
              <w:t xml:space="preserve"> na proizvodu. Nadalje, krajnji korisnici trebali bi moći dobiti papirnati primjerak uputa za uporabu ili informacija o sigurnosti na zahtjev, u trenutku kupnje i tijekom određenog razdoblja nakon kupnje.</w:t>
            </w:r>
          </w:p>
        </w:tc>
        <w:tc>
          <w:tcPr>
            <w:tcW w:w="4876" w:type="dxa"/>
            <w:tcBorders>
              <w:top w:val="nil"/>
              <w:left w:val="nil"/>
              <w:bottom w:val="nil"/>
              <w:right w:val="nil"/>
            </w:tcBorders>
          </w:tcPr>
          <w:p>
            <w:pPr>
              <w:pStyle w:val="Normal6a"/>
            </w:pPr>
            <w:r>
              <w:rPr>
                <w:b/>
                <w:i/>
              </w:rPr>
              <w:t>8.</w:t>
            </w:r>
            <w:r>
              <w:tab/>
            </w:r>
            <w:r>
              <w:t>Uzimajući u obzir da je 2024. najmanje 94 % kućanstava u EU-u imalo pristup internetu</w:t>
            </w:r>
            <w:r>
              <w:rPr>
                <w:vertAlign w:val="superscript"/>
              </w:rPr>
              <w:t>10</w:t>
            </w:r>
            <w:r>
              <w:t>, papirnati oblik uputa za uporabu priloženih proizvodima obuhvaćenima područjem primjene predmetnih uredbi zastario je i nije u skladu s trenutačnim tehnologijama, praksom potrošača ni sa zelenim ciljevima. Stoga bi u predmetne uredbe trebalo uvesti mogućnost digitalnog formata uputa. Time će se proizvođačima omogućiti da ako to žele upute osiguraju u digitalnom formatu. Ako proizvođači odluče osigurati upute u digitalnom formatu, </w:t>
            </w:r>
            <w:r>
              <w:rPr>
                <w:b/>
                <w:i/>
              </w:rPr>
              <w:t>posebne zaštitne mjere za potrošače trebale bi im zajamčiti da, kao neprofesionalni korisnici, i dalje mogu pristupiti informacijama i razumjeti ih, za razliku od profesionalnih korisnika, od kojih se očekuje da posjeduju stručnost i znanje potrebne za pravilnu uporabu proizvoda i rukovanje njima.</w:t>
            </w:r>
            <w:r>
              <w:t xml:space="preserve"> Informacije </w:t>
            </w:r>
            <w:r>
              <w:rPr>
                <w:b/>
                <w:i/>
              </w:rPr>
              <w:t>o sigurnosti</w:t>
            </w:r>
            <w:r>
              <w:t xml:space="preserve">, uključujući upute koje utječu na </w:t>
            </w:r>
            <w:r>
              <w:rPr>
                <w:b/>
                <w:i/>
              </w:rPr>
              <w:t>sigurnu uporabu</w:t>
            </w:r>
            <w:r>
              <w:t xml:space="preserve"> proizvoda, </w:t>
            </w:r>
            <w:r>
              <w:rPr>
                <w:b/>
                <w:i/>
              </w:rPr>
              <w:t>mogu se pružiti u digitalnom obliku ako proizvod upotrebljavaju isključivo profesionalni korisnici, odnosno osobe koje kupuju proizvod kao profesionalni krajnji korisnici u okviru svojih industrijskih ili profesionalnih aktivnosti.</w:t>
            </w:r>
            <w:r>
              <w:t xml:space="preserve"> </w:t>
            </w:r>
            <w:r>
              <w:rPr>
                <w:b/>
                <w:i/>
              </w:rPr>
              <w:t>Međutim, ako se razumno može predvidjeti da bi i potrošači mogli upotrebljavati proizvod, čak i ako je prvenstveno namijenjen za profesionalnu uporabu, proizvođači bi trebali pružiti sigurnosne informacije</w:t>
            </w:r>
            <w:r>
              <w:t xml:space="preserve"> u papirnatom obliku ili </w:t>
            </w:r>
            <w:r>
              <w:rPr>
                <w:b/>
                <w:i/>
              </w:rPr>
              <w:t>ih označiti izravno</w:t>
            </w:r>
            <w:r>
              <w:t xml:space="preserve"> na proizvodu</w:t>
            </w:r>
            <w:r>
              <w:rPr>
                <w:b/>
                <w:i/>
              </w:rPr>
              <w:t>.</w:t>
            </w:r>
            <w:r>
              <w:t xml:space="preserve"> </w:t>
            </w:r>
            <w:r>
              <w:rPr>
                <w:b/>
                <w:i/>
              </w:rPr>
              <w:t>Definicija „potrošača” dio je pojma „krajnji korisnik” kako je utvrđen u Uredbi (EU) 2019/1020 Europskog parlamenta i Vijeća, koja se primjenjuje na predmetne uredbe, i odnosi se na sve fizičke osobe koje djeluju u svrhe koje nisu povezane s njihovom trgovačkom, poslovnom, obrtničkom ili profesionalnom djelatnosti.</w:t>
            </w:r>
            <w:r>
              <w:t xml:space="preserve"> </w:t>
            </w:r>
            <w:r>
              <w:rPr>
                <w:b/>
                <w:i/>
              </w:rPr>
              <w:t>Tim se zahtjevom osigurava da svi potrošači, uključujući ranjive potrošače kao što su starije osobe, osobe s invaliditetom ili osobe s ograničenom digitalnom pismenošću, mogu pristupiti sigurnosnim informacijama i razumjeti ih.</w:t>
            </w:r>
            <w:r>
              <w:t xml:space="preserve"> </w:t>
            </w:r>
            <w:r>
              <w:rPr>
                <w:b/>
                <w:i/>
              </w:rPr>
              <w:t>Stoga bi takve informacije trebale biti lako vidljive i čitljive, čime bi se zajamčila visoka razina zaštite potrošača i zaštitila javna sigurnost.</w:t>
            </w:r>
            <w:r>
              <w:t xml:space="preserve"> </w:t>
            </w:r>
            <w:r>
              <w:rPr>
                <w:b/>
                <w:i/>
              </w:rPr>
              <w:t>Upute i sigurnosne informacije koje se pružaju u digitalnom obliku trebale bi biti izravno dostupne, posebno uzimajući u obzir zahtjeve utvrđene u Prilogu I. Direktivi (EU) 2019/882 Europskog parlamenta i Vijeća, u mjeri u kojoj su proizvodi obuhvaćeni područjem primjene te direktive, kako bi se osiguralo da su proizvodi upotrebljivi za sve krajnje korisnike, uključujući osobe s invaliditetom.</w:t>
            </w:r>
            <w:r>
              <w:t xml:space="preserve"> </w:t>
            </w:r>
            <w:r>
              <w:rPr>
                <w:b/>
                <w:i/>
              </w:rPr>
              <w:t>Upute i sigurnosne informacije trebale bi biti besplatno i izravno dostupne putem internetske adrese ili strojno čitljivog koda, bez potrebe za pružanjem osobnih podataka, preuzimanjem ili upotrebom dodatnih aplikacija specifičnih za gospodarski subjekt ili obvezom registracije isključivo radi pristupa uputama i sigurnosnim informacijama.</w:t>
            </w:r>
            <w:r>
              <w:t xml:space="preserve"> </w:t>
            </w:r>
            <w:r>
              <w:rPr>
                <w:b/>
                <w:i/>
              </w:rPr>
              <w:t>To je u skladu sa sveobuhvatnom vizijom digitalne uključenosti, kako je utvrđeno u Europskoj deklaraciji o digitalnim pravima i načelima za digitalno desetljeće, posebno u poglavlju II. o solidarnosti i uključenosti</w:t>
            </w:r>
            <w:r>
              <w:t>. Nadalje, krajnji korisnici trebali bi moći dobiti papirnati primjerak uputa za uporabu ili informacija o sigurnosti na zahtjev, u trenutku kupnje i tijekom određenog razdoblja nakon kupnje.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 xml:space="preserve">Izvor: </w:t>
            </w:r>
            <w:r>
              <w:rPr>
                <w:b/>
                <w:i/>
              </w:rPr>
              <w:t>Digital economy and society statistics - households and individuals - Statistics Explained.</w:t>
            </w:r>
          </w:p>
        </w:tc>
        <w:tc>
          <w:tcPr>
            <w:tcW w:w="4876" w:type="dxa"/>
            <w:tcBorders>
              <w:top w:val="nil"/>
              <w:left w:val="nil"/>
              <w:bottom w:val="nil"/>
              <w:right w:val="nil"/>
            </w:tcBorders>
          </w:tcPr>
          <w:p>
            <w:pPr>
              <w:pStyle w:val="Normal6a"/>
            </w:pPr>
            <w:r>
              <w:rPr>
                <w:vertAlign w:val="superscript"/>
              </w:rPr>
              <w:t>10</w:t>
            </w:r>
            <w:r>
              <w:t xml:space="preserve"> </w:t>
            </w:r>
            <w:r>
              <w:t xml:space="preserve">Izvor: </w:t>
            </w:r>
            <w:r>
              <w:rPr>
                <w:b/>
                <w:i/>
              </w:rPr>
              <w:t>Statistički podaci o digitalnom gospodarstvu i društvu – kućanstva i pojedinci – Objašnjenje statističkih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Uzimajući u obzir da je 2024. najmanje 94 % kućanstava u EU-u imalo pristup internetu</w:t>
            </w:r>
            <w:r>
              <w:rPr>
                <w:vertAlign w:val="superscript"/>
              </w:rPr>
              <w:t>10</w:t>
            </w:r>
            <w:r>
              <w:t xml:space="preserve">, </w:t>
            </w:r>
            <w:r>
              <w:rPr>
                <w:b/>
                <w:i/>
              </w:rPr>
              <w:t>papirnati oblik</w:t>
            </w:r>
            <w:r>
              <w:t xml:space="preserve"> uputa za </w:t>
            </w:r>
            <w:r>
              <w:rPr>
                <w:b/>
                <w:i/>
              </w:rPr>
              <w:t>uporabu priloženih proizvodima obuhvaćenima područjem primjene predmetnih uredbi zastario je i nije u skladu s trenutačnim</w:t>
            </w:r>
            <w:r>
              <w:t xml:space="preserve"> tehnologijama</w:t>
            </w:r>
            <w:r>
              <w:rPr>
                <w:b/>
                <w:i/>
              </w:rPr>
              <w:t>, praksom potrošača ni sa</w:t>
            </w:r>
            <w:r>
              <w:t xml:space="preserve"> zelenim ciljevima. </w:t>
            </w:r>
            <w:r>
              <w:rPr>
                <w:b/>
                <w:i/>
              </w:rPr>
              <w:t>Stoga</w:t>
            </w:r>
            <w:r>
              <w:t xml:space="preserve"> bi u predmetne uredbe trebalo uvesti mogućnost digitalnog formata uputa. Time će se proizvođačima omogućiti da ako to žele upute osiguraju u digitalnom formatu. Ako proizvođači odluče osigurati upute u digitalnom formatu, radi kontinuirane zaštite sigurnosti potrošača sigurnosne bi informacije, uključujući upute koje utječu na sigurnost proizvoda, trebale biti navedene u papirnatom obliku ili označene na proizvodu. Nadalje, krajnji korisnici trebali bi moći dobiti papirnati primjerak uputa za uporabu ili informacija o sigurnosti na zahtjev, u trenutku kupnje i tijekom određenog razdoblja nakon kupnje.</w:t>
            </w:r>
          </w:p>
        </w:tc>
        <w:tc>
          <w:tcPr>
            <w:tcW w:w="4876" w:type="dxa"/>
            <w:tcBorders>
              <w:top w:val="nil"/>
              <w:left w:val="nil"/>
              <w:bottom w:val="nil"/>
              <w:right w:val="nil"/>
            </w:tcBorders>
          </w:tcPr>
          <w:p>
            <w:pPr>
              <w:pStyle w:val="Normal6a"/>
            </w:pPr>
            <w:r>
              <w:rPr>
                <w:b/>
                <w:i/>
              </w:rPr>
              <w:t>8.</w:t>
            </w:r>
            <w:r>
              <w:tab/>
            </w:r>
            <w:r>
              <w:t>Uzimajući u obzir da je 2024. najmanje 94 % kućanstava u EU-u imalo pristup internetu</w:t>
            </w:r>
            <w:r>
              <w:rPr>
                <w:vertAlign w:val="superscript"/>
              </w:rPr>
              <w:t>10</w:t>
            </w:r>
            <w:r>
              <w:t xml:space="preserve">, </w:t>
            </w:r>
            <w:r>
              <w:rPr>
                <w:b/>
                <w:i/>
              </w:rPr>
              <w:t>dostupnost</w:t>
            </w:r>
            <w:r>
              <w:t xml:space="preserve"> uputa za </w:t>
            </w:r>
            <w:r>
              <w:rPr>
                <w:b/>
                <w:i/>
              </w:rPr>
              <w:t>proizvode u digitalnom obliku prilika je za usklađivanje s postojećim</w:t>
            </w:r>
            <w:r>
              <w:t xml:space="preserve"> tehnologijama </w:t>
            </w:r>
            <w:r>
              <w:rPr>
                <w:b/>
                <w:i/>
              </w:rPr>
              <w:t>i doprinos</w:t>
            </w:r>
            <w:r>
              <w:t xml:space="preserve"> zelenim ciljevima. </w:t>
            </w:r>
            <w:r>
              <w:rPr>
                <w:b/>
                <w:i/>
              </w:rPr>
              <w:t>U svjetlu toga</w:t>
            </w:r>
            <w:r>
              <w:t xml:space="preserve"> bi u predmetne uredbe trebalo uvesti mogućnost digitalnog formata uputa. Time će se proizvođačima omogućiti da ako to žele upute osiguraju u digitalnom formatu. Ako proizvođači odluče osigurati upute u digitalnom formatu, radi kontinuirane zaštite sigurnosti potrošača sigurnosne bi informacije, uključujući upute koje utječu na sigurnost proizvoda, trebale biti navedene u papirnatom obliku ili označene na proizvodu. </w:t>
            </w:r>
            <w:r>
              <w:rPr>
                <w:b/>
                <w:i/>
              </w:rPr>
              <w:t>Međutim, sigurnosne informacije za potrošače uvijek bi trebale biti u papirnatom obliku ili označene na proizvodu.</w:t>
            </w:r>
            <w:r>
              <w:t xml:space="preserve"> </w:t>
            </w:r>
            <w:r>
              <w:rPr>
                <w:b/>
                <w:i/>
              </w:rPr>
              <w:t>Svrha sigurnosnih informacija i uputa koje utječu na sigurnost proizvoda jest pružiti bitne informacije potrebne za sigurnu i učinkovitu uporabu u razumno predvidljivim uvjetima, čak i ako namjena nije za potrošače.</w:t>
            </w:r>
            <w:r>
              <w:t xml:space="preserve"> </w:t>
            </w:r>
            <w:r>
              <w:rPr>
                <w:b/>
                <w:i/>
              </w:rPr>
              <w:t>Osim toga, ako se razumno može predvidjeti da bi i potrošači mogli upotrebljavati proizvod, čak i ako je prvenstveno namijenjen za profesionalnu uporabu krajnjih korisnika, proizvođači bi trebali pružiti sigurnosne informacije u papirnatom obliku ili ih označiti izravno na proizvodu.</w:t>
            </w:r>
            <w:r>
              <w:t xml:space="preserve"> Nadalje, krajnji korisnici trebali bi moći dobiti papirnati primjerak uputa za uporabu ili informacija o sigurnosti na zahtjev, u trenutku kupnje i tijekom određenog razdoblja nakon kupnje.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 xml:space="preserve">Izvor: </w:t>
            </w:r>
            <w:r>
              <w:rPr>
                <w:b/>
                <w:i/>
              </w:rPr>
              <w:t>Digital economy and society statistics - households and individuals - Statistics Explained.</w:t>
            </w:r>
          </w:p>
        </w:tc>
        <w:tc>
          <w:tcPr>
            <w:tcW w:w="4876" w:type="dxa"/>
            <w:tcBorders>
              <w:top w:val="nil"/>
              <w:left w:val="nil"/>
              <w:bottom w:val="nil"/>
              <w:right w:val="nil"/>
            </w:tcBorders>
          </w:tcPr>
          <w:p>
            <w:pPr>
              <w:pStyle w:val="Normal6a"/>
            </w:pPr>
            <w:r>
              <w:rPr>
                <w:vertAlign w:val="superscript"/>
              </w:rPr>
              <w:t>10</w:t>
            </w:r>
            <w:r>
              <w:t xml:space="preserve"> </w:t>
            </w:r>
            <w:r>
              <w:t xml:space="preserve">Izvor: </w:t>
            </w:r>
            <w:r>
              <w:rPr>
                <w:b/>
                <w:i/>
              </w:rPr>
              <w:t>Statistički podaci o digitalnom gospodarstvu i društvu – kućanstva i pojedinci – Objašnjenje statističkih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Uzimajući u obzir da je 2024. najmanje 94 % kućanstava u EU-u imalo pristup internetu</w:t>
            </w:r>
            <w:r>
              <w:rPr>
                <w:b/>
                <w:i/>
                <w:vertAlign w:val="superscript"/>
              </w:rPr>
              <w:t>10</w:t>
            </w:r>
            <w:r>
              <w:t xml:space="preserve">, papirnati oblik uputa za uporabu priloženih proizvodima obuhvaćenima područjem primjene predmetnih </w:t>
            </w:r>
            <w:r>
              <w:rPr>
                <w:b/>
                <w:i/>
              </w:rPr>
              <w:t>uredbi</w:t>
            </w:r>
            <w:r>
              <w:t xml:space="preserve"> zastario je i nije u skladu s trenutačnim tehnologijama, praksom potrošača ni sa zelenim ciljevima. Stoga </w:t>
            </w:r>
            <w:r>
              <w:rPr>
                <w:b/>
                <w:i/>
              </w:rPr>
              <w:t>bi u predmetne uredbe trebalo</w:t>
            </w:r>
            <w:r>
              <w:t xml:space="preserve"> uvesti mogućnost </w:t>
            </w:r>
            <w:r>
              <w:rPr>
                <w:b/>
                <w:i/>
              </w:rPr>
              <w:t>digitalnog formata</w:t>
            </w:r>
            <w:r>
              <w:t xml:space="preserve"> uputa</w:t>
            </w:r>
            <w:r>
              <w:rPr>
                <w:b/>
                <w:i/>
              </w:rPr>
              <w:t>.</w:t>
            </w:r>
            <w:r>
              <w:t xml:space="preserve"> </w:t>
            </w:r>
            <w:r>
              <w:rPr>
                <w:b/>
                <w:i/>
              </w:rPr>
              <w:t>Time će se proizvođačima omogućiti da</w:t>
            </w:r>
            <w:r>
              <w:t xml:space="preserve"> ako to </w:t>
            </w:r>
            <w:r>
              <w:rPr>
                <w:b/>
                <w:i/>
              </w:rPr>
              <w:t>žele upute osiguraju u digitalnom formatu.</w:t>
            </w:r>
            <w:r>
              <w:t xml:space="preserve"> </w:t>
            </w:r>
            <w:r>
              <w:rPr>
                <w:b/>
                <w:i/>
              </w:rPr>
              <w:t>Ako</w:t>
            </w:r>
            <w:r>
              <w:t xml:space="preserve"> proizvođači odluče osigurati upute u digitalnom formatu, radi kontinuirane zaštite sigurnosti potrošača sigurnosne </w:t>
            </w:r>
            <w:r>
              <w:rPr>
                <w:b/>
                <w:i/>
              </w:rPr>
              <w:t>bi</w:t>
            </w:r>
            <w:r>
              <w:t xml:space="preserve"> informacije, uključujući upute koje utječu na sigurnost proizvoda, </w:t>
            </w:r>
            <w:r>
              <w:rPr>
                <w:b/>
                <w:i/>
              </w:rPr>
              <w:t>trebale</w:t>
            </w:r>
            <w:r>
              <w:t xml:space="preserve"> biti navedene u papirnatom obliku </w:t>
            </w:r>
            <w:r>
              <w:rPr>
                <w:b/>
                <w:i/>
              </w:rPr>
              <w:t>ili označene na proizvodu.</w:t>
            </w:r>
            <w:r>
              <w:t xml:space="preserve"> </w:t>
            </w:r>
            <w:r>
              <w:rPr>
                <w:b/>
                <w:i/>
              </w:rPr>
              <w:t>Nadalje,</w:t>
            </w:r>
            <w:r>
              <w:t xml:space="preserve"> krajnji korisnici </w:t>
            </w:r>
            <w:r>
              <w:rPr>
                <w:b/>
                <w:i/>
              </w:rPr>
              <w:t>trebali</w:t>
            </w:r>
            <w:r>
              <w:t xml:space="preserve"> bi moći dobiti papirnati primjerak uputa za uporabu ili informacija o sigurnosti na zahtjev</w:t>
            </w:r>
            <w:r>
              <w:rPr>
                <w:b/>
                <w:i/>
              </w:rPr>
              <w:t>,</w:t>
            </w:r>
            <w:r>
              <w:t xml:space="preserve"> u trenutku kupnje i tijekom određenog razdoblja nakon kupnje.</w:t>
            </w:r>
          </w:p>
        </w:tc>
        <w:tc>
          <w:tcPr>
            <w:tcW w:w="4876" w:type="dxa"/>
            <w:tcBorders>
              <w:top w:val="nil"/>
              <w:left w:val="nil"/>
              <w:bottom w:val="nil"/>
              <w:right w:val="nil"/>
            </w:tcBorders>
          </w:tcPr>
          <w:p>
            <w:pPr>
              <w:pStyle w:val="Normal6a"/>
            </w:pPr>
            <w:r>
              <w:t>(8)</w:t>
            </w:r>
            <w:r>
              <w:tab/>
            </w:r>
            <w:r>
              <w:t xml:space="preserve">Uzimajući u obzir da je 2024. najmanje 94 % kućanstava u EU-u imalo pristup internetu, papirnati oblik uputa za uporabu priloženih proizvodima obuhvaćenima područjem primjene predmetnih </w:t>
            </w:r>
            <w:r>
              <w:rPr>
                <w:b/>
                <w:i/>
              </w:rPr>
              <w:t>direktiva</w:t>
            </w:r>
            <w:r>
              <w:t xml:space="preserve"> zastario je i nije u skladu s trenutačnim tehnologijama, praksom potrošača ni sa zelenim ciljevima. Stoga </w:t>
            </w:r>
            <w:r>
              <w:rPr>
                <w:b/>
                <w:i/>
              </w:rPr>
              <w:t>je primjereno</w:t>
            </w:r>
            <w:r>
              <w:t xml:space="preserve"> uvesti mogućnost </w:t>
            </w:r>
            <w:r>
              <w:rPr>
                <w:b/>
                <w:i/>
              </w:rPr>
              <w:t>pružanja</w:t>
            </w:r>
            <w:r>
              <w:t xml:space="preserve"> uputa </w:t>
            </w:r>
            <w:r>
              <w:rPr>
                <w:b/>
                <w:i/>
              </w:rPr>
              <w:t>za digitalnu uporabu.</w:t>
            </w:r>
            <w:r>
              <w:t xml:space="preserve"> </w:t>
            </w:r>
            <w:r>
              <w:rPr>
                <w:b/>
                <w:i/>
              </w:rPr>
              <w:t>Proizvođači će stoga moći dati digitalne upute</w:t>
            </w:r>
            <w:r>
              <w:t xml:space="preserve"> ako to </w:t>
            </w:r>
            <w:r>
              <w:rPr>
                <w:b/>
                <w:i/>
              </w:rPr>
              <w:t>smatraju primjerenim.</w:t>
            </w:r>
            <w:r>
              <w:t xml:space="preserve"> </w:t>
            </w:r>
            <w:r>
              <w:rPr>
                <w:b/>
                <w:i/>
              </w:rPr>
              <w:t>Kada</w:t>
            </w:r>
            <w:r>
              <w:t xml:space="preserve"> proizvođači odluče osigurati upute u digitalnom formatu, radi kontinuirane zaštite sigurnosti potrošača sigurnosne informacije, uključujući upute koje utječu na sigurnost proizvoda, </w:t>
            </w:r>
            <w:r>
              <w:rPr>
                <w:b/>
                <w:i/>
              </w:rPr>
              <w:t>moraju</w:t>
            </w:r>
            <w:r>
              <w:t xml:space="preserve"> biti navedene u papirnatom obliku </w:t>
            </w:r>
            <w:r>
              <w:rPr>
                <w:b/>
                <w:i/>
              </w:rPr>
              <w:t>na zahtjev potrošača.</w:t>
            </w:r>
            <w:r>
              <w:t xml:space="preserve"> Krajnji korisnici </w:t>
            </w:r>
            <w:r>
              <w:rPr>
                <w:b/>
                <w:i/>
              </w:rPr>
              <w:t>morali</w:t>
            </w:r>
            <w:r>
              <w:t xml:space="preserve"> bi moći dobiti papirnati primjerak uputa za uporabu ili informacija o sigurnosti</w:t>
            </w:r>
            <w:r>
              <w:rPr>
                <w:b/>
                <w:i/>
              </w:rPr>
              <w:t>, i to</w:t>
            </w:r>
            <w:r>
              <w:t xml:space="preserve"> na zahtjev u trenutku kupnje i tijekom određenog razdoblja nakon kupnje</w:t>
            </w:r>
            <w:r>
              <w:rPr>
                <w:b/>
                <w:i/>
              </w:rPr>
              <w:t>;</w:t>
            </w:r>
            <w:r>
              <w:t xml:space="preserve"> </w:t>
            </w:r>
            <w:r>
              <w:rPr>
                <w:b/>
                <w:i/>
              </w:rPr>
              <w:t>proizvođači nadalje moraju ponuditi alternativna sredstva besplatnog slanja uputa u papirnatom obliku izravno krajnjem korisniku, ne opterećujući pritom distributera</w:t>
            </w:r>
            <w:r>
              <w:t xml:space="preserve">. </w:t>
            </w:r>
            <w:r>
              <w:rPr>
                <w:b/>
                <w:i/>
              </w:rPr>
              <w:t>Distributeri nisu obvezni tiskati ili skladištiti upute, osim ako to ne rade dobrovoljno.</w:t>
            </w:r>
            <w:r>
              <w:t xml:space="preserve"> </w:t>
            </w:r>
            <w:r>
              <w:rPr>
                <w:b/>
                <w:i/>
              </w:rPr>
              <w:t>Komisija bi također trebala procijeniti mogu li informacije o digitalnoj sigurnosti biti jednakovrijedne ili čak učinkovitije;</w:t>
            </w:r>
            <w:r>
              <w:t xml:space="preserve"> </w:t>
            </w:r>
            <w:r>
              <w:rPr>
                <w:b/>
                <w:i/>
              </w:rPr>
              <w:t>ta se procjena unosi u izvješće koje se objavljuje u roku od tri godine.</w:t>
            </w:r>
            <w:r>
              <w:t xml:space="preserve"> </w:t>
            </w:r>
            <w:r>
              <w:rPr>
                <w:b/>
                <w:i/>
              </w:rPr>
              <w:t>Komisija u skladu s tim revidira zakonodavstvo kako je izmijenjeno ovim Skupnim aktom.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10</w:t>
            </w:r>
            <w:r>
              <w:t xml:space="preserve"> </w:t>
            </w:r>
            <w:r>
              <w:rPr>
                <w:b/>
                <w:i/>
              </w:rPr>
              <w:t>Izvor:</w:t>
            </w:r>
            <w:r>
              <w:t xml:space="preserve"> </w:t>
            </w:r>
            <w:r>
              <w:rPr>
                <w:b/>
                <w:i/>
              </w:rPr>
              <w:t>Digital economy and society statistics - households and individuals - Statistics Explained.</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t>Uzimajući u obzir da je 2024. najmanje 94 % kućanstava u EU-u imalo pristup internetu</w:t>
            </w:r>
            <w:r>
              <w:rPr>
                <w:vertAlign w:val="superscript"/>
              </w:rPr>
              <w:t>10</w:t>
            </w:r>
            <w:r>
              <w:t>, papirnati oblik uputa za uporabu priloženih proizvodima obuhvaćenima područjem primjene predmetnih uredbi zastario je i nije u skladu s trenutačnim tehnologijama, praksom potrošača ni sa zelenim ciljevima. Stoga bi u predmetne uredbe trebalo uvesti mogućnost digitalnog formata uputa. Time će se proizvođačima omogućiti da ako to žele upute osiguraju u digitalnom formatu. Ako proizvođači odluče osigurati upute u digitalnom formatu, radi kontinuirane zaštite sigurnosti potrošača sigurnosne bi informacije, uključujući upute koje utječu na sigurnost proizvoda, trebale biti navedene u papirnatom obliku ili označene na proizvodu. Nadalje, krajnji korisnici trebali bi moći dobiti papirnati primjerak uputa za uporabu ili informacija o sigurnosti na zahtjev, u trenutku kupnje i tijekom određenog razdoblja nakon kupnje.</w:t>
            </w:r>
          </w:p>
        </w:tc>
        <w:tc>
          <w:tcPr>
            <w:tcW w:w="4876" w:type="dxa"/>
            <w:tcBorders>
              <w:top w:val="nil"/>
              <w:left w:val="nil"/>
              <w:bottom w:val="nil"/>
              <w:right w:val="nil"/>
            </w:tcBorders>
          </w:tcPr>
          <w:p>
            <w:pPr>
              <w:pStyle w:val="Normal6a"/>
            </w:pPr>
            <w:r>
              <w:rPr>
                <w:b/>
                <w:i/>
              </w:rPr>
              <w:t>8.</w:t>
            </w:r>
            <w:r>
              <w:tab/>
            </w:r>
            <w:r>
              <w:t>Uzimajući u obzir da je 2024. najmanje 94 % kućanstava u EU-u imalo pristup internetu</w:t>
            </w:r>
            <w:r>
              <w:rPr>
                <w:vertAlign w:val="superscript"/>
              </w:rPr>
              <w:t>10</w:t>
            </w:r>
            <w:r>
              <w:t>, papirnati oblik uputa za uporabu priloženih proizvodima obuhvaćenima područjem primjene predmetnih uredbi zastario je i nije u skladu s trenutačnim tehnologijama, praksom potrošača ni sa zelenim ciljevima. Stoga bi u predmetne uredbe trebalo uvesti mogućnost digitalnog formata uputa. Time će se proizvođačima omogućiti da ako to žele upute osiguraju u digitalnom formatu. Ako proizvođači odluče osigurati upute u digitalnom formatu, radi kontinuirane zaštite sigurnosti potrošača sigurnosne bi informacije, uključujući upute koje utječu na sigurnost proizvoda, trebale biti navedene u papirnatom obliku</w:t>
            </w:r>
            <w:r>
              <w:rPr>
                <w:b/>
                <w:i/>
              </w:rPr>
              <w:t>, na zahtjev potrošača,</w:t>
            </w:r>
            <w:r>
              <w:t xml:space="preserve"> ili označene na proizvodu. Nadalje, krajnji korisnici trebali bi moći dobiti papirnati primjerak uputa za uporabu ili informacija o sigurnosti na zahtjev, u trenutku kupnje i tijekom određenog razdoblja nakon kupnje.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 xml:space="preserve">Izvor: </w:t>
            </w:r>
            <w:r>
              <w:rPr>
                <w:b/>
                <w:i/>
              </w:rPr>
              <w:t>Digital economy and society statistics - households and individuals - Statistics Explained.</w:t>
            </w:r>
          </w:p>
        </w:tc>
        <w:tc>
          <w:tcPr>
            <w:tcW w:w="4876" w:type="dxa"/>
            <w:tcBorders>
              <w:top w:val="nil"/>
              <w:left w:val="nil"/>
              <w:bottom w:val="nil"/>
              <w:right w:val="nil"/>
            </w:tcBorders>
          </w:tcPr>
          <w:p>
            <w:pPr>
              <w:pStyle w:val="Normal6a"/>
            </w:pPr>
            <w:r>
              <w:rPr>
                <w:vertAlign w:val="superscript"/>
              </w:rPr>
              <w:t>10</w:t>
            </w:r>
            <w:r>
              <w:t xml:space="preserve"> </w:t>
            </w:r>
            <w:r>
              <w:t xml:space="preserve">Izvor: </w:t>
            </w:r>
            <w:r>
              <w:rPr>
                <w:b/>
                <w:i/>
              </w:rPr>
              <w:t>Statistički podaci o digitalnom gospodarstvu i društvu – kućanstva i pojedinci – Objašnjenje statističkih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Kako bi se osiguralo da potrošači, uključujući ranjive skupine kao što su starije osobe, osobe s invaliditetom ili osobe s ograničenom digitalnom pismenošću, mogu pristupiti sigurnosnim informacijama i uputama te ih razumjeti, proizvođači bi trebali pružati informacije i upute u lako vidljivom i čitljivom obliku.</w:t>
            </w:r>
            <w:r>
              <w:t xml:space="preserve"> </w:t>
            </w:r>
            <w:r>
              <w:rPr>
                <w:b/>
                <w:i/>
              </w:rPr>
              <w:t>Time bi se zajamčila visoka razina zaštite potrošača i zaštita javne sigurnosti.</w:t>
            </w:r>
            <w:r>
              <w:t xml:space="preserve"> </w:t>
            </w:r>
            <w:r>
              <w:rPr>
                <w:b/>
                <w:i/>
              </w:rPr>
              <w:t>U uputama i sigurnosnim informacijama koje se pružaju u digitalnom obliku trebalo bi uzeti u obzir zahtjeve za pristupačnost utvrđene u Prilogu I. Direktivi (EU) 2019/882 kako bi se osigurala upotrebljivost za sve potrošače i krajnje korisnike, uključujući osobe s invaliditetom.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Kako bi se olakšalo ispunjavanje obveza elektroničkog izvješćivanja bez uvođenja složenih informatičkih infrastruktura, trebalo bi osigurati pojednostavnjene standardizirane predloške („predlošci za MSP-ove”) za digitalnu izjavu o sukladnosti i upravljanje elektroničkom dokumentacijom, koji su dostupni svim gospodarskim subjektima i osmišljeni posebno za potrebe MSP-ova.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Uredba (EU) 2016/425 sadržava određene sektorske posebnosti.</w:t>
            </w:r>
            <w:r>
              <w:t xml:space="preserve"> </w:t>
            </w:r>
            <w:r>
              <w:rPr>
                <w:b/>
                <w:i/>
              </w:rPr>
              <w:t>Kako bi se zaštitila sigurnost potrošača, ako je proizvod namijenjen potrošačima ili se može razumno predvidjeti da će ga potrošači upotrebljavati, sve upute i informacije utvrđene u točki 1.4. Priloga II., koje se odnose na sigurnu uporabu proizvoda, trebale bi biti navedene u papirnatom obliku ili vidljive na ambalaži.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Kako bi svi potrošači, uključujući one koji možda nemaju redovit pristup digitalnim alatima, mogli učinkovito ostvariti svoje pravo na dobivanje uputa ili informacija o sigurnosti u papirnatom obliku, proizvođači bi trebali osigurati dostupna sredstva komunikacije za podnošenje takvih zahtjeva, među ostalim telefonom.</w:t>
            </w:r>
            <w:r>
              <w:t xml:space="preserve"> </w:t>
            </w:r>
            <w:r>
              <w:rPr>
                <w:b/>
                <w:i/>
              </w:rPr>
              <w:t>To je posebno važno za starije potrošače i druge skupine kojima prijeti digitalna isključenost.</w:t>
            </w:r>
            <w:r>
              <w:t xml:space="preserve"> </w:t>
            </w:r>
            <w:r>
              <w:rPr>
                <w:b/>
                <w:i/>
              </w:rPr>
              <w:t>Krajnje korisnike također bi trebalo jasno obavijestiti, u sigurnosnim informacijama priloženima proizvodu, o njihovu pravu da zatraže upute ili sigurnosne informacije u papirnatom obliku.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Kako bi svi potrošači, uključujući one koji možda nemaju redovit pristup digitalnim alatima, mogli učinkovito ostvariti svoje pravo na dobivanje uputa ili informacija o sigurnosti u papirnatom obliku, proizvođači bi trebali osigurati dostupna sredstva komunikacije za podnošenje takvih zahtjeva, među ostalim telefonom.</w:t>
            </w:r>
            <w:r>
              <w:t xml:space="preserve"> </w:t>
            </w:r>
            <w:r>
              <w:rPr>
                <w:b/>
                <w:i/>
              </w:rPr>
              <w:t>To je posebno važno za starije potrošače i druge skupine kojima prijeti digitalna isključenost.</w:t>
            </w:r>
            <w:r>
              <w:t xml:space="preserve"> </w:t>
            </w:r>
            <w:r>
              <w:rPr>
                <w:b/>
                <w:i/>
              </w:rPr>
              <w:t>Krajnje korisnike također bi trebalo jasno obavijestiti, u sigurnosnim informacijama priloženima proizvodu, o njihovu pravu da zatraže upute ili sigurnosne informacije u papirnatom obliku.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t>Za lakšu komunikaciju između gospodarskih subjekata te nacionalnih nadležnih tijela i krajnjih korisnika potrebno je navesti digitalni kontakt proizvođača na proizvodu i u EU izjavi o sukladnosti kako bi se poboljšala učinkovitost nadzora tržišta i ubrzao postupak praćenja nesukladnih proizvoda. Gospodarski subjekti trenutačno moraju na proizvodu navesti svoju poštansku adresu, ali to nije uvijek dovoljno da bi ih nadležna tijela mogla brzo kontaktirati. Stoga je potrebno od gospodarskih subjekata zahtijevati da na proizvodu i u EU izjavi o sukladnosti navedu poštansku adresu i digitalni kontakt. Taj bi digitalni kontakt trebalo definirati u predmetnim uredbama.</w:t>
            </w:r>
          </w:p>
        </w:tc>
        <w:tc>
          <w:tcPr>
            <w:tcW w:w="4876" w:type="dxa"/>
            <w:tcBorders>
              <w:top w:val="nil"/>
              <w:left w:val="nil"/>
              <w:bottom w:val="nil"/>
              <w:right w:val="nil"/>
            </w:tcBorders>
          </w:tcPr>
          <w:p>
            <w:pPr>
              <w:pStyle w:val="Normal6a"/>
            </w:pPr>
            <w:r>
              <w:rPr>
                <w:b/>
                <w:i/>
              </w:rPr>
              <w:t>9.</w:t>
            </w:r>
            <w:r>
              <w:tab/>
            </w:r>
            <w:r>
              <w:t xml:space="preserve">Za lakšu komunikaciju između gospodarskih subjekata te nacionalnih nadležnih tijela i krajnjih korisnika potrebno je navesti digitalni kontakt proizvođača na proizvodu i u EU izjavi o sukladnosti kako bi se poboljšala učinkovitost nadzora tržišta i ubrzao postupak praćenja nesukladnih proizvoda. Gospodarski subjekti trenutačno moraju na proizvodu navesti svoju poštansku adresu, ali to nije uvijek dovoljno da bi ih nadležna tijela mogla brzo kontaktirati. Stoga je potrebno od gospodarskih subjekata zahtijevati da na proizvodu i u EU izjavi o sukladnosti navedu poštansku adresu i digitalni kontakt. Taj bi digitalni kontakt trebalo definirati u predmetnim uredbama. </w:t>
            </w:r>
            <w:r>
              <w:rPr>
                <w:b/>
                <w:i/>
              </w:rPr>
              <w:t>Digitalni kontakt trebao bi omogućiti potrošačima i nadležnim tijelima da izravno stupe u kontakt s gospodarskim subjektima i trebao bi biti besplatan, bez potrebe za pružanjem osobnih podataka, preuzimanjem ili upotrebom dodatnih aplikacija specifičnih za gospodarski subjekt ili obvezom registracije isključivo radi stupanja u kontakt s gospodarskim subjektom.</w:t>
            </w:r>
            <w:r>
              <w:t xml:space="preserve"> </w:t>
            </w:r>
            <w:r>
              <w:rPr>
                <w:b/>
                <w:i/>
              </w:rPr>
              <w:t>Takav digitalni kontakt može uključivati, na primjer, adresu e-pošte ili druga izravna sredstva digitalne komunikacije bez međukoraka i omogućivanje sljedivosti razmjena.</w:t>
            </w:r>
            <w:r>
              <w:t xml:space="preserve"> </w:t>
            </w:r>
            <w:r>
              <w:rPr>
                <w:b/>
                <w:i/>
              </w:rPr>
              <w:t>Međutim, to ne bi trebalo tumačiti kao da obuhvaća automatske odgovore na upite, chatbotove, brojeve telefaksa ili telefonske linije.</w:t>
            </w:r>
            <w:r>
              <w:t xml:space="preserve"> </w:t>
            </w:r>
            <w:r>
              <w:rPr>
                <w:b/>
                <w:i/>
              </w:rPr>
              <w:t>Pojam „digitalni kontakt”, slično pojmu „elektronička adresa” iz Uredbe (EU) 2023/988 Europskog parlamenta i Vijeća, trebalo bi tumačiti na tehnološki neutralan način koji se može tehnološki razvijati u budućnosti i koji bi trebao obuhvaćati sve oblike izravne digitalne komunikacije.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t>Za lakšu komunikaciju između gospodarskih subjekata te nacionalnih nadležnih tijela i krajnjih korisnika potrebno je navesti digitalni kontakt proizvođača na proizvodu i u EU izjavi o sukladnosti kako bi se poboljšala učinkovitost nadzora tržišta i ubrzao postupak praćenja nesukladnih proizvoda. Gospodarski subjekti trenutačno moraju na proizvodu navesti svoju poštansku adresu, ali to nije uvijek dovoljno da bi ih nadležna tijela mogla brzo kontaktirati. Stoga je potrebno od gospodarskih subjekata zahtijevati da na proizvodu i u EU izjavi o sukladnosti navedu poštansku adresu i digitalni kontakt. Taj bi digitalni kontakt trebalo definirati u predmetnim uredbama.</w:t>
            </w:r>
          </w:p>
        </w:tc>
        <w:tc>
          <w:tcPr>
            <w:tcW w:w="4876" w:type="dxa"/>
            <w:tcBorders>
              <w:top w:val="nil"/>
              <w:left w:val="nil"/>
              <w:bottom w:val="nil"/>
              <w:right w:val="nil"/>
            </w:tcBorders>
          </w:tcPr>
          <w:p>
            <w:pPr>
              <w:pStyle w:val="Normal6a"/>
            </w:pPr>
            <w:r>
              <w:rPr>
                <w:b/>
                <w:i/>
              </w:rPr>
              <w:t>9.</w:t>
            </w:r>
            <w:r>
              <w:tab/>
            </w:r>
            <w:r>
              <w:t xml:space="preserve">Za lakšu komunikaciju između gospodarskih subjekata te nacionalnih nadležnih tijela i krajnjih korisnika potrebno je navesti digitalni kontakt proizvođača na proizvodu i u EU izjavi o sukladnosti kako bi se poboljšala učinkovitost nadzora tržišta i ubrzao postupak praćenja nesukladnih proizvoda. Gospodarski subjekti trenutačno moraju na proizvodu navesti svoju poštansku adresu, ali to nije uvijek dovoljno da bi ih nadležna tijela mogla brzo kontaktirati. Stoga je potrebno od gospodarskih subjekata zahtijevati da na proizvodu i u EU izjavi o sukladnosti navedu poštansku adresu i digitalni kontakt. Taj bi digitalni kontakt trebalo definirati u predmetnim uredbama. </w:t>
            </w:r>
            <w:r>
              <w:rPr>
                <w:b/>
                <w:i/>
              </w:rPr>
              <w:t>Digitalni kontakt trebao bi omogućiti potrošačima i nadležnim tijelima da izravno stupe u kontakt s gospodarskim subjektima i trebao bi biti besplatan, bez potrebe za pružanjem osobnih podataka, preuzimanjem ili upotrebom dodatnih aplikacija specifičnih za gospodarski subjekt ili registriranjem isključivo radi stupanja u kontakt s gospodarskim subjektom.</w:t>
            </w:r>
            <w:r>
              <w:t xml:space="preserve"> </w:t>
            </w:r>
            <w:r>
              <w:rPr>
                <w:b/>
                <w:i/>
              </w:rPr>
              <w:t>Takav digitalni kontakt može uključivati, na primjer, adresu e-pošte ili obrazac za kontakt na internetskoj stranici.</w:t>
            </w:r>
            <w:r>
              <w:t xml:space="preserve"> </w:t>
            </w:r>
            <w:r>
              <w:rPr>
                <w:b/>
                <w:i/>
              </w:rPr>
              <w:t>Međutim, to ne bi trebalo tumačiti kao da obuhvaća automatske odgovore na upite, chatbotove, brojeve telefaksa ili telefonske linije.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 slučajevima kada se proizvodi proizvode u malim ili specijaliziranim segmentima, trebalo bi biti moguće digitalizirati zahtjeve pojednostavnjenim postupcima, uključujući učitavanje informacija na nacionalne portale koji su u potpunosti dostupni tijelima drugih država članica i Komisiji te koji su u skladu sa zahtjevima u pogledu interoperabilnosti i nadzora tržišta.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Postojeći okvir Unije za normizaciju koji se temelji na Uredbi (EU) br. 1025/2012 Europskog parlamenta i Vijeća</w:t>
            </w:r>
            <w:r>
              <w:rPr>
                <w:b/>
                <w:i/>
                <w:vertAlign w:val="superscript"/>
              </w:rPr>
              <w:t>11</w:t>
            </w:r>
            <w:r>
              <w:rPr>
                <w:b/>
                <w:i/>
              </w:rPr>
              <w:t>automatski je okvir za izradu normi kojima se predviđa pretpostavka sukladnosti s relevantnim bitnim zdravstvenim i sigurnosnim ili drugim zahtjevima.</w:t>
            </w:r>
            <w:r>
              <w:t xml:space="preserve"> </w:t>
            </w:r>
            <w:r>
              <w:rPr>
                <w:b/>
                <w:i/>
              </w:rPr>
              <w:t>Međutim, ako</w:t>
            </w:r>
            <w:r>
              <w:t xml:space="preserve"> usklađene norme </w:t>
            </w:r>
            <w:r>
              <w:rPr>
                <w:b/>
                <w:i/>
              </w:rPr>
              <w:t>ne postoje ili nisu dostatne, Komisija bi trebala moći donijeti provedbene akte kojima se utvrđuju</w:t>
            </w:r>
            <w:r>
              <w:t xml:space="preserve"> zajedničke specifikacije </w:t>
            </w:r>
            <w:r>
              <w:rPr>
                <w:b/>
                <w:i/>
              </w:rPr>
              <w:t>za bitne zdravstvene i sigurnosne zahtjeve ili druge zahtjeve kao iznimno zamjensko rješenje kojim se olakšava obveza proizvođača da ispuni te zdravstvene i sigurnosne ili druge zahtjeve</w:t>
            </w:r>
            <w:r>
              <w:t>.</w:t>
            </w:r>
          </w:p>
        </w:tc>
        <w:tc>
          <w:tcPr>
            <w:tcW w:w="4876" w:type="dxa"/>
            <w:tcBorders>
              <w:top w:val="nil"/>
              <w:left w:val="nil"/>
              <w:bottom w:val="nil"/>
              <w:right w:val="nil"/>
            </w:tcBorders>
          </w:tcPr>
          <w:p>
            <w:pPr>
              <w:pStyle w:val="Normal6a"/>
            </w:pPr>
            <w:r>
              <w:t>(11)</w:t>
            </w:r>
            <w:r>
              <w:tab/>
            </w:r>
            <w:r>
              <w:t xml:space="preserve">Usklađene norme </w:t>
            </w:r>
            <w:r>
              <w:rPr>
                <w:b/>
                <w:i/>
              </w:rPr>
              <w:t>i dalje su preferirani put.</w:t>
            </w:r>
            <w:r>
              <w:t xml:space="preserve"> Zajedničke specifikacije </w:t>
            </w:r>
            <w:r>
              <w:rPr>
                <w:b/>
                <w:i/>
              </w:rPr>
              <w:t>privremene su i razmjerne, donose se samo ako EN nije dovoljan i/ili u hitnim slučajevima, nakon uključivog savjetovanja s MSP-ovima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Uredba (EU) br. 1025/2012 Europskog parlamenta i Vijeća od 25. listopada 2012. o europskoj normizaciji, o izmjeni direktiva Vijeća 89/686/EEZ i 93/15/EEZ i direktiva 94/9/EZ, 94/25/EZ, 95/16/EZ, 97/23/EZ, 98/34/EZ, 2004/22/EZ, 2007/23/EZ, 2009/23/EZ i 2009/105/EZ Europskog parlamenta i Vijeća te o stavljanju izvan snage Odluke Vijeća 87/95/EEZ i Odluke br. 1673/2006/EZ Europskog parlamenta i Vijeća (SL L 316, 14.11.2012., str. 12., ELI: http://data.europa.eu/eli/reg/2012/1025/oj).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t>Postojeći okvir Unije za normizaciju koji se temelji na Uredbi (EU) br. 1025/2012 Europskog parlamenta i Vijeća</w:t>
            </w:r>
            <w:r>
              <w:rPr>
                <w:vertAlign w:val="superscript"/>
              </w:rPr>
              <w:t>11</w:t>
            </w:r>
            <w:r>
              <w:t>automatski je okvir za izradu normi kojima se predviđa pretpostavka sukladnosti s relevantnim bitnim zdravstvenim i sigurnosnim ili drugim zahtjevima. Međutim, ako usklađene norme ne postoje ili nisu dostatne, Komisija bi trebala moći donijeti provedbene akte kojima se utvrđuju zajedničke specifikacije za bitne zdravstvene i sigurnosne zahtjeve ili druge zahtjeve kao iznimno zamjensko rješenje kojim se olakšava obveza proizvođača da ispuni te zdravstvene i sigurnosne ili druge zahtjeve.</w:t>
            </w:r>
          </w:p>
        </w:tc>
        <w:tc>
          <w:tcPr>
            <w:tcW w:w="4876" w:type="dxa"/>
            <w:tcBorders>
              <w:top w:val="nil"/>
              <w:left w:val="nil"/>
              <w:bottom w:val="nil"/>
              <w:right w:val="nil"/>
            </w:tcBorders>
          </w:tcPr>
          <w:p>
            <w:pPr>
              <w:pStyle w:val="Normal6a"/>
            </w:pPr>
            <w:r>
              <w:rPr>
                <w:b/>
                <w:i/>
              </w:rPr>
              <w:t>11.</w:t>
            </w:r>
            <w:r>
              <w:tab/>
            </w:r>
            <w:r>
              <w:t>Postojeći okvir Unije za normizaciju koji se temelji na Uredbi (EU) br. 1025/2012 Europskog parlamenta i Vijeća</w:t>
            </w:r>
            <w:r>
              <w:rPr>
                <w:vertAlign w:val="superscript"/>
              </w:rPr>
              <w:t>11</w:t>
            </w:r>
            <w:r>
              <w:t xml:space="preserve"> automatski je okvir za izradu normi kojima se predviđa pretpostavka sukladnosti s relevantnim bitnim zdravstvenim i sigurnosnim ili drugim zahtjevima. Međutim, ako usklađene norme ne postoje ili nisu dostatne </w:t>
            </w:r>
            <w:r>
              <w:rPr>
                <w:b/>
                <w:i/>
              </w:rPr>
              <w:t>ili ako postoji hitna potreba</w:t>
            </w:r>
            <w:r>
              <w:t xml:space="preserve">, Komisija bi trebala moći donijeti provedbene akte kojima se utvrđuju zajedničke specifikacije za bitne zdravstvene i sigurnosne zahtjeve ili druge zahtjeve kao iznimno zamjensko rješenje kojim se olakšava obveza proizvođača da ispuni te zdravstvene i sigurnosne ili druge zahtjeve. </w:t>
            </w:r>
            <w:r>
              <w:rPr>
                <w:b/>
                <w:i/>
              </w:rPr>
              <w:t>Nekoliko zakonodavnih akata već sadržava alternativnu mogućnost za pružanje pravne predvidljivosti poduzećima i dokazivanje usklađenosti s pravom Unije kako bi se uzele u obzir takve situacije.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Uredba (EU) br. 1025/2012 Europskog parlamenta i Vijeća od 25. listopada 2012. o europskoj normizaciji, o izmjeni direktiva Vijeća 89/686/EEZ i 93/15/EEZ i direktiva 94/9/EZ, 94/25/EZ, 95/16/EZ, 97/23/EZ, 98/34/EZ, 2004/22/EZ, 2007/23/EZ, 2009/23/EZ i 2009/105/EZ Europskog parlamenta i Vijeća te o stavljanju izvan snage Odluke Vijeća 87/95/EEZ i Odluke br. 1673/2006/EZ Europskog parlamenta i Vijeća (SL L 316, 14.11.2012., str. 12., ELI: http://data.europa.eu/eli/reg/2012/1025/oj).</w:t>
            </w:r>
          </w:p>
        </w:tc>
        <w:tc>
          <w:tcPr>
            <w:tcW w:w="4876" w:type="dxa"/>
            <w:tcBorders>
              <w:top w:val="nil"/>
              <w:left w:val="nil"/>
              <w:bottom w:val="nil"/>
              <w:right w:val="nil"/>
            </w:tcBorders>
          </w:tcPr>
          <w:p>
            <w:pPr>
              <w:pStyle w:val="Normal6a"/>
            </w:pPr>
            <w:r>
              <w:rPr>
                <w:vertAlign w:val="superscript"/>
              </w:rPr>
              <w:t>11</w:t>
            </w:r>
            <w:r>
              <w:t xml:space="preserve"> </w:t>
            </w:r>
            <w:r>
              <w:t>Uredba (EU) br. 1025/2012 Europskog parlamenta i Vijeća od 25. listopada 2012. o europskoj normizaciji, o izmjeni direktiva Vijeća 89/686/EEZ i 93/15/EEZ i direktiva 94/9/EZ, 94/25/EZ, 95/16/EZ, 97/23/EZ, 98/34/EZ, 2004/22/EZ, 2007/23/EZ, 2009/23/EZ i 2009/105/EZ Europskog parlamenta i Vijeća te o stavljanju izvan snage Odluke Vijeća 87/95/EEZ i Odluke br. 1673/2006/EZ Europskog parlamenta i Vijeća (SL L 316, 14.11.2012., str. 12., ELI: http://data.europa.eu/eli/reg/2012/1025/oj).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t>Budući da je digitalna putovnica za proizvode predviđena određenim zakonodavstvom EU-a, kao što je Uredba (EU) 2023/1542, od gospodarskih subjekata treba zahtijevati da informacije sadržane u EU izjavi o sukladnosti i uputama za uporabu pohrane u digitalnoj putovnici za proizvode ako proizvod podliježe većem broju zakonodavnih akata. Tim bi se pristupom smanjilo administrativno opterećenje za proizvođače jer više ne bi morali imati zasebne lokacije za pohranu dokumenata o usklađenosti. Pohranjivanjem dokumentacije na jednom mjestu svi potrebni dokumenti kojima se dokazuje usklađenost proizvoda bili bi lako dostupni, čime bi se osigurala transparentnost i olakšalo usklađivanje. Tim bi se pojednostavnjenim pristupom povećala ukupna učinkovitost regulatornog okvira i u skladu je s načelom da bi proizvođač ili drugi gospodarski subjekt, prema potrebi, trebao dostaviti jedinstvenu EU izjavu o sukladnosti u slučaju kada se na proizvod primjenjuje nekoliko zakonodavnih akata Unije o usklađivanju.</w:t>
            </w:r>
          </w:p>
        </w:tc>
        <w:tc>
          <w:tcPr>
            <w:tcW w:w="4876" w:type="dxa"/>
            <w:tcBorders>
              <w:top w:val="nil"/>
              <w:left w:val="nil"/>
              <w:bottom w:val="nil"/>
              <w:right w:val="nil"/>
            </w:tcBorders>
          </w:tcPr>
          <w:p>
            <w:pPr>
              <w:pStyle w:val="Normal6a"/>
            </w:pPr>
            <w:r>
              <w:rPr>
                <w:b/>
                <w:i/>
              </w:rPr>
              <w:t>12.</w:t>
            </w:r>
            <w:r>
              <w:tab/>
            </w:r>
            <w:r>
              <w:t>Budući da je digitalna putovnica za proizvode predviđena određenim zakonodavstvom EU-a, kao što je Uredba (EU) 2023/1542, od gospodarskih subjekata treba zahtijevati da informacije sadržane u EU izjavi o sukladnosti i uputama za uporabu pohrane u digitalnoj putovnici za proizvode ako proizvod podliježe većem broju zakonodavnih akata. Tim bi se pristupom smanjilo administrativno opterećenje za proizvođače jer više ne bi morali imati zasebne lokacije za pohranu dokumenata o usklađenosti</w:t>
            </w:r>
            <w:r>
              <w:rPr>
                <w:b/>
                <w:i/>
              </w:rPr>
              <w:t>, kao što su izjave o sukladnosti, koji se zahtijevaju na temelju različitih dijelova zakonodavstva o proizvodima koji se mogu primjenjivati na isti proizvod, čime bi se potvrdilo načelo jedinstvene izjave o sukladnosti.</w:t>
            </w:r>
            <w:r>
              <w:t xml:space="preserve"> </w:t>
            </w:r>
            <w:r>
              <w:rPr>
                <w:b/>
                <w:i/>
              </w:rPr>
              <w:t>Osim toga, upute dostavljene u elektroničkom obliku pohranile bi se zajedno s izjavom o sukladnosti</w:t>
            </w:r>
            <w:r>
              <w:t>. Pohranjivanjem dokumentacije na jednom mjestu svi potrebni dokumenti kojima se dokazuje usklađenost proizvoda bili bi lako dostupni, čime bi se osigurala transparentnost i olakšalo usklađivanje. Tim bi se pojednostavnjenim pristupom povećala ukupna učinkovitost regulatornog okvira i u skladu je s načelom da bi proizvođač ili drugi gospodarski subjekt, prema potrebi, trebao dostaviti jedinstvenu EU izjavu o sukladnosti u slučaju kada se na proizvod primjenjuje nekoliko zakonodavnih akata Unije o usklađivanju.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 obzirom na različite organizacijske i financijske kapacitete, primjereno je predvidjeti diferenciranu primjenu mjera za prenošenje, dajući mikropoduzećima i MSP-ovima dodatno vrijeme za prilagodbu u odnosu na velika poduzeća.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1. – podtočka a</w:t>
      </w:r>
      <w:r>
        <w:rPr>
          <w:rStyle w:val="HideTWBExt"/>
        </w:rPr>
        <w:t>&lt;/Article&gt;</w:t>
      </w:r>
    </w:p>
    <w:p>
      <w:r>
        <w:rPr>
          <w:rStyle w:val="HideTWBExt"/>
        </w:rPr>
        <w:t>&lt;DocAmend2&gt;</w:t>
      </w:r>
      <w:r>
        <w:t>Uredba (EU) 765/2008</w:t>
      </w:r>
      <w:r>
        <w:rPr>
          <w:rStyle w:val="HideTWBExt"/>
        </w:rPr>
        <w:t>&lt;/DocAmend2&gt;</w:t>
      </w:r>
    </w:p>
    <w:p>
      <w:r>
        <w:rPr>
          <w:rStyle w:val="HideTWBExt"/>
        </w:rPr>
        <w:t>&lt;Article2&gt;</w:t>
      </w:r>
      <w:r>
        <w:t>Članak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(9.a)</w:t>
            </w:r>
            <w:r>
              <w:tab/>
            </w:r>
            <w:r>
              <w:rPr>
                <w:b/>
                <w:i/>
              </w:rPr>
              <w:t>„zajedničke specifikacije” znači skup tehničkih zahtjeva, osim norme, koji osigurava sredstvo da se ispune zakonske obveze koje se primjenjuju na proizvod, uređaj, uslugu, proces ili sustav;;</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1. – podtočka a</w:t>
      </w:r>
      <w:r>
        <w:rPr>
          <w:rStyle w:val="HideTWBExt"/>
        </w:rPr>
        <w:t>&lt;/Article&gt;</w:t>
      </w:r>
    </w:p>
    <w:p>
      <w:r>
        <w:rPr>
          <w:rStyle w:val="HideTWBExt"/>
        </w:rPr>
        <w:t>&lt;DocAmend2&gt;</w:t>
      </w:r>
      <w:r>
        <w:t>Uredba (EU) 765/2007</w:t>
      </w:r>
      <w:r>
        <w:rPr>
          <w:rStyle w:val="HideTWBExt"/>
        </w:rPr>
        <w:t>&lt;/DocAmend2&gt;</w:t>
      </w:r>
    </w:p>
    <w:p>
      <w:r>
        <w:rPr>
          <w:rStyle w:val="HideTWBExt"/>
        </w:rPr>
        <w:t>&lt;Article2&gt;</w:t>
      </w:r>
      <w:r>
        <w:t> Članak 2. – točka 9.a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(9.a)</w:t>
            </w:r>
            <w:r>
              <w:tab/>
            </w:r>
            <w:r>
              <w:rPr>
                <w:b/>
                <w:i/>
              </w:rPr>
              <w:t>„zajedničke specifikacije</w:t>
            </w:r>
            <w:r>
              <w:t xml:space="preserve">” znači skup tehničkih </w:t>
            </w:r>
            <w:r>
              <w:rPr>
                <w:b/>
                <w:i/>
              </w:rPr>
              <w:t>zahtjeva</w:t>
            </w:r>
            <w:r>
              <w:t xml:space="preserve">, osim norme, </w:t>
            </w:r>
            <w:r>
              <w:rPr>
                <w:b/>
                <w:i/>
              </w:rPr>
              <w:t>koji</w:t>
            </w:r>
            <w:r>
              <w:t xml:space="preserve"> osigurava sredstvo </w:t>
            </w:r>
            <w:r>
              <w:rPr>
                <w:b/>
                <w:i/>
              </w:rPr>
              <w:t>da se ispune zakonske obveze koje</w:t>
            </w:r>
            <w:r>
              <w:t xml:space="preserve"> se primjenjuju na proizvod, uređaj, uslugu, proces ili sustav</w:t>
            </w:r>
            <w:r>
              <w:rPr>
                <w:b/>
                <w:i/>
              </w:rPr>
              <w:t>;</w:t>
            </w:r>
            <w:r>
              <w:t>;</w:t>
            </w:r>
          </w:p>
        </w:tc>
        <w:tc>
          <w:tcPr>
            <w:tcW w:w="4876" w:type="dxa"/>
            <w:tcBorders>
              <w:top w:val="nil"/>
              <w:left w:val="nil"/>
              <w:bottom w:val="nil"/>
              <w:right w:val="nil"/>
            </w:tcBorders>
          </w:tcPr>
          <w:p>
            <w:pPr>
              <w:pStyle w:val="Normal6a"/>
            </w:pPr>
            <w:r>
              <w:rPr>
                <w:b/>
                <w:i/>
              </w:rPr>
              <w:t>9.a</w:t>
            </w:r>
            <w:r>
              <w:tab/>
            </w:r>
            <w:r>
              <w:rPr>
                <w:b/>
                <w:i/>
              </w:rPr>
              <w:t>„zajednička specifikacija</w:t>
            </w:r>
            <w:r>
              <w:t xml:space="preserve">” znači skup tehničkih </w:t>
            </w:r>
            <w:r>
              <w:rPr>
                <w:b/>
                <w:i/>
              </w:rPr>
              <w:t>specifikacija</w:t>
            </w:r>
            <w:r>
              <w:t xml:space="preserve">, osim norme, </w:t>
            </w:r>
            <w:r>
              <w:rPr>
                <w:b/>
                <w:i/>
              </w:rPr>
              <w:t>kojim se</w:t>
            </w:r>
            <w:r>
              <w:t xml:space="preserve"> osigurava sredstvo </w:t>
            </w:r>
            <w:r>
              <w:rPr>
                <w:b/>
                <w:i/>
              </w:rPr>
              <w:t>za ispunjenje bitnih zahtjeva koji</w:t>
            </w:r>
            <w:r>
              <w:t xml:space="preserve"> se primjenjuju na proizvod, uređaj, uslugu, proces ili sustav</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radi jasnoće</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2.</w:t>
      </w:r>
      <w:r>
        <w:rPr>
          <w:rStyle w:val="HideTWBExt"/>
        </w:rPr>
        <w:t>&lt;/Article&gt;</w:t>
      </w:r>
    </w:p>
    <w:p>
      <w:r>
        <w:rPr>
          <w:rStyle w:val="HideTWBExt"/>
        </w:rPr>
        <w:t>&lt;DocAmend2&gt;</w:t>
      </w:r>
      <w:r>
        <w:t>Uredba (EU) 765/2008</w:t>
      </w:r>
      <w:r>
        <w:rPr>
          <w:rStyle w:val="HideTWBExt"/>
        </w:rPr>
        <w:t>&lt;/DocAmend2&gt;</w:t>
      </w:r>
    </w:p>
    <w:p>
      <w:r>
        <w:rPr>
          <w:rStyle w:val="HideTWBExt"/>
        </w:rPr>
        <w:t>&lt;Article2&gt;</w:t>
      </w:r>
      <w:r>
        <w:t>Članak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Uzajamnim vrednovanjem utvrđuje </w:t>
            </w:r>
            <w:r>
              <w:rPr>
                <w:b/>
                <w:i/>
              </w:rPr>
              <w:t>se</w:t>
            </w:r>
            <w:r>
              <w:t xml:space="preserve"> zadovoljavaju li nacionalna akreditacijska tijela zahtjeve utvrđene u članku 8. uzimajući u obzir odgovarajuće usklađene norme </w:t>
            </w:r>
            <w:r>
              <w:rPr>
                <w:b/>
                <w:i/>
              </w:rPr>
              <w:t>ili zajedničke specifikacije</w:t>
            </w:r>
            <w:r>
              <w:t xml:space="preserve"> iz članka 11.;</w:t>
            </w:r>
          </w:p>
        </w:tc>
        <w:tc>
          <w:tcPr>
            <w:tcW w:w="4876" w:type="dxa"/>
            <w:tcBorders>
              <w:top w:val="nil"/>
              <w:left w:val="nil"/>
              <w:bottom w:val="nil"/>
              <w:right w:val="nil"/>
            </w:tcBorders>
          </w:tcPr>
          <w:p>
            <w:pPr>
              <w:pStyle w:val="Normal6a"/>
            </w:pPr>
            <w:r>
              <w:t>5.</w:t>
            </w:r>
            <w:r>
              <w:tab/>
            </w:r>
            <w:r>
              <w:t xml:space="preserve">Uzajamnim vrednovanjem </w:t>
            </w:r>
            <w:r>
              <w:rPr>
                <w:b/>
                <w:i/>
              </w:rPr>
              <w:t>se</w:t>
            </w:r>
            <w:r>
              <w:t xml:space="preserve"> utvrđuje zadovoljavaju li nacionalna akreditacijska tijela zahtjeve utvrđene u članku 8. uzimajući u obzir odgovarajuće usklađene norme iz članka 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1. – podtočka a</w:t>
      </w:r>
      <w:r>
        <w:rPr>
          <w:rStyle w:val="HideTWBExt"/>
        </w:rPr>
        <w:t>&lt;/Article&gt;</w:t>
      </w:r>
    </w:p>
    <w:p>
      <w:r>
        <w:rPr>
          <w:rStyle w:val="HideTWBExt"/>
        </w:rPr>
        <w:t>&lt;DocAmend2&gt;</w:t>
      </w:r>
      <w:r>
        <w:t>Uredba (EU) 2016/424</w:t>
      </w:r>
      <w:r>
        <w:rPr>
          <w:rStyle w:val="HideTWBExt"/>
        </w:rPr>
        <w:t>&lt;/DocAmend2&gt;</w:t>
      </w:r>
    </w:p>
    <w:p>
      <w:r>
        <w:rPr>
          <w:rStyle w:val="HideTWBExt"/>
        </w:rPr>
        <w:t>&lt;Article2&gt;</w:t>
      </w:r>
      <w:r>
        <w:t> Članak 3. – točka 17.a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(17.a)</w:t>
            </w:r>
            <w:r>
              <w:tab/>
            </w:r>
            <w:r>
              <w:t xml:space="preserve">„digitalni kontakt” znači svaki </w:t>
            </w:r>
            <w:r>
              <w:rPr>
                <w:b/>
                <w:i/>
              </w:rPr>
              <w:t>ažuran i pristupačan</w:t>
            </w:r>
            <w:r>
              <w:t xml:space="preserve"> internetski komunikacijski kanal kojim se može obratiti gospodarskim subjektima bez registracije ili preuzimanja aplikacije</w:t>
            </w:r>
            <w:r>
              <w:rPr>
                <w:b/>
                <w:i/>
              </w:rPr>
              <w:t>;</w:t>
            </w:r>
            <w:r>
              <w:t>;</w:t>
            </w:r>
          </w:p>
        </w:tc>
        <w:tc>
          <w:tcPr>
            <w:tcW w:w="4876" w:type="dxa"/>
            <w:tcBorders>
              <w:top w:val="nil"/>
              <w:left w:val="nil"/>
              <w:bottom w:val="nil"/>
              <w:right w:val="nil"/>
            </w:tcBorders>
          </w:tcPr>
          <w:p>
            <w:pPr>
              <w:pStyle w:val="Normal6a"/>
            </w:pPr>
            <w:r>
              <w:rPr>
                <w:b/>
                <w:i/>
              </w:rPr>
              <w:t>17.a</w:t>
            </w:r>
            <w:r>
              <w:tab/>
            </w:r>
            <w:r>
              <w:t xml:space="preserve">„digitalni kontakt” znači svaki </w:t>
            </w:r>
            <w:r>
              <w:rPr>
                <w:b/>
                <w:i/>
              </w:rPr>
              <w:t>ažuriran i javno dostupan</w:t>
            </w:r>
            <w:r>
              <w:t xml:space="preserve"> internetski komunikacijski kanal kojim se može obratiti gospodarskim subjektima bez registracije ili preuzimanja aplikacije </w:t>
            </w:r>
            <w:r>
              <w:rPr>
                <w:b/>
                <w:i/>
              </w:rPr>
              <w:t>ili korištenja dodatnih aplikacija povezanih s gospodarskim subjektom”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(Horizontalna izmjena.</w:t>
            </w:r>
            <w:r>
              <w:rPr>
                <w:i/>
              </w:rPr>
              <w:t xml:space="preserve"> </w:t>
            </w:r>
            <w:r>
              <w:rPr>
                <w:i/>
              </w:rPr>
              <w:t>Ovom se izmjenom zamjenjuje definicija digitalnog kontakta u svim odgovarajućim odredbama o izmjeni iz članka 2. Uredbe (EU) 2016/424;</w:t>
            </w:r>
            <w:r>
              <w:rPr>
                <w:i/>
              </w:rPr>
              <w:t xml:space="preserve"> </w:t>
            </w:r>
            <w:r>
              <w:rPr>
                <w:i/>
              </w:rPr>
              <w:t>članka 3. Uredbe (EU) 2016/425;</w:t>
            </w:r>
            <w:r>
              <w:rPr>
                <w:i/>
              </w:rPr>
              <w:t xml:space="preserve"> </w:t>
            </w:r>
            <w:r>
              <w:rPr>
                <w:i/>
              </w:rPr>
              <w:t>članka 5. Uredbe (EU) 2023/1230;</w:t>
            </w:r>
            <w:r>
              <w:rPr>
                <w:i/>
              </w:rPr>
              <w:t xml:space="preserve"> </w:t>
            </w:r>
            <w:r>
              <w:rPr>
                <w:i/>
              </w:rPr>
              <w:t>članka 6. Uredbe (EU) 2023/1542;</w:t>
            </w:r>
            <w:r>
              <w:rPr>
                <w:i/>
              </w:rPr>
              <w:t xml:space="preserve"> </w:t>
            </w:r>
            <w:r>
              <w:rPr>
                <w:i/>
              </w:rPr>
              <w:t>članka 7. Uredbe (EU) 2024/1781.)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1. – podtočka a</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3.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(17.a)</w:t>
            </w:r>
            <w:r>
              <w:tab/>
            </w:r>
            <w:r>
              <w:t xml:space="preserve">„digitalni kontakt” </w:t>
            </w:r>
            <w:r>
              <w:rPr>
                <w:b/>
                <w:i/>
              </w:rPr>
              <w:t>znači</w:t>
            </w:r>
            <w:r>
              <w:t xml:space="preserve"> svaki </w:t>
            </w:r>
            <w:r>
              <w:rPr>
                <w:b/>
                <w:i/>
              </w:rPr>
              <w:t>ažuran i pristupačan</w:t>
            </w:r>
            <w:r>
              <w:t xml:space="preserve"> internetski komunikacijski kanal </w:t>
            </w:r>
            <w:r>
              <w:rPr>
                <w:b/>
                <w:i/>
              </w:rPr>
              <w:t>kojim se može obratiti gospodarskim subjektima bez registracije ili preuzimanja</w:t>
            </w:r>
            <w:r>
              <w:t xml:space="preserve"> aplikacije</w:t>
            </w:r>
            <w:r>
              <w:rPr>
                <w:b/>
                <w:i/>
              </w:rPr>
              <w:t>;</w:t>
            </w:r>
            <w:r>
              <w:t>;</w:t>
            </w:r>
          </w:p>
        </w:tc>
        <w:tc>
          <w:tcPr>
            <w:tcW w:w="4876" w:type="dxa"/>
            <w:tcBorders>
              <w:top w:val="nil"/>
              <w:left w:val="nil"/>
              <w:bottom w:val="nil"/>
              <w:right w:val="nil"/>
            </w:tcBorders>
          </w:tcPr>
          <w:p>
            <w:pPr>
              <w:pStyle w:val="Normal6a"/>
            </w:pPr>
            <w:r>
              <w:t>(17.a)</w:t>
            </w:r>
            <w:r>
              <w:tab/>
            </w:r>
            <w:r>
              <w:t>„Digitalni kontakt”</w:t>
            </w:r>
            <w:r>
              <w:rPr>
                <w:b/>
                <w:i/>
              </w:rPr>
              <w:t>:</w:t>
            </w:r>
            <w:r>
              <w:t xml:space="preserve"> svaki </w:t>
            </w:r>
            <w:r>
              <w:rPr>
                <w:b/>
                <w:i/>
              </w:rPr>
              <w:t>ažurirani i dostupan</w:t>
            </w:r>
            <w:r>
              <w:t xml:space="preserve"> internetski komunikacijski kanal </w:t>
            </w:r>
            <w:r>
              <w:rPr>
                <w:b/>
                <w:i/>
              </w:rPr>
              <w:t>putem kojeg se gospodarski subjekti mogu pronaći ili uključiti bez potrebe za registracijom kod gospodarskog subjekta ili preuzimanjem</w:t>
            </w:r>
            <w:r>
              <w:t xml:space="preserve"> aplikacije </w:t>
            </w:r>
            <w:r>
              <w:rPr>
                <w:b/>
                <w:i/>
              </w:rPr>
              <w:t>od gospodarskog subjekta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1. – podtočka a</w:t>
      </w:r>
      <w:r>
        <w:rPr>
          <w:rStyle w:val="HideTWBExt"/>
        </w:rPr>
        <w:t>&lt;/Article&gt;</w:t>
      </w:r>
    </w:p>
    <w:p>
      <w:r>
        <w:rPr>
          <w:rStyle w:val="HideTWBExt"/>
        </w:rPr>
        <w:t>&lt;DocAmend2&gt;</w:t>
      </w:r>
      <w:r>
        <w:t>Uredba (EU) 2016/424</w:t>
      </w:r>
      <w:r>
        <w:rPr>
          <w:rStyle w:val="HideTWBExt"/>
        </w:rPr>
        <w:t>&lt;/DocAmend2&gt;</w:t>
      </w:r>
    </w:p>
    <w:p>
      <w:r>
        <w:rPr>
          <w:rStyle w:val="HideTWBExt"/>
        </w:rPr>
        <w:t>&lt;Article2&gt;</w:t>
      </w:r>
      <w:r>
        <w:t> Članak 3. – točka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(17.a)</w:t>
            </w:r>
            <w:r>
              <w:tab/>
            </w:r>
            <w:r>
              <w:t xml:space="preserve">„digitalni kontakt” znači svaki </w:t>
            </w:r>
            <w:r>
              <w:rPr>
                <w:b/>
                <w:i/>
              </w:rPr>
              <w:t>ažuran i pristupačan</w:t>
            </w:r>
            <w:r>
              <w:t xml:space="preserve"> internetski komunikacijski kanal kojim se može obratiti gospodarskim subjektima bez registracije ili preuzimanja aplikacije</w:t>
            </w:r>
            <w:r>
              <w:rPr>
                <w:b/>
                <w:i/>
              </w:rPr>
              <w:t>;</w:t>
            </w:r>
            <w:r>
              <w:t>;</w:t>
            </w:r>
          </w:p>
        </w:tc>
        <w:tc>
          <w:tcPr>
            <w:tcW w:w="4876" w:type="dxa"/>
            <w:tcBorders>
              <w:top w:val="nil"/>
              <w:left w:val="nil"/>
              <w:bottom w:val="nil"/>
              <w:right w:val="nil"/>
            </w:tcBorders>
          </w:tcPr>
          <w:p>
            <w:pPr>
              <w:pStyle w:val="Normal6a"/>
            </w:pPr>
            <w:r>
              <w:rPr>
                <w:b/>
                <w:i/>
              </w:rPr>
              <w:t>17.a</w:t>
            </w:r>
            <w:r>
              <w:tab/>
            </w:r>
            <w:r>
              <w:t xml:space="preserve">„digitalni kontakt” znači svaki </w:t>
            </w:r>
            <w:r>
              <w:rPr>
                <w:b/>
                <w:i/>
              </w:rPr>
              <w:t>ažuriran i javno dostupan</w:t>
            </w:r>
            <w:r>
              <w:t xml:space="preserve"> internetski komunikacijski kanal kojim se može obratiti gospodarskim subjektima bez registracije ili preuzimanja aplikacije </w:t>
            </w:r>
            <w:r>
              <w:rPr>
                <w:b/>
                <w:i/>
              </w:rPr>
              <w:t>ili korištenja dodatnih aplikacija specifičnih za gospodarski subjekt”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1.a, članak 4. stavak 1.a, članak 5. stavak 1., članak 6. stavak 1., članak 7. stavak 1.</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1. – podtočka b</w:t>
      </w:r>
      <w:r>
        <w:rPr>
          <w:rStyle w:val="HideTWBExt"/>
        </w:rPr>
        <w:t>&lt;/Article&gt;</w:t>
      </w:r>
    </w:p>
    <w:p>
      <w:r>
        <w:rPr>
          <w:rStyle w:val="HideTWBExt"/>
        </w:rPr>
        <w:t>&lt;DocAmend2&gt;</w:t>
      </w:r>
      <w:r>
        <w:t>Uredba (EU) 2016/424</w:t>
      </w:r>
      <w:r>
        <w:rPr>
          <w:rStyle w:val="HideTWBExt"/>
        </w:rPr>
        <w:t>&lt;/DocAmend2&gt;</w:t>
      </w:r>
    </w:p>
    <w:p>
      <w:r>
        <w:rPr>
          <w:rStyle w:val="HideTWBExt"/>
        </w:rPr>
        <w:t>&lt;Article2&gt;</w:t>
      </w:r>
      <w:r>
        <w:t> Članak 3. – točka 19.a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(19.a)</w:t>
            </w:r>
            <w:r>
              <w:tab/>
            </w:r>
            <w:r>
              <w:rPr>
                <w:b/>
                <w:i/>
              </w:rPr>
              <w:t>„zajedničke specifikacije</w:t>
            </w:r>
            <w:r>
              <w:t xml:space="preserve">” znači </w:t>
            </w:r>
            <w:r>
              <w:rPr>
                <w:b/>
                <w:i/>
              </w:rPr>
              <w:t>skup tehničkih zahtjeva</w:t>
            </w:r>
            <w:r>
              <w:t xml:space="preserve">, osim norme, </w:t>
            </w:r>
            <w:r>
              <w:rPr>
                <w:b/>
                <w:i/>
              </w:rPr>
              <w:t>koji</w:t>
            </w:r>
            <w:r>
              <w:t xml:space="preserve"> osigurava </w:t>
            </w:r>
            <w:r>
              <w:rPr>
                <w:b/>
                <w:i/>
              </w:rPr>
              <w:t>sredstvo da se ispune bitni zahtjevi</w:t>
            </w:r>
            <w:r>
              <w:t xml:space="preserve"> koji se primjenjuju na </w:t>
            </w:r>
            <w:r>
              <w:rPr>
                <w:b/>
                <w:i/>
              </w:rPr>
              <w:t>proizvod, uređaj, uslugu, proces ili sustav;</w:t>
            </w:r>
            <w:r>
              <w:t>;</w:t>
            </w:r>
          </w:p>
        </w:tc>
        <w:tc>
          <w:tcPr>
            <w:tcW w:w="4876" w:type="dxa"/>
            <w:tcBorders>
              <w:top w:val="nil"/>
              <w:left w:val="nil"/>
              <w:bottom w:val="nil"/>
              <w:right w:val="nil"/>
            </w:tcBorders>
          </w:tcPr>
          <w:p>
            <w:pPr>
              <w:pStyle w:val="Normal6a"/>
            </w:pPr>
            <w:r>
              <w:rPr>
                <w:b/>
                <w:i/>
              </w:rPr>
              <w:t>19.a</w:t>
            </w:r>
            <w:r>
              <w:tab/>
            </w:r>
            <w:r>
              <w:rPr>
                <w:b/>
                <w:i/>
              </w:rPr>
              <w:t>„zajednička specifikacija</w:t>
            </w:r>
            <w:r>
              <w:t xml:space="preserve">” znači </w:t>
            </w:r>
            <w:r>
              <w:rPr>
                <w:b/>
                <w:i/>
              </w:rPr>
              <w:t>tehnička specifikacija</w:t>
            </w:r>
            <w:r>
              <w:t xml:space="preserve">, osim norme, </w:t>
            </w:r>
            <w:r>
              <w:rPr>
                <w:b/>
                <w:i/>
              </w:rPr>
              <w:t>kojom se</w:t>
            </w:r>
            <w:r>
              <w:t xml:space="preserve"> osigurava </w:t>
            </w:r>
            <w:r>
              <w:rPr>
                <w:b/>
                <w:i/>
              </w:rPr>
              <w:t>način ispunjavanja bitnih zahtjeva utvrđenih u Prilogu II.</w:t>
            </w:r>
            <w:r>
              <w:t xml:space="preserve"> koji se primjenjuju na </w:t>
            </w:r>
            <w:r>
              <w:rPr>
                <w:b/>
                <w:i/>
              </w:rPr>
              <w:t>podsustav ili sigurnosnu komponentu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1. – podtočka b</w:t>
      </w:r>
      <w:r>
        <w:rPr>
          <w:rStyle w:val="HideTWBExt"/>
        </w:rPr>
        <w:t>&lt;/Article&gt;</w:t>
      </w:r>
    </w:p>
    <w:p>
      <w:r>
        <w:rPr>
          <w:rStyle w:val="HideTWBExt"/>
        </w:rPr>
        <w:t>&lt;DocAmend2&gt;</w:t>
      </w:r>
      <w:r>
        <w:t>Uredba (EU) 2016/424</w:t>
      </w:r>
      <w:r>
        <w:rPr>
          <w:rStyle w:val="HideTWBExt"/>
        </w:rPr>
        <w:t>&lt;/DocAmend2&gt;</w:t>
      </w:r>
    </w:p>
    <w:p>
      <w:r>
        <w:rPr>
          <w:rStyle w:val="HideTWBExt"/>
        </w:rPr>
        <w:t>&lt;Article2&gt;</w:t>
      </w:r>
      <w:r>
        <w:t> Članak 3. – točka 19.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(19.a)</w:t>
            </w:r>
            <w:r>
              <w:tab/>
            </w:r>
            <w:r>
              <w:rPr>
                <w:b/>
                <w:i/>
              </w:rPr>
              <w:t>„zajedničke specifikacije</w:t>
            </w:r>
            <w:r>
              <w:t xml:space="preserve">” znači </w:t>
            </w:r>
            <w:r>
              <w:rPr>
                <w:b/>
                <w:i/>
              </w:rPr>
              <w:t>skup tehničkih zahtjeva</w:t>
            </w:r>
            <w:r>
              <w:t xml:space="preserve">, osim norme, </w:t>
            </w:r>
            <w:r>
              <w:rPr>
                <w:b/>
                <w:i/>
              </w:rPr>
              <w:t>koji</w:t>
            </w:r>
            <w:r>
              <w:t xml:space="preserve"> osigurava </w:t>
            </w:r>
            <w:r>
              <w:rPr>
                <w:b/>
                <w:i/>
              </w:rPr>
              <w:t>sredstvo da se ispune bitni zahtjevi</w:t>
            </w:r>
            <w:r>
              <w:t xml:space="preserve"> koji se primjenjuju na </w:t>
            </w:r>
            <w:r>
              <w:rPr>
                <w:b/>
                <w:i/>
              </w:rPr>
              <w:t>proizvod, uređaj, uslugu, proces ili sustav;</w:t>
            </w:r>
            <w:r>
              <w:t>;</w:t>
            </w:r>
          </w:p>
        </w:tc>
        <w:tc>
          <w:tcPr>
            <w:tcW w:w="4876" w:type="dxa"/>
            <w:tcBorders>
              <w:top w:val="nil"/>
              <w:left w:val="nil"/>
              <w:bottom w:val="nil"/>
              <w:right w:val="nil"/>
            </w:tcBorders>
          </w:tcPr>
          <w:p>
            <w:pPr>
              <w:pStyle w:val="Normal6a"/>
            </w:pPr>
            <w:r>
              <w:rPr>
                <w:b/>
                <w:i/>
              </w:rPr>
              <w:t>19.a</w:t>
            </w:r>
            <w:r>
              <w:tab/>
            </w:r>
            <w:r>
              <w:rPr>
                <w:b/>
                <w:i/>
              </w:rPr>
              <w:t>„zajednička specifikacija</w:t>
            </w:r>
            <w:r>
              <w:t xml:space="preserve">” znači </w:t>
            </w:r>
            <w:r>
              <w:rPr>
                <w:b/>
                <w:i/>
              </w:rPr>
              <w:t>tehnička specifikacija</w:t>
            </w:r>
            <w:r>
              <w:t xml:space="preserve">, osim norme, </w:t>
            </w:r>
            <w:r>
              <w:rPr>
                <w:b/>
                <w:i/>
              </w:rPr>
              <w:t>kojom se</w:t>
            </w:r>
            <w:r>
              <w:t xml:space="preserve"> osigurava </w:t>
            </w:r>
            <w:r>
              <w:rPr>
                <w:b/>
                <w:i/>
              </w:rPr>
              <w:t>način ispunjavanja bitnih zahtjeva utvrđenih u Prilogu II.</w:t>
            </w:r>
            <w:r>
              <w:t xml:space="preserve"> koji se primjenjuju na </w:t>
            </w:r>
            <w:r>
              <w:rPr>
                <w:b/>
                <w:i/>
              </w:rPr>
              <w:t>podsustav ili sigurnosnu komponentu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a</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Kad</w:t>
            </w:r>
            <w:r>
              <w:t xml:space="preserve"> je postupkom iz prvog podstavka dokazana sukladnost podsustava ili sigurnosne komponente s primjenjivim zahtjevima, proizvođači sastavljaju EU izjavu o sukladnosti u elektroničkom obliku i stavljaju oznaku CE.;</w:t>
            </w:r>
          </w:p>
        </w:tc>
        <w:tc>
          <w:tcPr>
            <w:tcW w:w="4876" w:type="dxa"/>
            <w:tcBorders>
              <w:top w:val="nil"/>
              <w:left w:val="nil"/>
              <w:bottom w:val="nil"/>
              <w:right w:val="nil"/>
            </w:tcBorders>
          </w:tcPr>
          <w:p>
            <w:pPr>
              <w:pStyle w:val="Normal6a"/>
            </w:pPr>
            <w:r>
              <w:rPr>
                <w:b/>
                <w:i/>
              </w:rPr>
              <w:t>Ako</w:t>
            </w:r>
            <w:r>
              <w:t xml:space="preserve"> je postupkom iz prvog podstavka dokazana sukladnost podsustava ili sigurnosne komponente s primjenjivim zahtjevima, proizvođači sastavljaju EU izjavu o sukladnosti </w:t>
            </w:r>
            <w:r>
              <w:rPr>
                <w:b/>
                <w:i/>
              </w:rPr>
              <w:t>iz članka 19.</w:t>
            </w:r>
            <w:r>
              <w:t xml:space="preserve"> u elektroničkom obliku i stavljaju oznaku CE </w:t>
            </w:r>
            <w:r>
              <w:rPr>
                <w:b/>
                <w:i/>
              </w:rPr>
              <w:t>iz članka 20</w:t>
            </w:r>
            <w:r>
              <w:t>.</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c</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podsustavu ili sigurnosnoj komponenti navode svoje ime, registrirano trgovačko ime ili registrirani trgovački znak te poštansku adresu i digitalni kontakt ili, ako to nije moguće, na ambalaži ili u dokumentu priloženom uz podsustav ili sigurnosnu komponentu. U poštanskoj adresi i digitalnom kontaktu mora biti navedeno jedinstveno mjesto na kojem </w:t>
            </w:r>
            <w:r>
              <w:rPr>
                <w:b/>
                <w:i/>
              </w:rPr>
              <w:t>je proizvođač dostupan.</w:t>
            </w:r>
            <w:r>
              <w:t>;</w:t>
            </w:r>
          </w:p>
        </w:tc>
        <w:tc>
          <w:tcPr>
            <w:tcW w:w="4876" w:type="dxa"/>
            <w:tcBorders>
              <w:top w:val="nil"/>
              <w:left w:val="nil"/>
              <w:bottom w:val="nil"/>
              <w:right w:val="nil"/>
            </w:tcBorders>
          </w:tcPr>
          <w:p>
            <w:pPr>
              <w:pStyle w:val="Normal6a"/>
            </w:pPr>
            <w:r>
              <w:t xml:space="preserve">Proizvođači na podsustavu ili sigurnosnoj komponenti navode svoje ime, registrirano trgovačko ime ili registrirani trgovački znak te poštansku adresu i digitalni kontakt ili, ako to nije moguće, na ambalaži ili u dokumentu priloženom uz podsustav ili sigurnosnu komponentu. U poštanskoj adresi i digitalnom kontaktu mora biti navedeno jedinstveno mjesto na kojem </w:t>
            </w:r>
            <w:r>
              <w:rPr>
                <w:b/>
                <w:i/>
              </w:rPr>
              <w:t>se može stupiti u kontakt s proizvođačem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c</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w:t>
            </w:r>
            <w:r>
              <w:rPr>
                <w:b/>
                <w:i/>
              </w:rPr>
              <w:t>na</w:t>
            </w:r>
            <w:r>
              <w:t xml:space="preserve"> podsustavu ili sigurnosnoj komponenti </w:t>
            </w:r>
            <w:r>
              <w:rPr>
                <w:b/>
                <w:i/>
              </w:rPr>
              <w:t>navode svoje ime, registrirano trgovačko ime ili registrirani trgovački znak te poštansku adresu i digitalni kontakt</w:t>
            </w:r>
            <w:r>
              <w:t xml:space="preserve"> ili, ako to nije moguće, na ambalaži ili u dokumentu priloženom uz podsustav ili sigurnosnu komponentu</w:t>
            </w:r>
            <w:r>
              <w:rPr>
                <w:b/>
                <w:i/>
              </w:rPr>
              <w:t>.</w:t>
            </w:r>
            <w:r>
              <w:t xml:space="preserve"> </w:t>
            </w:r>
            <w:r>
              <w:rPr>
                <w:b/>
                <w:i/>
              </w:rPr>
              <w:t>U poštanskoj adresi i digitalnom kontaktu mora biti navedeno jedinstveno mjesto na kojem je proizvođač dostupan</w:t>
            </w:r>
            <w:r>
              <w:t>.</w:t>
            </w:r>
            <w:r>
              <w:rPr>
                <w:b/>
                <w:i/>
              </w:rPr>
              <w:t>;</w:t>
            </w:r>
          </w:p>
        </w:tc>
        <w:tc>
          <w:tcPr>
            <w:tcW w:w="4876" w:type="dxa"/>
            <w:tcBorders>
              <w:top w:val="nil"/>
              <w:left w:val="nil"/>
              <w:bottom w:val="nil"/>
              <w:right w:val="nil"/>
            </w:tcBorders>
          </w:tcPr>
          <w:p>
            <w:pPr>
              <w:pStyle w:val="Normal6a"/>
            </w:pPr>
            <w:r>
              <w:t xml:space="preserve">Proizvođači </w:t>
            </w:r>
            <w:r>
              <w:rPr>
                <w:b/>
                <w:i/>
              </w:rPr>
              <w:t>u</w:t>
            </w:r>
            <w:r>
              <w:t xml:space="preserve"> podsustavu ili </w:t>
            </w:r>
            <w:r>
              <w:rPr>
                <w:b/>
                <w:i/>
              </w:rPr>
              <w:t>na</w:t>
            </w:r>
            <w:r>
              <w:t xml:space="preserve"> sigurnosnoj komponenti ili, ako to nije moguće, na ambalaži ili u dokumentu priloženom uz podsustav ili sigurnosnu komponentu </w:t>
            </w:r>
            <w:r>
              <w:rPr>
                <w:b/>
                <w:i/>
              </w:rPr>
              <w:t>navode svoj naziv, registriranu tvrtku ili registrirani trgovački znak te poštansku adresu ili digitalni kontakt.</w:t>
            </w:r>
            <w:r>
              <w:t xml:space="preserve"> </w:t>
            </w:r>
            <w:r>
              <w:rPr>
                <w:b/>
                <w:i/>
              </w:rPr>
              <w:t>Poštanska adresa i digitalni kontakt kontaktna su točka proizvođača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c</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podsustavu ili sigurnosnoj komponenti navode svoje ime, registrirano trgovačko ime ili registrirani trgovački znak te poštansku adresu </w:t>
            </w:r>
            <w:r>
              <w:rPr>
                <w:b/>
                <w:i/>
              </w:rPr>
              <w:t>i</w:t>
            </w:r>
            <w:r>
              <w:t xml:space="preserve"> digitalni kontakt ili, ako to nije moguće, na ambalaži ili u dokumentu priloženom uz podsustav ili sigurnosnu komponentu. U poštanskoj adresi i digitalnom kontaktu mora biti navedeno jedinstveno mjesto na kojem je proizvođač dostupan.;</w:t>
            </w:r>
          </w:p>
        </w:tc>
        <w:tc>
          <w:tcPr>
            <w:tcW w:w="4876" w:type="dxa"/>
            <w:tcBorders>
              <w:top w:val="nil"/>
              <w:left w:val="nil"/>
              <w:bottom w:val="nil"/>
              <w:right w:val="nil"/>
            </w:tcBorders>
          </w:tcPr>
          <w:p>
            <w:pPr>
              <w:pStyle w:val="Normal6a"/>
            </w:pPr>
            <w:r>
              <w:t xml:space="preserve">Proizvođači na podsustavu ili sigurnosnoj komponenti navode svoje ime, registrirano trgovačko ime ili registrirani trgovački znak te poštansku adresu </w:t>
            </w:r>
            <w:r>
              <w:rPr>
                <w:b/>
                <w:i/>
              </w:rPr>
              <w:t>ili</w:t>
            </w:r>
            <w:r>
              <w:t xml:space="preserve"> digitalni kontakt ili, ako to nije moguće, na ambalaži ili u dokumentu priloženom uz podsustav ili sigurnosnu komponentu. U poštanskoj adresi i digitalnom kontaktu mora biti navedeno jedinstveno mjesto na kojem je proizvođač dostupan.;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Proizvođači osiguravaju da je uz podsustav ili sigurnosnu komponentu priložena internetska adresa ili strojno čitljiv kod putem kojih se može pristupiti EU izjavi o sukladnosti te upute i sigurnosne informacije na jeziku koji korisnici bez poteškoća razumiju, a određuje ga dotična država članica. Upute i sigurnosne informacije mogu se pružiti u elektroničkom obliku. Takve upute i sigurnosne informacije moraju biti jasne, razumljive i shvatljive.</w:t>
            </w:r>
          </w:p>
        </w:tc>
        <w:tc>
          <w:tcPr>
            <w:tcW w:w="4876" w:type="dxa"/>
            <w:tcBorders>
              <w:top w:val="nil"/>
              <w:left w:val="nil"/>
              <w:bottom w:val="nil"/>
              <w:right w:val="nil"/>
            </w:tcBorders>
          </w:tcPr>
          <w:p>
            <w:pPr>
              <w:pStyle w:val="Normal6a"/>
            </w:pPr>
            <w:r>
              <w:t xml:space="preserve">Proizvođači osiguravaju da je uz podsustav ili sigurnosnu komponentu priložena internetska adresa ili strojno čitljiv kod putem kojih se može </w:t>
            </w:r>
            <w:r>
              <w:rPr>
                <w:b/>
                <w:i/>
              </w:rPr>
              <w:t>izravno</w:t>
            </w:r>
            <w:r>
              <w:t xml:space="preserve"> pristupiti EU izjavi o sukladnosti te upute i sigurnosne informacije na jeziku koji </w:t>
            </w:r>
            <w:r>
              <w:rPr>
                <w:b/>
                <w:i/>
              </w:rPr>
              <w:t>krajnji</w:t>
            </w:r>
            <w:r>
              <w:t xml:space="preserve"> korisnici bez poteškoća razumiju, a određuje ga dotična država članica. Upute i sigurnosne informacije mogu se pružiti u elektroničkom obliku. Takve upute i sigurnosne informacije moraju biti jasne, razumljive i shvatljive.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(Horizontalna izmjena.</w:t>
            </w:r>
            <w:r>
              <w:rPr>
                <w:i/>
              </w:rPr>
              <w:t xml:space="preserve"> </w:t>
            </w:r>
            <w:r>
              <w:rPr>
                <w:i/>
              </w:rPr>
              <w:t>Ovom se izmjenom pojašnjava da nadležna tijela ne bi trebala prolaziti kroz dodatne korake kako bi dobila posebnu EU izjavu o sukladnosti u svim odgovarajućim odredbama iz članka 2. Uredbe (EU) 2016/424;</w:t>
            </w:r>
            <w:r>
              <w:rPr>
                <w:i/>
              </w:rPr>
              <w:t xml:space="preserve"> </w:t>
            </w:r>
            <w:r>
              <w:rPr>
                <w:i/>
              </w:rPr>
              <w:t>članka 3. Uredbe (EU) 2016/425;</w:t>
            </w:r>
            <w:r>
              <w:rPr>
                <w:i/>
              </w:rPr>
              <w:t xml:space="preserve"> </w:t>
            </w:r>
            <w:r>
              <w:rPr>
                <w:i/>
              </w:rPr>
              <w:t>članka 4. Uredbe (EU) 2016/426).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Proizvođači osiguravaju da je uz podsustav ili sigurnosnu komponentu priložena internetska adresa ili strojno čitljiv kod putem kojih se može pristupiti EU izjavi o sukladnosti te upute i sigurnosne informacije na jeziku koji korisnici bez poteškoća razumiju, a određuje ga dotična država članica. Upute i sigurnosne informacije mogu se pružiti u elektroničkom obliku. Takve upute i sigurnosne informacije moraju biti jasne, razumljive i shvatljive.</w:t>
            </w:r>
          </w:p>
        </w:tc>
        <w:tc>
          <w:tcPr>
            <w:tcW w:w="4876" w:type="dxa"/>
            <w:tcBorders>
              <w:top w:val="nil"/>
              <w:left w:val="nil"/>
              <w:bottom w:val="nil"/>
              <w:right w:val="nil"/>
            </w:tcBorders>
          </w:tcPr>
          <w:p>
            <w:pPr>
              <w:pStyle w:val="Normal6a"/>
            </w:pPr>
            <w:r>
              <w:t xml:space="preserve">Proizvođači osiguravaju da je uz podsustav ili sigurnosnu komponentu priložena internetska adresa ili strojno čitljiv kod putem kojih se može </w:t>
            </w:r>
            <w:r>
              <w:rPr>
                <w:b/>
                <w:i/>
              </w:rPr>
              <w:t>izravno</w:t>
            </w:r>
            <w:r>
              <w:t xml:space="preserve"> pristupiti EU izjavi o sukladnosti te upute i sigurnosne informacije na jeziku koji korisnici bez poteškoća razumiju, a određuje ga dotična država članica. Upute i sigurnosne informacije mogu se pružiti u elektroničkom obliku. Takve upute i sigurnosne informacije moraju biti jasne, razumljive i shvatljive.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„Izravno” treba dodati i u sljedeće članke:</w:t>
      </w:r>
      <w:r>
        <w:t xml:space="preserve"> </w:t>
      </w:r>
      <w:r>
        <w:t>članak 2. stavke 2.d, 4.a, 5.a, 11., članak 3. stavak 2.d, članak 4. stavke 2.c, 4.a, 4.c, 5.a, 9.a, 12., članak 5. stavke 2.b, 3.b, 7.a, Prilog II. stavak 1.b, Prilog IV. stavak 1.a.</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 pri određivanju pojedinog oblika uputa i sigurnosnih informacija uzima u obzir </w:t>
            </w:r>
            <w:r>
              <w:rPr>
                <w:b/>
                <w:i/>
              </w:rPr>
              <w:t>predviđenu</w:t>
            </w:r>
            <w:r>
              <w:t xml:space="preserve"> uporabu i predvidljivog krajnjeg korisnika </w:t>
            </w:r>
            <w:r>
              <w:rPr>
                <w:b/>
                <w:i/>
              </w:rPr>
              <w:t>proizvoda</w:t>
            </w:r>
            <w:r>
              <w:t xml:space="preserve">. Pri sastavljanju sigurnosnih informacija proizvođači uzimaju u obzir predviđenu uporabu i predvidivu nepravilnu uporabu </w:t>
            </w:r>
            <w:r>
              <w:rPr>
                <w:b/>
                <w:i/>
              </w:rPr>
              <w:t>krajnjeg</w:t>
            </w:r>
            <w:r>
              <w:t xml:space="preserve"> korisnika, kao i važnost uputa za osiguravanje sigurnosti.</w:t>
            </w:r>
          </w:p>
        </w:tc>
        <w:tc>
          <w:tcPr>
            <w:tcW w:w="4876" w:type="dxa"/>
            <w:tcBorders>
              <w:top w:val="nil"/>
              <w:left w:val="nil"/>
              <w:bottom w:val="nil"/>
              <w:right w:val="nil"/>
            </w:tcBorders>
          </w:tcPr>
          <w:p>
            <w:pPr>
              <w:pStyle w:val="Normal6a"/>
            </w:pPr>
            <w:r>
              <w:t xml:space="preserve">Proizvođač pri određivanju pojedinog oblika uputa i sigurnosnih informacija uzima u obzir </w:t>
            </w:r>
            <w:r>
              <w:rPr>
                <w:b/>
                <w:i/>
              </w:rPr>
              <w:t>namjeravanu</w:t>
            </w:r>
            <w:r>
              <w:t xml:space="preserve"> uporabu i predvidljivog krajnjeg korisnika </w:t>
            </w:r>
            <w:r>
              <w:rPr>
                <w:b/>
                <w:i/>
              </w:rPr>
              <w:t>podsustava ili sigurnosne komponente</w:t>
            </w:r>
            <w:r>
              <w:t xml:space="preserve">. Pri sastavljanju </w:t>
            </w:r>
            <w:r>
              <w:rPr>
                <w:b/>
                <w:i/>
              </w:rPr>
              <w:t>uputa i</w:t>
            </w:r>
            <w:r>
              <w:t xml:space="preserve"> sigurnosnih informacija proizvođači uzimaju u obzir predviđenu uporabu i predvidivu nepravilnu uporabu korisnika, kao i važnost uputa za osiguravanje sigurnosti.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Međutim, ako se velik broj podsustava ili sigurnosnih komponenata isporučuje jednom gospodarskom subjektu ili </w:t>
            </w:r>
            <w:r>
              <w:rPr>
                <w:b/>
                <w:i/>
              </w:rPr>
              <w:t>krajnjem</w:t>
            </w:r>
            <w:r>
              <w:t xml:space="preserve"> korisniku, uz dotičnu seriju ili pošiljku može se priložiti samo jedna internetska adresa ili strojno čitljiv kod putem kojih se može pristupiti EU izjavi o sukladnosti.</w:t>
            </w:r>
          </w:p>
        </w:tc>
        <w:tc>
          <w:tcPr>
            <w:tcW w:w="4876" w:type="dxa"/>
            <w:tcBorders>
              <w:top w:val="nil"/>
              <w:left w:val="nil"/>
              <w:bottom w:val="nil"/>
              <w:right w:val="nil"/>
            </w:tcBorders>
          </w:tcPr>
          <w:p>
            <w:pPr>
              <w:pStyle w:val="Normal6a"/>
            </w:pPr>
            <w:r>
              <w:t>Međutim, ako se velik broj podsustava ili sigurnosnih komponenata isporučuje jednom gospodarskom subjektu ili korisniku, uz dotičnu seriju ili pošiljku može se priložiti samo jedna internetska adresa ili strojno čitljiv kod putem kojih se može pristupiti EU izjavi o sukladnosti.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Ako su upute iz prvog podstavka </w:t>
            </w:r>
            <w:r>
              <w:rPr>
                <w:b/>
                <w:i/>
              </w:rPr>
              <w:t>osigurane</w:t>
            </w:r>
            <w:r>
              <w:t xml:space="preserve"> u elektroničkom obliku proizvođač:</w:t>
            </w:r>
          </w:p>
        </w:tc>
        <w:tc>
          <w:tcPr>
            <w:tcW w:w="4876" w:type="dxa"/>
            <w:tcBorders>
              <w:top w:val="nil"/>
              <w:left w:val="nil"/>
              <w:bottom w:val="nil"/>
              <w:right w:val="nil"/>
            </w:tcBorders>
          </w:tcPr>
          <w:p>
            <w:pPr>
              <w:pStyle w:val="Normal6a"/>
            </w:pPr>
            <w:r>
              <w:t xml:space="preserve">Ako su upute </w:t>
            </w:r>
            <w:r>
              <w:rPr>
                <w:b/>
                <w:i/>
              </w:rPr>
              <w:t>i sigurnosne informacije</w:t>
            </w:r>
            <w:r>
              <w:t xml:space="preserve"> iz prvog podstavka u elektroničkom obliku</w:t>
            </w:r>
            <w:r>
              <w:rPr>
                <w:b/>
                <w:i/>
              </w:rPr>
              <w:t>,</w:t>
            </w:r>
            <w:r>
              <w:t xml:space="preserve"> proizvođač: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osigurava da su u obliku koji krajnjem korisniku omogućuje ispis i preuzimanje uputa te njihovu pohranu na elektronički uređaj tako da im </w:t>
            </w:r>
            <w:r>
              <w:rPr>
                <w:b/>
                <w:i/>
              </w:rPr>
              <w:t>krajnji</w:t>
            </w:r>
            <w:r>
              <w:t xml:space="preserve"> korisnik u svakom trenutku može pristupiti, a osobito u slučaju kvara podsustava ili sigurnosne komponente; taj se zahtjev primjenjuje i ako su upute ugrađene u softver radijske opreme;</w:t>
            </w:r>
          </w:p>
        </w:tc>
        <w:tc>
          <w:tcPr>
            <w:tcW w:w="4876" w:type="dxa"/>
            <w:tcBorders>
              <w:top w:val="nil"/>
              <w:left w:val="nil"/>
              <w:bottom w:val="nil"/>
              <w:right w:val="nil"/>
            </w:tcBorders>
          </w:tcPr>
          <w:p>
            <w:pPr>
              <w:pStyle w:val="Normal6a"/>
            </w:pPr>
            <w:r>
              <w:t>(b)</w:t>
            </w:r>
            <w:r>
              <w:tab/>
            </w:r>
            <w:r>
              <w:t xml:space="preserve">osigurava da su u obliku koji krajnjem korisniku omogućuje ispis i preuzimanje uputa </w:t>
            </w:r>
            <w:r>
              <w:rPr>
                <w:b/>
                <w:i/>
              </w:rPr>
              <w:t>i sigurnosnih informacija</w:t>
            </w:r>
            <w:r>
              <w:t xml:space="preserve"> te njihovu pohranu na elektronički uređaj tako da im korisnik u svakom trenutku može pristupiti, a osobito u slučaju kvara podsustava ili sigurnosne komponente; taj se zahtjev primjenjuje i ako su upute </w:t>
            </w:r>
            <w:r>
              <w:rPr>
                <w:b/>
                <w:i/>
              </w:rPr>
              <w:t>i sigurnosne informacije</w:t>
            </w:r>
            <w:r>
              <w:t xml:space="preserve"> ugrađene u softver radijske opreme;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Međutim, </w:t>
            </w:r>
            <w:r>
              <w:rPr>
                <w:b/>
                <w:i/>
              </w:rPr>
              <w:t>krajnji</w:t>
            </w:r>
            <w:r>
              <w:t xml:space="preserve"> korisnik može u trenutku kupnje </w:t>
            </w:r>
            <w:r>
              <w:rPr>
                <w:b/>
                <w:i/>
              </w:rPr>
              <w:t>proizvoda</w:t>
            </w:r>
            <w:r>
              <w:t xml:space="preserve"> ili do </w:t>
            </w:r>
            <w:r>
              <w:rPr>
                <w:b/>
                <w:i/>
              </w:rPr>
              <w:t>šest mjeseci</w:t>
            </w:r>
            <w:r>
              <w:t xml:space="preserve"> nakon kupnje zatražiti upute ili sigurnosne informacije u papirnatom obliku. Ako krajnji korisnik zatraži te upute ili sigurnosne informacije, proizvođač mu ih osigurava bez naknade u roku od mjesec dana od primitka zahtjeva.;</w:t>
            </w:r>
          </w:p>
        </w:tc>
        <w:tc>
          <w:tcPr>
            <w:tcW w:w="4876" w:type="dxa"/>
            <w:tcBorders>
              <w:top w:val="nil"/>
              <w:left w:val="nil"/>
              <w:bottom w:val="nil"/>
              <w:right w:val="nil"/>
            </w:tcBorders>
          </w:tcPr>
          <w:p>
            <w:pPr>
              <w:pStyle w:val="Normal6a"/>
            </w:pPr>
            <w:r>
              <w:t xml:space="preserve">Međutim, korisnik može u trenutku kupnje </w:t>
            </w:r>
            <w:r>
              <w:rPr>
                <w:b/>
                <w:i/>
              </w:rPr>
              <w:t>podsustava ili sigurnosne komponente</w:t>
            </w:r>
            <w:r>
              <w:t xml:space="preserve"> ili do </w:t>
            </w:r>
            <w:r>
              <w:rPr>
                <w:b/>
                <w:i/>
              </w:rPr>
              <w:t>24 mjeseca</w:t>
            </w:r>
            <w:r>
              <w:t xml:space="preserve"> nakon kupnje zatražiti upute ili sigurnosne informacije u papirnatom obliku</w:t>
            </w:r>
            <w:r>
              <w:rPr>
                <w:b/>
                <w:i/>
              </w:rPr>
              <w:t>.</w:t>
            </w:r>
            <w:r>
              <w:t xml:space="preserve"> </w:t>
            </w:r>
            <w:r>
              <w:rPr>
                <w:b/>
                <w:i/>
              </w:rPr>
              <w:t>Krajnji korisnik može podnijeti takav zahtjev dostupnim sredstvima komunikacije, među ostalim telefonom, uz svaki eventualni internetski kanal koji je proizvođač stavio na raspolaganje</w:t>
            </w:r>
            <w:r>
              <w:t xml:space="preserve">. Ako krajnji korisnik zatraži te upute ili sigurnosne informacije, proizvođač mu ih osigurava bez naknade u roku od mjesec dana od primitka zahtjeva. </w:t>
            </w:r>
            <w:r>
              <w:rPr>
                <w:b/>
                <w:i/>
              </w:rPr>
              <w:t>Krajnji korisnik mora biti jasno obaviješten, u sigurnosnim informacijama, o svojem pravu da zatraži upute za upotrebu u papirnatom obliku.</w:t>
            </w:r>
            <w:r>
              <w:t xml:space="preserve"> </w:t>
            </w:r>
            <w:r>
              <w:rPr>
                <w:b/>
                <w:i/>
              </w:rPr>
              <w:t>Mogućnost da krajnji korisnik zatraži upute ili sigurnosne informacije u papirnatom obliku ne sprečava proizvođače da dostave dodatne informativne materijale samo u elektroničkom obliku, primjerice u obliku videozapisa ili audiosadržaja, koji se ne može reproducirati u papirnatom obliku.</w:t>
            </w:r>
            <w:r>
              <w:t xml:space="preserve"> </w:t>
            </w:r>
            <w:r>
              <w:rPr>
                <w:b/>
                <w:i/>
              </w:rPr>
              <w:t>U slučaju bilo kakvih razlika između sadržaja u papirnatom formatu i sadržaja materijala dostavljenih u elektroničkom obliku, papirnati format sam po sebi mora biti jasan, razumljiv i shvatljiv te dostatan za osiguravanje sigurne i pravilne uporabe podsustava ili sigurnosne komponente.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2.d, članak 4. stavak 2.c, članak 6. stavak 4.a.</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2. – podtočka d</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11.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Međutim, krajnji korisnik može u trenutku kupnje proizvoda ili do </w:t>
            </w:r>
            <w:r>
              <w:rPr>
                <w:b/>
                <w:i/>
              </w:rPr>
              <w:t>šest mjeseci</w:t>
            </w:r>
            <w:r>
              <w:t xml:space="preserve"> nakon kupnje zatražiti upute ili sigurnosne informacije u papirnatom obliku. Ako krajnji korisnik zatraži te upute ili sigurnosne informacije, proizvođač mu ih osigurava bez naknade u roku od </w:t>
            </w:r>
            <w:r>
              <w:rPr>
                <w:b/>
                <w:i/>
              </w:rPr>
              <w:t>mjesec dana</w:t>
            </w:r>
            <w:r>
              <w:t xml:space="preserve"> od primitka zahtjeva.;</w:t>
            </w:r>
          </w:p>
        </w:tc>
        <w:tc>
          <w:tcPr>
            <w:tcW w:w="4876" w:type="dxa"/>
            <w:tcBorders>
              <w:top w:val="nil"/>
              <w:left w:val="nil"/>
              <w:bottom w:val="nil"/>
              <w:right w:val="nil"/>
            </w:tcBorders>
          </w:tcPr>
          <w:p>
            <w:pPr>
              <w:pStyle w:val="Normal6a"/>
            </w:pPr>
            <w:r>
              <w:t xml:space="preserve">Međutim, krajnji korisnik može u trenutku kupnje proizvoda ili do </w:t>
            </w:r>
            <w:r>
              <w:rPr>
                <w:b/>
                <w:i/>
              </w:rPr>
              <w:t>dvije godine</w:t>
            </w:r>
            <w:r>
              <w:t xml:space="preserve"> nakon kupnje zatražiti upute ili sigurnosne informacije u papirnatom obliku</w:t>
            </w:r>
            <w:r>
              <w:rPr>
                <w:b/>
                <w:i/>
              </w:rPr>
              <w:t>.</w:t>
            </w:r>
            <w:r>
              <w:t xml:space="preserve"> </w:t>
            </w:r>
            <w:r>
              <w:rPr>
                <w:b/>
                <w:i/>
              </w:rPr>
              <w:t>Krajnji korisnik može podnijeti takav zahtjev dostupnim sredstvima komunikacije, među ostalim telefonom, uz svaki eventualni internetski kanal koji je proizvođač stavio na raspolaganje</w:t>
            </w:r>
            <w:r>
              <w:t xml:space="preserve">. Ako krajnji korisnik zatraži te upute ili sigurnosne informacije, proizvođač mu ih osigurava bez naknade u roku od </w:t>
            </w:r>
            <w:r>
              <w:rPr>
                <w:b/>
                <w:i/>
              </w:rPr>
              <w:t>dva tjedna</w:t>
            </w:r>
            <w:r>
              <w:t xml:space="preserve"> od primitka zahtjeva. </w:t>
            </w:r>
            <w:r>
              <w:rPr>
                <w:b/>
                <w:i/>
              </w:rPr>
              <w:t>Krajnji korisnik mora biti jasno obaviješten, u sigurnosnim informacijama, o svojem pravu da zatraži upute za upotrebu u papirnatom obliku.</w:t>
            </w:r>
            <w:r>
              <w:t xml:space="preserve"> </w:t>
            </w:r>
            <w:r>
              <w:rPr>
                <w:b/>
                <w:i/>
              </w:rPr>
              <w:t>Mogućnost da krajnji korisnik zatraži upute ili sigurnosne informacije u papirnatom obliku ne sprečava proizvođače da dostave dodatne informativne materijale samo u elektroničkom obliku, primjerice u obliku videozapisa ili audiosadržaja, koji se ne može reproducirati u papirnatom obliku.</w:t>
            </w:r>
            <w:r>
              <w:t xml:space="preserve"> </w:t>
            </w:r>
            <w:r>
              <w:rPr>
                <w:b/>
                <w:i/>
              </w:rPr>
              <w:t>U slučaju bilo kakvih razlika između sadržaja u papirnatom formatu i sadržaja materijala dostavljenih u elektroničkom obliku, papirnati format sam po sebi mora biti jasan, razumljiv i shvatljiv te dostatan za osiguravanje sigurne i pravilne uporabe proizvoda.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(Horizontalna izmjena.</w:t>
            </w:r>
            <w:r>
              <w:rPr>
                <w:i/>
              </w:rPr>
              <w:t xml:space="preserve"> </w:t>
            </w:r>
            <w:r>
              <w:rPr>
                <w:i/>
              </w:rPr>
              <w:t>Ovom se izmjenom mijenjaju rokovi za traženje uputa ili sigurnosnih informacija u papirnatom obliku te se dodaju dodatna pojašnjenja u svim odgovarajućim odredbama o izmjeni iz članka 2. Uredbe (EU) 2016/424;</w:t>
            </w:r>
            <w:r>
              <w:rPr>
                <w:i/>
              </w:rPr>
              <w:t xml:space="preserve"> </w:t>
            </w:r>
            <w:r>
              <w:rPr>
                <w:i/>
              </w:rPr>
              <w:t>članka 3. Uredbe (EU) 2016/425;</w:t>
            </w:r>
            <w:r>
              <w:rPr>
                <w:i/>
              </w:rPr>
              <w:t xml:space="preserve"> </w:t>
            </w:r>
            <w:r>
              <w:rPr>
                <w:i/>
              </w:rPr>
              <w:t>članka 4. Uredbe (EU) 2016/426;</w:t>
            </w:r>
            <w:r>
              <w:rPr>
                <w:i/>
              </w:rPr>
              <w:t xml:space="preserve"> </w:t>
            </w:r>
            <w:r>
              <w:rPr>
                <w:i/>
              </w:rPr>
              <w:t>članka 6. Uredbe (EU) 2023/1542.)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4. – podtočka b</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3.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Uvoznici </w:t>
            </w:r>
            <w:r>
              <w:rPr>
                <w:b/>
                <w:i/>
              </w:rPr>
              <w:t>na</w:t>
            </w:r>
            <w:r>
              <w:t xml:space="preserve"> podsustavu ili sigurnosnoj komponenti </w:t>
            </w:r>
            <w:r>
              <w:rPr>
                <w:b/>
                <w:i/>
              </w:rPr>
              <w:t>navode svoje ime, registrirano trgovačko ime ili registrirani trgovački znak te poštansku adresu i digitalni kontakt na kojima se mogu kontaktirati</w:t>
            </w:r>
            <w:r>
              <w:t xml:space="preserve"> ili, ako to nije moguće, na ambalaži ili u dokumentu priloženom </w:t>
            </w:r>
            <w:r>
              <w:rPr>
                <w:b/>
                <w:i/>
              </w:rPr>
              <w:t>podsustavu ili sigurnosnoj komponenti</w:t>
            </w:r>
            <w:r>
              <w:t>.;</w:t>
            </w:r>
          </w:p>
        </w:tc>
        <w:tc>
          <w:tcPr>
            <w:tcW w:w="4876" w:type="dxa"/>
            <w:tcBorders>
              <w:top w:val="nil"/>
              <w:left w:val="nil"/>
              <w:bottom w:val="nil"/>
              <w:right w:val="nil"/>
            </w:tcBorders>
          </w:tcPr>
          <w:p>
            <w:pPr>
              <w:pStyle w:val="Normal6a"/>
            </w:pPr>
            <w:r>
              <w:t xml:space="preserve">Uvoznici </w:t>
            </w:r>
            <w:r>
              <w:rPr>
                <w:b/>
                <w:i/>
              </w:rPr>
              <w:t>u</w:t>
            </w:r>
            <w:r>
              <w:t> podsustavu ili</w:t>
            </w:r>
            <w:r>
              <w:rPr>
                <w:b/>
                <w:i/>
              </w:rPr>
              <w:t> na</w:t>
            </w:r>
            <w:r>
              <w:t xml:space="preserve"> sigurnosnoj komponenti ili, ako to nije moguće, na ambalaži ili u dokumentu priloženom </w:t>
            </w:r>
            <w:r>
              <w:rPr>
                <w:b/>
                <w:i/>
              </w:rPr>
              <w:t>uz podsustav ili sigurnosnu komponentu navode svoj naziv, registriranu tvrtku ili registrirani trgovački znak te poštansku adresu ili digitalni kontakt</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5. – podtočka a</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14.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Prije nego što stave podsustav ili sigurnosnu komponentu na raspolaganje na tržištu, distributeri provjeravaju da su podsustav ili sigurnosna komponenta označeni oznakom CE i da im je priložena internetska adresa ili strojno čitljiv kod putem kojih se može pristupiti EU izjavi o sukladnosti, upute i sigurnosne informacije i, prema potrebi, drugi potrebni dokumenti, na jeziku koji korisnici bez poteškoća razumiju, a određuje ga predmetna država članica, i da su proizvođač i uvoznik ispunili zahtjeve navedene u članku 11. stavcima 5. i 6. odnosno članku 13. stavku 3.;</w:t>
            </w:r>
          </w:p>
        </w:tc>
        <w:tc>
          <w:tcPr>
            <w:tcW w:w="4876" w:type="dxa"/>
            <w:tcBorders>
              <w:top w:val="nil"/>
              <w:left w:val="nil"/>
              <w:bottom w:val="nil"/>
              <w:right w:val="nil"/>
            </w:tcBorders>
          </w:tcPr>
          <w:p>
            <w:pPr>
              <w:pStyle w:val="Normal6a"/>
            </w:pPr>
            <w:r>
              <w:t xml:space="preserve">Prije nego što stave podsustav ili sigurnosnu komponentu na raspolaganje na tržištu, distributeri provjeravaju da su podsustav ili sigurnosna komponenta označeni oznakom CE i da im je priložena internetska adresa ili strojno čitljiv kod putem kojih se može pristupiti EU izjavi o sukladnosti, upute i sigurnosne informacije </w:t>
            </w:r>
            <w:r>
              <w:rPr>
                <w:b/>
                <w:i/>
              </w:rPr>
              <w:t>u skladu s člankom 11. stavkom 7.</w:t>
            </w:r>
            <w:r>
              <w:t xml:space="preserve"> i, prema potrebi, drugi potrebni dokumenti, na jeziku koji korisnici bez poteškoća razumiju, a određuje ga predmetna država članica, i da su proizvođač i uvoznik ispunili zahtjeve navedene u članku 11. stavcima 5. i 6. odnosno članku 13. stavku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Članak 17.a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može </w:t>
            </w:r>
            <w:r>
              <w:rPr>
                <w:b/>
                <w:i/>
              </w:rPr>
              <w:t>provedbenim aktima</w:t>
            </w:r>
            <w:r>
              <w:t xml:space="preserve"> donijeti zajedničke specifikacije koje </w:t>
            </w:r>
            <w:r>
              <w:rPr>
                <w:b/>
                <w:i/>
              </w:rPr>
              <w:t>omogućuju ispunjavanje bitnih zahtjeva utvrđenih u Prilogu II. u sljedećim slučajevima</w:t>
            </w:r>
            <w:r>
              <w:t>:</w:t>
            </w:r>
          </w:p>
        </w:tc>
        <w:tc>
          <w:tcPr>
            <w:tcW w:w="4876" w:type="dxa"/>
            <w:tcBorders>
              <w:top w:val="nil"/>
              <w:left w:val="nil"/>
              <w:bottom w:val="nil"/>
              <w:right w:val="nil"/>
            </w:tcBorders>
          </w:tcPr>
          <w:p>
            <w:pPr>
              <w:pStyle w:val="Normal6a"/>
            </w:pPr>
            <w:r>
              <w:t xml:space="preserve">Komisija može donijeti </w:t>
            </w:r>
            <w:r>
              <w:rPr>
                <w:b/>
                <w:i/>
              </w:rPr>
              <w:t>provedbene akte kojima se utvrđuju</w:t>
            </w:r>
            <w:r>
              <w:t xml:space="preserve"> zajedničke specifikacije koje </w:t>
            </w:r>
            <w:r>
              <w:rPr>
                <w:b/>
                <w:i/>
              </w:rPr>
              <w:t>obuhvaćaju zahtjeve kojima se osigurava sredstvo za usklađivanje sa zahtjevima iz članka 4.</w:t>
            </w:r>
            <w:r>
              <w:t xml:space="preserve"> </w:t>
            </w:r>
            <w:r>
              <w:rPr>
                <w:b/>
                <w:i/>
              </w:rPr>
              <w:t>Ti se provedbeni akti donose samo ako su ispunjeni sljedeći uvjeti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može </w:t>
            </w:r>
            <w:r>
              <w:rPr>
                <w:b/>
                <w:i/>
              </w:rPr>
              <w:t>provedbenim aktima</w:t>
            </w:r>
            <w:r>
              <w:t xml:space="preserve"> donijeti zajedničke specifikacije </w:t>
            </w:r>
            <w:r>
              <w:rPr>
                <w:b/>
                <w:i/>
              </w:rPr>
              <w:t>koje omogućuju ispunjavanje bitnih zahtjeva utvrđenih u Prilogu II. u sljedećim slučajevima</w:t>
            </w:r>
            <w:r>
              <w:t>:</w:t>
            </w:r>
          </w:p>
        </w:tc>
        <w:tc>
          <w:tcPr>
            <w:tcW w:w="4876" w:type="dxa"/>
            <w:tcBorders>
              <w:top w:val="nil"/>
              <w:left w:val="nil"/>
              <w:bottom w:val="nil"/>
              <w:right w:val="nil"/>
            </w:tcBorders>
          </w:tcPr>
          <w:p>
            <w:pPr>
              <w:pStyle w:val="Normal6a"/>
            </w:pPr>
            <w:r>
              <w:rPr>
                <w:b/>
                <w:i/>
              </w:rPr>
              <w:t>U iznimnim slučajevima</w:t>
            </w:r>
            <w:r>
              <w:t xml:space="preserve"> Komisija može donijeti </w:t>
            </w:r>
            <w:r>
              <w:rPr>
                <w:b/>
                <w:i/>
              </w:rPr>
              <w:t>provedbene akte kojima se utvrđuju</w:t>
            </w:r>
            <w:r>
              <w:t xml:space="preserve"> zajedničke specifikacije </w:t>
            </w:r>
            <w:r>
              <w:rPr>
                <w:b/>
                <w:i/>
              </w:rPr>
              <w:t>kojima se osigurava sredstvo za usklađivanje s bitnim zahtjevima iz Priloga II.</w:t>
            </w:r>
            <w:r>
              <w:t xml:space="preserve"> </w:t>
            </w:r>
            <w:r>
              <w:rPr>
                <w:b/>
                <w:i/>
              </w:rPr>
              <w:t>Ti se provedbeni akti donose samo ako su ispunjeni sljedeći uvjeti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može provedbenim aktima donijeti zajedničke specifikacije koje omogućuju ispunjavanje bitnih zahtjeva utvrđenih u Prilogu II. </w:t>
            </w:r>
            <w:r>
              <w:rPr>
                <w:b/>
                <w:i/>
              </w:rPr>
              <w:t>u sljedećim slučajevima</w:t>
            </w:r>
            <w:r>
              <w:t>:</w:t>
            </w:r>
          </w:p>
        </w:tc>
        <w:tc>
          <w:tcPr>
            <w:tcW w:w="4876" w:type="dxa"/>
            <w:tcBorders>
              <w:top w:val="nil"/>
              <w:left w:val="nil"/>
              <w:bottom w:val="nil"/>
              <w:right w:val="nil"/>
            </w:tcBorders>
          </w:tcPr>
          <w:p>
            <w:pPr>
              <w:pStyle w:val="Normal6a"/>
            </w:pPr>
            <w:r>
              <w:t xml:space="preserve">Komisija može provedbenim aktima donijeti zajedničke specifikacije koje omogućuju ispunjavanje bitnih zahtjeva utvrđenih u Prilogu II. </w:t>
            </w:r>
            <w:r>
              <w:rPr>
                <w:b/>
                <w:i/>
              </w:rPr>
              <w:t>Ti se provedbeni akti donose samo ako su ispunjeni sljedeći uvjeti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zahtjevi iz Priloga II. nisu obuhvaćeni usklađenim normama ili njihovim dijelovima na koje su upućivanja objavljena u Službenom listu</w:t>
            </w:r>
            <w:r>
              <w:t xml:space="preserve"> Europske </w:t>
            </w:r>
            <w:r>
              <w:rPr>
                <w:b/>
                <w:i/>
              </w:rPr>
              <w:t>unije;</w:t>
            </w:r>
          </w:p>
        </w:tc>
        <w:tc>
          <w:tcPr>
            <w:tcW w:w="4876" w:type="dxa"/>
            <w:tcBorders>
              <w:top w:val="nil"/>
              <w:left w:val="nil"/>
              <w:bottom w:val="nil"/>
              <w:right w:val="nil"/>
            </w:tcBorders>
          </w:tcPr>
          <w:p>
            <w:pPr>
              <w:pStyle w:val="Normal6a"/>
            </w:pPr>
            <w:r>
              <w:t>(a)</w:t>
            </w:r>
            <w:r>
              <w:tab/>
            </w:r>
            <w:r>
              <w:rPr>
                <w:b/>
                <w:i/>
              </w:rPr>
              <w:t>Komisija je, u skladu s člankom 10. stavkom 1. Uredbe (EU) br. 1025/2012, od jedne</w:t>
            </w:r>
            <w:r>
              <w:t xml:space="preserve"> europske </w:t>
            </w:r>
            <w:r>
              <w:rPr>
                <w:b/>
                <w:i/>
              </w:rPr>
              <w:t>organizacije za normizaciju, ili više njih, zatražila da izrade usklađenu normu za bitne zdravstvene i sigurnosne zahtjeve utvrđene u Prilogu III.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zahtjev nije prihvaćen;</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usklađene norme koje se odnose na taj zahtjev nisu izrađene u roku utvrđenom u skladu s člankom 10. stavkom 1. Uredbe (EU) br. 1025/2012;</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usklađene norme nisu u skladu sa zahtjevom;</w:t>
            </w:r>
            <w:r>
              <w:t xml:space="preserve"> </w:t>
            </w:r>
            <w:r>
              <w:rPr>
                <w:b/>
                <w:i/>
              </w:rPr>
              <w: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zahtjevi iz Priloga II. nisu obuhvaćeni usklađenim normama ili njihovim dijelovima</w:t>
            </w:r>
            <w:r>
              <w:t xml:space="preserve"> na koje </w:t>
            </w:r>
            <w:r>
              <w:rPr>
                <w:b/>
                <w:i/>
              </w:rPr>
              <w:t>su upućivanja objavljena</w:t>
            </w:r>
            <w:r>
              <w:t xml:space="preserve"> u Službenom listu Europske unije;</w:t>
            </w:r>
          </w:p>
        </w:tc>
        <w:tc>
          <w:tcPr>
            <w:tcW w:w="4876" w:type="dxa"/>
            <w:tcBorders>
              <w:top w:val="nil"/>
              <w:left w:val="nil"/>
              <w:bottom w:val="nil"/>
              <w:right w:val="nil"/>
            </w:tcBorders>
          </w:tcPr>
          <w:p>
            <w:pPr>
              <w:pStyle w:val="Normal6a"/>
            </w:pPr>
            <w:r>
              <w:t>(a)</w:t>
            </w:r>
            <w:r>
              <w:tab/>
            </w:r>
            <w:r>
              <w:rPr>
                <w:b/>
                <w:i/>
              </w:rPr>
              <w:t>ne postoji usklađena norma koja obuhvaća te zahtjeve</w:t>
            </w:r>
            <w:r>
              <w:t xml:space="preserve"> na koje </w:t>
            </w:r>
            <w:r>
              <w:rPr>
                <w:b/>
                <w:i/>
              </w:rPr>
              <w:t>se upućuje</w:t>
            </w:r>
            <w:r>
              <w:t xml:space="preserve"> u Službenom listu Europske unije </w:t>
            </w:r>
            <w:r>
              <w:rPr>
                <w:b/>
                <w:i/>
              </w:rPr>
              <w:t>i ne očekuje se objava takvog upućivanja u razumnom roku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zahtjevi iz Priloga II. nisu obuhvaćeni usklađenim normama ili njihovim dijelovima</w:t>
            </w:r>
            <w:r>
              <w:t xml:space="preserve"> na koje </w:t>
            </w:r>
            <w:r>
              <w:rPr>
                <w:b/>
                <w:i/>
              </w:rPr>
              <w:t>su upućivanja objavljena</w:t>
            </w:r>
            <w:r>
              <w:t xml:space="preserve"> u Službenom listu Europske unije;</w:t>
            </w:r>
          </w:p>
        </w:tc>
        <w:tc>
          <w:tcPr>
            <w:tcW w:w="4876" w:type="dxa"/>
            <w:tcBorders>
              <w:top w:val="nil"/>
              <w:left w:val="nil"/>
              <w:bottom w:val="nil"/>
              <w:right w:val="nil"/>
            </w:tcBorders>
          </w:tcPr>
          <w:p>
            <w:pPr>
              <w:pStyle w:val="Normal6a"/>
            </w:pPr>
            <w:r>
              <w:t>(a)</w:t>
            </w:r>
            <w:r>
              <w:tab/>
            </w:r>
            <w:r>
              <w:rPr>
                <w:b/>
                <w:i/>
              </w:rPr>
              <w:t>ne postoji usklađena norma koja obuhvaća te zahtjeve</w:t>
            </w:r>
            <w:r>
              <w:t xml:space="preserve"> na koje </w:t>
            </w:r>
            <w:r>
              <w:rPr>
                <w:b/>
                <w:i/>
              </w:rPr>
              <w:t>se upućuje</w:t>
            </w:r>
            <w:r>
              <w:t xml:space="preserve"> u Službenom listu Europske unije </w:t>
            </w:r>
            <w:r>
              <w:rPr>
                <w:b/>
                <w:i/>
              </w:rPr>
              <w:t>i ne očekuje se objava takvog upućivanja u razumnom roku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zahtjevi iz Priloga II. obuhvaćeni su usklađenim normama ili njihovim dijelovima na koje su upućivanja objavljena u Službenom listu</w:t>
            </w:r>
            <w:r>
              <w:t xml:space="preserve"> Europske </w:t>
            </w:r>
            <w:r>
              <w:rPr>
                <w:b/>
                <w:i/>
              </w:rPr>
              <w:t>unije, ali primjena tih normi ili njihovih dijelova dovodi do nesukladnosti proizvoda s bitnim zahtjevima utvrđenima u Prilogu II.;</w:t>
            </w:r>
            <w:r>
              <w:t xml:space="preserve"> </w:t>
            </w:r>
            <w:r>
              <w:rPr>
                <w:b/>
                <w:i/>
              </w:rPr>
              <w:t>ili</w:t>
            </w:r>
          </w:p>
        </w:tc>
        <w:tc>
          <w:tcPr>
            <w:tcW w:w="4876" w:type="dxa"/>
            <w:tcBorders>
              <w:top w:val="nil"/>
              <w:left w:val="nil"/>
              <w:bottom w:val="nil"/>
              <w:right w:val="nil"/>
            </w:tcBorders>
          </w:tcPr>
          <w:p>
            <w:pPr>
              <w:pStyle w:val="Normal6a"/>
            </w:pPr>
            <w:r>
              <w:t>(b)</w:t>
            </w:r>
            <w:r>
              <w:tab/>
            </w:r>
            <w:r>
              <w:rPr>
                <w:b/>
                <w:i/>
              </w:rPr>
              <w:t>Komisija je u skladu s člankom 10. stavkom 1. Uredbe br. 1025/2012 zatražila od jedne ili nekoliko europskih organizacija za normizaciju da izrade ili da revidiraju</w:t>
            </w:r>
            <w:r>
              <w:t xml:space="preserve"> europske </w:t>
            </w:r>
            <w:r>
              <w:rPr>
                <w:b/>
                <w:i/>
              </w:rPr>
              <w:t>norme za te zahtjeve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zahtjev nije prihvatila nijedna od europskih organizacija za normizaciju kojima je zahtjev upućen;</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zahtjev je prihvatila barem jedna od europskih organizacija za normizaciju kojima je zahtjev upućen, ali zatražene europske norme: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nisu donesene u roku određenom u zahtjevu;</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nisu u skladu sa zahtjevom,</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ne ispunjavaju zahtjeve koje nastoje obuhvatiti.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zahtjevi iz Priloga II. obuhvaćeni su usklađenim normama ili njihovim dijelovima na koje su upućivanja objavljena u Službenom listu</w:t>
            </w:r>
            <w:r>
              <w:t xml:space="preserve"> Europske </w:t>
            </w:r>
            <w:r>
              <w:rPr>
                <w:b/>
                <w:i/>
              </w:rPr>
              <w:t>unije, ali primjena tih normi ili njihovih dijelova dovodi do nesukladnosti proizvoda s bitnim zahtjevima utvrđenima u Prilogu II.;</w:t>
            </w:r>
            <w:r>
              <w:t xml:space="preserve"> </w:t>
            </w:r>
            <w:r>
              <w:rPr>
                <w:b/>
                <w:i/>
              </w:rPr>
              <w:t>ili</w:t>
            </w:r>
          </w:p>
        </w:tc>
        <w:tc>
          <w:tcPr>
            <w:tcW w:w="4876" w:type="dxa"/>
            <w:tcBorders>
              <w:top w:val="nil"/>
              <w:left w:val="nil"/>
              <w:bottom w:val="nil"/>
              <w:right w:val="nil"/>
            </w:tcBorders>
          </w:tcPr>
          <w:p>
            <w:pPr>
              <w:pStyle w:val="Normal6a"/>
            </w:pPr>
            <w:r>
              <w:t>(b)</w:t>
            </w:r>
            <w:r>
              <w:tab/>
            </w:r>
            <w:r>
              <w:rPr>
                <w:b/>
                <w:i/>
              </w:rPr>
              <w:t>Komisija je u skladu s člankom 10. stavkom 1. Uredbe (EU) br. 1025/2012 zatražila od jedne ili nekoliko organizacija za normizaciju da izrade ili revidiraju</w:t>
            </w:r>
            <w:r>
              <w:t xml:space="preserve"> europske </w:t>
            </w:r>
            <w:r>
              <w:rPr>
                <w:b/>
                <w:i/>
              </w:rPr>
              <w:t>norme za te zahtjeve;</w:t>
            </w:r>
            <w:r>
              <w:t xml:space="preserve"> </w:t>
            </w:r>
            <w:r>
              <w:rPr>
                <w:b/>
                <w:i/>
              </w:rPr>
              <w: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zahtjev nije prihvatila nijedna od europskih organizacija za normizaciju kojima je zahtjev upućen;</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usklađene norme koje se odnose na taj zahtjev nisu izrađene u roku utvrđenom u skladu s člankom 10. stavkom 1. Uredbe (EU) br. 1025/2012;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zahtjevi iz Priloga II. obuhvaćeni su usklađenim normama ili njihovim dijelovima na koje su upućivanja objavljena</w:t>
            </w:r>
            <w:r>
              <w:t xml:space="preserve"> u Službenom listu Europske unije</w:t>
            </w:r>
            <w:r>
              <w:rPr>
                <w:b/>
                <w:i/>
              </w:rPr>
              <w:t>, ali primjena tih normi ili njihovih dijelova dovodi do nesukladnosti proizvoda s bitnim zahtjevima utvrđenima</w:t>
            </w:r>
            <w:r>
              <w:t xml:space="preserve"> u Prilogu </w:t>
            </w:r>
            <w:r>
              <w:rPr>
                <w:b/>
                <w:i/>
              </w:rPr>
              <w:t>II</w:t>
            </w:r>
            <w:r>
              <w:t>.</w:t>
            </w:r>
            <w:r>
              <w:rPr>
                <w:b/>
                <w:i/>
              </w:rPr>
              <w:t>;</w:t>
            </w:r>
            <w:r>
              <w:t xml:space="preserve"> </w:t>
            </w:r>
            <w:r>
              <w:rPr>
                <w:b/>
                <w:i/>
              </w:rPr>
              <w:t>ili</w:t>
            </w:r>
          </w:p>
        </w:tc>
        <w:tc>
          <w:tcPr>
            <w:tcW w:w="4876" w:type="dxa"/>
            <w:tcBorders>
              <w:top w:val="nil"/>
              <w:left w:val="nil"/>
              <w:bottom w:val="nil"/>
              <w:right w:val="nil"/>
            </w:tcBorders>
          </w:tcPr>
          <w:p>
            <w:pPr>
              <w:pStyle w:val="Normal6a"/>
            </w:pPr>
            <w:r>
              <w:t>(b)</w:t>
            </w:r>
            <w:r>
              <w:tab/>
            </w:r>
            <w:r>
              <w:t xml:space="preserve">u Službenom listu Europske unije </w:t>
            </w:r>
            <w:r>
              <w:rPr>
                <w:b/>
                <w:i/>
              </w:rPr>
              <w:t>nema upućivanja na usklađene norme koje obuhvaćaju relevantne bitne zdravstvene i sigurnosne zahtjeve utvrđene</w:t>
            </w:r>
            <w:r>
              <w:t xml:space="preserve"> u Prilogu </w:t>
            </w:r>
            <w:r>
              <w:rPr>
                <w:b/>
                <w:i/>
              </w:rPr>
              <w:t>III</w:t>
            </w:r>
            <w:r>
              <w:t xml:space="preserve">. </w:t>
            </w:r>
            <w:r>
              <w:rPr>
                <w:b/>
                <w:i/>
              </w:rPr>
              <w:t>u skladu s Uredbom (EU) br. 1025/2012 i ne očekuje se objava takvih upućivanja u razumnom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ako Komisija smatra da je potrebno hitno riješiti problem nesukladnih podsustava i sigurnosnih komponenti.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ako Komisija smatra da je potrebno hitno riješiti problem nesukladnih podsustava i sigurnosnih komponenti.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ako Komisija smatra da je potrebno hitno riješiti problem nesukladnih podsustava i sigurnosnih komponenti.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ako Komisija smatra da je potrebno hitno riješiti problem nesukladnih podsustava i sigurnosnih komponenti.</w:t>
            </w:r>
          </w:p>
        </w:tc>
        <w:tc>
          <w:tcPr>
            <w:tcW w:w="4876" w:type="dxa"/>
            <w:tcBorders>
              <w:top w:val="nil"/>
              <w:left w:val="nil"/>
              <w:bottom w:val="nil"/>
              <w:right w:val="nil"/>
            </w:tcBorders>
          </w:tcPr>
          <w:p>
            <w:pPr>
              <w:pStyle w:val="Normal6a"/>
            </w:pPr>
            <w:r>
              <w:t>(c)</w:t>
            </w:r>
            <w:r>
              <w:tab/>
            </w:r>
            <w:r>
              <w:t xml:space="preserve">ako Komisija </w:t>
            </w:r>
            <w:r>
              <w:rPr>
                <w:b/>
                <w:i/>
              </w:rPr>
              <w:t>u krajnjoj nuždi</w:t>
            </w:r>
            <w:r>
              <w:t xml:space="preserve"> smatra da je potrebno hitno riješiti problem nesukladnih podsustava i sigurnosnih komponenti.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 potrebe prvog podstavka točke (c) smatra se da situacija predstavlja hitan razlog za zabrinutost posebno ako postoje dokazi o ozbiljnom ili neposrednom riziku za zdravlje ili sigurnost osoba, zaštitu okoliša ili funkcioniranje unutarnjeg tržišta, koji se ne može na odgovarajući način ublažiti alternativnim mjerama, ili ako bi vrijeme koje je potrebno za donošenje usklađenih normi vjerojatno dovelo do znatne štete za jednu ili više prethodno navedenih mjera.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(Horizontalna izmjena.</w:t>
            </w:r>
            <w:r>
              <w:rPr>
                <w:i/>
              </w:rPr>
              <w:t xml:space="preserve"> </w:t>
            </w:r>
            <w:r>
              <w:rPr>
                <w:i/>
              </w:rPr>
              <w:t>Ovom se izmjenom zamjenjuje stavak 1. točka (c) o zajedničkim specifikacijama u svim odgovarajućim odredbama o izmjeni iz članka 2. Uredbe (EU) 2016/424;</w:t>
            </w:r>
            <w:r>
              <w:rPr>
                <w:i/>
              </w:rPr>
              <w:t xml:space="preserve"> </w:t>
            </w:r>
            <w:r>
              <w:rPr>
                <w:i/>
              </w:rPr>
              <w:t>članka 3. Uredbe (EU) 2016/425;</w:t>
            </w:r>
            <w:r>
              <w:rPr>
                <w:i/>
              </w:rPr>
              <w:t xml:space="preserve"> </w:t>
            </w:r>
            <w:r>
              <w:rPr>
                <w:i/>
              </w:rPr>
              <w:t>članka 4. Uredbe (EU) 2016/426).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Ti se provedbeni akti donose u skladu sa savjetodavnim postupkom iz članka 44. stavka 2.</w:t>
            </w:r>
          </w:p>
        </w:tc>
        <w:tc>
          <w:tcPr>
            <w:tcW w:w="4876" w:type="dxa"/>
            <w:tcBorders>
              <w:top w:val="nil"/>
              <w:left w:val="nil"/>
              <w:bottom w:val="nil"/>
              <w:right w:val="nil"/>
            </w:tcBorders>
          </w:tcPr>
          <w:p>
            <w:pPr>
              <w:pStyle w:val="Normal6a"/>
            </w:pPr>
            <w:r>
              <w:t xml:space="preserve">Ti se provedbeni akti </w:t>
            </w:r>
            <w:r>
              <w:rPr>
                <w:b/>
                <w:i/>
              </w:rPr>
              <w:t>izrađuju u skladu s načelima iz Priloga II. točke 3. podtočaka (a), (b) i (c) Uredbe (EU) br. 1025/2012 i</w:t>
            </w:r>
            <w:r>
              <w:t xml:space="preserve"> donose u skladu sa savjetodavnim postupkom iz članka 44. stavka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se provedbeni akti donose u skladu </w:t>
            </w:r>
            <w:r>
              <w:rPr>
                <w:b/>
                <w:i/>
              </w:rPr>
              <w:t>sa savjetodavnim</w:t>
            </w:r>
            <w:r>
              <w:t xml:space="preserve"> postupkom iz članka 44. stavka </w:t>
            </w:r>
            <w:r>
              <w:rPr>
                <w:b/>
                <w:i/>
              </w:rPr>
              <w:t>2</w:t>
            </w:r>
            <w:r>
              <w:t>.</w:t>
            </w:r>
          </w:p>
        </w:tc>
        <w:tc>
          <w:tcPr>
            <w:tcW w:w="4876" w:type="dxa"/>
            <w:tcBorders>
              <w:top w:val="nil"/>
              <w:left w:val="nil"/>
              <w:bottom w:val="nil"/>
              <w:right w:val="nil"/>
            </w:tcBorders>
          </w:tcPr>
          <w:p>
            <w:pPr>
              <w:pStyle w:val="Normal6a"/>
            </w:pPr>
            <w:r>
              <w:t xml:space="preserve">Ti se provedbeni akti donose u skladu </w:t>
            </w:r>
            <w:r>
              <w:rPr>
                <w:b/>
                <w:i/>
              </w:rPr>
              <w:t>s</w:t>
            </w:r>
            <w:r>
              <w:t xml:space="preserve"> postupkom </w:t>
            </w:r>
            <w:r>
              <w:rPr>
                <w:b/>
                <w:i/>
              </w:rPr>
              <w:t>ispitivanja</w:t>
            </w:r>
            <w:r>
              <w:t xml:space="preserve"> iz članka 44. stavka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se provedbeni akti donose u skladu </w:t>
            </w:r>
            <w:r>
              <w:rPr>
                <w:b/>
                <w:i/>
              </w:rPr>
              <w:t>sa savjetodavnim</w:t>
            </w:r>
            <w:r>
              <w:t xml:space="preserve"> postupkom iz članka 44. stavka </w:t>
            </w:r>
            <w:r>
              <w:rPr>
                <w:b/>
                <w:i/>
              </w:rPr>
              <w:t>2</w:t>
            </w:r>
            <w:r>
              <w:t>.</w:t>
            </w:r>
          </w:p>
        </w:tc>
        <w:tc>
          <w:tcPr>
            <w:tcW w:w="4876" w:type="dxa"/>
            <w:tcBorders>
              <w:top w:val="nil"/>
              <w:left w:val="nil"/>
              <w:bottom w:val="nil"/>
              <w:right w:val="nil"/>
            </w:tcBorders>
          </w:tcPr>
          <w:p>
            <w:pPr>
              <w:pStyle w:val="Normal6a"/>
            </w:pPr>
            <w:r>
              <w:t xml:space="preserve">Ti se provedbeni akti donose u skladu </w:t>
            </w:r>
            <w:r>
              <w:rPr>
                <w:b/>
                <w:i/>
              </w:rPr>
              <w:t>s</w:t>
            </w:r>
            <w:r>
              <w:t xml:space="preserve"> postupkom </w:t>
            </w:r>
            <w:r>
              <w:rPr>
                <w:b/>
                <w:i/>
              </w:rPr>
              <w:t>ispitivanja</w:t>
            </w:r>
            <w:r>
              <w:t xml:space="preserve"> iz članka 44. stavka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 izradi nacrta provedbenog akta iz stavka 1. ovog članka Komisija uzima u obzir stajališta relevantnih tijela i, prema potrebi, stručne skupine te se na odgovarajući način savjetuje sa svim relevantnim dionicima.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(Horizontalna izmjena.</w:t>
            </w:r>
            <w:r>
              <w:rPr>
                <w:i/>
              </w:rPr>
              <w:t xml:space="preserve"> </w:t>
            </w:r>
            <w:r>
              <w:rPr>
                <w:i/>
              </w:rPr>
              <w:t>Ovom se izmjenom članku o zajedničkim specifikacijama dodaje stavak u svim odgovarajućim odredbama o izmjeni iz članka 2. Uredbe (EU) 2016/424;</w:t>
            </w:r>
            <w:r>
              <w:rPr>
                <w:i/>
              </w:rPr>
              <w:t xml:space="preserve"> </w:t>
            </w:r>
            <w:r>
              <w:rPr>
                <w:i/>
              </w:rPr>
              <w:t>članka 3. Uredbe (EU) 2016/425;</w:t>
            </w:r>
            <w:r>
              <w:rPr>
                <w:i/>
              </w:rPr>
              <w:t xml:space="preserve"> </w:t>
            </w:r>
            <w:r>
              <w:rPr>
                <w:i/>
              </w:rPr>
              <w:t>članka 4. Uredbe (EU) 2016/426).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Ako Europski parlament smatra da zajednička specifikacija u potpunosti ne ispunjava relevantne zahtjeve, o tome obavješćuje Komisiju u detaljnom objašnjenju.</w:t>
            </w:r>
            <w:r>
              <w:t xml:space="preserve"> </w:t>
            </w:r>
            <w:r>
              <w:rPr>
                <w:b/>
                <w:i/>
              </w:rPr>
              <w:t>Komisija ocjenjuje to detaljno objašnjenje i, prema potrebi, može izmijeniti provedbeni akt kojim se utvrđuje predmetna zajednička specifikacija.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(Horizontalna izmjena.</w:t>
            </w:r>
            <w:r>
              <w:rPr>
                <w:i/>
              </w:rPr>
              <w:t xml:space="preserve"> </w:t>
            </w:r>
            <w:r>
              <w:rPr>
                <w:i/>
              </w:rPr>
              <w:t>Ovom se izmjenom članku o zajedničkim specifikacijama dodaje stavak u svim odgovarajućim odredbama o izmjeni iz članka 2. Uredbe (EU) 2016/424;</w:t>
            </w:r>
            <w:r>
              <w:rPr>
                <w:i/>
              </w:rPr>
              <w:t xml:space="preserve"> </w:t>
            </w:r>
            <w:r>
              <w:rPr>
                <w:i/>
              </w:rPr>
              <w:t>članka 3. Uredbe (EU) 2016/425;</w:t>
            </w:r>
            <w:r>
              <w:rPr>
                <w:i/>
              </w:rPr>
              <w:t xml:space="preserve"> </w:t>
            </w:r>
            <w:r>
              <w:rPr>
                <w:i/>
              </w:rPr>
              <w:t>članka 4. Uredbe (EU) 2016/426).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Prije nego što izradi nacrt provedbenog akta iz stavka 1. ovog članka Komisija obavješćuje odbor iz članka 22. Uredbe (EU) br. 1025/2012 da smatra da su uvjeti iz stavka 1. ovog članka ispunjeni.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2.a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Prije nego što izradi nacrt provedbenog akta iz stavka 1., Komisija obavještava odbor iz članka 22. Uredbe (EU) br. 1025/2012 da smatra da su uvjeti iz stavka 1. ispunjeni.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2.b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Pri izradi nacrta provedbenog akta iz stavka 1. Komisija uzima u obzir stajališta odabrane stručne skupine kao i bilo kojeg drugog relevantnog tijela te se na odgovarajući način savjetuje sa svim relevantnim dionicima.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Pri pripremi nacrta provedbenog akta iz stavka 1. Komisija uzima u obzir stajališta odabrane stručne skupine.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Ako europska organizacija za normizaciju donese usklađenu normu i predloži je Komisiji radi objave upućivanja na nju u Službenom listu Europske unije, Komisija ocjenjuje tu normu u skladu s Uredbom (EU) br. 1025/2012.</w:t>
            </w:r>
            <w:r>
              <w:t xml:space="preserve"> </w:t>
            </w:r>
            <w:r>
              <w:rPr>
                <w:b/>
                <w:i/>
              </w:rPr>
              <w:t>Kada se u Službenom listu Europske unije objavi upućivanje na usklađenu normu, Komisija stavlja izvan snage ili izmjenjuje provedbene akte iz stavka 1. ili njihove dijelove koji obuhvaćaju iste zahtjeve koji su obuhvaćeni tom usklađenom normom.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2.c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Ako europska organizacija za normizaciju donese usklađenu normu i predloži je Komisiji radi objave upućivanja na nju u Službenom listu Europske unije, Komisija ocjenjuje tu normu u skladu s Uredbom (EU) br. 1025/2012.</w:t>
            </w:r>
            <w:r>
              <w:t xml:space="preserve"> </w:t>
            </w:r>
            <w:r>
              <w:rPr>
                <w:b/>
                <w:i/>
              </w:rPr>
              <w:t>Kada se u Službenom listu Europske unije objavi upućivanje na usklađenu normu, Komisija stavlja izvan snage ili izmjenjuje provedbene akte iz stavka 1. ili njihove dijelove koji obuhvaćaju iste zahtjeve koji su obuhvaćeni tom usklađenom normom.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Ako država članica smatra da zajednička specifikacija ili njezini dijelovi ne ispunjavaju u potpunosti bitne zahtjeve utvrđene u Prilogu II. koje obuhvaćaju, o tome obavješćuje Komisiju podnošenjem detaljnog objašnjenja.</w:t>
            </w:r>
            <w:r>
              <w:t xml:space="preserve"> </w:t>
            </w:r>
            <w:r>
              <w:rPr>
                <w:b/>
                <w:i/>
              </w:rPr>
              <w:t>Komisija ocjenjuje to detaljno objašnjenje i, po potrebi, može izmijeniti provedbeni akt kojim se utvrđuje predmetna zajednička specifikacija.’;’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Ova se izmjena primjenjuje i na sljedeće članke:</w:t>
      </w:r>
      <w:r>
        <w:t xml:space="preserve"> </w:t>
      </w:r>
      <w:r>
        <w:t>članak 3. stavak 6., članak 4. stavak 7.</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17.a – stavak 2.d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Ako država članica ili Europski parlament smatraju da zajednička specifikacija ne ispunjava u potpunosti bitne zahtjeve utvrđene u Prilogu II., o tome obavješćuju Komisiju podnošenjem detaljnog objašnjenja.</w:t>
            </w:r>
            <w:r>
              <w:t xml:space="preserve"> </w:t>
            </w:r>
            <w:r>
              <w:rPr>
                <w:b/>
                <w:i/>
              </w:rPr>
              <w:t>Komisija ocjenjuje to detaljno objašnjenje i, po potrebi, može izmijeniti provedbeni akt kojim se utvrđuje predmetna zajednička specifikacija.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Izmijenjeno kako bi bilo u skladu s nedavno dogovorenim zakonodavstvom.</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9.</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26.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odgovarajuće poznavanje i razumijevanje bitnih zahtjeva navedenih u Prilogu II., važećih usklađenih normi ili zajedničkih specifikacija i odgovarajućih odredaba zakonodavstva Unije o usklađivanju te nacionalnog zakonodavstva;;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10.</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34.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u članku 34. stavak 3. zamjenjuje se sljedećim:</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w:t>
            </w:r>
            <w:r>
              <w:rPr>
                <w:b/>
                <w:i/>
              </w:rPr>
              <w:t xml:space="preserve"> </w:t>
            </w:r>
            <w:r>
              <w:rPr>
                <w:b/>
                <w:i/>
              </w:rPr>
              <w:t>Ako prijavljeno tijelo ustanovi da proizvođač ne ispunjava bitne zahtjeve navedene u Prilogu II. ili odgovarajuće usklađene norme ili zajedničke specifikacije ili tehničke specifikacije, od navedenog proizvođača zahtijeva poduzimanje odgovarajućih korektivnih mjera te ne izdaje potvrdu ili odluku o odobrenju.;</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1. – podtočka a</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3.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8.a</w:t>
            </w:r>
            <w:r>
              <w:tab/>
            </w:r>
            <w:r>
              <w:t xml:space="preserve">„digitalni kontakt” </w:t>
            </w:r>
            <w:r>
              <w:rPr>
                <w:b/>
                <w:i/>
              </w:rPr>
              <w:t>znači</w:t>
            </w:r>
            <w:r>
              <w:t xml:space="preserve"> svaki </w:t>
            </w:r>
            <w:r>
              <w:rPr>
                <w:b/>
                <w:i/>
              </w:rPr>
              <w:t>ažuran i pristupačan</w:t>
            </w:r>
            <w:r>
              <w:t xml:space="preserve"> internetski komunikacijski kanal </w:t>
            </w:r>
            <w:r>
              <w:rPr>
                <w:b/>
                <w:i/>
              </w:rPr>
              <w:t>kojim se može obratiti gospodarskim subjektima bez registracije ili preuzimanja</w:t>
            </w:r>
            <w:r>
              <w:t xml:space="preserve"> aplikacije</w:t>
            </w:r>
            <w:r>
              <w:rPr>
                <w:b/>
                <w:i/>
              </w:rPr>
              <w:t>;</w:t>
            </w:r>
            <w:r>
              <w:t>;</w:t>
            </w:r>
          </w:p>
        </w:tc>
        <w:tc>
          <w:tcPr>
            <w:tcW w:w="4876" w:type="dxa"/>
            <w:tcBorders>
              <w:top w:val="nil"/>
              <w:left w:val="nil"/>
              <w:bottom w:val="nil"/>
              <w:right w:val="nil"/>
            </w:tcBorders>
          </w:tcPr>
          <w:p>
            <w:pPr>
              <w:pStyle w:val="Normal6a"/>
            </w:pPr>
            <w:r>
              <w:t>8.a</w:t>
            </w:r>
            <w:r>
              <w:tab/>
            </w:r>
            <w:r>
              <w:t>„Digitalni kontakt”</w:t>
            </w:r>
            <w:r>
              <w:rPr>
                <w:b/>
                <w:i/>
              </w:rPr>
              <w:t>:</w:t>
            </w:r>
            <w:r>
              <w:t xml:space="preserve"> svaki </w:t>
            </w:r>
            <w:r>
              <w:rPr>
                <w:b/>
                <w:i/>
              </w:rPr>
              <w:t>ažurirani i dostupan</w:t>
            </w:r>
            <w:r>
              <w:t xml:space="preserve"> internetski komunikacijski kanal </w:t>
            </w:r>
            <w:r>
              <w:rPr>
                <w:b/>
                <w:i/>
              </w:rPr>
              <w:t>putem kojeg se gospodarski subjekti mogu pronaći ili uključiti bez potrebe za registracijom kod gospodarskog subjekta ili preuzimanjem</w:t>
            </w:r>
            <w:r>
              <w:t xml:space="preserve"> aplikacije </w:t>
            </w:r>
            <w:r>
              <w:rPr>
                <w:b/>
                <w:i/>
              </w:rPr>
              <w:t>od gospodarskog subjekta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1. – podtočka b</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umeće se sljedeća točka 10.a: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10.a „zajedničke specifikacije” znači skup tehničkih zahtjeva, osim norme, koji osigurava sredstvo da se ispune bitni zahtjevi koji se primjenjuju na proizvod, uređaj, uslugu, proces ili sustav;;</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1. – podtočka b</w:t>
      </w:r>
      <w:r>
        <w:rPr>
          <w:rStyle w:val="HideTWBExt"/>
        </w:rPr>
        <w:t>&lt;/Article&gt;</w:t>
      </w:r>
    </w:p>
    <w:p>
      <w:r>
        <w:rPr>
          <w:rStyle w:val="HideTWBExt"/>
        </w:rPr>
        <w:t>&lt;DocAmend2&gt;</w:t>
      </w:r>
      <w:r>
        <w:t>Uredba (EU) 2016/425</w:t>
      </w:r>
      <w:r>
        <w:rPr>
          <w:rStyle w:val="HideTWBExt"/>
        </w:rPr>
        <w:t>&lt;/DocAmend2&gt;</w:t>
      </w:r>
    </w:p>
    <w:p>
      <w:r>
        <w:rPr>
          <w:rStyle w:val="HideTWBExt"/>
        </w:rPr>
        <w:t>&lt;Article2&gt;</w:t>
      </w:r>
      <w:r>
        <w:t> Članak 3. – točka 10.a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10.a</w:t>
            </w:r>
            <w:r>
              <w:tab/>
            </w:r>
            <w:r>
              <w:rPr>
                <w:b/>
                <w:i/>
              </w:rPr>
              <w:t>„zajedničke specifikacije</w:t>
            </w:r>
            <w:r>
              <w:t xml:space="preserve">” znači </w:t>
            </w:r>
            <w:r>
              <w:rPr>
                <w:b/>
                <w:i/>
              </w:rPr>
              <w:t>skup tehničkih zahtjeva</w:t>
            </w:r>
            <w:r>
              <w:t xml:space="preserve">, osim norme, </w:t>
            </w:r>
            <w:r>
              <w:rPr>
                <w:b/>
                <w:i/>
              </w:rPr>
              <w:t>koji</w:t>
            </w:r>
            <w:r>
              <w:t xml:space="preserve"> osigurava sredstvo da se ispune bitni zahtjevi koji se primjenjuju na </w:t>
            </w:r>
            <w:r>
              <w:rPr>
                <w:b/>
                <w:i/>
              </w:rPr>
              <w:t>proizvod, uređaj, uslugu, proces ili sustav;;</w:t>
            </w:r>
          </w:p>
        </w:tc>
        <w:tc>
          <w:tcPr>
            <w:tcW w:w="4876" w:type="dxa"/>
            <w:tcBorders>
              <w:top w:val="nil"/>
              <w:left w:val="nil"/>
              <w:bottom w:val="nil"/>
              <w:right w:val="nil"/>
            </w:tcBorders>
          </w:tcPr>
          <w:p>
            <w:pPr>
              <w:pStyle w:val="Normal6a"/>
            </w:pPr>
            <w:r>
              <w:rPr>
                <w:b/>
                <w:i/>
              </w:rPr>
              <w:t>(10a)</w:t>
            </w:r>
            <w:r>
              <w:tab/>
            </w:r>
            <w:r>
              <w:rPr>
                <w:b/>
                <w:i/>
              </w:rPr>
              <w:t>„zajednička specifikacija</w:t>
            </w:r>
            <w:r>
              <w:t xml:space="preserve">” znači </w:t>
            </w:r>
            <w:r>
              <w:rPr>
                <w:b/>
                <w:i/>
              </w:rPr>
              <w:t>tehnička specifikacija</w:t>
            </w:r>
            <w:r>
              <w:t xml:space="preserve">, osim norme, </w:t>
            </w:r>
            <w:r>
              <w:rPr>
                <w:b/>
                <w:i/>
              </w:rPr>
              <w:t>kojom se</w:t>
            </w:r>
            <w:r>
              <w:t xml:space="preserve"> osigurava sredstvo da se ispune bitni zahtjevi </w:t>
            </w:r>
            <w:r>
              <w:rPr>
                <w:b/>
                <w:i/>
              </w:rPr>
              <w:t>iz Priloga II. </w:t>
            </w:r>
            <w:r>
              <w:t xml:space="preserve">koji se primjenjuju na </w:t>
            </w:r>
            <w:r>
              <w:rPr>
                <w:b/>
                <w:i/>
              </w:rPr>
              <w:t>OZO.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1. – podtočka b</w:t>
      </w:r>
      <w:r>
        <w:rPr>
          <w:rStyle w:val="HideTWBExt"/>
        </w:rPr>
        <w:t>&lt;/Article&gt;</w:t>
      </w:r>
    </w:p>
    <w:p>
      <w:r>
        <w:rPr>
          <w:rStyle w:val="HideTWBExt"/>
        </w:rPr>
        <w:t>&lt;DocAmend2&gt;</w:t>
      </w:r>
      <w:r>
        <w:t>Uredba (EU) 2016/425</w:t>
      </w:r>
      <w:r>
        <w:rPr>
          <w:rStyle w:val="HideTWBExt"/>
        </w:rPr>
        <w:t>&lt;/DocAmend2&gt;</w:t>
      </w:r>
    </w:p>
    <w:p>
      <w:r>
        <w:rPr>
          <w:rStyle w:val="HideTWBExt"/>
        </w:rPr>
        <w:t>&lt;Article2&gt;</w:t>
      </w:r>
      <w:r>
        <w:t> Članak 3. – točka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10.a</w:t>
            </w:r>
            <w:r>
              <w:tab/>
            </w:r>
            <w:r>
              <w:rPr>
                <w:b/>
                <w:i/>
              </w:rPr>
              <w:t>„zajedničke specifikacije</w:t>
            </w:r>
            <w:r>
              <w:t xml:space="preserve">” znači </w:t>
            </w:r>
            <w:r>
              <w:rPr>
                <w:b/>
                <w:i/>
              </w:rPr>
              <w:t>skup tehničkih zahtjeva</w:t>
            </w:r>
            <w:r>
              <w:t xml:space="preserve">, osim norme, </w:t>
            </w:r>
            <w:r>
              <w:rPr>
                <w:b/>
                <w:i/>
              </w:rPr>
              <w:t>koji</w:t>
            </w:r>
            <w:r>
              <w:t xml:space="preserve"> osigurava sredstvo da se ispune bitni zahtjevi koji se primjenjuju na </w:t>
            </w:r>
            <w:r>
              <w:rPr>
                <w:b/>
                <w:i/>
              </w:rPr>
              <w:t>proizvod, uređaj, uslugu, proces ili sustav</w:t>
            </w:r>
            <w:r>
              <w:t>;</w:t>
            </w:r>
            <w:r>
              <w:rPr>
                <w:b/>
                <w:i/>
              </w:rPr>
              <w:t>;</w:t>
            </w:r>
          </w:p>
        </w:tc>
        <w:tc>
          <w:tcPr>
            <w:tcW w:w="4876" w:type="dxa"/>
            <w:tcBorders>
              <w:top w:val="nil"/>
              <w:left w:val="nil"/>
              <w:bottom w:val="nil"/>
              <w:right w:val="nil"/>
            </w:tcBorders>
          </w:tcPr>
          <w:p>
            <w:pPr>
              <w:pStyle w:val="Normal6a"/>
            </w:pPr>
            <w:r>
              <w:rPr>
                <w:b/>
                <w:i/>
              </w:rPr>
              <w:t>(10a)</w:t>
            </w:r>
            <w:r>
              <w:tab/>
            </w:r>
            <w:r>
              <w:rPr>
                <w:b/>
                <w:i/>
              </w:rPr>
              <w:t>„zajednička specifikacija</w:t>
            </w:r>
            <w:r>
              <w:t xml:space="preserve">” znači </w:t>
            </w:r>
            <w:r>
              <w:rPr>
                <w:b/>
                <w:i/>
              </w:rPr>
              <w:t>tehnička specifikacija</w:t>
            </w:r>
            <w:r>
              <w:t xml:space="preserve">, osim norme, </w:t>
            </w:r>
            <w:r>
              <w:rPr>
                <w:b/>
                <w:i/>
              </w:rPr>
              <w:t>kojom se</w:t>
            </w:r>
            <w:r>
              <w:t xml:space="preserve"> osigurava sredstvo da se ispune bitni zahtjevi </w:t>
            </w:r>
            <w:r>
              <w:rPr>
                <w:b/>
                <w:i/>
              </w:rPr>
              <w:t>iz Priloga II.</w:t>
            </w:r>
            <w:r>
              <w:t xml:space="preserve"> koji se primjenjuju na </w:t>
            </w:r>
            <w:r>
              <w:rPr>
                <w:b/>
                <w:i/>
              </w:rPr>
              <w:t>OZO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c</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OZO-u navode svoje ime, registrirano trgovačko ime ili registrirani trgovački znak te poštansku adresu i digitalni kontakt na kojima su dostupni za kontakt, ili, ako to nije moguće, na ambalaži ili u dokumentu koji mu je priložen. U poštanskoj adresi i digitalnom kontaktu mora biti navedeno jedinstveno mjesto na kojem </w:t>
            </w:r>
            <w:r>
              <w:rPr>
                <w:b/>
                <w:i/>
              </w:rPr>
              <w:t>je proizvođač dostupan.</w:t>
            </w:r>
            <w:r>
              <w:t>;</w:t>
            </w:r>
          </w:p>
        </w:tc>
        <w:tc>
          <w:tcPr>
            <w:tcW w:w="4876" w:type="dxa"/>
            <w:tcBorders>
              <w:top w:val="nil"/>
              <w:left w:val="nil"/>
              <w:bottom w:val="nil"/>
              <w:right w:val="nil"/>
            </w:tcBorders>
          </w:tcPr>
          <w:p>
            <w:pPr>
              <w:pStyle w:val="Normal6a"/>
            </w:pPr>
            <w:r>
              <w:t xml:space="preserve">Proizvođači na OZO-u navode svoje ime, registrirano trgovačko ime ili registrirani trgovački znak te poštansku adresu i digitalni kontakt na kojima su dostupni za kontakt, ili, ako to nije moguće, na ambalaži ili u dokumentu koji mu je priložen. U poštanskoj adresi i digitalnom kontaktu mora biti navedeno jedinstveno mjesto na kojem </w:t>
            </w:r>
            <w:r>
              <w:rPr>
                <w:b/>
                <w:i/>
              </w:rPr>
              <w:t>se može stupiti u kontakt s proizvođačem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c</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OZO-u navode svoje ime, registrirano trgovačko ime ili registrirani trgovački znak te poštansku adresu </w:t>
            </w:r>
            <w:r>
              <w:rPr>
                <w:b/>
                <w:i/>
              </w:rPr>
              <w:t>i</w:t>
            </w:r>
            <w:r>
              <w:t xml:space="preserve"> digitalni kontakt na kojima su dostupni za kontakt, ili, ako to nije moguće, na ambalaži ili u dokumentu koji mu je priložen. </w:t>
            </w:r>
            <w:r>
              <w:rPr>
                <w:b/>
                <w:i/>
              </w:rPr>
              <w:t>U poštanskoj adresi i digitalnom kontaktu mora biti navedeno jedinstveno mjesto na kojem je proizvođač dostupan</w:t>
            </w:r>
            <w:r>
              <w:t>.</w:t>
            </w:r>
            <w:r>
              <w:rPr>
                <w:b/>
                <w:i/>
              </w:rPr>
              <w:t>;</w:t>
            </w:r>
          </w:p>
        </w:tc>
        <w:tc>
          <w:tcPr>
            <w:tcW w:w="4876" w:type="dxa"/>
            <w:tcBorders>
              <w:top w:val="nil"/>
              <w:left w:val="nil"/>
              <w:bottom w:val="nil"/>
              <w:right w:val="nil"/>
            </w:tcBorders>
          </w:tcPr>
          <w:p>
            <w:pPr>
              <w:pStyle w:val="Normal6a"/>
            </w:pPr>
            <w:r>
              <w:t xml:space="preserve">Proizvođači na OZO-u navode svoje ime, registrirano trgovačko ime ili registrirani trgovački znak te poštansku adresu </w:t>
            </w:r>
            <w:r>
              <w:rPr>
                <w:b/>
                <w:i/>
              </w:rPr>
              <w:t>ili</w:t>
            </w:r>
            <w:r>
              <w:t xml:space="preserve"> digitalni kontakt na kojima su dostupni za kontakt, ili, ako to nije moguće, na ambalaži ili u dokumentu koji mu je priložen. </w:t>
            </w:r>
            <w:r>
              <w:rPr>
                <w:b/>
                <w:i/>
              </w:rPr>
              <w:t>Poštanska adresa i digitalni kontakt kontaktna su točka proizvođača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c</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OZO-u navode svoje ime, registrirano trgovačko ime ili registrirani trgovački znak te poštansku adresu </w:t>
            </w:r>
            <w:r>
              <w:rPr>
                <w:b/>
                <w:i/>
              </w:rPr>
              <w:t>i</w:t>
            </w:r>
            <w:r>
              <w:t xml:space="preserve"> digitalni kontakt na kojima su dostupni za kontakt, ili, ako to nije moguće, na ambalaži ili u dokumentu koji mu je priložen. U poštanskoj adresi i digitalnom kontaktu mora biti navedeno jedinstveno mjesto na kojem je proizvođač dostupan.;</w:t>
            </w:r>
          </w:p>
        </w:tc>
        <w:tc>
          <w:tcPr>
            <w:tcW w:w="4876" w:type="dxa"/>
            <w:tcBorders>
              <w:top w:val="nil"/>
              <w:left w:val="nil"/>
              <w:bottom w:val="nil"/>
              <w:right w:val="nil"/>
            </w:tcBorders>
          </w:tcPr>
          <w:p>
            <w:pPr>
              <w:pStyle w:val="Normal6a"/>
            </w:pPr>
            <w:r>
              <w:t xml:space="preserve">Proizvođači na OZO-u navode svoje ime, registrirano trgovačko ime ili registrirani trgovački znak te poštansku adresu </w:t>
            </w:r>
            <w:r>
              <w:rPr>
                <w:b/>
                <w:i/>
              </w:rPr>
              <w:t>ili</w:t>
            </w:r>
            <w:r>
              <w:t xml:space="preserve"> digitalni kontakt na kojima su dostupni za kontakt, ili, ako to nije moguće, na ambalaži ili u dokumentu koji mu je priložen. U poštanskoj adresi i digitalnom kontaktu mora biti navedeno jedinstveno mjesto na kojem je proizvođač dostupan.;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d</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je OZO namijenjen potrošačima ili ga potrošači mogu, u razumno predvidljivim uvjetima, koristiti čak i ako im nije namijenjen, proizvođač pruža upute i informacije iz točke 1.4. Priloga II. u papirnatom obliku ili ih stavlja na vidljivo mjesto na ambalaži. Takve informacije potrošačima moraju biti lako vidljive i čitljive.</w:t>
            </w:r>
          </w:p>
        </w:tc>
        <w:tc>
          <w:tcPr>
            <w:tcW w:w="4876" w:type="dxa"/>
            <w:tcBorders>
              <w:top w:val="nil"/>
              <w:left w:val="nil"/>
              <w:bottom w:val="nil"/>
              <w:right w:val="nil"/>
            </w:tcBorders>
          </w:tcPr>
          <w:p>
            <w:pPr>
              <w:pStyle w:val="Normal6a"/>
            </w:pPr>
            <w:r>
              <w:t>Ako je OZO namijenjen potrošačima ili ga potrošači mogu, u razumno predvidljivim uvjetima, koristiti čak i ako im nije namijenjen, proizvođač pruža upute i informacije iz točke 1.4. Priloga II.</w:t>
            </w:r>
            <w:r>
              <w:rPr>
                <w:b/>
                <w:i/>
              </w:rPr>
              <w:t>, koje su povezane sa sigurnom uporabom OZO-a,</w:t>
            </w:r>
            <w:r>
              <w:t xml:space="preserve"> u papirnatom obliku ili ih stavlja na vidljivo mjesto na ambalaži. Takve informacije potrošačima</w:t>
            </w:r>
            <w:r>
              <w:rPr>
                <w:b/>
                <w:i/>
              </w:rPr>
              <w:t>, uključujući osobe s invaliditetom,</w:t>
            </w:r>
            <w:r>
              <w:t xml:space="preserve"> moraju biti lako vidljive i čitljive.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d</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je OZO namijenjen potrošačima ili ga potrošači mogu, u razumno predvidljivim uvjetima, koristiti čak i ako im nije namijenjen, proizvođač pruža upute i informacije iz točke 1.4. Priloga II. u papirnatom obliku ili ih stavlja na vidljivo mjesto na ambalaži. Takve informacije potrošačima moraju biti lako vidljive i čitljive.</w:t>
            </w:r>
          </w:p>
        </w:tc>
        <w:tc>
          <w:tcPr>
            <w:tcW w:w="4876" w:type="dxa"/>
            <w:tcBorders>
              <w:top w:val="nil"/>
              <w:left w:val="nil"/>
              <w:bottom w:val="nil"/>
              <w:right w:val="nil"/>
            </w:tcBorders>
          </w:tcPr>
          <w:p>
            <w:pPr>
              <w:pStyle w:val="Normal6a"/>
            </w:pPr>
            <w:r>
              <w:t>Ako je OZO namijenjen potrošačima ili ga potrošači mogu, u razumno predvidljivim uvjetima, koristiti čak i ako im nije namijenjen, proizvođač pruža upute i informacije iz točke 1.4. Priloga II. u papirnatom obliku ili ih stavlja na vidljivo mjesto na ambalaži. Takve informacije potrošačima</w:t>
            </w:r>
            <w:r>
              <w:rPr>
                <w:b/>
                <w:i/>
              </w:rPr>
              <w:t>, uključujući osobe s invaliditetom,</w:t>
            </w:r>
            <w:r>
              <w:t xml:space="preserve"> moraju biti lako vidljive i čitljive.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(Horizontalna izmjena.</w:t>
            </w:r>
            <w:r>
              <w:rPr>
                <w:i/>
              </w:rPr>
              <w:t xml:space="preserve"> </w:t>
            </w:r>
            <w:r>
              <w:rPr>
                <w:i/>
              </w:rPr>
              <w:t>Ovom se izmjenom dodaje pojašnjenje da upute i sigurnosne informacije koje se pružaju u papirnatom obliku moraju biti pristupačne osobama s invaliditetom u svim odgovarajućim odredbama o izmjeni iz članka 3. Uredbe (EU) 2016/425;</w:t>
            </w:r>
            <w:r>
              <w:rPr>
                <w:i/>
              </w:rPr>
              <w:t xml:space="preserve"> </w:t>
            </w:r>
            <w:r>
              <w:rPr>
                <w:i/>
              </w:rPr>
              <w:t>članka 4. Uredbe (EU) 2016/426;</w:t>
            </w:r>
            <w:r>
              <w:rPr>
                <w:i/>
              </w:rPr>
              <w:t xml:space="preserve"> </w:t>
            </w:r>
            <w:r>
              <w:rPr>
                <w:i/>
              </w:rPr>
              <w:t>članka 6. Uredbe (EU) 2023/1542.)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d</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točka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Ako je OZO namijenjen potrošačima ili ga potrošači mogu, u razumno predvidljivim uvjetima, koristiti čak i ako im nije namijenjen, proizvođač pruža upute i informacije iz točke 1.4. Priloga II. u papirnatom obliku ili ih stavlja na vidljivo mjesto na ambalaži. </w:t>
            </w:r>
            <w:r>
              <w:rPr>
                <w:b/>
                <w:i/>
              </w:rPr>
              <w:t>Takve</w:t>
            </w:r>
            <w:r>
              <w:t xml:space="preserve"> informacije potrošačima </w:t>
            </w:r>
            <w:r>
              <w:rPr>
                <w:b/>
                <w:i/>
              </w:rPr>
              <w:t>moraju biti lako vidljive i čitljive</w:t>
            </w:r>
            <w:r>
              <w:t>.</w:t>
            </w:r>
          </w:p>
        </w:tc>
        <w:tc>
          <w:tcPr>
            <w:tcW w:w="4876" w:type="dxa"/>
            <w:tcBorders>
              <w:top w:val="nil"/>
              <w:left w:val="nil"/>
              <w:bottom w:val="nil"/>
              <w:right w:val="nil"/>
            </w:tcBorders>
          </w:tcPr>
          <w:p>
            <w:pPr>
              <w:pStyle w:val="Normal6a"/>
            </w:pPr>
            <w:r>
              <w:t xml:space="preserve">Ako je OZO namijenjen potrošačima ili ga potrošači mogu, u razumno predvidljivim uvjetima, koristiti čak i ako im nije namijenjen, proizvođač pruža upute i informacije iz točke 1.4. Priloga II. u papirnatom obliku ili ih stavlja na vidljivo mjesto na ambalaži. </w:t>
            </w:r>
            <w:r>
              <w:rPr>
                <w:b/>
                <w:i/>
              </w:rPr>
              <w:t>Te su</w:t>
            </w:r>
            <w:r>
              <w:t xml:space="preserve"> informacije </w:t>
            </w:r>
            <w:r>
              <w:rPr>
                <w:b/>
                <w:i/>
              </w:rPr>
              <w:t>lako dostupne i čitljive</w:t>
            </w:r>
            <w:r>
              <w:t xml:space="preserve"> potrošačima </w:t>
            </w:r>
            <w:r>
              <w:rPr>
                <w:b/>
                <w:i/>
              </w:rPr>
              <w:t>i drugim krajnjim korisnicima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d</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je OZO namijenjen potrošačima ili ga potrošači mogu, u razumno predvidljivim uvjetima, koristiti čak i ako im nije namijenjen, proizvođač pruža upute i informacije iz točke 1.4. Priloga II. u papirnatom obliku ili ih stavlja na vidljivo mjesto na ambalaži. Takve informacije potrošačima moraju biti lako vidljive i čitljive.</w:t>
            </w:r>
          </w:p>
        </w:tc>
        <w:tc>
          <w:tcPr>
            <w:tcW w:w="4876" w:type="dxa"/>
            <w:tcBorders>
              <w:top w:val="nil"/>
              <w:left w:val="nil"/>
              <w:bottom w:val="nil"/>
              <w:right w:val="nil"/>
            </w:tcBorders>
          </w:tcPr>
          <w:p>
            <w:pPr>
              <w:pStyle w:val="Normal6a"/>
            </w:pPr>
            <w:r>
              <w:t>Ako je OZO namijenjen potrošačima ili ga potrošači mogu, u razumno predvidljivim uvjetima, koristiti čak i ako im nije namijenjen, proizvođač pruža upute i informacije iz točke 1.4. Priloga II. u papirnatom obliku</w:t>
            </w:r>
            <w:r>
              <w:rPr>
                <w:b/>
                <w:i/>
              </w:rPr>
              <w:t>, na zahtjev potrošača,</w:t>
            </w:r>
            <w:r>
              <w:t xml:space="preserve"> ili ih stavlja na vidljivo mjesto na ambalaži. Takve informacije potrošačima moraju biti lako vidljive i čitljive.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d</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 sastavljanju uputa i informacija iz točke 1.4. Priloga II. proizvođači uzimaju u obzir predviđenu uporabu i predvidivu nepravilnu uporabu krajnjeg korisnika.</w:t>
            </w:r>
          </w:p>
        </w:tc>
        <w:tc>
          <w:tcPr>
            <w:tcW w:w="4876" w:type="dxa"/>
            <w:tcBorders>
              <w:top w:val="nil"/>
              <w:left w:val="nil"/>
              <w:bottom w:val="nil"/>
              <w:right w:val="nil"/>
            </w:tcBorders>
          </w:tcPr>
          <w:p>
            <w:pPr>
              <w:pStyle w:val="Normal6a"/>
            </w:pPr>
            <w:r>
              <w:t>Pri sastavljanju uputa i informacija iz točke 1.4. Priloga II.</w:t>
            </w:r>
            <w:r>
              <w:rPr>
                <w:b/>
                <w:i/>
              </w:rPr>
              <w:t>, koje su povezane sa sigurnom uporabom OZO-a,</w:t>
            </w:r>
            <w:r>
              <w:t xml:space="preserve"> proizvođači uzimaju u obzir predviđenu uporabu i predvidivu nepravilnu uporabu krajnjeg korisnika.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d</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su upute iz prvog podstavka u elektroničkom obliku, proizvođač:</w:t>
            </w:r>
          </w:p>
        </w:tc>
        <w:tc>
          <w:tcPr>
            <w:tcW w:w="4876" w:type="dxa"/>
            <w:tcBorders>
              <w:top w:val="nil"/>
              <w:left w:val="nil"/>
              <w:bottom w:val="nil"/>
              <w:right w:val="nil"/>
            </w:tcBorders>
          </w:tcPr>
          <w:p>
            <w:pPr>
              <w:pStyle w:val="Normal6a"/>
            </w:pPr>
            <w:r>
              <w:t xml:space="preserve">Ako su upute </w:t>
            </w:r>
            <w:r>
              <w:rPr>
                <w:b/>
                <w:i/>
              </w:rPr>
              <w:t>i informacije</w:t>
            </w:r>
            <w:r>
              <w:t xml:space="preserve"> iz prvog podstavka u elektroničkom obliku, proizvođač: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2. – podtočka d</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8.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osigurava da su u obliku koji krajnjem korisniku omogućuje ispis i preuzimanje uputa te njihovu pohranu na elektronički uređaj tako da im krajnji korisnik u svakom trenutku može pristupiti, a osobito u slučaju kvara OZO-a; taj se zahtjev primjenjuje i ako su upute ugrađene u softver OZO-a;</w:t>
            </w:r>
          </w:p>
        </w:tc>
        <w:tc>
          <w:tcPr>
            <w:tcW w:w="4876" w:type="dxa"/>
            <w:tcBorders>
              <w:top w:val="nil"/>
              <w:left w:val="nil"/>
              <w:bottom w:val="nil"/>
              <w:right w:val="nil"/>
            </w:tcBorders>
          </w:tcPr>
          <w:p>
            <w:pPr>
              <w:pStyle w:val="Normal6a"/>
            </w:pPr>
            <w:r>
              <w:t>(b)</w:t>
            </w:r>
            <w:r>
              <w:tab/>
            </w:r>
            <w:r>
              <w:t xml:space="preserve">osigurava da su u obliku koji krajnjem korisniku omogućuje ispis i preuzimanje uputa </w:t>
            </w:r>
            <w:r>
              <w:rPr>
                <w:b/>
                <w:i/>
              </w:rPr>
              <w:t>i informacija</w:t>
            </w:r>
            <w:r>
              <w:t xml:space="preserve"> te njihovu pohranu na elektronički uređaj tako da im krajnji korisnik u svakom trenutku može pristupiti, a osobito u slučaju kvara OZO-a; taj se zahtjev primjenjuje i ako su upute </w:t>
            </w:r>
            <w:r>
              <w:rPr>
                <w:b/>
                <w:i/>
              </w:rPr>
              <w:t>i informacije</w:t>
            </w:r>
            <w:r>
              <w:t xml:space="preserve"> ugrađene u softver OZO-a;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4. – podtočka a</w:t>
      </w:r>
      <w:r>
        <w:rPr>
          <w:rStyle w:val="HideTWBExt"/>
        </w:rPr>
        <w:t>&lt;/Article&gt;</w:t>
      </w:r>
    </w:p>
    <w:p>
      <w:r>
        <w:rPr>
          <w:rStyle w:val="HideTWBExt"/>
        </w:rPr>
        <w:t>&lt;DocAmend2&gt;</w:t>
      </w:r>
      <w:r>
        <w:t>Članak 8. – stavak 7.</w:t>
      </w:r>
      <w:r>
        <w:rPr>
          <w:rStyle w:val="HideTWBExt"/>
        </w:rPr>
        <w:t>&lt;/DocAmend2&gt;</w:t>
      </w:r>
    </w:p>
    <w:p>
      <w:r>
        <w:rPr>
          <w:rStyle w:val="HideTWBExt"/>
        </w:rPr>
        <w:t>&lt;Article2&gt;</w:t>
      </w:r>
      <w:r>
        <w:t>Prilog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Uvoznici </w:t>
            </w:r>
            <w:r>
              <w:rPr>
                <w:b/>
                <w:i/>
              </w:rPr>
              <w:t>na OZO-u navode svoje ime, registrirano trgovačko ime ili registrirani trgovački znak te poštansku adresu i digitalni kontakt na kojima su dostupni za kontakt, ili, ako to nije moguće, na ambalaži ili u dokumentu koji mu je priložen</w:t>
            </w:r>
            <w:r>
              <w:t>.</w:t>
            </w:r>
            <w:r>
              <w:rPr>
                <w:b/>
                <w:i/>
              </w:rPr>
              <w:t>;</w:t>
            </w:r>
          </w:p>
        </w:tc>
        <w:tc>
          <w:tcPr>
            <w:tcW w:w="4876" w:type="dxa"/>
            <w:tcBorders>
              <w:top w:val="nil"/>
              <w:left w:val="nil"/>
              <w:bottom w:val="nil"/>
              <w:right w:val="nil"/>
            </w:tcBorders>
          </w:tcPr>
          <w:p>
            <w:pPr>
              <w:pStyle w:val="Normal6a"/>
            </w:pPr>
            <w:r>
              <w:t xml:space="preserve">Uvoznici </w:t>
            </w:r>
            <w:r>
              <w:rPr>
                <w:b/>
                <w:i/>
              </w:rPr>
              <w:t>osiguravaju da su uz OZO priložene upute i informacije navedene u točki 1.4. Priloga II., ili da su one dostupne u elektroničkom obliku u skladu s člankom 8. stavkom 7. , na jeziku koji bez poteškoća razumiju potrošači i ostali krajnji korisnici, a određuje ga predmetna država članica.</w:t>
            </w:r>
            <w:r>
              <w:t xml:space="preserve"> </w:t>
            </w:r>
            <w:r>
              <w:rPr>
                <w:b/>
                <w:i/>
              </w:rPr>
              <w:t>Ako se upute i informacije iz točke 1.4. Priloga II. pružaju u elektroničkom obliku, uvoznici osiguravaju da je proizvođač ispunio odgovarajuće zahtjeve iz članka 8</w:t>
            </w:r>
            <w:r>
              <w:t xml:space="preserve">. </w:t>
            </w:r>
            <w:r>
              <w:rPr>
                <w:b/>
                <w:i/>
              </w:rPr>
              <w:t>stavka 7.</w:t>
            </w:r>
            <w:r>
              <w:t xml:space="preserve"> </w:t>
            </w:r>
            <w:r>
              <w:rPr>
                <w:b/>
                <w:i/>
              </w:rPr>
              <w:t>Krajnji korisnik može u trenutku kupnje OZO-a ili do šest mjeseci nakon te kupnje zatražiti upute i informacije iz točke 1.4. Priloga II. u papirnatom obliku, a uvoznik osigurava da se one pružaju besplatno i u roku od mjesec dana od primitka zahtjeva.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Obvezama uvoznika u pogledu uputa i informacija mora se uzeti u obzir mogućnost proizvođača da ih pruži u papirnatom ili elektroničkom obliku.</w:t>
      </w:r>
      <w:r>
        <w:t xml:space="preserve"> </w:t>
      </w:r>
      <w:r>
        <w:t>Ako proizvođač upute i informacije pruža u elektroničkom obliku, mora ispuniti određene zahtjeve, uključujući obvezu da ih na zahtjev pruži u papirnatom obliku.</w:t>
      </w:r>
      <w:r>
        <w:t xml:space="preserve"> </w:t>
      </w:r>
      <w:r>
        <w:t>Uvoznik mora osigurati da proizvođač ispunjava te obveze kako bi se uputama i informacijama moglo pristupiti na učinkovit način kada proizvođač nije u Uniji.</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4. – podtočka b</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10. – stavak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 obrazložen zahtjev nadležnog nacionalnog tijela uvoznici tom tijelu dostavljaju u elektroničkom obliku sve informacije i dokumentaciju potrebne za dokazivanje sukladnosti OZO-a na jeziku koji to tijelo bez poteškoća razumije.</w:t>
            </w:r>
            <w:r>
              <w:rPr>
                <w:b/>
                <w:i/>
              </w:rPr>
              <w:t>;</w:t>
            </w:r>
          </w:p>
        </w:tc>
        <w:tc>
          <w:tcPr>
            <w:tcW w:w="4876" w:type="dxa"/>
            <w:tcBorders>
              <w:top w:val="nil"/>
              <w:left w:val="nil"/>
              <w:bottom w:val="nil"/>
              <w:right w:val="nil"/>
            </w:tcBorders>
          </w:tcPr>
          <w:p>
            <w:pPr>
              <w:pStyle w:val="Normal6a"/>
            </w:pPr>
            <w:r>
              <w:t xml:space="preserve">Na obrazložen zahtjev nadležnog nacionalnog tijela uvoznici tom tijelu dostavljaju u elektroničkom obliku sve informacije i dokumentaciju potrebne za dokazivanje sukladnosti OZO-a </w:t>
            </w:r>
            <w:r>
              <w:rPr>
                <w:b/>
                <w:i/>
              </w:rPr>
              <w:t>s ovom Uredbom,</w:t>
            </w:r>
            <w:r>
              <w:t xml:space="preserve"> na jeziku koji to tijelo bez poteškoća razumije.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5.</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11. – stavak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 obrazložen zahtjev nadležnog nacionalnog tijela distributeri tom tijelu dostavljaju u elektroničkom obliku sve informacije i dokumentaciju potrebne za dokazivanje sukladnosti </w:t>
            </w:r>
            <w:r>
              <w:rPr>
                <w:b/>
                <w:i/>
              </w:rPr>
              <w:t>OZO-a</w:t>
            </w:r>
            <w:r>
              <w:t>.;</w:t>
            </w:r>
          </w:p>
        </w:tc>
        <w:tc>
          <w:tcPr>
            <w:tcW w:w="4876" w:type="dxa"/>
            <w:tcBorders>
              <w:top w:val="nil"/>
              <w:left w:val="nil"/>
              <w:bottom w:val="nil"/>
              <w:right w:val="nil"/>
            </w:tcBorders>
          </w:tcPr>
          <w:p>
            <w:pPr>
              <w:pStyle w:val="Normal6a"/>
            </w:pPr>
            <w:r>
              <w:t>Na obrazložen zahtjev nadležnog nacionalnog tijela distributeri tom tijelu dostavljaju u elektroničkom obliku sve informacije i dokumentaciju</w:t>
            </w:r>
            <w:r>
              <w:rPr>
                <w:b/>
                <w:i/>
              </w:rPr>
              <w:t>, koju proizvođač, uvoznik ili ovlašteni predstavnik stavlja na raspolaganje,</w:t>
            </w:r>
            <w:r>
              <w:t xml:space="preserve"> potrebne za dokazivanje sukladnosti </w:t>
            </w:r>
            <w:r>
              <w:rPr>
                <w:b/>
                <w:i/>
              </w:rPr>
              <w:t>s OZO-om</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Prije stavljanja OZO-a na raspolaganje na tržištu distributeri provjeravaju ima li OZO oznaku CE, ima li priložene internetsku adresu ili strojno čitljiv kod putem kojih se može pristupiti EU izjavi o sukladnosti i ima li priložene potrebne dokumente, jesu li upute i informacije navedene u točki 1.4. Priloga II. dostupne u skladu s člankom 8. stavkom 7. na jeziku koji bez poteškoća razumiju potrošači i ostali krajnji korisnici, a određuje ga predmetna država članica, te jesu li proizvođač i uvoznik ispunili zahtjeve utvrđene u članku 8. stavcima 5. i 6. te članku 10. stavku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umeće se sljedeći članak 14.a: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Članak 14.a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Zajedničke specifikacije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može provedbenim aktima donijeti zajedničke specifikacije koje omogućuju ispunjavanje bitnih zahtjeva utvrđenih u Prilogu II. u sljedećim slučajevima: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zahtjevi iz Priloga II. nisu obuhvaćeni usklađenim normama ili njihovim dijelovima na koje su upućivanja objavljena u Službenom listu Europske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zahtjevi iz Priloga II. obuhvaćeni su usklađenim normama ili njihovim dijelovima na koje su upućivanja objavljena u Službenom listu Europske unije, ali primjena tih normi ili njihovih dijelova dovodi do nesukladnosti OZO-a s bitnim zahtjevima utvrđenima u Prilogu II., ili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ako Komisija smatra da je potrebno hitno riješiti problem nesukladnog OZO-a.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Ti se provedbeni akti donose u skladu sa savjetodavnim postupkom iz članka 44. stavka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OZO koji je u skladu sa zajedničkim specifikacijama ili njihovim dijelovima pretpostavlja se da je u skladu s bitnim zahtjevima koji su obuhvaćeni tim specifikacijama ili njihovim dijelovima utvrđenima u Prilogu II.;</w:t>
            </w:r>
            <w:r>
              <w:rPr>
                <w:b/>
                <w:i/>
              </w:rPr>
              <w:t>2. ”</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može </w:t>
            </w:r>
            <w:r>
              <w:rPr>
                <w:b/>
                <w:i/>
              </w:rPr>
              <w:t>provedbenim aktima</w:t>
            </w:r>
            <w:r>
              <w:t xml:space="preserve"> donijeti zajedničke specifikacije </w:t>
            </w:r>
            <w:r>
              <w:rPr>
                <w:b/>
                <w:i/>
              </w:rPr>
              <w:t>koje omogućuju ispunjavanje bitnih zahtjeva utvrđenih</w:t>
            </w:r>
            <w:r>
              <w:t xml:space="preserve"> u Prilogu II. </w:t>
            </w:r>
            <w:r>
              <w:rPr>
                <w:b/>
                <w:i/>
              </w:rPr>
              <w:t>u sljedećim slučajevima</w:t>
            </w:r>
            <w:r>
              <w:t>:</w:t>
            </w:r>
          </w:p>
        </w:tc>
        <w:tc>
          <w:tcPr>
            <w:tcW w:w="4876" w:type="dxa"/>
            <w:tcBorders>
              <w:top w:val="nil"/>
              <w:left w:val="nil"/>
              <w:bottom w:val="nil"/>
              <w:right w:val="nil"/>
            </w:tcBorders>
          </w:tcPr>
          <w:p>
            <w:pPr>
              <w:pStyle w:val="Normal6a"/>
            </w:pPr>
            <w:r>
              <w:rPr>
                <w:b/>
                <w:i/>
              </w:rPr>
              <w:t>U iznimnim slučajevima</w:t>
            </w:r>
            <w:r>
              <w:t xml:space="preserve"> Komisija može donijeti </w:t>
            </w:r>
            <w:r>
              <w:rPr>
                <w:b/>
                <w:i/>
              </w:rPr>
              <w:t>provedbene akte kojima se utvrđuju</w:t>
            </w:r>
            <w:r>
              <w:t xml:space="preserve"> zajedničke specifikacije </w:t>
            </w:r>
            <w:r>
              <w:rPr>
                <w:b/>
                <w:i/>
              </w:rPr>
              <w:t>kojima se osigurava sredstvo za usklađivanje s bitnim zahtjevima utvrđenima</w:t>
            </w:r>
            <w:r>
              <w:t xml:space="preserve"> u Prilogu II. </w:t>
            </w:r>
            <w:r>
              <w:rPr>
                <w:b/>
                <w:i/>
              </w:rPr>
              <w:t>Ti se provedbeni akti donose samo ako su ispunjeni sljedeći uvjeti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može provedbenim aktima donijeti zajedničke specifikacije koje omogućuju ispunjavanje bitnih zahtjeva utvrđenih u Prilogu II. </w:t>
            </w:r>
            <w:r>
              <w:rPr>
                <w:b/>
                <w:i/>
              </w:rPr>
              <w:t>u sljedećim slučajevima</w:t>
            </w:r>
            <w:r>
              <w:t>:</w:t>
            </w:r>
          </w:p>
        </w:tc>
        <w:tc>
          <w:tcPr>
            <w:tcW w:w="4876" w:type="dxa"/>
            <w:tcBorders>
              <w:top w:val="nil"/>
              <w:left w:val="nil"/>
              <w:bottom w:val="nil"/>
              <w:right w:val="nil"/>
            </w:tcBorders>
          </w:tcPr>
          <w:p>
            <w:pPr>
              <w:pStyle w:val="Normal6a"/>
            </w:pPr>
            <w:r>
              <w:t xml:space="preserve">Komisija može provedbenim aktima donijeti zajedničke specifikacije koje omogućuju ispunjavanje bitnih zahtjeva utvrđenih u Prilogu II. </w:t>
            </w:r>
            <w:r>
              <w:rPr>
                <w:b/>
                <w:i/>
              </w:rPr>
              <w:t>Ti se provedbeni akti donose samo ako su ispunjeni sljedeći uvjeti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zahtjevi iz Priloga II. nisu obuhvaćeni usklađenim normama ili njihovim dijelovima na koje su upućivanja objavljena u Službenom listu Europske unije;</w:t>
            </w:r>
          </w:p>
        </w:tc>
        <w:tc>
          <w:tcPr>
            <w:tcW w:w="4876" w:type="dxa"/>
            <w:tcBorders>
              <w:top w:val="nil"/>
              <w:left w:val="nil"/>
              <w:bottom w:val="nil"/>
              <w:right w:val="nil"/>
            </w:tcBorders>
          </w:tcPr>
          <w:p>
            <w:pPr>
              <w:pStyle w:val="Normal6a"/>
            </w:pPr>
            <w:r>
              <w:t>(a)</w:t>
            </w:r>
            <w:r>
              <w:tab/>
            </w:r>
            <w:r>
              <w:rPr>
                <w:b/>
                <w:i/>
              </w:rPr>
              <w:t>Komisija je u skladu s člankom 10. stavkom 1. Uredbe (EU) br. 1025/2012 zatražila od jedne ili nekoliko europskih organizacija za normizaciju da izrade usklađenu normu za bitne zdravstvene i sigurnosne zahtjeve utvrđene u Prilogu III.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zahtjev nije prihvaćen;</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usklađene norme koje se odnose na taj zahtjev nisu izrađene u roku utvrđenom u skladu s člankom 10. stavkom 1. Uredbe (EU) br. 1025/2012;</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usklađene norme nisu u skladu sa zahtjevom;</w:t>
            </w:r>
            <w:r>
              <w:t xml:space="preserve"> </w:t>
            </w:r>
            <w:r>
              <w:rPr>
                <w:b/>
                <w:i/>
              </w:rPr>
              <w: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zahtjevi iz Priloga II. nisu obuhvaćeni usklađenim normama ili njihovim dijelovima</w:t>
            </w:r>
            <w:r>
              <w:t xml:space="preserve"> na koje </w:t>
            </w:r>
            <w:r>
              <w:rPr>
                <w:b/>
                <w:i/>
              </w:rPr>
              <w:t>su upućivanja objavljena</w:t>
            </w:r>
            <w:r>
              <w:t xml:space="preserve"> u Službenom listu Europske unije;</w:t>
            </w:r>
          </w:p>
        </w:tc>
        <w:tc>
          <w:tcPr>
            <w:tcW w:w="4876" w:type="dxa"/>
            <w:tcBorders>
              <w:top w:val="nil"/>
              <w:left w:val="nil"/>
              <w:bottom w:val="nil"/>
              <w:right w:val="nil"/>
            </w:tcBorders>
          </w:tcPr>
          <w:p>
            <w:pPr>
              <w:pStyle w:val="Normal6a"/>
            </w:pPr>
            <w:r>
              <w:t>(a)</w:t>
            </w:r>
            <w:r>
              <w:tab/>
            </w:r>
            <w:r>
              <w:rPr>
                <w:b/>
                <w:i/>
              </w:rPr>
              <w:t>ne postoji usklađena norma koja obuhvaća te zahtjeve</w:t>
            </w:r>
            <w:r>
              <w:t xml:space="preserve"> na koje </w:t>
            </w:r>
            <w:r>
              <w:rPr>
                <w:b/>
                <w:i/>
              </w:rPr>
              <w:t>se upućuje</w:t>
            </w:r>
            <w:r>
              <w:t xml:space="preserve"> u Službenom listu Europske unije </w:t>
            </w:r>
            <w:r>
              <w:rPr>
                <w:b/>
                <w:i/>
              </w:rPr>
              <w:t>i ne očekuje se objava takvog upućivanja u razumnom roku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zahtjevi iz Priloga II. obuhvaćeni su usklađenim normama ili njihovim dijelovima na koje su upućivanja objavljena u Službenom listu</w:t>
            </w:r>
            <w:r>
              <w:t xml:space="preserve"> Europske </w:t>
            </w:r>
            <w:r>
              <w:rPr>
                <w:b/>
                <w:i/>
              </w:rPr>
              <w:t>unije, ali primjena tih normi ili njihovih dijelova dovodi do nesukladnosti OZO-a s bitnim zahtjevima utvrđenima u Prilogu II., ili</w:t>
            </w:r>
          </w:p>
        </w:tc>
        <w:tc>
          <w:tcPr>
            <w:tcW w:w="4876" w:type="dxa"/>
            <w:tcBorders>
              <w:top w:val="nil"/>
              <w:left w:val="nil"/>
              <w:bottom w:val="nil"/>
              <w:right w:val="nil"/>
            </w:tcBorders>
          </w:tcPr>
          <w:p>
            <w:pPr>
              <w:pStyle w:val="Normal6a"/>
            </w:pPr>
            <w:r>
              <w:t>(b)</w:t>
            </w:r>
            <w:r>
              <w:tab/>
            </w:r>
            <w:r>
              <w:rPr>
                <w:b/>
                <w:i/>
              </w:rPr>
              <w:t>Komisija je u skladu s člankom 10. stavkom 1. Uredbe (EU) br. 1025/2012 zatražila od jedne ili nekoliko europskih organizacija za normizaciju da izrade ili da revidiraju</w:t>
            </w:r>
            <w:r>
              <w:t xml:space="preserve"> europske </w:t>
            </w:r>
            <w:r>
              <w:rPr>
                <w:b/>
                <w:i/>
              </w:rPr>
              <w:t>norme za te zahtjeve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zahtjev nije prihvatila nijedna od europskih organizacija za normizaciju kojima je zahtjev upućen;</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zahtjev je prihvatila barem jedna od europskih organizacija za normizaciju kojima je zahtjev upućen, ali zatražene europske norme: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nisu donesene u roku određenom u zahtjevu;</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nisu u skladu sa zahtjevom,</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ne ispunjavaju zahtjeve koje nastoje obuhvatiti.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zahtjevi iz Priloga II. obuhvaćeni su usklađenim normama ili njihovim dijelovima na koje su upućivanja objavljena</w:t>
            </w:r>
            <w:r>
              <w:t xml:space="preserve"> u Službenom listu Europske unije</w:t>
            </w:r>
            <w:r>
              <w:rPr>
                <w:b/>
                <w:i/>
              </w:rPr>
              <w:t>, ali primjena tih normi ili njihovih dijelova dovodi do nesukladnosti OZO-a s bitnim zahtjevima utvrđenima</w:t>
            </w:r>
            <w:r>
              <w:t xml:space="preserve"> u Prilogu </w:t>
            </w:r>
            <w:r>
              <w:rPr>
                <w:b/>
                <w:i/>
              </w:rPr>
              <w:t>II</w:t>
            </w:r>
            <w:r>
              <w:t>.</w:t>
            </w:r>
            <w:r>
              <w:rPr>
                <w:b/>
                <w:i/>
              </w:rPr>
              <w:t>, ili</w:t>
            </w:r>
          </w:p>
        </w:tc>
        <w:tc>
          <w:tcPr>
            <w:tcW w:w="4876" w:type="dxa"/>
            <w:tcBorders>
              <w:top w:val="nil"/>
              <w:left w:val="nil"/>
              <w:bottom w:val="nil"/>
              <w:right w:val="nil"/>
            </w:tcBorders>
          </w:tcPr>
          <w:p>
            <w:pPr>
              <w:pStyle w:val="Normal6a"/>
            </w:pPr>
            <w:r>
              <w:t>(b)</w:t>
            </w:r>
            <w:r>
              <w:tab/>
            </w:r>
            <w:r>
              <w:t xml:space="preserve">u Službenom listu Europske unije </w:t>
            </w:r>
            <w:r>
              <w:rPr>
                <w:b/>
                <w:i/>
              </w:rPr>
              <w:t>nema upućivanja na usklađene norme koje obuhvaćaju relevantne bitne zdravstvene i sigurnosne zahtjeve utvrđene</w:t>
            </w:r>
            <w:r>
              <w:t xml:space="preserve"> u Prilogu </w:t>
            </w:r>
            <w:r>
              <w:rPr>
                <w:b/>
                <w:i/>
              </w:rPr>
              <w:t>III</w:t>
            </w:r>
            <w:r>
              <w:t xml:space="preserve">. </w:t>
            </w:r>
            <w:r>
              <w:rPr>
                <w:b/>
                <w:i/>
              </w:rPr>
              <w:t>u skladu s Uredbom (EU) br. 1025/2012 i ne očekuje se objava takvih upućivanja u razumnom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ako Komisija smatra da je potrebno hitno riješiti problem nesukladnog OZO-a.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ako Komisija smatra da je potrebno hitno riješiti problem nesukladnog OZO-a.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Ti se provedbeni akti donose u skladu sa savjetodavnim postupkom iz članka 44. stavka 2.</w:t>
            </w:r>
          </w:p>
        </w:tc>
        <w:tc>
          <w:tcPr>
            <w:tcW w:w="4876" w:type="dxa"/>
            <w:tcBorders>
              <w:top w:val="nil"/>
              <w:left w:val="nil"/>
              <w:bottom w:val="nil"/>
              <w:right w:val="nil"/>
            </w:tcBorders>
          </w:tcPr>
          <w:p>
            <w:pPr>
              <w:pStyle w:val="Normal6a"/>
            </w:pPr>
            <w:r>
              <w:t xml:space="preserve">Ti se provedbeni akti </w:t>
            </w:r>
            <w:r>
              <w:rPr>
                <w:b/>
                <w:i/>
              </w:rPr>
              <w:t>izrađuju u skladu s načelima iz Priloga II. točke 3. podtočaka (a), (b) i (c) Uredbe (EU) br. 1025/2012 i</w:t>
            </w:r>
            <w:r>
              <w:t xml:space="preserve"> donose u skladu sa savjetodavnim postupkom iz članka 44. stavka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se provedbeni akti donose u skladu </w:t>
            </w:r>
            <w:r>
              <w:rPr>
                <w:b/>
                <w:i/>
              </w:rPr>
              <w:t>sa savjetodavnim</w:t>
            </w:r>
            <w:r>
              <w:t xml:space="preserve"> postupkom iz članka 44. stavka </w:t>
            </w:r>
            <w:r>
              <w:rPr>
                <w:b/>
                <w:i/>
              </w:rPr>
              <w:t>2</w:t>
            </w:r>
            <w:r>
              <w:t>.</w:t>
            </w:r>
          </w:p>
        </w:tc>
        <w:tc>
          <w:tcPr>
            <w:tcW w:w="4876" w:type="dxa"/>
            <w:tcBorders>
              <w:top w:val="nil"/>
              <w:left w:val="nil"/>
              <w:bottom w:val="nil"/>
              <w:right w:val="nil"/>
            </w:tcBorders>
          </w:tcPr>
          <w:p>
            <w:pPr>
              <w:pStyle w:val="Normal6a"/>
            </w:pPr>
            <w:r>
              <w:t xml:space="preserve">Ti se provedbeni akti donose u skladu </w:t>
            </w:r>
            <w:r>
              <w:rPr>
                <w:b/>
                <w:i/>
              </w:rPr>
              <w:t>s</w:t>
            </w:r>
            <w:r>
              <w:t xml:space="preserve"> postupkom </w:t>
            </w:r>
            <w:r>
              <w:rPr>
                <w:b/>
                <w:i/>
              </w:rPr>
              <w:t>ispitivanja</w:t>
            </w:r>
            <w:r>
              <w:t xml:space="preserve"> iz članka 44. stavka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se provedbeni akti donose u skladu </w:t>
            </w:r>
            <w:r>
              <w:rPr>
                <w:b/>
                <w:i/>
              </w:rPr>
              <w:t>sa savjetodavnim</w:t>
            </w:r>
            <w:r>
              <w:t xml:space="preserve"> postupkom iz članka 44. stavka </w:t>
            </w:r>
            <w:r>
              <w:rPr>
                <w:b/>
                <w:i/>
              </w:rPr>
              <w:t>2</w:t>
            </w:r>
            <w:r>
              <w:t>.</w:t>
            </w:r>
          </w:p>
        </w:tc>
        <w:tc>
          <w:tcPr>
            <w:tcW w:w="4876" w:type="dxa"/>
            <w:tcBorders>
              <w:top w:val="nil"/>
              <w:left w:val="nil"/>
              <w:bottom w:val="nil"/>
              <w:right w:val="nil"/>
            </w:tcBorders>
          </w:tcPr>
          <w:p>
            <w:pPr>
              <w:pStyle w:val="Normal6a"/>
            </w:pPr>
            <w:r>
              <w:t xml:space="preserve">Ti se provedbeni akti donose u skladu </w:t>
            </w:r>
            <w:r>
              <w:rPr>
                <w:b/>
                <w:i/>
              </w:rPr>
              <w:t>s</w:t>
            </w:r>
            <w:r>
              <w:t xml:space="preserve"> postupkom </w:t>
            </w:r>
            <w:r>
              <w:rPr>
                <w:b/>
                <w:i/>
              </w:rPr>
              <w:t>ispitivanja</w:t>
            </w:r>
            <w:r>
              <w:t xml:space="preserve"> iz članka 44. stavka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OZO koji je u skladu sa zajedničkim specifikacijama ili njihovim dijelovima pretpostavlja se da je u skladu s bitnim zahtjevima koji su obuhvaćeni tim specifikacijama ili njihovim dijelovima </w:t>
            </w:r>
            <w:r>
              <w:rPr>
                <w:b/>
                <w:i/>
              </w:rPr>
              <w:t>utvrđenima u Prilogu II</w:t>
            </w:r>
            <w:r>
              <w:t>.;</w:t>
            </w:r>
          </w:p>
        </w:tc>
        <w:tc>
          <w:tcPr>
            <w:tcW w:w="4876" w:type="dxa"/>
            <w:tcBorders>
              <w:top w:val="nil"/>
              <w:left w:val="nil"/>
              <w:bottom w:val="nil"/>
              <w:right w:val="nil"/>
            </w:tcBorders>
          </w:tcPr>
          <w:p>
            <w:pPr>
              <w:pStyle w:val="Normal6a"/>
            </w:pPr>
            <w:r>
              <w:t>2.</w:t>
            </w:r>
            <w:r>
              <w:tab/>
            </w:r>
            <w:r>
              <w:t xml:space="preserve">Za OZO koji je u skladu sa zajedničkim specifikacijama ili njihovim dijelovima pretpostavlja se da je u skladu s bitnim zahtjevima </w:t>
            </w:r>
            <w:r>
              <w:rPr>
                <w:b/>
                <w:i/>
              </w:rPr>
              <w:t>utvrđenima u Prilogu II.</w:t>
            </w:r>
            <w:r>
              <w:t xml:space="preserve"> koji su obuhvaćeni tim </w:t>
            </w:r>
            <w:r>
              <w:rPr>
                <w:b/>
                <w:i/>
              </w:rPr>
              <w:t>zajedničkim</w:t>
            </w:r>
            <w:r>
              <w:t xml:space="preserve"> specifikacijama ili njihovim dijelovima.;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2016/424</w:t>
      </w:r>
      <w:r>
        <w:rPr>
          <w:rStyle w:val="HideTWBExt"/>
        </w:rPr>
        <w:t>&lt;/DocAmend2&gt;</w:t>
      </w:r>
    </w:p>
    <w:p>
      <w:r>
        <w:rPr>
          <w:rStyle w:val="HideTWBExt"/>
        </w:rPr>
        <w:t>&lt;Article2&gt;</w:t>
      </w:r>
      <w:r>
        <w:t>Članak 14.a – stavak 2.a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Prije nego što izradi nacrt provedbenog akta iz stavka 1., Komisija obavješćuje odbor iz članka 22. Uredbe (EU) br. 1025/2012 da smatra da su uvjeti iz stavka 1. ispunjeni.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2.b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Pri izradi nacrta provedbenog akta iz stavka 1. Komisija uzima u obzir stajališta odabrane stručne skupine kao i bilo kojeg drugog relevantnog tijela te se na odgovarajući način savjetuje sa svim relevantnim dionicima.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2.c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Ako europska organizacija za normizaciju donese usklađenu normu i predloži je Komisiji radi objave upućivanja na nju u Službenom listu Europske unije, Komisija ocjenjuje tu normu u skladu s Uredbom (EU) br. 1025/2012.</w:t>
            </w:r>
            <w:r>
              <w:t xml:space="preserve"> </w:t>
            </w:r>
            <w:r>
              <w:rPr>
                <w:b/>
                <w:i/>
              </w:rPr>
              <w:t>Kada se u Službenom listu Europske unije objavi upućivanje na usklađenu normu, Komisija stavlja izvan snage ili izmjenjuje provedbene akte iz stavka 1. ili njihove dijelove koji obuhvaćaju iste zahtjeve koji su obuhvaćeni tom usklađenom normom.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6.</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14.a – stavak 2.d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Ako država članica ili Europski parlament smatraju da zajednička specifikacija ne ispunjava u potpunosti bitne zahtjeve utvrđene u Prilogu II., o tome obavješćuju Komisiju podnošenjem detaljnog objašnjenja.</w:t>
            </w:r>
            <w:r>
              <w:t xml:space="preserve"> </w:t>
            </w:r>
            <w:r>
              <w:rPr>
                <w:b/>
                <w:i/>
              </w:rPr>
              <w:t>Komisija ocjenjuje to detaljno objašnjenje i, po potrebi, može izmijeniti provedbeni akt kojim se utvrđuje predmetna zajednička specifikacija.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7.</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15. – stavak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Ako se drugim zakonodavstvom Unije koje se primjenjuje na OZO zahtijeva da gospodarski subjekt u digitalnoj putovnici za proizvode navede da proizvod ispunjava zahtjeve utvrđene u tom zakonodavstvu ili da u nju učita EU izjavu o sukladnosti ili upute, informacije za koje se u Prilogu IX. zahtijeva da budu navedene u EU izjavi o sukladnosti i upute iz članka 8. stavka 7. moraju biti navedene samo u toj digitalnoj putovnici za proizvode.;</w:t>
            </w:r>
          </w:p>
        </w:tc>
        <w:tc>
          <w:tcPr>
            <w:tcW w:w="4876" w:type="dxa"/>
            <w:tcBorders>
              <w:top w:val="nil"/>
              <w:left w:val="nil"/>
              <w:bottom w:val="nil"/>
              <w:right w:val="nil"/>
            </w:tcBorders>
          </w:tcPr>
          <w:p>
            <w:pPr>
              <w:pStyle w:val="Normal6a"/>
            </w:pPr>
            <w:r>
              <w:t>5.</w:t>
            </w:r>
            <w:r>
              <w:tab/>
            </w:r>
            <w:r>
              <w:t>Ako se drugim zakonodavstvom Unije koje se primjenjuje na OZO zahtijeva da gospodarski subjekt u digitalnoj putovnici za proizvode navede da proizvod ispunjava zahtjeve utvrđene u tom zakonodavstvu ili da u nju učita EU izjavu o sukladnosti ili</w:t>
            </w:r>
            <w:r>
              <w:rPr>
                <w:b/>
                <w:i/>
              </w:rPr>
              <w:t>, prema potrebu, EU izjavu o sukladnosti koja se zahtijeva u članku 15., ili</w:t>
            </w:r>
            <w:r>
              <w:t xml:space="preserve"> upute </w:t>
            </w:r>
            <w:r>
              <w:rPr>
                <w:b/>
                <w:i/>
              </w:rPr>
              <w:t>i informacije</w:t>
            </w:r>
            <w:r>
              <w:t>, informacije za koje se u Prilogu IX. zahtijeva da budu navedene u EU izjavi o sukladnosti i upute iz članka 8. stavka 7.</w:t>
            </w:r>
            <w:r>
              <w:rPr>
                <w:b/>
                <w:i/>
              </w:rPr>
              <w:t>, kada se pružaju u elektroničkom obliku,</w:t>
            </w:r>
            <w:r>
              <w:t xml:space="preserve"> moraju biti navedene samo u toj digitalnoj putovnici za proizvode.;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10.</w:t>
      </w:r>
      <w:r>
        <w:rPr>
          <w:rStyle w:val="HideTWBExt"/>
        </w:rPr>
        <w:t>&lt;/Article&gt;</w:t>
      </w:r>
    </w:p>
    <w:p>
      <w:r>
        <w:rPr>
          <w:rStyle w:val="HideTWBExt"/>
        </w:rPr>
        <w:t>&lt;DocAmend2&gt;</w:t>
      </w:r>
      <w:r>
        <w:t>Uredba (EU) 2016/425</w:t>
      </w:r>
      <w:r>
        <w:rPr>
          <w:rStyle w:val="HideTWBExt"/>
        </w:rPr>
        <w:t>&lt;/DocAmend2&gt;</w:t>
      </w:r>
    </w:p>
    <w:p>
      <w:r>
        <w:rPr>
          <w:rStyle w:val="HideTWBExt"/>
        </w:rPr>
        <w:t>&lt;Article2&gt;</w:t>
      </w:r>
      <w:r>
        <w:t>Članak 25.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Članak 25. zamjenjuje se sljedećim:</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Ako tijelo za ocjenjivanje sukladnosti dokaže da ispunjava kriterije utvrđene relevantnim usklađenim normama ili zajedničkim specifikacijama ili njihovim dijelovima, na koje su upućivanja objavljena u Službenom listu Europske unije pretpostavlja se da je u skladu sa zahtjevima navedenima u članku 24. u mjeri u kojoj važeće usklađene norme obuhvaćaju te zahtjeve.;</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1. – podtočka a</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2.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21.a</w:t>
            </w:r>
            <w:r>
              <w:tab/>
            </w:r>
            <w:r>
              <w:t xml:space="preserve">„digitalni kontakt” </w:t>
            </w:r>
            <w:r>
              <w:rPr>
                <w:b/>
                <w:i/>
              </w:rPr>
              <w:t>znači</w:t>
            </w:r>
            <w:r>
              <w:t xml:space="preserve"> svaki </w:t>
            </w:r>
            <w:r>
              <w:rPr>
                <w:b/>
                <w:i/>
              </w:rPr>
              <w:t>ažuran i pristupačan</w:t>
            </w:r>
            <w:r>
              <w:t xml:space="preserve"> internetski komunikacijski kanal </w:t>
            </w:r>
            <w:r>
              <w:rPr>
                <w:b/>
                <w:i/>
              </w:rPr>
              <w:t>kojim se može obratiti gospodarskim subjektima bez registracije ili preuzimanja</w:t>
            </w:r>
            <w:r>
              <w:t xml:space="preserve"> aplikacije</w:t>
            </w:r>
            <w:r>
              <w:rPr>
                <w:b/>
                <w:i/>
              </w:rPr>
              <w:t>;</w:t>
            </w:r>
            <w:r>
              <w:t>;</w:t>
            </w:r>
          </w:p>
        </w:tc>
        <w:tc>
          <w:tcPr>
            <w:tcW w:w="4876" w:type="dxa"/>
            <w:tcBorders>
              <w:top w:val="nil"/>
              <w:left w:val="nil"/>
              <w:bottom w:val="nil"/>
              <w:right w:val="nil"/>
            </w:tcBorders>
          </w:tcPr>
          <w:p>
            <w:pPr>
              <w:pStyle w:val="Normal6a"/>
            </w:pPr>
            <w:r>
              <w:t>21.a</w:t>
            </w:r>
            <w:r>
              <w:tab/>
            </w:r>
            <w:r>
              <w:t>„Digitalni kontakt”</w:t>
            </w:r>
            <w:r>
              <w:rPr>
                <w:b/>
                <w:i/>
              </w:rPr>
              <w:t>:</w:t>
            </w:r>
            <w:r>
              <w:t xml:space="preserve"> svaki </w:t>
            </w:r>
            <w:r>
              <w:rPr>
                <w:b/>
                <w:i/>
              </w:rPr>
              <w:t>ažurirani i dostupan</w:t>
            </w:r>
            <w:r>
              <w:t xml:space="preserve"> internetski komunikacijski kanal </w:t>
            </w:r>
            <w:r>
              <w:rPr>
                <w:b/>
                <w:i/>
              </w:rPr>
              <w:t>putem kojeg se gospodarski subjekti mogu pronaći ili uključiti bez potrebe za registracijom kod gospodarskog subjekta ili preuzimanjem</w:t>
            </w:r>
            <w:r>
              <w:t xml:space="preserve"> aplikacije </w:t>
            </w:r>
            <w:r>
              <w:rPr>
                <w:b/>
                <w:i/>
              </w:rPr>
              <w:t>od gospodarskog subjekta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1. – podtočka a</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23.a</w:t>
            </w:r>
            <w:r>
              <w:tab/>
            </w:r>
            <w:r>
              <w:rPr>
                <w:b/>
                <w:i/>
              </w:rPr>
              <w:t>„zajedničke specifikacije” znači skup tehničkih zahtjeva, osim norme, koji osigurava sredstvo da se ispune bitni zahtjevi koji se primjenjuju na proizvod, uređaj, uslugu, proces ili sustav;;</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1. – podtočka a</w:t>
      </w:r>
      <w:r>
        <w:rPr>
          <w:rStyle w:val="HideTWBExt"/>
        </w:rPr>
        <w:t>&lt;/Article&gt;</w:t>
      </w:r>
    </w:p>
    <w:p>
      <w:r>
        <w:rPr>
          <w:rStyle w:val="HideTWBExt"/>
        </w:rPr>
        <w:t>&lt;DocAmend2&gt;</w:t>
      </w:r>
      <w:r>
        <w:t>Uredba (EU) 2016/426</w:t>
      </w:r>
      <w:r>
        <w:rPr>
          <w:rStyle w:val="HideTWBExt"/>
        </w:rPr>
        <w:t>&lt;/DocAmend2&gt;</w:t>
      </w:r>
    </w:p>
    <w:p>
      <w:r>
        <w:rPr>
          <w:rStyle w:val="HideTWBExt"/>
        </w:rPr>
        <w:t>&lt;Article2&gt;</w:t>
      </w:r>
      <w:r>
        <w:t> Članak 2. – točka 23.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23.a</w:t>
            </w:r>
            <w:r>
              <w:tab/>
            </w:r>
            <w:r>
              <w:rPr>
                <w:b/>
                <w:i/>
              </w:rPr>
              <w:t>„zajedničke specifikacije</w:t>
            </w:r>
            <w:r>
              <w:t xml:space="preserve">” znači </w:t>
            </w:r>
            <w:r>
              <w:rPr>
                <w:b/>
                <w:i/>
              </w:rPr>
              <w:t>skup tehničkih zahtjeva</w:t>
            </w:r>
            <w:r>
              <w:t xml:space="preserve">, osim norme, </w:t>
            </w:r>
            <w:r>
              <w:rPr>
                <w:b/>
                <w:i/>
              </w:rPr>
              <w:t>koji</w:t>
            </w:r>
            <w:r>
              <w:t xml:space="preserve"> osigurava sredstvo da se ispune bitni zahtjevi koji se primjenjuju na </w:t>
            </w:r>
            <w:r>
              <w:rPr>
                <w:b/>
                <w:i/>
              </w:rPr>
              <w:t>proizvod, uređaj, uslugu, proces ili sustav</w:t>
            </w:r>
            <w:r>
              <w:t>;</w:t>
            </w:r>
            <w:r>
              <w:rPr>
                <w:b/>
                <w:i/>
              </w:rPr>
              <w:t>;</w:t>
            </w:r>
          </w:p>
        </w:tc>
        <w:tc>
          <w:tcPr>
            <w:tcW w:w="4876" w:type="dxa"/>
            <w:tcBorders>
              <w:top w:val="nil"/>
              <w:left w:val="nil"/>
              <w:bottom w:val="nil"/>
              <w:right w:val="nil"/>
            </w:tcBorders>
          </w:tcPr>
          <w:p>
            <w:pPr>
              <w:pStyle w:val="Normal6a"/>
            </w:pPr>
            <w:r>
              <w:rPr>
                <w:b/>
                <w:i/>
              </w:rPr>
              <w:t>(23a)</w:t>
            </w:r>
            <w:r>
              <w:tab/>
            </w:r>
            <w:r>
              <w:rPr>
                <w:b/>
                <w:i/>
              </w:rPr>
              <w:t>„zajednička specifikacija</w:t>
            </w:r>
            <w:r>
              <w:t xml:space="preserve">” znači </w:t>
            </w:r>
            <w:r>
              <w:rPr>
                <w:b/>
                <w:i/>
              </w:rPr>
              <w:t>tehnička specifikacija</w:t>
            </w:r>
            <w:r>
              <w:t xml:space="preserve">, osim norme, </w:t>
            </w:r>
            <w:r>
              <w:rPr>
                <w:b/>
                <w:i/>
              </w:rPr>
              <w:t>kojom se</w:t>
            </w:r>
            <w:r>
              <w:t xml:space="preserve"> osigurava sredstvo da se ispune bitni zahtjevi </w:t>
            </w:r>
            <w:r>
              <w:rPr>
                <w:b/>
                <w:i/>
              </w:rPr>
              <w:t>iz Priloga I.</w:t>
            </w:r>
            <w:r>
              <w:t xml:space="preserve"> koji se primjenjuju na </w:t>
            </w:r>
            <w:r>
              <w:rPr>
                <w:b/>
                <w:i/>
              </w:rPr>
              <w:t>aparat ili opremu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1. – podtočka a</w:t>
      </w:r>
      <w:r>
        <w:rPr>
          <w:rStyle w:val="HideTWBExt"/>
        </w:rPr>
        <w:t>&lt;/Article&gt;</w:t>
      </w:r>
    </w:p>
    <w:p>
      <w:r>
        <w:rPr>
          <w:rStyle w:val="HideTWBExt"/>
        </w:rPr>
        <w:t>&lt;DocAmend2&gt;</w:t>
      </w:r>
      <w:r>
        <w:t>Uredba (EU) 2016/426</w:t>
      </w:r>
      <w:r>
        <w:rPr>
          <w:rStyle w:val="HideTWBExt"/>
        </w:rPr>
        <w:t>&lt;/DocAmend2&gt;</w:t>
      </w:r>
    </w:p>
    <w:p>
      <w:r>
        <w:rPr>
          <w:rStyle w:val="HideTWBExt"/>
        </w:rPr>
        <w:t>&lt;Article2&gt;</w:t>
      </w:r>
      <w:r>
        <w:t> Članak 2. – točka 23.a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23.a</w:t>
            </w:r>
            <w:r>
              <w:tab/>
            </w:r>
            <w:r>
              <w:rPr>
                <w:b/>
                <w:i/>
              </w:rPr>
              <w:t>„zajedničke specifikacije</w:t>
            </w:r>
            <w:r>
              <w:t xml:space="preserve">” znači </w:t>
            </w:r>
            <w:r>
              <w:rPr>
                <w:b/>
                <w:i/>
              </w:rPr>
              <w:t>skup tehničkih zahtjeva</w:t>
            </w:r>
            <w:r>
              <w:t xml:space="preserve">, osim norme, </w:t>
            </w:r>
            <w:r>
              <w:rPr>
                <w:b/>
                <w:i/>
              </w:rPr>
              <w:t>koji</w:t>
            </w:r>
            <w:r>
              <w:t xml:space="preserve"> osigurava sredstvo da se ispune bitni zahtjevi koji se primjenjuju na </w:t>
            </w:r>
            <w:r>
              <w:rPr>
                <w:b/>
                <w:i/>
              </w:rPr>
              <w:t>proizvod, uređaj, uslugu, proces ili sustav</w:t>
            </w:r>
            <w:r>
              <w:t>;</w:t>
            </w:r>
            <w:r>
              <w:rPr>
                <w:b/>
                <w:i/>
              </w:rPr>
              <w:t>;</w:t>
            </w:r>
          </w:p>
        </w:tc>
        <w:tc>
          <w:tcPr>
            <w:tcW w:w="4876" w:type="dxa"/>
            <w:tcBorders>
              <w:top w:val="nil"/>
              <w:left w:val="nil"/>
              <w:bottom w:val="nil"/>
              <w:right w:val="nil"/>
            </w:tcBorders>
          </w:tcPr>
          <w:p>
            <w:pPr>
              <w:pStyle w:val="Normal6a"/>
            </w:pPr>
            <w:r>
              <w:rPr>
                <w:b/>
                <w:i/>
              </w:rPr>
              <w:t>(23a)</w:t>
            </w:r>
            <w:r>
              <w:tab/>
            </w:r>
            <w:r>
              <w:rPr>
                <w:b/>
                <w:i/>
              </w:rPr>
              <w:t>„zajednička specifikacija</w:t>
            </w:r>
            <w:r>
              <w:t xml:space="preserve">” znači </w:t>
            </w:r>
            <w:r>
              <w:rPr>
                <w:b/>
                <w:i/>
              </w:rPr>
              <w:t>tehnička specifikacija</w:t>
            </w:r>
            <w:r>
              <w:t xml:space="preserve">, osim norme, </w:t>
            </w:r>
            <w:r>
              <w:rPr>
                <w:b/>
                <w:i/>
              </w:rPr>
              <w:t>kojom se</w:t>
            </w:r>
            <w:r>
              <w:t xml:space="preserve"> osigurava sredstvo da se ispune bitni zahtjevi </w:t>
            </w:r>
            <w:r>
              <w:rPr>
                <w:b/>
                <w:i/>
              </w:rPr>
              <w:t>iz Priloga I.</w:t>
            </w:r>
            <w:r>
              <w:t xml:space="preserve"> koji se primjenjuju na </w:t>
            </w:r>
            <w:r>
              <w:rPr>
                <w:b/>
                <w:i/>
              </w:rPr>
              <w:t>aparate i opremu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aparatu ili, ako to nije moguće, na njegovoj ambalaži ili u priloženom dokumentu, navode svoje ime, registrirano trgovačko ime ili registrirani žig te poštansku adresu i digitalni kontakt. U poštanskoj adresi i digitalnom kontaktu mora biti navedeno jedinstveno mjesto na kojem </w:t>
            </w:r>
            <w:r>
              <w:rPr>
                <w:b/>
                <w:i/>
              </w:rPr>
              <w:t>je proizvođač dostupan</w:t>
            </w:r>
            <w:r>
              <w:t xml:space="preserve"> Pojedinosti o kontaktu sastavljene su na jeziku koji bez poteškoća razumiju potrošači, ostali krajnji korisnici i tijela za nadzor tržišta.</w:t>
            </w:r>
          </w:p>
        </w:tc>
        <w:tc>
          <w:tcPr>
            <w:tcW w:w="4876" w:type="dxa"/>
            <w:tcBorders>
              <w:top w:val="nil"/>
              <w:left w:val="nil"/>
              <w:bottom w:val="nil"/>
              <w:right w:val="nil"/>
            </w:tcBorders>
          </w:tcPr>
          <w:p>
            <w:pPr>
              <w:pStyle w:val="Normal6a"/>
            </w:pPr>
            <w:r>
              <w:t xml:space="preserve">Proizvođači na aparatu ili, ako to nije moguće, na njegovoj ambalaži ili u priloženom dokumentu, navode svoje ime, registrirano trgovačko ime ili registrirani žig te poštansku adresu i digitalni kontakt. U poštanskoj adresi i digitalnom kontaktu mora biti navedeno jedinstveno mjesto na kojem </w:t>
            </w:r>
            <w:r>
              <w:rPr>
                <w:b/>
                <w:i/>
              </w:rPr>
              <w:t>se može stupiti u kontakt s proizvođačem.</w:t>
            </w:r>
            <w:r>
              <w:t xml:space="preserve"> Pojedinosti o kontaktu sastavljene su na jeziku koji bez poteškoća razumiju potrošači, ostali krajnji korisnici i tijela za nadzor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aparatu ili, ako to nije moguće, na njegovoj ambalaži ili u priloženom dokumentu, navode svoje ime, </w:t>
            </w:r>
            <w:r>
              <w:rPr>
                <w:b/>
                <w:i/>
              </w:rPr>
              <w:t>registrirano trgovačko ime</w:t>
            </w:r>
            <w:r>
              <w:t xml:space="preserve"> ili registrirani žig te poštansku adresu </w:t>
            </w:r>
            <w:r>
              <w:rPr>
                <w:b/>
                <w:i/>
              </w:rPr>
              <w:t>i</w:t>
            </w:r>
            <w:r>
              <w:t xml:space="preserve"> digitalni kontakt. U poštanskoj adresi i digitalnom kontaktu mora biti navedeno jedinstveno mjesto na kojem je proizvođač dostupan Pojedinosti o kontaktu sastavljene su na jeziku koji bez poteškoća razumiju potrošači, ostali krajnji korisnici i tijela za nadzor tržišta.</w:t>
            </w:r>
          </w:p>
        </w:tc>
        <w:tc>
          <w:tcPr>
            <w:tcW w:w="4876" w:type="dxa"/>
            <w:tcBorders>
              <w:top w:val="nil"/>
              <w:left w:val="nil"/>
              <w:bottom w:val="nil"/>
              <w:right w:val="nil"/>
            </w:tcBorders>
          </w:tcPr>
          <w:p>
            <w:pPr>
              <w:pStyle w:val="Normal6a"/>
            </w:pPr>
            <w:r>
              <w:t xml:space="preserve">Proizvođači na aparatu ili, ako to nije moguće, na njegovoj ambalaži ili u priloženom dokumentu, navode svoje ime, </w:t>
            </w:r>
            <w:r>
              <w:rPr>
                <w:b/>
                <w:i/>
              </w:rPr>
              <w:t>tvrtku</w:t>
            </w:r>
            <w:r>
              <w:t xml:space="preserve"> ili registrirani žig te poštansku adresu </w:t>
            </w:r>
            <w:r>
              <w:rPr>
                <w:b/>
                <w:i/>
              </w:rPr>
              <w:t>ili</w:t>
            </w:r>
            <w:r>
              <w:t xml:space="preserve"> digitalni kontakt. U poštanskoj adresi i digitalnom kontaktu mora biti navedeno jedinstveno mjesto na kojem je proizvođač dostupan Pojedinosti o kontaktu sastavljene su na jeziku koji bez poteškoća razumiju potrošači, ostali krajnji korisnici i tijela za nadzor tržišta.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aparatu ili, ako to nije moguće, na njegovoj ambalaži ili u priloženom dokumentu, navode svoje ime, registrirano trgovačko ime ili registrirani žig te poštansku adresu </w:t>
            </w:r>
            <w:r>
              <w:rPr>
                <w:b/>
                <w:i/>
              </w:rPr>
              <w:t>i</w:t>
            </w:r>
            <w:r>
              <w:t xml:space="preserve"> digitalni kontakt. U poštanskoj adresi i digitalnom kontaktu mora biti navedeno jedinstveno mjesto na kojem je proizvođač dostupan Pojedinosti o kontaktu sastavljene su na jeziku koji bez poteškoća razumiju potrošači, ostali krajnji korisnici i tijela za nadzor tržišta.</w:t>
            </w:r>
          </w:p>
        </w:tc>
        <w:tc>
          <w:tcPr>
            <w:tcW w:w="4876" w:type="dxa"/>
            <w:tcBorders>
              <w:top w:val="nil"/>
              <w:left w:val="nil"/>
              <w:bottom w:val="nil"/>
              <w:right w:val="nil"/>
            </w:tcBorders>
          </w:tcPr>
          <w:p>
            <w:pPr>
              <w:pStyle w:val="Normal6a"/>
            </w:pPr>
            <w:r>
              <w:t xml:space="preserve">Proizvođači na aparatu ili, ako to nije moguće, na njegovoj ambalaži ili u priloženom dokumentu, navode svoje ime, registrirano trgovačko ime ili registrirani žig te poštansku adresu </w:t>
            </w:r>
            <w:r>
              <w:rPr>
                <w:b/>
                <w:i/>
              </w:rPr>
              <w:t>ili</w:t>
            </w:r>
            <w:r>
              <w:t xml:space="preserve"> digitalni kontakt. U poštanskoj adresi i digitalnom kontaktu mora biti navedeno jedinstveno mjesto na kojem je proizvođač dostupan Pojedinosti o kontaktu sastavljene su na jeziku koji bez poteškoća razumiju potrošači, ostali krajnji korisnici i tijela za nadzor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na opremi ili, ako to nije moguće, na ambalaži ili u priloženom dokumentu, navode svoje ime, registrirano trgovačko ime ili registrirani žig te poštansku adresu i digitalni kontakt. U poštanskoj adresi i digitalnom kontaktu mora biti navedeno jedinstveno mjesto na kojem </w:t>
            </w:r>
            <w:r>
              <w:rPr>
                <w:b/>
                <w:i/>
              </w:rPr>
              <w:t>je proizvođač dostupan</w:t>
            </w:r>
            <w:r>
              <w:t xml:space="preserve"> Pojedinosti o kontaktu sastavljene su na jeziku koji bez poteškoća razumiju proizvođači aparata i tijela za nadzor tržišta.</w:t>
            </w:r>
          </w:p>
        </w:tc>
        <w:tc>
          <w:tcPr>
            <w:tcW w:w="4876" w:type="dxa"/>
            <w:tcBorders>
              <w:top w:val="nil"/>
              <w:left w:val="nil"/>
              <w:bottom w:val="nil"/>
              <w:right w:val="nil"/>
            </w:tcBorders>
          </w:tcPr>
          <w:p>
            <w:pPr>
              <w:pStyle w:val="Normal6a"/>
            </w:pPr>
            <w:r>
              <w:t xml:space="preserve">Proizvođači na opremi ili, ako to nije moguće, na ambalaži ili u priloženom dokumentu, navode svoje ime, registrirano trgovačko ime ili registrirani žig te poštansku adresu i digitalni kontakt. U poštanskoj adresi i digitalnom kontaktu mora biti navedeno jedinstveno mjesto na kojem </w:t>
            </w:r>
            <w:r>
              <w:rPr>
                <w:b/>
                <w:i/>
              </w:rPr>
              <w:t>se može stupiti u kontakt s proizvođačem.</w:t>
            </w:r>
            <w:r>
              <w:t xml:space="preserve"> Pojedinosti o kontaktu sastavljene su na jeziku koji bez poteškoća razumiju proizvođači aparata i tijela za nadzor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pri određivanju pojedinog oblika uputa i sigurnosnih informacija uzimaju u obzir predviđenu uporabu i predvidljivog krajnjeg korisnika </w:t>
            </w:r>
            <w:r>
              <w:rPr>
                <w:b/>
                <w:i/>
              </w:rPr>
              <w:t>proizvoda</w:t>
            </w:r>
            <w:r>
              <w:t>.</w:t>
            </w:r>
          </w:p>
        </w:tc>
        <w:tc>
          <w:tcPr>
            <w:tcW w:w="4876" w:type="dxa"/>
            <w:tcBorders>
              <w:top w:val="nil"/>
              <w:left w:val="nil"/>
              <w:bottom w:val="nil"/>
              <w:right w:val="nil"/>
            </w:tcBorders>
          </w:tcPr>
          <w:p>
            <w:pPr>
              <w:pStyle w:val="Normal6a"/>
            </w:pPr>
            <w:r>
              <w:t xml:space="preserve">Proizvođači pri određivanju pojedinog oblika uputa i sigurnosnih informacija uzimaju u obzir predviđenu uporabu i predvidljivog krajnjeg korisnika </w:t>
            </w:r>
            <w:r>
              <w:rPr>
                <w:b/>
                <w:i/>
              </w:rPr>
              <w:t>aparata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su aparat ili oprema namijenjeni potrošačima ili ih potrošači mogu, u razumno predvidljivim uvjetima, koristiti čak i ako im nisu namijenjeni, proizvođač osigurava sigurnosne informacije u papirnatom obliku ili stavlja oznaku na opremu. Takve sigurnosne informacije potrošačima moraju biti lako vidljive i čitljive.</w:t>
            </w:r>
          </w:p>
        </w:tc>
        <w:tc>
          <w:tcPr>
            <w:tcW w:w="4876" w:type="dxa"/>
            <w:tcBorders>
              <w:top w:val="nil"/>
              <w:left w:val="nil"/>
              <w:bottom w:val="nil"/>
              <w:right w:val="nil"/>
            </w:tcBorders>
          </w:tcPr>
          <w:p>
            <w:pPr>
              <w:pStyle w:val="Normal6a"/>
            </w:pPr>
            <w:r>
              <w:t>Ako su aparat ili oprema namijenjeni potrošačima ili ih potrošači mogu, u razumno predvidljivim uvjetima, koristiti čak i ako im nisu namijenjeni, proizvođač osigurava sigurnosne informacije u papirnatom obliku ili stavlja oznaku na opremu. Takve sigurnosne informacije potrošačima</w:t>
            </w:r>
            <w:r>
              <w:rPr>
                <w:b/>
                <w:i/>
              </w:rPr>
              <w:t>, uključujući osobe s invaliditetom,</w:t>
            </w:r>
            <w:r>
              <w:t xml:space="preserve"> moraju biti lako vidljive i čitljive.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su aparat ili oprema namijenjeni potrošačima ili ih potrošači mogu, u razumno predvidljivim uvjetima, koristiti čak i ako im nisu namijenjeni, proizvođač osigurava sigurnosne informacije u papirnatom obliku ili stavlja oznaku na opremu. Takve sigurnosne informacije potrošačima moraju biti lako vidljive i čitljive.</w:t>
            </w:r>
          </w:p>
        </w:tc>
        <w:tc>
          <w:tcPr>
            <w:tcW w:w="4876" w:type="dxa"/>
            <w:tcBorders>
              <w:top w:val="nil"/>
              <w:left w:val="nil"/>
              <w:bottom w:val="nil"/>
              <w:right w:val="nil"/>
            </w:tcBorders>
          </w:tcPr>
          <w:p>
            <w:pPr>
              <w:pStyle w:val="Normal6a"/>
            </w:pPr>
            <w:r>
              <w:t>Ako su aparat ili oprema namijenjeni potrošačima ili ih potrošači mogu, u razumno predvidljivim uvjetima, koristiti čak i ako im nisu namijenjeni, proizvođač osigurava sigurnosne informacije u papirnatom obliku</w:t>
            </w:r>
            <w:r>
              <w:rPr>
                <w:b/>
                <w:i/>
              </w:rPr>
              <w:t>, na zahtjev potrošača,</w:t>
            </w:r>
            <w:r>
              <w:t xml:space="preserve"> ili stavlja oznaku na opremu. Takve sigurnosne informacije potrošačima moraju biti lako vidljive i čitljive.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Ako su aparat ili oprema namijenjeni potrošačima ili ih potrošači mogu, u razumno predvidljivim uvjetima, koristiti čak i ako im nisu namijenjeni, proizvođač osigurava sigurnosne informacije u papirnatom obliku ili stavlja oznaku na opremu. </w:t>
            </w:r>
            <w:r>
              <w:rPr>
                <w:b/>
                <w:i/>
              </w:rPr>
              <w:t>Takve</w:t>
            </w:r>
            <w:r>
              <w:t xml:space="preserve"> sigurnosne informacije potrošačima </w:t>
            </w:r>
            <w:r>
              <w:rPr>
                <w:b/>
                <w:i/>
              </w:rPr>
              <w:t>moraju biti lako vidljive i čitljive</w:t>
            </w:r>
            <w:r>
              <w:t>.</w:t>
            </w:r>
          </w:p>
        </w:tc>
        <w:tc>
          <w:tcPr>
            <w:tcW w:w="4876" w:type="dxa"/>
            <w:tcBorders>
              <w:top w:val="nil"/>
              <w:left w:val="nil"/>
              <w:bottom w:val="nil"/>
              <w:right w:val="nil"/>
            </w:tcBorders>
          </w:tcPr>
          <w:p>
            <w:pPr>
              <w:pStyle w:val="Normal6a"/>
            </w:pPr>
            <w:r>
              <w:t xml:space="preserve">Ako su aparat ili oprema namijenjeni potrošačima ili ih potrošači mogu, u razumno predvidljivim uvjetima, koristiti čak i ako im nisu namijenjeni, proizvođač osigurava sigurnosne informacije u papirnatom obliku ili stavlja oznaku na opremu. </w:t>
            </w:r>
            <w:r>
              <w:rPr>
                <w:b/>
                <w:i/>
              </w:rPr>
              <w:t>Te su</w:t>
            </w:r>
            <w:r>
              <w:t xml:space="preserve"> sigurnosne informacije </w:t>
            </w:r>
            <w:r>
              <w:rPr>
                <w:b/>
                <w:i/>
              </w:rPr>
              <w:t>lako dostupne i čitke</w:t>
            </w:r>
            <w:r>
              <w:t xml:space="preserve"> potrošačima </w:t>
            </w:r>
            <w:r>
              <w:rPr>
                <w:b/>
                <w:i/>
              </w:rPr>
              <w:t>i drugim krajnjim korisnicima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Proizvođači osiguravaju da je uz opremu priložena internetska adresa ili strojno čitljiv kod putem kojih se može pristupiti EU izjavi o sukladnosti </w:t>
            </w:r>
            <w:r>
              <w:rPr>
                <w:b/>
                <w:i/>
              </w:rPr>
              <w:t>i</w:t>
            </w:r>
            <w:r>
              <w:t xml:space="preserve"> upute o načinu ugradnje ili sastavljanja, prilagodbe, rukovanja i održavanja u skladu s točkom 1.7. Priloga I., na jeziku koji bez poteškoća razumiju proizvođači opreme, a određuje ga predmetna država članica. Upute se mogu pružiti u elektroničkom obliku.</w:t>
            </w:r>
          </w:p>
        </w:tc>
        <w:tc>
          <w:tcPr>
            <w:tcW w:w="4876" w:type="dxa"/>
            <w:tcBorders>
              <w:top w:val="nil"/>
              <w:left w:val="nil"/>
              <w:bottom w:val="nil"/>
              <w:right w:val="nil"/>
            </w:tcBorders>
          </w:tcPr>
          <w:p>
            <w:pPr>
              <w:pStyle w:val="Normal6a"/>
            </w:pPr>
            <w:r>
              <w:t xml:space="preserve">Proizvođači osiguravaju da je uz opremu priložena internetska adresa ili strojno čitljiv kod putem kojih se može pristupiti EU izjavi o sukladnosti </w:t>
            </w:r>
            <w:r>
              <w:rPr>
                <w:b/>
                <w:i/>
              </w:rPr>
              <w:t>te da su priložene</w:t>
            </w:r>
            <w:r>
              <w:t xml:space="preserve"> upute o načinu ugradnje ili sastavljanja, prilagodbe, rukovanja i održavanja u skladu s točkom 1.7. Priloga I., na jeziku koji bez poteškoća razumiju proizvođači opreme, a određuje ga predmetna država članica. Upute se mogu pružiti u elektroničkom obliku.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su upute iz prvog podstavka u elektroničkom obliku, proizvođač:</w:t>
            </w:r>
          </w:p>
        </w:tc>
        <w:tc>
          <w:tcPr>
            <w:tcW w:w="4876" w:type="dxa"/>
            <w:tcBorders>
              <w:top w:val="nil"/>
              <w:left w:val="nil"/>
              <w:bottom w:val="nil"/>
              <w:right w:val="nil"/>
            </w:tcBorders>
          </w:tcPr>
          <w:p>
            <w:pPr>
              <w:pStyle w:val="Normal6a"/>
            </w:pPr>
            <w:r>
              <w:t xml:space="preserve">Ako su upute </w:t>
            </w:r>
            <w:r>
              <w:rPr>
                <w:b/>
                <w:i/>
              </w:rPr>
              <w:t>ili sigurnosne informacije</w:t>
            </w:r>
            <w:r>
              <w:t xml:space="preserve"> iz prvog podstavka u elektroničkom obliku, proizvođač: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na aparatu </w:t>
            </w:r>
            <w:r>
              <w:rPr>
                <w:b/>
                <w:i/>
              </w:rPr>
              <w:t>ili opremi</w:t>
            </w:r>
            <w:r>
              <w:t xml:space="preserve"> ili, ako to nije moguće, na ambalaži ili u priloženom dokumentu, označava kako im pristupiti i kako ih zatražiti u papirnatom obliku;</w:t>
            </w:r>
          </w:p>
        </w:tc>
        <w:tc>
          <w:tcPr>
            <w:tcW w:w="4876" w:type="dxa"/>
            <w:tcBorders>
              <w:top w:val="nil"/>
              <w:left w:val="nil"/>
              <w:bottom w:val="nil"/>
              <w:right w:val="nil"/>
            </w:tcBorders>
          </w:tcPr>
          <w:p>
            <w:pPr>
              <w:pStyle w:val="Normal6a"/>
            </w:pPr>
            <w:r>
              <w:t>(a)</w:t>
            </w:r>
            <w:r>
              <w:tab/>
            </w:r>
            <w:r>
              <w:t>na aparatu ili, ako to nije moguće, na ambalaži ili u priloženom dokumentu, označava kako im pristupiti i kako ih zatražiti u papirnatom obliku;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osigurava da su u obliku koji krajnjem korisniku omogućuje ispis i preuzimanje uputa te njihovu pohranu na elektronički uređaj tako da im krajnji korisnik u svakom trenutku može pristupiti, a osobito u slučaju kvara aparata </w:t>
            </w:r>
            <w:r>
              <w:rPr>
                <w:b/>
                <w:i/>
              </w:rPr>
              <w:t>ili opreme</w:t>
            </w:r>
            <w:r>
              <w:t>;</w:t>
            </w:r>
          </w:p>
        </w:tc>
        <w:tc>
          <w:tcPr>
            <w:tcW w:w="4876" w:type="dxa"/>
            <w:tcBorders>
              <w:top w:val="nil"/>
              <w:left w:val="nil"/>
              <w:bottom w:val="nil"/>
              <w:right w:val="nil"/>
            </w:tcBorders>
          </w:tcPr>
          <w:p>
            <w:pPr>
              <w:pStyle w:val="Normal6a"/>
            </w:pPr>
            <w:r>
              <w:t>(b)</w:t>
            </w:r>
            <w:r>
              <w:tab/>
            </w:r>
            <w:r>
              <w:t xml:space="preserve">osigurava da su u obliku koji krajnjem korisniku omogućuje ispis i preuzimanje uputa </w:t>
            </w:r>
            <w:r>
              <w:rPr>
                <w:b/>
                <w:i/>
              </w:rPr>
              <w:t>i sigurnosnih informacija</w:t>
            </w:r>
            <w:r>
              <w:t xml:space="preserve"> te njihovu pohranu na elektronički uređaj tako da im krajnji korisnik u svakom trenutku može pristupiti, a osobito u slučaju kvara aparata;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2. – podtočka c</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7.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osigurava njihovu dostupnost na internetu tijekom očekivanog životnog vijeka aparata </w:t>
            </w:r>
            <w:r>
              <w:rPr>
                <w:b/>
                <w:i/>
              </w:rPr>
              <w:t>ili opreme</w:t>
            </w:r>
            <w:r>
              <w:t xml:space="preserve"> i najmanje 10 godina nakon stavljanja aparata </w:t>
            </w:r>
            <w:r>
              <w:rPr>
                <w:b/>
                <w:i/>
              </w:rPr>
              <w:t>ili opreme</w:t>
            </w:r>
            <w:r>
              <w:t xml:space="preserve"> na tržište.</w:t>
            </w:r>
          </w:p>
        </w:tc>
        <w:tc>
          <w:tcPr>
            <w:tcW w:w="4876" w:type="dxa"/>
            <w:tcBorders>
              <w:top w:val="nil"/>
              <w:left w:val="nil"/>
              <w:bottom w:val="nil"/>
              <w:right w:val="nil"/>
            </w:tcBorders>
          </w:tcPr>
          <w:p>
            <w:pPr>
              <w:pStyle w:val="Normal6a"/>
            </w:pPr>
            <w:r>
              <w:t>(c)</w:t>
            </w:r>
            <w:r>
              <w:tab/>
            </w:r>
            <w:r>
              <w:t>osigurava njihovu dostupnost na internetu tijekom očekivanog životnog vijeka aparata i najmanje 10 godina nakon stavljanja aparata na tržište.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4. – podtočka b</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9.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Uvoznici navode na aparatu ili, ako to nije moguće, na ambalaži u dokumentu koji mu je priložen svoje ime, </w:t>
            </w:r>
            <w:r>
              <w:rPr>
                <w:b/>
                <w:i/>
              </w:rPr>
              <w:t>registrirano trgovačko ime</w:t>
            </w:r>
            <w:r>
              <w:t xml:space="preserve"> ili registrirani žig te poštansku adresu </w:t>
            </w:r>
            <w:r>
              <w:rPr>
                <w:b/>
                <w:i/>
              </w:rPr>
              <w:t>i</w:t>
            </w:r>
            <w:r>
              <w:t xml:space="preserve"> digitalni kontakt. Pojedinosti o kontaktu sastavljene su na jeziku koji bez poteškoća razumiju potrošači, ostali krajnji korisnici i tijela za nadzor tržišta.</w:t>
            </w:r>
          </w:p>
        </w:tc>
        <w:tc>
          <w:tcPr>
            <w:tcW w:w="4876" w:type="dxa"/>
            <w:tcBorders>
              <w:top w:val="nil"/>
              <w:left w:val="nil"/>
              <w:bottom w:val="nil"/>
              <w:right w:val="nil"/>
            </w:tcBorders>
          </w:tcPr>
          <w:p>
            <w:pPr>
              <w:pStyle w:val="Normal6a"/>
            </w:pPr>
            <w:r>
              <w:t xml:space="preserve">Uvoznici navode na aparatu ili, ako to nije moguće, na ambalaži u dokumentu koji mu je priložen svoje ime, </w:t>
            </w:r>
            <w:r>
              <w:rPr>
                <w:b/>
                <w:i/>
              </w:rPr>
              <w:t>tvrtku</w:t>
            </w:r>
            <w:r>
              <w:t xml:space="preserve"> ili registrirani žig te poštansku adresu </w:t>
            </w:r>
            <w:r>
              <w:rPr>
                <w:b/>
                <w:i/>
              </w:rPr>
              <w:t>ili</w:t>
            </w:r>
            <w:r>
              <w:t xml:space="preserve"> digitalni kontakt. Pojedinosti o kontaktu sastavljene su na jeziku koji bez poteškoća razumiju potrošači, ostali krajnji korisnici i tijela za nadzor tržišta.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6.</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2.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 obrazložen zahtjev nadležnog nacionalnog tijela </w:t>
            </w:r>
            <w:r>
              <w:rPr>
                <w:b/>
                <w:i/>
              </w:rPr>
              <w:t>distributer</w:t>
            </w:r>
            <w:r>
              <w:t xml:space="preserve"> tom tijelu </w:t>
            </w:r>
            <w:r>
              <w:rPr>
                <w:b/>
                <w:i/>
              </w:rPr>
              <w:t>dostavlja</w:t>
            </w:r>
            <w:r>
              <w:t xml:space="preserve"> u elektroničkom obliku sve informacije i dokumentaciju </w:t>
            </w:r>
            <w:r>
              <w:rPr>
                <w:b/>
                <w:i/>
              </w:rPr>
              <w:t>neophodne za dokazivanje</w:t>
            </w:r>
            <w:r>
              <w:t xml:space="preserve"> sukladnosti </w:t>
            </w:r>
            <w:r>
              <w:rPr>
                <w:b/>
                <w:i/>
              </w:rPr>
              <w:t>aparata ili opreme</w:t>
            </w:r>
            <w:r>
              <w:t>.;</w:t>
            </w:r>
          </w:p>
        </w:tc>
        <w:tc>
          <w:tcPr>
            <w:tcW w:w="4876" w:type="dxa"/>
            <w:tcBorders>
              <w:top w:val="nil"/>
              <w:left w:val="nil"/>
              <w:bottom w:val="nil"/>
              <w:right w:val="nil"/>
            </w:tcBorders>
          </w:tcPr>
          <w:p>
            <w:pPr>
              <w:pStyle w:val="Normal6a"/>
            </w:pPr>
            <w:r>
              <w:t xml:space="preserve">Na obrazložen zahtjev nadležnog nacionalnog tijela </w:t>
            </w:r>
            <w:r>
              <w:rPr>
                <w:b/>
                <w:i/>
              </w:rPr>
              <w:t>distributeri</w:t>
            </w:r>
            <w:r>
              <w:t xml:space="preserve"> tom tijelu </w:t>
            </w:r>
            <w:r>
              <w:rPr>
                <w:b/>
                <w:i/>
              </w:rPr>
              <w:t>dostavljaju</w:t>
            </w:r>
            <w:r>
              <w:t xml:space="preserve"> u elektroničkom obliku sve informacije i dokumentaciju</w:t>
            </w:r>
            <w:r>
              <w:rPr>
                <w:b/>
                <w:i/>
              </w:rPr>
              <w:t>, koju proizvođač, uvoznik ili ovlašteni predstavnik stavlja na raspolaganje, radi dokazivanja</w:t>
            </w:r>
            <w:r>
              <w:t xml:space="preserve"> sukladnosti </w:t>
            </w:r>
            <w:r>
              <w:rPr>
                <w:b/>
                <w:i/>
              </w:rPr>
              <w:t>uređaja ili dodatka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Kosma Złotowski, Piotr Müller,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umeće se sljedeći članak 13.a: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Članak 13.a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Zajedničke specifikacije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 može provedbenim aktima donijeti zajedničke specifikacije koje omogućuju ispunjavanje bitnih zahtjeva utvrđenih u Prilogu I. u sljedećim slučajevima: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zahtjevi iz Priloga I. nisu obuhvaćeni usklađenim normama ili njihovim dijelovima na koje su upućivanja objavljena u Službenom listu Europske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zahtjevi iz Priloga I. obuhvaćeni su usklađenim normama ili njihovim dijelovima na koje su upućivanja objavljena u Službenom listu Europske unije, ali primjena tih normi ili njihovih dijelova dovodi do nesukladnosti aparata s bitnim zahtjevima utvrđenima u Prilogu I., ili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ako Komisija smatra da je potrebno hitno riješiti problem nesukladnih podsustava i sigurnosnih komponenti.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Ti se provedbeni akti donose u skladu sa savjetodavnim postupkom iz članka 42. stavka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aparate i opremu koji su u skladu sa zajedničkim specifikacijama ili njihovim dijelovima pretpostavlja se da su u skladu s bitnim zahtjevima koji su obuhvaćeni tim specifikacijama ili njihovim dijelovima utvrđenima u Prilogu I.;</w:t>
            </w:r>
            <w:r>
              <w:rPr>
                <w:b/>
                <w:i/>
              </w:rPr>
              <w:t>2. ”</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se brisanje primjenjuje u cijelom dokumentu COM(2025)0504).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može </w:t>
            </w:r>
            <w:r>
              <w:rPr>
                <w:b/>
                <w:i/>
              </w:rPr>
              <w:t>provedbenim aktima</w:t>
            </w:r>
            <w:r>
              <w:t xml:space="preserve"> donijeti zajedničke specifikacije </w:t>
            </w:r>
            <w:r>
              <w:rPr>
                <w:b/>
                <w:i/>
              </w:rPr>
              <w:t>koje omogućuju ispunjavanje bitnih zahtjeva utvrđenih u Prilogu I. u sljedećim slučajevima</w:t>
            </w:r>
            <w:r>
              <w:t>:</w:t>
            </w:r>
          </w:p>
        </w:tc>
        <w:tc>
          <w:tcPr>
            <w:tcW w:w="4876" w:type="dxa"/>
            <w:tcBorders>
              <w:top w:val="nil"/>
              <w:left w:val="nil"/>
              <w:bottom w:val="nil"/>
              <w:right w:val="nil"/>
            </w:tcBorders>
          </w:tcPr>
          <w:p>
            <w:pPr>
              <w:pStyle w:val="Normal6a"/>
            </w:pPr>
            <w:r>
              <w:rPr>
                <w:b/>
                <w:i/>
              </w:rPr>
              <w:t>U iznimnim slučajevima</w:t>
            </w:r>
            <w:r>
              <w:t xml:space="preserve"> Komisija može donijeti </w:t>
            </w:r>
            <w:r>
              <w:rPr>
                <w:b/>
                <w:i/>
              </w:rPr>
              <w:t>provedbene akte kojima se utvrđuju</w:t>
            </w:r>
            <w:r>
              <w:t xml:space="preserve"> zajedničke specifikacije </w:t>
            </w:r>
            <w:r>
              <w:rPr>
                <w:b/>
                <w:i/>
              </w:rPr>
              <w:t>kojima se osigurava sredstvo za usklađivanje s bitnim zahtjevima iz Priloga I.</w:t>
            </w:r>
            <w:r>
              <w:t xml:space="preserve"> </w:t>
            </w:r>
            <w:r>
              <w:rPr>
                <w:b/>
                <w:i/>
              </w:rPr>
              <w:t>Ti se provedbeni akti donose samo ako su ispunjeni sljedeći uvjeti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može provedbenim aktima donijeti zajedničke specifikacije koje omogućuju ispunjavanje bitnih zahtjeva utvrđenih u Prilogu I. </w:t>
            </w:r>
            <w:r>
              <w:rPr>
                <w:b/>
                <w:i/>
              </w:rPr>
              <w:t>u sljedećim slučajevima</w:t>
            </w:r>
            <w:r>
              <w:t>:</w:t>
            </w:r>
          </w:p>
        </w:tc>
        <w:tc>
          <w:tcPr>
            <w:tcW w:w="4876" w:type="dxa"/>
            <w:tcBorders>
              <w:top w:val="nil"/>
              <w:left w:val="nil"/>
              <w:bottom w:val="nil"/>
              <w:right w:val="nil"/>
            </w:tcBorders>
          </w:tcPr>
          <w:p>
            <w:pPr>
              <w:pStyle w:val="Normal6a"/>
            </w:pPr>
            <w:r>
              <w:t xml:space="preserve">Komisija može provedbenim aktima donijeti zajedničke specifikacije koje omogućuju ispunjavanje bitnih zahtjeva utvrđenih u Prilogu I. </w:t>
            </w:r>
            <w:r>
              <w:rPr>
                <w:b/>
                <w:i/>
              </w:rPr>
              <w:t>Ti se provedbeni akti donose samo ako su ispunjeni sljedeći uvjeti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zahtjevi iz Priloga I. nisu obuhvaćeni usklađenim normama ili njihovim dijelovima na koje su upućivanja objavljena u Službenom listu Europske unije;</w:t>
            </w:r>
          </w:p>
        </w:tc>
        <w:tc>
          <w:tcPr>
            <w:tcW w:w="4876" w:type="dxa"/>
            <w:tcBorders>
              <w:top w:val="nil"/>
              <w:left w:val="nil"/>
              <w:bottom w:val="nil"/>
              <w:right w:val="nil"/>
            </w:tcBorders>
          </w:tcPr>
          <w:p>
            <w:pPr>
              <w:pStyle w:val="Normal6a"/>
            </w:pPr>
            <w:r>
              <w:t>(a)</w:t>
            </w:r>
            <w:r>
              <w:tab/>
            </w:r>
            <w:r>
              <w:rPr>
                <w:b/>
                <w:i/>
              </w:rPr>
              <w:t>Komisija je u skladu s člankom 10. stavkom 1. Uredbe (EU) br. 1025/2012 zatražila od jedne ili nekoliko europskih organizacija za normizaciju da izrade usklađenu normu za bitne zdravstvene i sigurnosne zahtjeve utvrđene u Prilogu III.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zahtjev nije prihvaćen;</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usklađene norme koje se odnose na taj zahtjev nisu izrađene u roku utvrđenom u skladu s člankom 10. stavkom 1. Uredbe (EU) br. 1025/2012;</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usklađene norme nisu u skladu sa zahtjevom;</w:t>
            </w:r>
            <w:r>
              <w:t xml:space="preserve"> </w:t>
            </w:r>
            <w:r>
              <w:rPr>
                <w:b/>
                <w:i/>
              </w:rPr>
              <w: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zahtjevi iz Priloga I. nisu obuhvaćeni usklađenim normama ili njihovim dijelovima</w:t>
            </w:r>
            <w:r>
              <w:t xml:space="preserve"> na koje </w:t>
            </w:r>
            <w:r>
              <w:rPr>
                <w:b/>
                <w:i/>
              </w:rPr>
              <w:t>su upućivanja objavljena</w:t>
            </w:r>
            <w:r>
              <w:t xml:space="preserve"> u Službenom listu Europske unije;</w:t>
            </w:r>
          </w:p>
        </w:tc>
        <w:tc>
          <w:tcPr>
            <w:tcW w:w="4876" w:type="dxa"/>
            <w:tcBorders>
              <w:top w:val="nil"/>
              <w:left w:val="nil"/>
              <w:bottom w:val="nil"/>
              <w:right w:val="nil"/>
            </w:tcBorders>
          </w:tcPr>
          <w:p>
            <w:pPr>
              <w:pStyle w:val="Normal6a"/>
            </w:pPr>
            <w:r>
              <w:t>(a)</w:t>
            </w:r>
            <w:r>
              <w:tab/>
            </w:r>
            <w:r>
              <w:rPr>
                <w:b/>
                <w:i/>
              </w:rPr>
              <w:t>ne postoji usklađena norma koja obuhvaća te zahtjeve</w:t>
            </w:r>
            <w:r>
              <w:t xml:space="preserve"> na koje </w:t>
            </w:r>
            <w:r>
              <w:rPr>
                <w:b/>
                <w:i/>
              </w:rPr>
              <w:t>se upućuje</w:t>
            </w:r>
            <w:r>
              <w:t xml:space="preserve"> u Službenom listu Europske unije </w:t>
            </w:r>
            <w:r>
              <w:rPr>
                <w:b/>
                <w:i/>
              </w:rPr>
              <w:t>i ne očekuje se objava takvog upućivanja u razumnom roku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zahtjevi iz Priloga I. obuhvaćeni su usklađenim normama ili njihovim dijelovima na koje su upućivanja objavljena u Službenom listu</w:t>
            </w:r>
            <w:r>
              <w:t xml:space="preserve"> Europske </w:t>
            </w:r>
            <w:r>
              <w:rPr>
                <w:b/>
                <w:i/>
              </w:rPr>
              <w:t>unije, ali primjena tih normi ili njihovih dijelova dovodi do nesukladnosti aparata s bitnim zahtjevima utvrđenima u Prilogu I., ili</w:t>
            </w:r>
          </w:p>
        </w:tc>
        <w:tc>
          <w:tcPr>
            <w:tcW w:w="4876" w:type="dxa"/>
            <w:tcBorders>
              <w:top w:val="nil"/>
              <w:left w:val="nil"/>
              <w:bottom w:val="nil"/>
              <w:right w:val="nil"/>
            </w:tcBorders>
          </w:tcPr>
          <w:p>
            <w:pPr>
              <w:pStyle w:val="Normal6a"/>
            </w:pPr>
            <w:r>
              <w:t>(b)</w:t>
            </w:r>
            <w:r>
              <w:tab/>
            </w:r>
            <w:r>
              <w:rPr>
                <w:b/>
                <w:i/>
              </w:rPr>
              <w:t>Komisija je u skladu s člankom 10. stavkom 1. Uredbe (EU) br. 1025/2012 zatražila od jedne ili nekoliko europskih organizacija za normizaciju da izrade ili da revidiraju</w:t>
            </w:r>
            <w:r>
              <w:t xml:space="preserve"> europske </w:t>
            </w:r>
            <w:r>
              <w:rPr>
                <w:b/>
                <w:i/>
              </w:rPr>
              <w:t>norme za te zahtjeve 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zahtjev nije prihvatila nijedna od europskih organizacija za normizaciju kojima je zahtjev upućen;</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zahtjev je prihvatila barem jedna od europskih organizacija za normizaciju kojima je zahtjev upućen, ali zatražene europske norme: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nisu donesene u roku određenom u zahtjevu;</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nisu u skladu sa zahtjevom,</w:t>
            </w:r>
            <w:r>
              <w:t xml:space="preserve"> </w:t>
            </w:r>
            <w:r>
              <w:rPr>
                <w:b/>
                <w:i/>
              </w:rPr>
              <w:t>ili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ne ispunjavaju zahtjeve koje nastoje obuhvatiti.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zahtjevi iz Priloga I. obuhvaćeni su usklađenim normama ili njihovim dijelovima na koje su upućivanja objavljena</w:t>
            </w:r>
            <w:r>
              <w:t xml:space="preserve"> u Službenom listu Europske unije</w:t>
            </w:r>
            <w:r>
              <w:rPr>
                <w:b/>
                <w:i/>
              </w:rPr>
              <w:t>, ali primjena tih normi ili njihovih dijelova dovodi do nesukladnosti aparata s bitnim zahtjevima utvrđenima</w:t>
            </w:r>
            <w:r>
              <w:t xml:space="preserve"> u Prilogu </w:t>
            </w:r>
            <w:r>
              <w:rPr>
                <w:b/>
                <w:i/>
              </w:rPr>
              <w:t>I</w:t>
            </w:r>
            <w:r>
              <w:t>.</w:t>
            </w:r>
            <w:r>
              <w:rPr>
                <w:b/>
                <w:i/>
              </w:rPr>
              <w:t>, ili</w:t>
            </w:r>
          </w:p>
        </w:tc>
        <w:tc>
          <w:tcPr>
            <w:tcW w:w="4876" w:type="dxa"/>
            <w:tcBorders>
              <w:top w:val="nil"/>
              <w:left w:val="nil"/>
              <w:bottom w:val="nil"/>
              <w:right w:val="nil"/>
            </w:tcBorders>
          </w:tcPr>
          <w:p>
            <w:pPr>
              <w:pStyle w:val="Normal6a"/>
            </w:pPr>
            <w:r>
              <w:t>(b)</w:t>
            </w:r>
            <w:r>
              <w:tab/>
            </w:r>
            <w:r>
              <w:t xml:space="preserve">u Službenom listu Europske unije </w:t>
            </w:r>
            <w:r>
              <w:rPr>
                <w:b/>
                <w:i/>
              </w:rPr>
              <w:t>nema upućivanja na usklađene norme koje obuhvaćaju relevantne bitne zdravstvene i sigurnosne zahtjeve utvrđene</w:t>
            </w:r>
            <w:r>
              <w:t xml:space="preserve"> u Prilogu </w:t>
            </w:r>
            <w:r>
              <w:rPr>
                <w:b/>
                <w:i/>
              </w:rPr>
              <w:t>III</w:t>
            </w:r>
            <w:r>
              <w:t xml:space="preserve">. </w:t>
            </w:r>
            <w:r>
              <w:rPr>
                <w:b/>
                <w:i/>
              </w:rPr>
              <w:t>u skladu s Uredbom (EU) br. 1025/2012 i ne očekuje se objava takvih upućivanja u razumnom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ako Komisija smatra da je potrebno hitno riješiti problem nesukladnih podsustava i sigurnosnih komponenti.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ako Komisija smatra da je potrebno hitno riješiti problem nesukladnih podsustava i sigurnosnih komponenti.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Ti se provedbeni akti donose u skladu sa savjetodavnim postupkom iz članka 42. stavka 2.</w:t>
            </w:r>
          </w:p>
        </w:tc>
        <w:tc>
          <w:tcPr>
            <w:tcW w:w="4876" w:type="dxa"/>
            <w:tcBorders>
              <w:top w:val="nil"/>
              <w:left w:val="nil"/>
              <w:bottom w:val="nil"/>
              <w:right w:val="nil"/>
            </w:tcBorders>
          </w:tcPr>
          <w:p>
            <w:pPr>
              <w:pStyle w:val="Normal6a"/>
            </w:pPr>
            <w:r>
              <w:t xml:space="preserve">Ti se provedbeni akti </w:t>
            </w:r>
            <w:r>
              <w:rPr>
                <w:b/>
                <w:i/>
              </w:rPr>
              <w:t>izrađuju u skladu s načelima iz Priloga II. točke 3. podtočaka (a), (b) i (c) Uredbe (EU) br. 1025/2012 i</w:t>
            </w:r>
            <w:r>
              <w:t xml:space="preserve"> donose u skladu sa savjetodavnim postupkom iz članka 42. stavka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se provedbeni akti donose u skladu </w:t>
            </w:r>
            <w:r>
              <w:rPr>
                <w:b/>
                <w:i/>
              </w:rPr>
              <w:t>sa savjetodavnim</w:t>
            </w:r>
            <w:r>
              <w:t xml:space="preserve"> postupkom iz članka 42. stavka </w:t>
            </w:r>
            <w:r>
              <w:rPr>
                <w:b/>
                <w:i/>
              </w:rPr>
              <w:t>2</w:t>
            </w:r>
            <w:r>
              <w:t>.</w:t>
            </w:r>
          </w:p>
        </w:tc>
        <w:tc>
          <w:tcPr>
            <w:tcW w:w="4876" w:type="dxa"/>
            <w:tcBorders>
              <w:top w:val="nil"/>
              <w:left w:val="nil"/>
              <w:bottom w:val="nil"/>
              <w:right w:val="nil"/>
            </w:tcBorders>
          </w:tcPr>
          <w:p>
            <w:pPr>
              <w:pStyle w:val="Normal6a"/>
            </w:pPr>
            <w:r>
              <w:t xml:space="preserve">Ti se provedbeni akti donose u skladu </w:t>
            </w:r>
            <w:r>
              <w:rPr>
                <w:b/>
                <w:i/>
              </w:rPr>
              <w:t>s</w:t>
            </w:r>
            <w:r>
              <w:t xml:space="preserve"> postupkom </w:t>
            </w:r>
            <w:r>
              <w:rPr>
                <w:b/>
                <w:i/>
              </w:rPr>
              <w:t>ispitivanja</w:t>
            </w:r>
            <w:r>
              <w:t xml:space="preserve"> iz članka 42. stavka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se provedbeni akti donose u skladu </w:t>
            </w:r>
            <w:r>
              <w:rPr>
                <w:b/>
                <w:i/>
              </w:rPr>
              <w:t>sa savjetodavnim</w:t>
            </w:r>
            <w:r>
              <w:t xml:space="preserve"> postupkom iz članka 42. stavka </w:t>
            </w:r>
            <w:r>
              <w:rPr>
                <w:b/>
                <w:i/>
              </w:rPr>
              <w:t>2</w:t>
            </w:r>
            <w:r>
              <w:t>.</w:t>
            </w:r>
          </w:p>
        </w:tc>
        <w:tc>
          <w:tcPr>
            <w:tcW w:w="4876" w:type="dxa"/>
            <w:tcBorders>
              <w:top w:val="nil"/>
              <w:left w:val="nil"/>
              <w:bottom w:val="nil"/>
              <w:right w:val="nil"/>
            </w:tcBorders>
          </w:tcPr>
          <w:p>
            <w:pPr>
              <w:pStyle w:val="Normal6a"/>
            </w:pPr>
            <w:r>
              <w:t xml:space="preserve">Ti se provedbeni akti donose u skladu </w:t>
            </w:r>
            <w:r>
              <w:rPr>
                <w:b/>
                <w:i/>
              </w:rPr>
              <w:t>s</w:t>
            </w:r>
            <w:r>
              <w:t xml:space="preserve"> postupkom </w:t>
            </w:r>
            <w:r>
              <w:rPr>
                <w:b/>
                <w:i/>
              </w:rPr>
              <w:t>ispitivanja</w:t>
            </w:r>
            <w:r>
              <w:t xml:space="preserve"> iz članka 42. stavka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 aparate i opremu koji su u skladu sa zajedničkim specifikacijama ili njihovim dijelovima pretpostavlja se da su u skladu s bitnim zahtjevima koji su obuhvaćeni tim specifikacijama ili njihovim dijelovima utvrđenima u Prilogu I.;</w:t>
            </w:r>
          </w:p>
        </w:tc>
        <w:tc>
          <w:tcPr>
            <w:tcW w:w="4876" w:type="dxa"/>
            <w:tcBorders>
              <w:top w:val="nil"/>
              <w:left w:val="nil"/>
              <w:bottom w:val="nil"/>
              <w:right w:val="nil"/>
            </w:tcBorders>
          </w:tcPr>
          <w:p>
            <w:pPr>
              <w:pStyle w:val="Normal6a"/>
            </w:pPr>
            <w:r>
              <w:t>2.</w:t>
            </w:r>
            <w:r>
              <w:tab/>
            </w:r>
            <w:r>
              <w:t xml:space="preserve">Za aparate i opremu koji su u skladu sa zajedničkim specifikacijama ili njihovim dijelovima pretpostavlja se da su u skladu s bitnim zahtjevima koji su obuhvaćeni tim </w:t>
            </w:r>
            <w:r>
              <w:rPr>
                <w:b/>
                <w:i/>
              </w:rPr>
              <w:t>zajedničkim</w:t>
            </w:r>
            <w:r>
              <w:t xml:space="preserve"> specifikacijama ili njihovim dijelovima utvrđenima u Prilogu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2.a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Prije nego što izradi nacrt provedbenog akta iz stavka 1., Komisija obavješćuje odbor iz članka 22. Uredbe (EU) br. 1025/2012 da smatra da su uvjeti iz stavka 1. ispunjeni.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2.b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Pri izradi nacrta provedbenog akta iz stavka 1. Komisija uzima u obzir stajališta odabrane stručne skupine kao i bilo kojeg drugog relevantnog tijela te se na odgovarajući način savjetuje sa svim relevantnim dionicima.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2.c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Ako europska organizacija za normizaciju donese usklađenu normu i predloži je Komisiji radi objave upućivanja na nju u Službenom listu Europske unije, Komisija ocjenjuje tu normu u skladu s Uredbom (EU) br. 1025/2012.</w:t>
            </w:r>
            <w:r>
              <w:t xml:space="preserve"> </w:t>
            </w:r>
            <w:r>
              <w:rPr>
                <w:b/>
                <w:i/>
              </w:rPr>
              <w:t>Kada se u Službenom listu Europske unije objavi upućivanje na usklađenu normu, Komisija stavlja izvan snage ili izmjenjuje provedbene akte iz stavka 1. ili njihove dijelove koji obuhvaćaju iste zahtjeve koji su obuhvaćeni tom usklađenom normom.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točka 7.</w:t>
      </w:r>
      <w:r>
        <w:rPr>
          <w:rStyle w:val="HideTWBExt"/>
        </w:rPr>
        <w:t>&lt;/Article&gt;</w:t>
      </w:r>
    </w:p>
    <w:p>
      <w:r>
        <w:rPr>
          <w:rStyle w:val="HideTWBExt"/>
        </w:rPr>
        <w:t>&lt;DocAmend2&gt;</w:t>
      </w:r>
      <w:r>
        <w:t>Uredba (EU) 2016/426</w:t>
      </w:r>
      <w:r>
        <w:rPr>
          <w:rStyle w:val="HideTWBExt"/>
        </w:rPr>
        <w:t>&lt;/DocAmend2&gt;</w:t>
      </w:r>
    </w:p>
    <w:p>
      <w:r>
        <w:rPr>
          <w:rStyle w:val="HideTWBExt"/>
        </w:rPr>
        <w:t>&lt;Article2&gt;</w:t>
      </w:r>
      <w:r>
        <w:t>Članak 13.a – stavak 2.d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Ako država članica ili Europski parlament smatraju da zajednička specifikacija ne ispunjava u potpunosti bitne zahtjeve utvrđene u Prilogu I., o tome obavješćuju Komisiju podnošenjem detaljnog objašnjenja.</w:t>
            </w:r>
            <w:r>
              <w:t xml:space="preserve"> </w:t>
            </w:r>
            <w:r>
              <w:rPr>
                <w:b/>
                <w:i/>
              </w:rPr>
              <w:t>Komisija ocjenjuje to detaljno objašnjenje i, po potrebi, može izmijeniti provedbeni akt kojim se utvrđuje predmetna zajednička specifikacija.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1.</w:t>
      </w:r>
      <w:r>
        <w:rPr>
          <w:rStyle w:val="HideTWBExt"/>
        </w:rPr>
        <w:t>&lt;/Article&gt;</w:t>
      </w:r>
    </w:p>
    <w:p>
      <w:r>
        <w:rPr>
          <w:rStyle w:val="HideTWBExt"/>
        </w:rPr>
        <w:t>&lt;DocAmend2&gt;</w:t>
      </w:r>
      <w:r>
        <w:t>Uredba (EU) 2023/1230</w:t>
      </w:r>
      <w:r>
        <w:rPr>
          <w:rStyle w:val="HideTWBExt"/>
        </w:rPr>
        <w:t>&lt;/DocAmend2&gt;</w:t>
      </w:r>
    </w:p>
    <w:p>
      <w:r>
        <w:rPr>
          <w:rStyle w:val="HideTWBExt"/>
        </w:rPr>
        <w:t>&lt;Article2&gt;</w:t>
      </w:r>
      <w:r>
        <w:t>Članak 3.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22.a</w:t>
            </w:r>
            <w:r>
              <w:tab/>
            </w:r>
            <w:r>
              <w:t xml:space="preserve">„digitalni kontakt” </w:t>
            </w:r>
            <w:r>
              <w:rPr>
                <w:b/>
                <w:i/>
              </w:rPr>
              <w:t>znači</w:t>
            </w:r>
            <w:r>
              <w:t xml:space="preserve"> svaki </w:t>
            </w:r>
            <w:r>
              <w:rPr>
                <w:b/>
                <w:i/>
              </w:rPr>
              <w:t>ažuran i pristupačan</w:t>
            </w:r>
            <w:r>
              <w:t xml:space="preserve"> internetski komunikacijski kanal </w:t>
            </w:r>
            <w:r>
              <w:rPr>
                <w:b/>
                <w:i/>
              </w:rPr>
              <w:t>kojim se može obratiti gospodarskim subjektima bez registracije ili preuzimanja</w:t>
            </w:r>
            <w:r>
              <w:t xml:space="preserve"> aplikacije</w:t>
            </w:r>
            <w:r>
              <w:rPr>
                <w:b/>
                <w:i/>
              </w:rPr>
              <w:t>.</w:t>
            </w:r>
            <w:r>
              <w:t>;</w:t>
            </w:r>
          </w:p>
        </w:tc>
        <w:tc>
          <w:tcPr>
            <w:tcW w:w="4876" w:type="dxa"/>
            <w:tcBorders>
              <w:top w:val="nil"/>
              <w:left w:val="nil"/>
              <w:bottom w:val="nil"/>
              <w:right w:val="nil"/>
            </w:tcBorders>
          </w:tcPr>
          <w:p>
            <w:pPr>
              <w:pStyle w:val="Normal6a"/>
            </w:pPr>
            <w:r>
              <w:t>22.a</w:t>
            </w:r>
            <w:r>
              <w:tab/>
            </w:r>
            <w:r>
              <w:t>„Digitalni kontakt”</w:t>
            </w:r>
            <w:r>
              <w:rPr>
                <w:b/>
                <w:i/>
              </w:rPr>
              <w:t>:</w:t>
            </w:r>
            <w:r>
              <w:t xml:space="preserve"> svaki </w:t>
            </w:r>
            <w:r>
              <w:rPr>
                <w:b/>
                <w:i/>
              </w:rPr>
              <w:t>ažurirani i dostupan</w:t>
            </w:r>
            <w:r>
              <w:t xml:space="preserve"> internetski komunikacijski kanal </w:t>
            </w:r>
            <w:r>
              <w:rPr>
                <w:b/>
                <w:i/>
              </w:rPr>
              <w:t>putem kojeg se gospodarski subjekti mogu pronaći ili uključiti bez potrebe za registracijom kod gospodarskog subjekta ili preuzimanjem</w:t>
            </w:r>
            <w:r>
              <w:t xml:space="preserve"> aplikacije </w:t>
            </w:r>
            <w:r>
              <w:rPr>
                <w:b/>
                <w:i/>
              </w:rPr>
              <w:t>od gospodarskog subjekta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2. – podtočka aa (nova)</w:t>
      </w:r>
      <w:r>
        <w:rPr>
          <w:rStyle w:val="HideTWBExt"/>
        </w:rPr>
        <w:t>&lt;/Article&gt;</w:t>
      </w:r>
    </w:p>
    <w:p>
      <w:r>
        <w:rPr>
          <w:rStyle w:val="HideTWBExt"/>
        </w:rPr>
        <w:t>&lt;DocAmend2&gt;</w:t>
      </w:r>
      <w:r>
        <w:t>Uredba (EU) 2023/1230</w:t>
      </w:r>
      <w:r>
        <w:rPr>
          <w:rStyle w:val="HideTWBExt"/>
        </w:rPr>
        <w:t>&lt;/DocAmend2&gt;</w:t>
      </w:r>
    </w:p>
    <w:p>
      <w:r>
        <w:rPr>
          <w:rStyle w:val="HideTWBExt"/>
        </w:rPr>
        <w:t>&lt;Article2&gt;</w:t>
      </w:r>
      <w:r>
        <w:t>Članak 10.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 stavku 6. prva rečenica zamjenjuje se sljedećim: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„Proizvođači na stroju ili srodnom proizvodu ili, ako to nije moguće, na njegovu pakiranju ili u dokumentu priloženom uz stroj ili srodni proizvod navode svoje ime, registrirano trgovačko ime ili registrirani žig, kao i poštansku adresu, adresu internetskih stranica i adresu e-pošte ili drugu vrstu podataka za digitalni kontakt, s pomoću kojih se s njima može stupiti u kontakt.“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11.a (nova)</w:t>
      </w:r>
      <w:r>
        <w:rPr>
          <w:rStyle w:val="HideTWBExt"/>
        </w:rPr>
        <w:t>&lt;/Article&gt;</w:t>
      </w:r>
    </w:p>
    <w:p>
      <w:r>
        <w:rPr>
          <w:rStyle w:val="HideTWBExt"/>
        </w:rPr>
        <w:t>&lt;DocAmend2&gt;</w:t>
      </w:r>
      <w:r>
        <w:t>Uredba (EU) 2023/1230</w:t>
      </w:r>
      <w:r>
        <w:rPr>
          <w:rStyle w:val="HideTWBExt"/>
        </w:rPr>
        <w:t>&lt;/DocAmend2&gt;</w:t>
      </w:r>
    </w:p>
    <w:p>
      <w:r>
        <w:rPr>
          <w:rStyle w:val="HideTWBExt"/>
        </w:rPr>
        <w:t>&lt;Article2&gt;</w:t>
      </w:r>
      <w:r>
        <w:t>Članak 20. – stavak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članak 20. stavak 8. zamjenjuje se sljedećim: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Ako država članica ili Europski parlament smatraju da zajednička specifikacija ne ispunjava u potpunosti bitne zdravstvene i sigurnosne zahtjeve utvrđene u Prilogu III., o tome obavješćuju Komisiju podnošenjem detaljnog objašnjenja.</w:t>
            </w:r>
            <w:r>
              <w:t xml:space="preserve"> </w:t>
            </w:r>
            <w:r>
              <w:rPr>
                <w:b/>
                <w:i/>
              </w:rPr>
              <w:t>Komisija ocjenjuje to detaljno objašnjenje i, po potrebi, može izmijeniti provedbeni akt kojim se utvrđuje predmetna zajednička specifikacija.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1.</w:t>
      </w:r>
      <w:r>
        <w:rPr>
          <w:rStyle w:val="HideTWBExt"/>
        </w:rPr>
        <w:t>&lt;/Article&gt;</w:t>
      </w:r>
    </w:p>
    <w:p>
      <w:r>
        <w:rPr>
          <w:rStyle w:val="HideTWBExt"/>
        </w:rPr>
        <w:t>&lt;DocAmend2&gt;</w:t>
      </w:r>
      <w:r>
        <w:t>Uredba (EU) 2023/1542</w:t>
      </w:r>
      <w:r>
        <w:rPr>
          <w:rStyle w:val="HideTWBExt"/>
        </w:rPr>
        <w:t>&lt;/DocAmend2&gt;</w:t>
      </w:r>
    </w:p>
    <w:p>
      <w:r>
        <w:rPr>
          <w:rStyle w:val="HideTWBExt"/>
        </w:rPr>
        <w:t>&lt;Article2&gt;</w:t>
      </w:r>
      <w:r>
        <w:t>Članak 3.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23.a</w:t>
            </w:r>
            <w:r>
              <w:tab/>
            </w:r>
            <w:r>
              <w:t xml:space="preserve">„digitalni kontakt” </w:t>
            </w:r>
            <w:r>
              <w:rPr>
                <w:b/>
                <w:i/>
              </w:rPr>
              <w:t>znači</w:t>
            </w:r>
            <w:r>
              <w:t xml:space="preserve"> svaki </w:t>
            </w:r>
            <w:r>
              <w:rPr>
                <w:b/>
                <w:i/>
              </w:rPr>
              <w:t>ažuran i pristupačan</w:t>
            </w:r>
            <w:r>
              <w:t xml:space="preserve"> internetski komunikacijski kanal </w:t>
            </w:r>
            <w:r>
              <w:rPr>
                <w:b/>
                <w:i/>
              </w:rPr>
              <w:t>kojim se može obratiti gospodarskim subjektima bez registracije ili preuzimanja</w:t>
            </w:r>
            <w:r>
              <w:t xml:space="preserve"> aplikacije</w:t>
            </w:r>
            <w:r>
              <w:rPr>
                <w:b/>
                <w:i/>
              </w:rPr>
              <w:t>.</w:t>
            </w:r>
            <w:r>
              <w:t>;</w:t>
            </w:r>
          </w:p>
        </w:tc>
        <w:tc>
          <w:tcPr>
            <w:tcW w:w="4876" w:type="dxa"/>
            <w:tcBorders>
              <w:top w:val="nil"/>
              <w:left w:val="nil"/>
              <w:bottom w:val="nil"/>
              <w:right w:val="nil"/>
            </w:tcBorders>
          </w:tcPr>
          <w:p>
            <w:pPr>
              <w:pStyle w:val="Normal6a"/>
            </w:pPr>
            <w:r>
              <w:t>23.a</w:t>
            </w:r>
            <w:r>
              <w:tab/>
            </w:r>
            <w:r>
              <w:t>„Digitalni kontakt”</w:t>
            </w:r>
            <w:r>
              <w:rPr>
                <w:b/>
                <w:i/>
              </w:rPr>
              <w:t>:</w:t>
            </w:r>
            <w:r>
              <w:t xml:space="preserve"> svaki </w:t>
            </w:r>
            <w:r>
              <w:rPr>
                <w:b/>
                <w:i/>
              </w:rPr>
              <w:t>ažurirani i dostupan</w:t>
            </w:r>
            <w:r>
              <w:t xml:space="preserve"> internetski komunikacijski kanal </w:t>
            </w:r>
            <w:r>
              <w:rPr>
                <w:b/>
                <w:i/>
              </w:rPr>
              <w:t>putem kojeg se gospodarski subjekti mogu pronaći ili uključiti bez potrebe za registracijom kod gospodarskog subjekta ili preuzimanjem</w:t>
            </w:r>
            <w:r>
              <w:t xml:space="preserve"> aplikacije </w:t>
            </w:r>
            <w:r>
              <w:rPr>
                <w:b/>
                <w:i/>
              </w:rPr>
              <w:t>od gospodarskog subjekta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4. – podtočka a</w:t>
      </w:r>
      <w:r>
        <w:rPr>
          <w:rStyle w:val="HideTWBExt"/>
        </w:rPr>
        <w:t>&lt;/Article&gt;</w:t>
      </w:r>
    </w:p>
    <w:p>
      <w:r>
        <w:rPr>
          <w:rStyle w:val="HideTWBExt"/>
        </w:rPr>
        <w:t>&lt;DocAmend2&gt;</w:t>
      </w:r>
      <w:r>
        <w:t>Uredba (EU) 2023/1542</w:t>
      </w:r>
      <w:r>
        <w:rPr>
          <w:rStyle w:val="HideTWBExt"/>
        </w:rPr>
        <w:t>&lt;/DocAmend2&gt;</w:t>
      </w:r>
    </w:p>
    <w:p>
      <w:r>
        <w:rPr>
          <w:rStyle w:val="HideTWBExt"/>
        </w:rPr>
        <w:t>&lt;Article2&gt;</w:t>
      </w:r>
      <w:r>
        <w:t>Članak 38.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Upute i sigurnosne informacije za sustave za skladištenje energije sa stacionarnom baterijom mogu se pružiti u elektroničkom obliku. Ako su sustavi za skladištenje energije sa stacionarnom baterijom namijenjeni potrošačima ili ih potrošači mogu, u razumno predvidljivim uvjetima, koristiti čak i ako im nisu namijenjeni, proizvođač osigurava sigurnosne informacije u papirnatom obliku.</w:t>
            </w:r>
          </w:p>
        </w:tc>
        <w:tc>
          <w:tcPr>
            <w:tcW w:w="4876" w:type="dxa"/>
            <w:tcBorders>
              <w:top w:val="nil"/>
              <w:left w:val="nil"/>
              <w:bottom w:val="nil"/>
              <w:right w:val="nil"/>
            </w:tcBorders>
          </w:tcPr>
          <w:p>
            <w:pPr>
              <w:pStyle w:val="Normal6a"/>
            </w:pPr>
            <w:r>
              <w:t xml:space="preserve">Upute i sigurnosne informacije za sustave za skladištenje energije sa stacionarnom baterijom mogu se pružiti u elektroničkom obliku. Ako su sustavi za skladištenje energije sa stacionarnom baterijom namijenjeni potrošačima ili ih potrošači mogu, u razumno predvidljivim uvjetima, koristiti čak i ako im nisu namijenjeni, proizvođač </w:t>
            </w:r>
            <w:r>
              <w:rPr>
                <w:b/>
                <w:i/>
              </w:rPr>
              <w:t>na zahtjev potrošača</w:t>
            </w:r>
            <w:r>
              <w:t xml:space="preserve"> osigurava sigurnosne informacije u papirnatom obliku.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4. – podtočka a</w:t>
      </w:r>
      <w:r>
        <w:rPr>
          <w:rStyle w:val="HideTWBExt"/>
        </w:rPr>
        <w:t>&lt;/Article&gt;</w:t>
      </w:r>
    </w:p>
    <w:p>
      <w:r>
        <w:rPr>
          <w:rStyle w:val="HideTWBExt"/>
        </w:rPr>
        <w:t>&lt;DocAmend2&gt;</w:t>
      </w:r>
      <w:r>
        <w:t>Uredba (EU) 2023/1542</w:t>
      </w:r>
      <w:r>
        <w:rPr>
          <w:rStyle w:val="HideTWBExt"/>
        </w:rPr>
        <w:t>&lt;/DocAmend2&gt;</w:t>
      </w:r>
    </w:p>
    <w:p>
      <w:r>
        <w:rPr>
          <w:rStyle w:val="HideTWBExt"/>
        </w:rPr>
        <w:t>&lt;Article2&gt;</w:t>
      </w:r>
      <w:r>
        <w:t>Članak 38.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Ako se upute osiguravaju u elektroničkom obliku, izrađivač na bateriji ili, ako to nije moguće, na ambalaži ili u priloženom dokumentu navodi da su dostupne u putovnici za bateriju i kako ih zatražiti u papirnatom obliku.</w:t>
            </w:r>
          </w:p>
        </w:tc>
        <w:tc>
          <w:tcPr>
            <w:tcW w:w="4876" w:type="dxa"/>
            <w:tcBorders>
              <w:top w:val="nil"/>
              <w:left w:val="nil"/>
              <w:bottom w:val="nil"/>
              <w:right w:val="nil"/>
            </w:tcBorders>
          </w:tcPr>
          <w:p>
            <w:pPr>
              <w:pStyle w:val="Normal6a"/>
            </w:pPr>
            <w:r>
              <w:t xml:space="preserve">Ako se upute </w:t>
            </w:r>
            <w:r>
              <w:rPr>
                <w:b/>
                <w:i/>
              </w:rPr>
              <w:t>ili sigurnosne informacije</w:t>
            </w:r>
            <w:r>
              <w:t xml:space="preserve"> osiguravaju u elektroničkom obliku, izrađivač na bateriji ili, ako to nije moguće, na ambalaži ili u priloženom dokumentu navodi da su dostupne u putovnici za bateriju i kako ih zatražiti u papirnatom obliku.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4. – podtočka b</w:t>
      </w:r>
      <w:r>
        <w:rPr>
          <w:rStyle w:val="HideTWBExt"/>
        </w:rPr>
        <w:t>&lt;/Article&gt;</w:t>
      </w:r>
    </w:p>
    <w:p>
      <w:r>
        <w:rPr>
          <w:rStyle w:val="HideTWBExt"/>
        </w:rPr>
        <w:t>&lt;DocAmend2&gt;</w:t>
      </w:r>
      <w:r>
        <w:t>Uredba (EU) 2023/1542</w:t>
      </w:r>
      <w:r>
        <w:rPr>
          <w:rStyle w:val="HideTWBExt"/>
        </w:rPr>
        <w:t>&lt;/DocAmend2&gt;</w:t>
      </w:r>
    </w:p>
    <w:p>
      <w:r>
        <w:rPr>
          <w:rStyle w:val="HideTWBExt"/>
        </w:rPr>
        <w:t>&lt;Article2&gt;</w:t>
      </w:r>
      <w:r>
        <w:t>Članak 38.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Izrađivači</w:t>
            </w:r>
            <w:r>
              <w:t xml:space="preserve"> na bateriji navode </w:t>
            </w:r>
            <w:r>
              <w:rPr>
                <w:b/>
                <w:i/>
              </w:rPr>
              <w:t>svoje ime, registrirano trgovačko ime</w:t>
            </w:r>
            <w:r>
              <w:t xml:space="preserve"> ili registrirani žig te poštansku adresu </w:t>
            </w:r>
            <w:r>
              <w:rPr>
                <w:b/>
                <w:i/>
              </w:rPr>
              <w:t>i</w:t>
            </w:r>
            <w:r>
              <w:t xml:space="preserve"> digitalni kontakt, navodeći jedinstvenu kontaktnu točku.;</w:t>
            </w:r>
          </w:p>
        </w:tc>
        <w:tc>
          <w:tcPr>
            <w:tcW w:w="4876" w:type="dxa"/>
            <w:tcBorders>
              <w:top w:val="nil"/>
              <w:left w:val="nil"/>
              <w:bottom w:val="nil"/>
              <w:right w:val="nil"/>
            </w:tcBorders>
          </w:tcPr>
          <w:p>
            <w:pPr>
              <w:pStyle w:val="Normal6a"/>
            </w:pPr>
            <w:r>
              <w:rPr>
                <w:b/>
                <w:i/>
              </w:rPr>
              <w:t>Proizvođači</w:t>
            </w:r>
            <w:r>
              <w:t xml:space="preserve"> na bateriji navode </w:t>
            </w:r>
            <w:r>
              <w:rPr>
                <w:b/>
                <w:i/>
              </w:rPr>
              <w:t>svoj naziv, tvrtku</w:t>
            </w:r>
            <w:r>
              <w:t xml:space="preserve"> ili registrirani žig te poštansku adresu </w:t>
            </w:r>
            <w:r>
              <w:rPr>
                <w:b/>
                <w:i/>
              </w:rPr>
              <w:t>ili</w:t>
            </w:r>
            <w:r>
              <w:t xml:space="preserve"> digitalni kontakt, navodeći jedinstvenu kontaktnu točku.;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7. – podtočka a</w:t>
      </w:r>
      <w:r>
        <w:rPr>
          <w:rStyle w:val="HideTWBExt"/>
        </w:rPr>
        <w:t>&lt;/Article&gt;</w:t>
      </w:r>
    </w:p>
    <w:p>
      <w:r>
        <w:rPr>
          <w:rStyle w:val="HideTWBExt"/>
        </w:rPr>
        <w:t>&lt;DocAmend2&gt;</w:t>
      </w:r>
      <w:r>
        <w:t>Uredba (EU) 2023/1542</w:t>
      </w:r>
      <w:r>
        <w:rPr>
          <w:rStyle w:val="HideTWBExt"/>
        </w:rPr>
        <w:t>&lt;/DocAmend2&gt;</w:t>
      </w:r>
    </w:p>
    <w:p>
      <w:r>
        <w:rPr>
          <w:rStyle w:val="HideTWBExt"/>
        </w:rPr>
        <w:t>&lt;Article2&gt;</w:t>
      </w:r>
      <w:r>
        <w:t>Članak 41.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Uvoznici na bateriji navode </w:t>
            </w:r>
            <w:r>
              <w:rPr>
                <w:b/>
                <w:i/>
              </w:rPr>
              <w:t>svoje ime, registrirano trgovačko ime</w:t>
            </w:r>
            <w:r>
              <w:t xml:space="preserve"> ili registrirani žig te svoju poštansku adresu </w:t>
            </w:r>
            <w:r>
              <w:rPr>
                <w:b/>
                <w:i/>
              </w:rPr>
              <w:t>i</w:t>
            </w:r>
            <w:r>
              <w:t xml:space="preserve"> digitalni kontakt, navodeći jedinstvenu kontaktnu točku.</w:t>
            </w:r>
            <w:r>
              <w:rPr>
                <w:b/>
                <w:i/>
              </w:rPr>
              <w:t>;</w:t>
            </w:r>
          </w:p>
        </w:tc>
        <w:tc>
          <w:tcPr>
            <w:tcW w:w="4876" w:type="dxa"/>
            <w:tcBorders>
              <w:top w:val="nil"/>
              <w:left w:val="nil"/>
              <w:bottom w:val="nil"/>
              <w:right w:val="nil"/>
            </w:tcBorders>
          </w:tcPr>
          <w:p>
            <w:pPr>
              <w:pStyle w:val="Normal6a"/>
            </w:pPr>
            <w:r>
              <w:rPr>
                <w:b/>
                <w:i/>
              </w:rPr>
              <w:t>„</w:t>
            </w:r>
            <w:r>
              <w:t xml:space="preserve">Uvoznici na bateriji navode </w:t>
            </w:r>
            <w:r>
              <w:rPr>
                <w:b/>
                <w:i/>
              </w:rPr>
              <w:t>svoj naziv, tvrtku</w:t>
            </w:r>
            <w:r>
              <w:t xml:space="preserve"> ili registrirani žig te svoju poštansku adresu </w:t>
            </w:r>
            <w:r>
              <w:rPr>
                <w:b/>
                <w:i/>
              </w:rPr>
              <w:t>ili</w:t>
            </w:r>
            <w:r>
              <w:t xml:space="preserve"> digitalni kontakt, navodeći jedinstvenu kontaktnu točku.</w:t>
            </w:r>
            <w:r>
              <w:rPr>
                <w:b/>
                <w:i/>
              </w:rP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9.a (nova)</w:t>
      </w:r>
      <w:r>
        <w:rPr>
          <w:rStyle w:val="HideTWBExt"/>
        </w:rPr>
        <w:t>&lt;/Article&gt;</w:t>
      </w:r>
    </w:p>
    <w:p>
      <w:r>
        <w:rPr>
          <w:rStyle w:val="HideTWBExt"/>
        </w:rPr>
        <w:t>&lt;DocAmend2&gt;</w:t>
      </w:r>
      <w:r>
        <w:t>Uredba (EU) 2023/1542</w:t>
      </w:r>
      <w:r>
        <w:rPr>
          <w:rStyle w:val="HideTWBExt"/>
        </w:rPr>
        <w:t>&lt;/DocAmend2&gt;</w:t>
      </w:r>
    </w:p>
    <w:p>
      <w:r>
        <w:rPr>
          <w:rStyle w:val="HideTWBExt"/>
        </w:rPr>
        <w:t>&lt;Article2&gt;</w:t>
      </w:r>
      <w:r>
        <w:t>Članak 16. – stavak 3.a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u članku 16. umeće se stavak 3.a (novi):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Ako države članice ili Europski parlament smatraju da zajednička specifikacija ne ispunjava u potpunosti zahtjeve, o tome obavješćuju Komisiju podnošenjem detaljnog objašnjenja.</w:t>
            </w:r>
            <w:r>
              <w:t xml:space="preserve"> </w:t>
            </w:r>
            <w:r>
              <w:rPr>
                <w:b/>
                <w:i/>
              </w:rPr>
              <w:t>Komisija ocjenjuje to detaljno objašnjenje i, po potrebi, može izmijeniti provedbeni akt kojim se utvrđuje predmetna zajednička specifikacija.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 – točka 1.</w:t>
      </w:r>
      <w:r>
        <w:rPr>
          <w:rStyle w:val="HideTWBExt"/>
        </w:rPr>
        <w:t>&lt;/Article&gt;</w:t>
      </w:r>
    </w:p>
    <w:p>
      <w:r>
        <w:rPr>
          <w:rStyle w:val="HideTWBExt"/>
        </w:rPr>
        <w:t>&lt;DocAmend2&gt;</w:t>
      </w:r>
      <w:r>
        <w:t>Uredba (EU) 2024/1781</w:t>
      </w:r>
      <w:r>
        <w:rPr>
          <w:rStyle w:val="HideTWBExt"/>
        </w:rPr>
        <w:t>&lt;/DocAmend2&gt;</w:t>
      </w:r>
    </w:p>
    <w:p>
      <w:r>
        <w:rPr>
          <w:rStyle w:val="HideTWBExt"/>
        </w:rPr>
        <w:t>&lt;Article2&gt;</w:t>
      </w:r>
      <w:r>
        <w:t>Članak 2.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46.a</w:t>
            </w:r>
            <w:r>
              <w:tab/>
            </w:r>
            <w:r>
              <w:t xml:space="preserve">„digitalni kontakt” </w:t>
            </w:r>
            <w:r>
              <w:rPr>
                <w:b/>
                <w:i/>
              </w:rPr>
              <w:t>znači</w:t>
            </w:r>
            <w:r>
              <w:t xml:space="preserve"> svaki </w:t>
            </w:r>
            <w:r>
              <w:rPr>
                <w:b/>
                <w:i/>
              </w:rPr>
              <w:t>ažuran i pristupačan</w:t>
            </w:r>
            <w:r>
              <w:t xml:space="preserve"> internetski komunikacijski kanal </w:t>
            </w:r>
            <w:r>
              <w:rPr>
                <w:b/>
                <w:i/>
              </w:rPr>
              <w:t>kojim se može obratiti gospodarskim subjektima bez registracije ili preuzimanja</w:t>
            </w:r>
            <w:r>
              <w:t xml:space="preserve"> aplikacije</w:t>
            </w:r>
            <w:r>
              <w:rPr>
                <w:b/>
                <w:i/>
              </w:rPr>
              <w:t>;</w:t>
            </w:r>
            <w:r>
              <w:t>;</w:t>
            </w:r>
          </w:p>
        </w:tc>
        <w:tc>
          <w:tcPr>
            <w:tcW w:w="4876" w:type="dxa"/>
            <w:tcBorders>
              <w:top w:val="nil"/>
              <w:left w:val="nil"/>
              <w:bottom w:val="nil"/>
              <w:right w:val="nil"/>
            </w:tcBorders>
          </w:tcPr>
          <w:p>
            <w:pPr>
              <w:pStyle w:val="Normal6a"/>
            </w:pPr>
            <w:r>
              <w:t>46.a</w:t>
            </w:r>
            <w:r>
              <w:tab/>
            </w:r>
            <w:r>
              <w:t>„Digitalni kontakt”</w:t>
            </w:r>
            <w:r>
              <w:rPr>
                <w:b/>
                <w:i/>
              </w:rPr>
              <w:t>:</w:t>
            </w:r>
            <w:r>
              <w:t xml:space="preserve"> svaki </w:t>
            </w:r>
            <w:r>
              <w:rPr>
                <w:b/>
                <w:i/>
              </w:rPr>
              <w:t>ažurirani i dostupan</w:t>
            </w:r>
            <w:r>
              <w:t xml:space="preserve"> internetski komunikacijski kanal </w:t>
            </w:r>
            <w:r>
              <w:rPr>
                <w:b/>
                <w:i/>
              </w:rPr>
              <w:t>putem kojeg se gospodarski subjekti mogu pronaći ili uključiti bez potrebe za registracijom kod gospodarskog subjekta ili preuzimanjem</w:t>
            </w:r>
            <w:r>
              <w:t xml:space="preserve"> aplikacije </w:t>
            </w:r>
            <w:r>
              <w:rPr>
                <w:b/>
                <w:i/>
              </w:rPr>
              <w:t>od gospodarskog subjekta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 – točka 6.a (nova)</w:t>
      </w:r>
      <w:r>
        <w:rPr>
          <w:rStyle w:val="HideTWBExt"/>
        </w:rPr>
        <w:t>&lt;/Article&gt;</w:t>
      </w:r>
    </w:p>
    <w:p>
      <w:r>
        <w:rPr>
          <w:rStyle w:val="HideTWBExt"/>
        </w:rPr>
        <w:t>&lt;DocAmend2&gt;</w:t>
      </w:r>
      <w:r>
        <w:t>Uredba (EU) 2024/1781</w:t>
      </w:r>
      <w:r>
        <w:rPr>
          <w:rStyle w:val="HideTWBExt"/>
        </w:rPr>
        <w:t>&lt;/DocAmend2&gt;</w:t>
      </w:r>
    </w:p>
    <w:p>
      <w:r>
        <w:rPr>
          <w:rStyle w:val="HideTWBExt"/>
        </w:rPr>
        <w:t>&lt;Article2&gt;</w:t>
      </w:r>
      <w:r>
        <w:t>Članak 36.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u članku 36. stavku 2. drugom podstavku druga rečenica zamjenjuje se sljedećom: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 informacije pružaju se u elektroničkom obliku u roku od 15 dana od zaprimanja zahtjeva tijela za nadzor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 – točka 7.</w:t>
      </w:r>
      <w:r>
        <w:rPr>
          <w:rStyle w:val="HideTWBExt"/>
        </w:rPr>
        <w:t>&lt;/Article&gt;</w:t>
      </w:r>
    </w:p>
    <w:p>
      <w:r>
        <w:rPr>
          <w:rStyle w:val="HideTWBExt"/>
        </w:rPr>
        <w:t>&lt;DocAmend2&gt;</w:t>
      </w:r>
      <w:r>
        <w:t>Uredba (EU) 2024/1781</w:t>
      </w:r>
      <w:r>
        <w:rPr>
          <w:rStyle w:val="HideTWBExt"/>
        </w:rPr>
        <w:t>&lt;/DocAmend2&gt;</w:t>
      </w:r>
    </w:p>
    <w:p>
      <w:r>
        <w:rPr>
          <w:rStyle w:val="HideTWBExt"/>
        </w:rPr>
        <w:t>&lt;Article2&gt;</w:t>
      </w:r>
      <w:r>
        <w:t>Članak 7.a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Najkasnije tri godine nakon stupanja na snagu ove Direktive Komisija objavljuje izvješće o učinkovitosti digitalnih informacija o sigurnosti potrošačkih proizvoda.</w:t>
            </w:r>
            <w:r>
              <w:t xml:space="preserve"> </w:t>
            </w:r>
            <w:r>
              <w:rPr>
                <w:b/>
                <w:i/>
              </w:rPr>
              <w:t>Komisija preispituje ovu Direktivu s obzirom na to izvješće i objavljuje rezultate tog preispitivanja, uključujući, prema potrebi, nacrt prijedloga za reviziju pet godina nakon njezina stupanja na snagu.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 – točka 7.a (nova)</w:t>
      </w:r>
      <w:r>
        <w:rPr>
          <w:rStyle w:val="HideTWBExt"/>
        </w:rPr>
        <w:t>&lt;/Article&gt;</w:t>
      </w:r>
    </w:p>
    <w:p>
      <w:r>
        <w:rPr>
          <w:rStyle w:val="HideTWBExt"/>
        </w:rPr>
        <w:t>&lt;DocAmend2&gt;</w:t>
      </w:r>
      <w:r>
        <w:t>Uredba (EU) 2024/1781</w:t>
      </w:r>
      <w:r>
        <w:rPr>
          <w:rStyle w:val="HideTWBExt"/>
        </w:rPr>
        <w:t>&lt;/DocAmend2&gt;</w:t>
      </w:r>
    </w:p>
    <w:p>
      <w:r>
        <w:rPr>
          <w:rStyle w:val="HideTWBExt"/>
        </w:rPr>
        <w:t>&lt;Article2&gt;</w:t>
      </w:r>
      <w:r>
        <w:t>Članak 79.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u članku 79. stavku 1. točka (a) podtočka i. zamjenjuje se sljedećim: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„do 31. prosinca 2028. u pogledu fotonaponskih ploča, grijača prostora i kombiniranih grijača, grijača vode, uređaja za lokalno grijanje prostora na kruto gorivo, klimatizacijskih uređaja, uključujući dizalice topline zrak-zrak i velike ventilatore, kotlova na kruta goriva, uređaja za grijanje i hlađenje zraka, ventilacijskih jedinica, usisavača, uređaja za kuhanje, crpki za vodu, industrijskih ventilatora, cirkulacijskih uređaja, vanjskog napajanja, računala, poslužitelja i proizvoda za pohranjivanje podataka, energetskih transformatora, profesionalne opreme za hlađenje i opreme za prikaz slike;“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7.a (novi)</w:t>
      </w:r>
      <w:r>
        <w:rPr>
          <w:rStyle w:val="HideTWBExt"/>
        </w:rPr>
        <w:t>&lt;/Article&gt;</w:t>
      </w:r>
    </w:p>
    <w:p>
      <w:r>
        <w:rPr>
          <w:rStyle w:val="HideTWBExt"/>
        </w:rPr>
        <w:t>&lt;DocAmend2&gt;</w:t>
      </w:r>
      <w:r>
        <w:t>Uredba (EU) 2025/ o sigurnosti igračaka i stavljanju izvan snage Direktive 2009/48/EZ</w:t>
      </w:r>
      <w:r>
        <w:rPr>
          <w:rStyle w:val="HideTWBExt"/>
        </w:rPr>
        <w:t>&lt;/DocAmend2&gt;</w:t>
      </w:r>
    </w:p>
    <w:p>
      <w:r>
        <w:rPr>
          <w:rStyle w:val="HideTWBExt"/>
        </w:rPr>
        <w:t>&lt;Article2&gt;</w:t>
      </w:r>
      <w:r>
        <w:t>Članak 14. – stavak 3.a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Izmjene Uredbe (EU) 2025/... o sigurnosti igračaka i stavljanju izvan snage Direktive 2009/48/EZ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 članku 14. dodaje se stavak 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„Ako država članica ili Europski parlament smatraju da zajednička specifikacija ili njezini dijelovi ne ispunjavaju u potpunosti bitne zahtjeve iz Priloga I. koje obuhvaćaju, o tome obavješćuju Komisiju podnošenjem detaljnog objašnjenja. Komisija ocjenjuje to detaljno objašnjenje i, po potrebi, može izmijeniti provedbeni akt kojim se utvrđuje predmetna zajednička specifikacija.“;“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Članak 5. i Prilog IV. primjenjuju se od 20. siječnja 2027.</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3.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Sljedeće odredbe primjenjuju se od [Ured za publikacije: unijeti datum </w:t>
            </w:r>
            <w:r>
              <w:rPr>
                <w:b/>
                <w:i/>
              </w:rPr>
              <w:t>24 mjeseca od dana</w:t>
            </w:r>
            <w:r>
              <w:t xml:space="preserve"> stupanja na snagu ove Uredbe o izmjeni]:</w:t>
            </w:r>
          </w:p>
        </w:tc>
        <w:tc>
          <w:tcPr>
            <w:tcW w:w="4876" w:type="dxa"/>
            <w:tcBorders>
              <w:top w:val="nil"/>
              <w:left w:val="nil"/>
              <w:bottom w:val="nil"/>
              <w:right w:val="nil"/>
            </w:tcBorders>
          </w:tcPr>
          <w:p>
            <w:pPr>
              <w:pStyle w:val="Normal6a"/>
            </w:pPr>
            <w:r>
              <w:t xml:space="preserve">Sljedeće odredbe primjenjuju se od [Ured za publikacije: unijeti datum </w:t>
            </w:r>
            <w:r>
              <w:rPr>
                <w:b/>
                <w:i/>
              </w:rPr>
              <w:t>= 36 mjeseci nakon</w:t>
            </w:r>
            <w:r>
              <w:t xml:space="preserve"> stupanja na snagu ove Uredbe o izmjeni]: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Anna-Maja Henriksson,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3. – točka ca (nova)</w:t>
      </w:r>
      <w:r>
        <w:rPr>
          <w:rStyle w:val="HideTWBExt"/>
        </w:rPr>
        <w:t>&lt;/Article&gt;</w:t>
      </w:r>
    </w:p>
    <w:p>
      <w:r>
        <w:rPr>
          <w:rStyle w:val="HideTWBExt"/>
        </w:rPr>
        <w:t>&lt;DocAmend2&gt;</w:t>
      </w:r>
      <w:r>
        <w:t>Uredba (EU) 2023/1240</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Članak 5. i Prilog 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Christel Schaldemose, Adnan Dibrani, Elisabeth Grossmann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Prilog I. – stavak 1. − točka 1. – podtočka b</w:t>
      </w:r>
      <w:r>
        <w:rPr>
          <w:rStyle w:val="HideTWBExt"/>
        </w:rPr>
        <w:t>&lt;/Article&gt;</w:t>
      </w:r>
    </w:p>
    <w:p>
      <w:r>
        <w:rPr>
          <w:rStyle w:val="HideTWBExt"/>
        </w:rPr>
        <w:t>&lt;DocAmend2&gt;</w:t>
      </w:r>
      <w:r>
        <w:t>Uredba (EU) 2016/424</w:t>
      </w:r>
      <w:r>
        <w:rPr>
          <w:rStyle w:val="HideTWBExt"/>
        </w:rPr>
        <w:t>&lt;/DocAmend2&gt;</w:t>
      </w:r>
    </w:p>
    <w:p>
      <w:r>
        <w:rPr>
          <w:rStyle w:val="HideTWBExt"/>
        </w:rPr>
        <w:t>&lt;Article2&gt;</w:t>
      </w:r>
      <w:r>
        <w:t>Prilog III. – točka 4.3.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provodi ili daje provesti odgovarajuće preglede i ispitivanja, ili osigurava njihovu provedbu, kako bi se provjerilo odgovaraju li rješenja koja je usvojio proizvođač koji primjenjuje druge relevantne tehničke specifikacije bitnim zahtjevima ove Uredbe ako nisu primijenjena rješenja iz odgovarajućih usklađenih normi ili zajedničkih specifikacija;”;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Prilog I. – stavak 1. − točka 2. – podtočka b</w:t>
      </w:r>
      <w:r>
        <w:rPr>
          <w:rStyle w:val="HideTWBExt"/>
        </w:rPr>
        <w:t>&lt;/Article&gt;</w:t>
      </w:r>
    </w:p>
    <w:p>
      <w:r>
        <w:rPr>
          <w:rStyle w:val="HideTWBExt"/>
        </w:rPr>
        <w:t>&lt;DocAmend2&gt;</w:t>
      </w:r>
      <w:r>
        <w:t>Prilog IV.</w:t>
      </w:r>
      <w:r>
        <w:rPr>
          <w:rStyle w:val="HideTWBExt"/>
        </w:rPr>
        <w:t>&lt;/DocAmend2&gt;</w:t>
      </w:r>
    </w:p>
    <w:p>
      <w:r>
        <w:rPr>
          <w:rStyle w:val="HideTWBExt"/>
        </w:rPr>
        <w:t>&lt;Article2&gt;</w:t>
      </w:r>
      <w:r>
        <w:t>Uredba (EU) 2016/424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Ono pretpostavlja sukladnost s tim zahtjevima u odnosu na elemente sustava kvalitete koji su u skladu s odgovarajućim specifikacijama relevantne usklađene norme ili zajedničke specifikacije.;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Predložene izmjene nisu točne.</w:t>
      </w:r>
      <w:r>
        <w:t xml:space="preserve"> </w:t>
      </w:r>
      <w:r>
        <w:t>Zajedničke specifikacije osiguravaju sredstvo usklađivanja samo s bitnim zahtjevima koji se primjenjuju na proizvode obuhvaćene relevantnom Uredbom.</w:t>
      </w:r>
      <w:r>
        <w:t xml:space="preserve"> </w:t>
      </w:r>
      <w:r>
        <w:t>Zajedničke specifikacije ne obuhvaćaju zahtjeve koji se primjenjuju na proizvođačev sustav kvalitete i ne mogu pružiti pretpostavku sukladnosti s takvim zahtjevima.</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Prilog I. – stavak 1. − točka 5. – podtočka c</w:t>
      </w:r>
      <w:r>
        <w:rPr>
          <w:rStyle w:val="HideTWBExt"/>
        </w:rPr>
        <w:t>&lt;/Article&gt;</w:t>
      </w:r>
    </w:p>
    <w:p>
      <w:r>
        <w:rPr>
          <w:rStyle w:val="HideTWBExt"/>
        </w:rPr>
        <w:t>&lt;DocAmend2&gt;</w:t>
      </w:r>
      <w:r>
        <w:t>Prilog IV.</w:t>
      </w:r>
      <w:r>
        <w:rPr>
          <w:rStyle w:val="HideTWBExt"/>
        </w:rPr>
        <w:t>&lt;/DocAmend2&gt;</w:t>
      </w:r>
    </w:p>
    <w:p>
      <w:r>
        <w:rPr>
          <w:rStyle w:val="HideTWBExt"/>
        </w:rPr>
        <w:t>&lt;Article2&gt;</w:t>
      </w:r>
      <w:r>
        <w:t>Uredba (EU) 2016/425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Ono pretpostavlja sukladnost s tim zahtjevima u odnosu na elemente sustava kvalitete koji su u skladu s odgovarajućim specifikacijama relevantne usklađene norme ili zajedničke specifikacije.;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Prilog II. – stavak 1. − točka 5. – podtočka b</w:t>
      </w:r>
      <w:r>
        <w:rPr>
          <w:rStyle w:val="HideTWBExt"/>
        </w:rPr>
        <w:t>&lt;/Article&gt;</w:t>
      </w:r>
    </w:p>
    <w:p>
      <w:r>
        <w:rPr>
          <w:rStyle w:val="HideTWBExt"/>
        </w:rPr>
        <w:t>&lt;DocAmend2&gt;</w:t>
      </w:r>
      <w:r>
        <w:t>Uredba (EU) 2016/424</w:t>
      </w:r>
      <w:r>
        <w:rPr>
          <w:rStyle w:val="HideTWBExt"/>
        </w:rPr>
        <w:t>&lt;/DocAmend2&gt;</w:t>
      </w:r>
    </w:p>
    <w:p>
      <w:r>
        <w:rPr>
          <w:rStyle w:val="HideTWBExt"/>
        </w:rPr>
        <w:t>&lt;Article2&gt;</w:t>
      </w:r>
      <w:r>
        <w:t>Prilog IV.</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 točki 3.3. drugi podstavak zamjenjuje se sljedećim:</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Ono pretpostavlja sukladnost s tim zahtjevima u pogledu elemenata sustava kvalitete koji su u skladu s odgovarajućim specifikacijama relevantne usklađene norme ili zajedničke specifikacije.;</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Prilog III. – stavak 1. − točka 1. – podtočka f</w:t>
      </w:r>
      <w:r>
        <w:rPr>
          <w:rStyle w:val="HideTWBExt"/>
        </w:rPr>
        <w:t>&lt;/Article&gt;</w:t>
      </w:r>
    </w:p>
    <w:p>
      <w:r>
        <w:rPr>
          <w:rStyle w:val="HideTWBExt"/>
        </w:rPr>
        <w:t>&lt;DocAmend2&gt;</w:t>
      </w:r>
      <w:r>
        <w:t>Uredba (EU) 2016/426</w:t>
      </w:r>
      <w:r>
        <w:rPr>
          <w:rStyle w:val="HideTWBExt"/>
        </w:rPr>
        <w:t>&lt;/DocAmend2&gt;</w:t>
      </w:r>
    </w:p>
    <w:p>
      <w:r>
        <w:rPr>
          <w:rStyle w:val="HideTWBExt"/>
        </w:rPr>
        <w:t>&lt;Article2&gt;</w:t>
      </w:r>
      <w:r>
        <w:t>Prilog IV.</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Ono pretpostavlja sukladnost s tim zahtjevima u odnosu na elemente sustava kvalitete koji su u skladu s odgovarajućim specifikacijama relevantne usklađene norme ili zajedničke specifikacije.;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779.374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92</w:t>
    </w:r>
    <w:r>
      <w:fldChar w:fldCharType="end"/>
    </w:r>
    <w:r>
      <w:t>/</w:t>
    </w:r>
    <w:r>
      <w:fldChar w:fldCharType="begin"/>
    </w:r>
    <w:r>
      <w:instrText xml:space="preserve"> NUMPAGES </w:instrText>
    </w:r>
    <w:r>
      <w:fldChar w:fldCharType="separate"/>
    </w:r>
    <w:r>
      <w:t>92</w:t>
    </w:r>
    <w:r>
      <w:fldChar w:fldCharType="end"/>
    </w:r>
    <w:r>
      <w:tab/>
    </w:r>
    <w:r>
      <w:rPr>
        <w:rStyle w:val="HideTWBExt"/>
      </w:rPr>
      <w:t>&lt;PathFdR&gt;</w:t>
    </w:r>
    <w:r>
      <w:t>AM\1330731HR.docx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AM\1330731HR.docx</w:t>
    </w:r>
    <w:r>
      <w:rPr>
        <w:rStyle w:val="HideTWBExt"/>
      </w:rPr>
      <w:t>&lt;/PathFdR&gt;</w:t>
    </w:r>
    <w:r>
      <w:tab/>
    </w:r>
    <w:r>
      <w:fldChar w:fldCharType="begin"/>
    </w:r>
    <w:r>
      <w:instrText xml:space="preserve"> PAGE </w:instrText>
    </w:r>
    <w:r>
      <w:fldChar w:fldCharType="separate"/>
    </w:r>
    <w:r>
      <w:t>91</w:t>
    </w:r>
    <w:r>
      <w:fldChar w:fldCharType="end"/>
    </w:r>
    <w:r>
      <w:t>/</w:t>
    </w:r>
    <w:r>
      <w:fldChar w:fldCharType="begin"/>
    </w:r>
    <w:r>
      <w:instrText xml:space="preserve"> NUMPAGES </w:instrText>
    </w:r>
    <w:r>
      <w:fldChar w:fldCharType="separate"/>
    </w:r>
    <w:r>
      <w:t>92</w:t>
    </w:r>
    <w:r>
      <w:fldChar w:fldCharType="end"/>
    </w:r>
    <w:r>
      <w:tab/>
    </w:r>
    <w:r>
      <w:t>PE</w:t>
    </w:r>
    <w:r>
      <w:rPr>
        <w:rStyle w:val="HideTWBExt"/>
      </w:rPr>
      <w:t>&lt;NoPE&gt;</w:t>
    </w:r>
    <w:r>
      <w:t>779.374</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AM\1330731HR.docx</w:t>
    </w:r>
    <w:r>
      <w:rPr>
        <w:rStyle w:val="HideTWBExt"/>
      </w:rPr>
      <w:t>&lt;/PathFdR&gt;</w:t>
    </w:r>
    <w:r>
      <w:tab/>
    </w:r>
    <w:r>
      <w:tab/>
    </w:r>
    <w:r>
      <w:t>PE</w:t>
    </w:r>
    <w:r>
      <w:rPr>
        <w:rStyle w:val="HideTWBExt"/>
      </w:rPr>
      <w:t>&lt;NoPE&gt;</w:t>
    </w:r>
    <w:r>
      <w:t>779.374</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92</Pages>
  <Words>19679</Words>
  <Characters>115636</Characters>
  <Application>Microsoft Office Word</Application>
  <DocSecurity>0</DocSecurity>
  <Lines>1</Lines>
  <Paragraphs>1921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1330731</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282166</vt:lpwstr>
  </property>
  <property fmtid="{D5CDD505-2E9C-101B-9397-08002B2CF9AE}" pid="7" name="dmxml.render.traceId">
    <vt:lpwstr>6911a7b64f021a4852133bd443c573da</vt:lpwstr>
  </property>
  <property fmtid="{D5CDD505-2E9C-101B-9397-08002B2CF9AE}" pid="8" name="FooterPath">
    <vt:lpwstr>AM\1330731HR.docx</vt:lpwstr>
  </property>
  <property fmtid="{D5CDD505-2E9C-101B-9397-08002B2CF9AE}" pid="9" name="PE Number">
    <vt:lpwstr>779.374</vt:lpwstr>
  </property>
  <property fmtid="{D5CDD505-2E9C-101B-9397-08002B2CF9AE}" pid="10" name="UID">
    <vt:lpwstr>eu.europa.europarl-DIN1-2025-0000205829_02.00-hr-01.00_text-xml</vt:lpwstr>
  </property>
</Properties>
</file>