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{INTA}</w:t>
      </w:r>
      <w:r>
        <w:t>Committee on International Trade</w:t>
      </w:r>
      <w:r>
        <w:rPr>
          <w:rStyle w:val="HideTWBExt"/>
        </w:rPr>
        <w:t>&lt;/Commission&gt;</w:t>
      </w:r>
    </w:p>
    <w:p>
      <w:pPr>
        <w:pStyle w:val="LineBottom"/>
      </w:pPr>
      <w:r>
        <w:t xml:space="preserve"> </w:t>
      </w:r>
    </w:p>
    <w:p>
      <w:pPr>
        <w:pStyle w:val="CoverReference"/>
      </w:pPr>
      <w:r>
        <w:rPr>
          <w:rStyle w:val="HideTWBExt"/>
        </w:rPr>
        <w:t>&lt;RefProc&gt;</w:t>
      </w:r>
      <w:r>
        <w:t>2024/0245M</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{22/04/2025}</w:t>
      </w:r>
      <w:r>
        <w:t>22.4.2025</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55</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Karin Karlsbro</w:t>
      </w:r>
      <w:r>
        <w:rPr>
          <w:rStyle w:val="HideTWBExt"/>
        </w:rPr>
        <w:t>&lt;/Rapporteur&gt;</w:t>
      </w:r>
    </w:p>
    <w:p>
      <w:pPr>
        <w:pStyle w:val="CoverNormal24a"/>
      </w:pPr>
      <w:r>
        <w:rPr>
          <w:rStyle w:val="HideTWBExt"/>
        </w:rPr>
        <w:t>&lt;DocRefPE&gt;</w:t>
      </w:r>
      <w:r>
        <w:t>(PE770.252v01-00)</w:t>
      </w:r>
      <w:r>
        <w:rPr>
          <w:rStyle w:val="HideTWBExt"/>
        </w:rPr>
        <w:t>&lt;/DocRefPE&gt;</w:t>
      </w:r>
    </w:p>
    <w:p>
      <w:pPr>
        <w:pStyle w:val="CoverNormal"/>
      </w:pPr>
      <w:r>
        <w:rPr>
          <w:rStyle w:val="HideTWBExt"/>
        </w:rPr>
        <w:t>&lt;Titre&gt;</w:t>
      </w:r>
      <w:r>
        <w:t>The termination of the Voluntary Partnership Agreement (VPA) between the EU and the Republic of Cameroon on forest law enforcement, governance and trade in timber and timber products to the European Union (FLEGT)</w:t>
      </w:r>
      <w:r>
        <w:rPr>
          <w:rStyle w:val="HideTWBExt"/>
        </w:rPr>
        <w:t>&lt;/Titre&gt;</w:t>
      </w:r>
    </w:p>
    <w:p>
      <w:pPr>
        <w:pStyle w:val="CoverNormal24a"/>
      </w:pPr>
      <w:r>
        <w:rPr>
          <w:rStyle w:val="HideTWBExt"/>
        </w:rPr>
        <w:t>&lt;DocRef&gt;</w:t>
      </w:r>
      <w:r>
        <w:t>(2024/0245M(NLE))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Partnership Agreement between the EU and its Member States, of the one part, and the Members of the Organisation of African, Caribbean and Pacific States, of the other part,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having regard to the UN Sustainable Development Goals,</w:t>
            </w:r>
          </w:p>
        </w:tc>
        <w:tc>
          <w:tcPr>
            <w:tcW w:w="4876" w:type="dxa"/>
            <w:tcBorders>
              <w:top w:val="nil"/>
              <w:left w:val="nil"/>
              <w:bottom w:val="nil"/>
              <w:right w:val="nil"/>
            </w:tcBorders>
          </w:tcPr>
          <w:p>
            <w:pPr>
              <w:pStyle w:val="Normal6a"/>
            </w:pPr>
            <w:r>
              <w:t>–</w:t>
            </w:r>
            <w:r>
              <w:tab/>
            </w:r>
            <w:r>
              <w:t xml:space="preserve">having regard to the UN Sustainable Development Goals </w:t>
            </w:r>
            <w:r>
              <w:rPr>
                <w:b/>
                <w:i/>
              </w:rPr>
              <w:t>and associated targets and indicators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Glasgow Leaders' Declaration on Forest and Land 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Thierry Mariani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legal remedies provided for in the VPA (consultations, mediation, arbitration, suspension) were not pursued before the denunciation decision, which runs counter to the constructive spirit of the agreement;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Thierry Mariani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Cameroon has over 18 million hectares of forest, which accounts for approximately 40 % of its national territory; whereas Cameroon is Africa’s largest exporter of tropical hardwoods to the EU; whereas illegal logging, enabled by poor forest governance and driven by trade, is a major contributor to deforestation in Cameroon; whereas 900 000 hectares of forest cover were lost between 2011 and 2022, representing 5 % of the country’s forest cover during this period;</w:t>
            </w:r>
          </w:p>
        </w:tc>
        <w:tc>
          <w:tcPr>
            <w:tcW w:w="4876" w:type="dxa"/>
            <w:tcBorders>
              <w:top w:val="nil"/>
              <w:left w:val="nil"/>
              <w:bottom w:val="nil"/>
              <w:right w:val="nil"/>
            </w:tcBorders>
          </w:tcPr>
          <w:p>
            <w:pPr>
              <w:pStyle w:val="Normal6a"/>
            </w:pPr>
            <w:r>
              <w:t>B.</w:t>
            </w:r>
            <w:r>
              <w:tab/>
            </w:r>
            <w:r>
              <w:t xml:space="preserve">whereas Cameroon has over 18 million hectares of forest, which accounts for approximately 40 % of its national territory; whereas Cameroon is Africa’s largest exporter of tropical hardwoods to the EU; whereas illegal logging, enabled by poor forest governance and driven by trade, is a major contributor to deforestation in Cameroon; whereas 900 000 hectares of forest cover were lost between 2011 and 2022, representing 5 % of the country’s forest cover during this period; </w:t>
            </w:r>
            <w:r>
              <w:rPr>
                <w:b/>
                <w:i/>
              </w:rPr>
              <w:t>notes that deforestation cannot be attributed solely to the forestry sub-sector;</w:t>
            </w:r>
            <w:r>
              <w:t xml:space="preserve"> </w:t>
            </w:r>
            <w:r>
              <w:rPr>
                <w:b/>
                <w:i/>
              </w:rPr>
              <w:t>stresses that forest cover loss is linked to structural projects (dams, mines, agriculture) under the national development strategy implemented by Cameroon;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Cameroon has over 18 million hectares of forest, which accounts for approximately 40 % of its national territory; whereas Cameroon is Africa’s largest exporter of tropical hardwoods to the EU; whereas illegal logging, enabled by poor forest governance and driven by trade, </w:t>
            </w:r>
            <w:r>
              <w:rPr>
                <w:b/>
                <w:i/>
              </w:rPr>
              <w:t>is a</w:t>
            </w:r>
            <w:r>
              <w:t xml:space="preserve"> major </w:t>
            </w:r>
            <w:r>
              <w:rPr>
                <w:b/>
                <w:i/>
              </w:rPr>
              <w:t>contributor</w:t>
            </w:r>
            <w:r>
              <w:t xml:space="preserve"> to deforestation in Cameroon; whereas 900 000 hectares of forest cover were lost between 2011 and 2022, representing 5 % of the country’s forest cover during this period;</w:t>
            </w:r>
          </w:p>
        </w:tc>
        <w:tc>
          <w:tcPr>
            <w:tcW w:w="4876" w:type="dxa"/>
            <w:tcBorders>
              <w:top w:val="nil"/>
              <w:left w:val="nil"/>
              <w:bottom w:val="nil"/>
              <w:right w:val="nil"/>
            </w:tcBorders>
          </w:tcPr>
          <w:p>
            <w:pPr>
              <w:pStyle w:val="Normal6a"/>
            </w:pPr>
            <w:r>
              <w:t>B.</w:t>
            </w:r>
            <w:r>
              <w:tab/>
            </w:r>
            <w:r>
              <w:t xml:space="preserve">whereas Cameroon has over 18 million hectares of forest, which accounts for approximately 40 % of its national territory; whereas Cameroon is Africa’s largest exporter of tropical hardwoods to the EU; whereas illegal logging </w:t>
            </w:r>
            <w:r>
              <w:rPr>
                <w:b/>
                <w:i/>
              </w:rPr>
              <w:t>and forest conversion</w:t>
            </w:r>
            <w:r>
              <w:t xml:space="preserve">, enabled by poor forest governance and driven by trade, </w:t>
            </w:r>
            <w:r>
              <w:rPr>
                <w:b/>
                <w:i/>
              </w:rPr>
              <w:t>are</w:t>
            </w:r>
            <w:r>
              <w:t xml:space="preserve"> major </w:t>
            </w:r>
            <w:r>
              <w:rPr>
                <w:b/>
                <w:i/>
              </w:rPr>
              <w:t>contributors</w:t>
            </w:r>
            <w:r>
              <w:t xml:space="preserve"> to deforestation in Cameroon; whereas 900 000 hectares of forest cover were lost between 2011 and 2022, representing 5 % of the country’s forest cover during this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Thierry Mariani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all shipments of timber and timber products from Cameroon destined for the EU market should comply with the EU Timber Regulation (EUTR) requiring operators to perform due diligence checks to ensure the timber products they place on the EU market are legal; whereas since 2015</w:t>
            </w:r>
            <w:r>
              <w:rPr>
                <w:b/>
                <w:i/>
              </w:rPr>
              <w:t>,</w:t>
            </w:r>
            <w:r>
              <w:t xml:space="preserve"> Cameroon has </w:t>
            </w:r>
            <w:r>
              <w:rPr>
                <w:b/>
                <w:i/>
              </w:rPr>
              <w:t>been developing a timber legality assurance system (TLAS), as required by</w:t>
            </w:r>
            <w:r>
              <w:t xml:space="preserve"> the VPA</w:t>
            </w:r>
            <w:r>
              <w:rPr>
                <w:b/>
                <w:i/>
              </w:rPr>
              <w:t>;</w:t>
            </w:r>
            <w:r>
              <w:t xml:space="preserve"> </w:t>
            </w:r>
            <w:r>
              <w:rPr>
                <w:b/>
                <w:i/>
              </w:rPr>
              <w:t>whereas to date, Cameroon has not fully established the TLAS and thereby cannot qualify for a FLEGT licence;</w:t>
            </w:r>
            <w:r>
              <w:t xml:space="preserve"> </w:t>
            </w:r>
            <w:r>
              <w:rPr>
                <w:b/>
                <w:i/>
              </w:rPr>
              <w:t>whereas the TLAS is based on a</w:t>
            </w:r>
            <w:r>
              <w:t xml:space="preserve"> legality </w:t>
            </w:r>
            <w:r>
              <w:rPr>
                <w:b/>
                <w:i/>
              </w:rPr>
              <w:t>definition, supply chain controls, verification of compliance, FLEGT licensing and an independent audit;</w:t>
            </w:r>
            <w:r>
              <w:t xml:space="preserve"> </w:t>
            </w:r>
            <w:r>
              <w:rPr>
                <w:b/>
                <w:i/>
              </w:rPr>
              <w:t>whereas this legality verification system is not yet operational</w:t>
            </w:r>
            <w:r>
              <w:t>;</w:t>
            </w:r>
          </w:p>
        </w:tc>
        <w:tc>
          <w:tcPr>
            <w:tcW w:w="4876" w:type="dxa"/>
            <w:tcBorders>
              <w:top w:val="nil"/>
              <w:left w:val="nil"/>
              <w:bottom w:val="nil"/>
              <w:right w:val="nil"/>
            </w:tcBorders>
          </w:tcPr>
          <w:p>
            <w:pPr>
              <w:pStyle w:val="Normal6a"/>
            </w:pPr>
            <w:r>
              <w:t>C.</w:t>
            </w:r>
            <w:r>
              <w:tab/>
            </w:r>
            <w:r>
              <w:t xml:space="preserve">whereas all shipments of timber and timber products from Cameroon destined for the EU market should comply with the EU Timber Regulation (EUTR) requiring operators to perform due diligence checks to ensure the timber products they place on the EU market are legal; whereas since 2015 Cameroon has </w:t>
            </w:r>
            <w:r>
              <w:rPr>
                <w:b/>
                <w:i/>
              </w:rPr>
              <w:t>expressed its willingness to continue to implement</w:t>
            </w:r>
            <w:r>
              <w:t xml:space="preserve"> the VPA</w:t>
            </w:r>
            <w:r>
              <w:rPr>
                <w:b/>
                <w:i/>
              </w:rPr>
              <w:t>, in particular through the establishment of SIGIF 2, which makes it possible to ensure timber</w:t>
            </w:r>
            <w:r>
              <w:t xml:space="preserve"> legality </w:t>
            </w:r>
            <w:r>
              <w:rPr>
                <w:b/>
                <w:i/>
              </w:rPr>
              <w:t>and traceability</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all shipments of timber and timber products from Cameroon destined for the EU market should comply with the EU Timber Regulation (EUTR) requiring operators to perform due diligence checks to ensure the timber products they place on the EU market are legal; whereas since 2015, Cameroon has been developing a timber legality assurance system (TLAS), as required by the VPA; whereas to date, Cameroon has not fully established the TLAS and thereby cannot qualify for a FLEGT licence; whereas the TLAS is based on a legality definition, supply chain controls, verification of compliance, FLEGT licensing and an independent audit; whereas this legality verification system is not yet operational;</w:t>
            </w:r>
          </w:p>
        </w:tc>
        <w:tc>
          <w:tcPr>
            <w:tcW w:w="4876" w:type="dxa"/>
            <w:tcBorders>
              <w:top w:val="nil"/>
              <w:left w:val="nil"/>
              <w:bottom w:val="nil"/>
              <w:right w:val="nil"/>
            </w:tcBorders>
          </w:tcPr>
          <w:p>
            <w:pPr>
              <w:pStyle w:val="Normal6a"/>
            </w:pPr>
            <w:r>
              <w:t>C.</w:t>
            </w:r>
            <w:r>
              <w:tab/>
            </w:r>
            <w:r>
              <w:t xml:space="preserve">whereas all shipments of timber and timber products from Cameroon destined for the EU market should comply with the EU Timber Regulation (EUTR) requiring operators to perform due diligence checks to ensure the timber products they place on the EU market are legal; whereas since 2015, Cameroon has been developing a timber legality assurance system (TLAS), as required by the VPA; whereas </w:t>
            </w:r>
            <w:r>
              <w:rPr>
                <w:b/>
                <w:i/>
              </w:rPr>
              <w:t>proof of legality is increasingly being included in consumer market regulations, for both the EUDR and other legislation abroad; whereas</w:t>
            </w:r>
            <w:r>
              <w:t xml:space="preserve"> to date, Cameroon has not fully established the TLAS and thereby cannot qualify for a FLEGT licence; whereas the TLAS is based on a legality definition, supply chain controls, verification of compliance, FLEGT licensing and an independent audit; whereas this legality verification system is not yet operational;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purpose and expected benefits of FLEGT VPAs go beyond the facilitation of trade in legal timber, as they are also designed to bring about systemic changes in forest governance, law enforcement, transparency and the inclusion of various stakeholders in the political decision-making process;</w:t>
            </w:r>
          </w:p>
        </w:tc>
        <w:tc>
          <w:tcPr>
            <w:tcW w:w="4876" w:type="dxa"/>
            <w:tcBorders>
              <w:top w:val="nil"/>
              <w:left w:val="nil"/>
              <w:bottom w:val="nil"/>
              <w:right w:val="nil"/>
            </w:tcBorders>
          </w:tcPr>
          <w:p>
            <w:pPr>
              <w:pStyle w:val="Normal6a"/>
            </w:pPr>
            <w:r>
              <w:t>D.</w:t>
            </w:r>
            <w:r>
              <w:tab/>
            </w:r>
            <w:r>
              <w:t>whereas the purpose and expected benefits of FLEGT VPAs go beyond the facilitation of trade in legal timber, as they are also designed to bring about systemic changes in forest governance, law enforcement, transparency and the inclusion of various stakeholders in the political decision-making process</w:t>
            </w:r>
            <w:r>
              <w:rPr>
                <w:b/>
                <w:i/>
              </w:rPr>
              <w:t>, including indigenous, local communities and civil society organisations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the FLEGT licensing scheme, which forms an integral part of the VPA, was expected to be in place within five years of the reform of the legal framework; whereas this licensing scheme is not yet in place, implying that the VPA between the EU and Cameroon is not operational to date;</w:t>
            </w:r>
          </w:p>
        </w:tc>
        <w:tc>
          <w:tcPr>
            <w:tcW w:w="4876" w:type="dxa"/>
            <w:tcBorders>
              <w:top w:val="nil"/>
              <w:left w:val="nil"/>
              <w:bottom w:val="nil"/>
              <w:right w:val="nil"/>
            </w:tcBorders>
          </w:tcPr>
          <w:p>
            <w:pPr>
              <w:pStyle w:val="Normal6a"/>
            </w:pPr>
            <w:r>
              <w:t>E.</w:t>
            </w:r>
            <w:r>
              <w:tab/>
            </w:r>
            <w:r>
              <w:t xml:space="preserve">whereas the FLEGT licensing scheme, which forms an integral part of the VPA, was expected to be in place within five years of the reform of the legal framework; whereas this licensing scheme is not yet in place, implying that the VPA between the EU and Cameroon is not operational to date; </w:t>
            </w:r>
            <w:r>
              <w:rPr>
                <w:b/>
                <w:i/>
              </w:rPr>
              <w:t>whereas the EU FLEGT VPA programme, coordinated by the AFD, was not implemented in Cameroon as planned for the years 2021-2025;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Thierry Mariani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whereas the forest reform, launched in 2008 with the aim of revising the 1994 forest code, was </w:t>
            </w:r>
            <w:r>
              <w:rPr>
                <w:b/>
                <w:i/>
              </w:rPr>
              <w:t>finalised</w:t>
            </w:r>
            <w:r>
              <w:t xml:space="preserve"> in July 2024 </w:t>
            </w:r>
            <w:r>
              <w:rPr>
                <w:b/>
                <w:i/>
              </w:rPr>
              <w:t>with the publication of the new Forest Code;</w:t>
            </w:r>
            <w:r>
              <w:t xml:space="preserve"> </w:t>
            </w:r>
            <w:r>
              <w:rPr>
                <w:b/>
                <w:i/>
              </w:rPr>
              <w:t>whereas illegal logging is conducted partly on the basis of small logging titles (ventes de coupe</w:t>
            </w:r>
            <w:r>
              <w:t xml:space="preserve">) </w:t>
            </w:r>
            <w:r>
              <w:rPr>
                <w:b/>
                <w:i/>
              </w:rPr>
              <w:t>that do not require management plans and are more difficult to control compared to the oversight of large-scale concessions;</w:t>
            </w:r>
            <w:r>
              <w:t xml:space="preserve"> </w:t>
            </w:r>
            <w:r>
              <w:rPr>
                <w:b/>
                <w:i/>
              </w:rPr>
              <w:t>whereas the national control systems are also not operational, so enforcement and governance remain weak, making it possible for illegal and unsustainable logging operations to continue</w:t>
            </w:r>
            <w:r>
              <w:t>;</w:t>
            </w:r>
          </w:p>
        </w:tc>
        <w:tc>
          <w:tcPr>
            <w:tcW w:w="4876" w:type="dxa"/>
            <w:tcBorders>
              <w:top w:val="nil"/>
              <w:left w:val="nil"/>
              <w:bottom w:val="nil"/>
              <w:right w:val="nil"/>
            </w:tcBorders>
          </w:tcPr>
          <w:p>
            <w:pPr>
              <w:pStyle w:val="Normal6a"/>
            </w:pPr>
            <w:r>
              <w:t>F.</w:t>
            </w:r>
            <w:r>
              <w:tab/>
            </w:r>
            <w:r>
              <w:t xml:space="preserve">whereas the forest reform, launched in 2008 with the aim of revising the 1994 forest code, was </w:t>
            </w:r>
            <w:r>
              <w:rPr>
                <w:b/>
                <w:i/>
              </w:rPr>
              <w:t>adopted</w:t>
            </w:r>
            <w:r>
              <w:t xml:space="preserve"> in July 2024</w:t>
            </w:r>
            <w:r>
              <w:rPr>
                <w:b/>
                <w:i/>
              </w:rPr>
              <w:t>, and whereas it constitutes a new legal framework (Decree No 2024/008</w:t>
            </w:r>
            <w:r>
              <w:t xml:space="preserve">) </w:t>
            </w:r>
            <w:r>
              <w:rPr>
                <w:b/>
                <w:i/>
              </w:rPr>
              <w:t>on forests and fauna, which is a necessary basis for revising the legality matrices of the VPA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whereas the forest reform, launched in 2008 with the aim of revising the 1994 forest code, was finalised in July 2024 with the publication of the new Forest Code; whereas illegal logging is conducted partly on the basis of small logging titles (ventes de coupe) that do not require management plans and are more difficult to control compared to the oversight of large-scale concessions; whereas the national control systems are </w:t>
            </w:r>
            <w:r>
              <w:rPr>
                <w:b/>
                <w:i/>
              </w:rPr>
              <w:t>also</w:t>
            </w:r>
            <w:r>
              <w:t xml:space="preserve"> not operational, so enforcement and governance remain weak, making it possible for illegal and unsustainable logging operations to continue;</w:t>
            </w:r>
          </w:p>
        </w:tc>
        <w:tc>
          <w:tcPr>
            <w:tcW w:w="4876" w:type="dxa"/>
            <w:tcBorders>
              <w:top w:val="nil"/>
              <w:left w:val="nil"/>
              <w:bottom w:val="nil"/>
              <w:right w:val="nil"/>
            </w:tcBorders>
          </w:tcPr>
          <w:p>
            <w:pPr>
              <w:pStyle w:val="Normal6a"/>
            </w:pPr>
            <w:r>
              <w:t>F.</w:t>
            </w:r>
            <w:r>
              <w:tab/>
            </w:r>
            <w:r>
              <w:t>whereas the forest reform, launched in 2008 with the aim of revising the 1994 forest code, was finalised in July 2024 with the publication of the new Forest Code; whereas illegal logging is conducted partly on the basis of small logging titles (ventes de coupe) that do not require management plans and are more difficult to control compared to the oversight of large-scale concessions; whereas the national control systems are not operational</w:t>
            </w:r>
            <w:r>
              <w:rPr>
                <w:b/>
                <w:i/>
              </w:rPr>
              <w:t>, due to corruption and insufficient resources</w:t>
            </w:r>
            <w:r>
              <w:t>, so enforcement and governance remain weak, making it possible for illegal and unsustainable logging operations to continue;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Thierry Mariani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w:t>
            </w:r>
            <w:r>
              <w:rPr>
                <w:b/>
                <w:i/>
              </w:rPr>
              <w:t>the development of the legality verification module in the traceability system is still pending, and the little progress made so far has not been independently audited, which would help build its credibility</w:t>
            </w:r>
            <w:r>
              <w:t>;</w:t>
            </w:r>
          </w:p>
        </w:tc>
        <w:tc>
          <w:tcPr>
            <w:tcW w:w="4876" w:type="dxa"/>
            <w:tcBorders>
              <w:top w:val="nil"/>
              <w:left w:val="nil"/>
              <w:bottom w:val="nil"/>
              <w:right w:val="nil"/>
            </w:tcBorders>
          </w:tcPr>
          <w:p>
            <w:pPr>
              <w:pStyle w:val="Normal6a"/>
            </w:pPr>
            <w:r>
              <w:t>G.</w:t>
            </w:r>
            <w:r>
              <w:tab/>
            </w:r>
            <w:r>
              <w:t xml:space="preserve">whereas </w:t>
            </w:r>
            <w:r>
              <w:rPr>
                <w:b/>
                <w:i/>
              </w:rPr>
              <w:t>SIGIF 2, implemented since April 2021, is a timber legality verification and traceability tool which is unique in Central Africa, has been continuously improved and is recognised as a regional benchmark in Africa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Thierry Mariani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Cameroon has not been able to meet its VPA obligations over the last 10 years and the governance of the forest sector has worsened despite the existence of the VPA;</w:t>
            </w:r>
          </w:p>
        </w:tc>
        <w:tc>
          <w:tcPr>
            <w:tcW w:w="4876" w:type="dxa"/>
            <w:tcBorders>
              <w:top w:val="nil"/>
              <w:left w:val="nil"/>
              <w:bottom w:val="nil"/>
              <w:right w:val="nil"/>
            </w:tcBorders>
          </w:tcPr>
          <w:p>
            <w:pPr>
              <w:pStyle w:val="Normal6a"/>
            </w:pPr>
            <w:r>
              <w:t>H.</w:t>
            </w:r>
            <w:r>
              <w:tab/>
            </w:r>
            <w:r>
              <w:t xml:space="preserve">whereas Cameroon has not been able to meet its VPA obligations over the last 10 years and the governance of the forest sector has worsened despite the existence of the VPA; </w:t>
            </w:r>
            <w:r>
              <w:rPr>
                <w:b/>
                <w:i/>
              </w:rPr>
              <w:t>stresses, however, that the lack of FLEGT licences is due to the particularly strict legality matrices defined by Cameroon itself, and not to a lack of political will;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whereas the VPA did create a key space for civil society engagement and local community empowerment which the Commission has not guaranteed in future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timber exports have shifted to Asian markets, diluting the economic incentive of the VPA, and consequently the relevance of the FLEGT licence; whereas Viet Nam has become the second largest market for Cameroonian timber (after China), while Cameroon has become the largest supplier of tropical logs to Viet Nam (accounting for 25 % of the logs imported between 2016 and 2019, in value); whereas a large part of timber trade flows concerns illegal logging, which deprives the Government of Cameroon of revenue and local communities of shared benefits;</w:t>
            </w:r>
          </w:p>
        </w:tc>
        <w:tc>
          <w:tcPr>
            <w:tcW w:w="4876" w:type="dxa"/>
            <w:tcBorders>
              <w:top w:val="nil"/>
              <w:left w:val="nil"/>
              <w:bottom w:val="nil"/>
              <w:right w:val="nil"/>
            </w:tcBorders>
          </w:tcPr>
          <w:p>
            <w:pPr>
              <w:pStyle w:val="Normal6a"/>
            </w:pPr>
            <w:r>
              <w:t>I.</w:t>
            </w:r>
            <w:r>
              <w:tab/>
            </w:r>
            <w:r>
              <w:t>whereas timber exports have shifted to Asian markets</w:t>
            </w:r>
            <w:r>
              <w:rPr>
                <w:b/>
                <w:i/>
              </w:rPr>
              <w:t>, particularly China and Viet Nam</w:t>
            </w:r>
            <w:r>
              <w:t xml:space="preserve">, diluting the economic incentive of the VPA, and consequently the relevance of the FLEGT licence; whereas Viet Nam has become the second largest market for Cameroonian timber (after China), while Cameroon has become the largest supplier of tropical logs to Viet Nam (accounting for 25 % of the logs imported between 2016 and 2019, in value); whereas a large part of timber trade flows concerns illegal logging, which deprives the Government of Cameroon of revenue and local communities of shared benefits; </w:t>
            </w:r>
            <w:r>
              <w:rPr>
                <w:b/>
                <w:i/>
              </w:rPr>
              <w:t>whereas the EU and the US supported discussions between Cameroon and Viet Nam to conclude a Memorandum of Understanding aiming to improve the transparency of the timber trade between both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timber exports have shifted to Asian markets, diluting the economic incentive of the VPA, and consequently the relevance of the FLEGT licence; whereas Viet Nam has become the second largest market for Cameroonian timber (after China), while Cameroon has become the largest supplier of tropical logs to Viet Nam (accounting for 25 % of the logs imported between 2016 and 2019, in value); whereas a large part of timber trade flows concerns illegal logging, which deprives the Government of Cameroon of revenue and local communities of shared benefits;</w:t>
            </w:r>
          </w:p>
        </w:tc>
        <w:tc>
          <w:tcPr>
            <w:tcW w:w="4876" w:type="dxa"/>
            <w:tcBorders>
              <w:top w:val="nil"/>
              <w:left w:val="nil"/>
              <w:bottom w:val="nil"/>
              <w:right w:val="nil"/>
            </w:tcBorders>
          </w:tcPr>
          <w:p>
            <w:pPr>
              <w:pStyle w:val="Normal6a"/>
            </w:pPr>
            <w:r>
              <w:t>I.</w:t>
            </w:r>
            <w:r>
              <w:tab/>
            </w:r>
            <w:r>
              <w:t xml:space="preserve">whereas timber exports have shifted to Asian markets, diluting the economic incentive of the VPA, and consequently the relevance of the FLEGT licence; whereas Viet Nam has become the second largest market for Cameroonian timber (after China), while Cameroon has become the largest supplier of tropical logs to Viet Nam (accounting for 25 % of the logs imported between 2016 and 2019, in value); whereas a large part of timber trade flows concerns illegal logging, which deprives the Government of Cameroon of revenue and local communities of shared benefits; </w:t>
            </w:r>
            <w:r>
              <w:rPr>
                <w:b/>
                <w:i/>
              </w:rPr>
              <w:t>whereas the absence of an agreement between Vietnam and Cameroon to address illegal logging and improve the transparency of timber exports should encourage the EU to use its own VPA with Vietnam to address this concern;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Lídia Pereira,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whereas key exports from Central Africa to the EU include timber, cocoa and tropical fruits; whereas the European Union and the Republic of Cameroon signed a provisional Economic Partnership Agreement (EPA) in 2009, which remains in force as an interim arrangement while negotiations on a full regional EPA for Central Africa are ongoing; whereas future EU-Cameroon cooperation should aim to align trade policy instruments with sustainability goals, particularly under the EU Deforestation Regulation, in order to promote consistency, mutual benefit and predictability for operators on both sides;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whereas the Cameroon-EU VPA entered into force in 2011; whereas, despite the initial positive impacts on legal reform, multi-stakeholder participation, access to information and transparency, the VPA process was stalled in 2018; whereas the Parties agreed in 2023 to undertake a joint VPA review, with the resulting report presenting four options for next steps, one of which was termination of the VPA by consensus; whereas this report was not made public until after the Commission notified the Council of the decision to terminate;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Thierry Mariani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whereas the results of the 2024 Cameroon-EU joint study on the future of the VPA have not been taken into account, even though they proposed scenarios constructed on the basis of SIGIF 2 and a structured dialogue;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Thierry Mariani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whereas the continuation of the VPA could affect the credibility of the EU as a global champion of forest protection and biodiversity matters and the integrity of VPAs as EU trade instruments;</w:t>
            </w:r>
          </w:p>
        </w:tc>
        <w:tc>
          <w:tcPr>
            <w:tcW w:w="4876" w:type="dxa"/>
            <w:tcBorders>
              <w:top w:val="nil"/>
              <w:left w:val="nil"/>
              <w:bottom w:val="nil"/>
              <w:right w:val="nil"/>
            </w:tcBorders>
          </w:tcPr>
          <w:p>
            <w:pPr>
              <w:pStyle w:val="Normal6a"/>
            </w:pPr>
            <w:r>
              <w:t>K.</w:t>
            </w:r>
            <w:r>
              <w:tab/>
            </w:r>
            <w:r>
              <w:t xml:space="preserve">whereas the continuation of the VPA could affect the credibility of the EU as a global champion of forest protection and biodiversity matters and the integrity of VPAs as EU trade instruments; </w:t>
            </w:r>
            <w:r>
              <w:rPr>
                <w:b/>
                <w:i/>
              </w:rPr>
              <w:t>considers, however, that a unilateral denunciation of the VPA may be perceived as challenging Cameroon’s sovereignty, particularly as regards the management of its natural resources;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whereas the continuation of the VPA could affect the credibility of the EU as a global champion of forest protection and biodiversity matters and the integrity of VPAs as EU trade instruments;</w:t>
            </w:r>
          </w:p>
        </w:tc>
        <w:tc>
          <w:tcPr>
            <w:tcW w:w="4876" w:type="dxa"/>
            <w:tcBorders>
              <w:top w:val="nil"/>
              <w:left w:val="nil"/>
              <w:bottom w:val="nil"/>
              <w:right w:val="nil"/>
            </w:tcBorders>
          </w:tcPr>
          <w:p>
            <w:pPr>
              <w:pStyle w:val="Normal6a"/>
            </w:pPr>
            <w:r>
              <w:t>K.</w:t>
            </w:r>
            <w:r>
              <w:tab/>
            </w:r>
            <w:r>
              <w:t xml:space="preserve">whereas the continuation of the VPA could affect the credibility of the EU as a global champion of forest protection and biodiversity matters and the integrity of VPAs as EU trade instruments; </w:t>
            </w:r>
            <w:r>
              <w:rPr>
                <w:b/>
                <w:i/>
              </w:rPr>
              <w:t>whereas the unilateral termination of the agreement could also tarnish the reputation of the EU as a reliable forestry actor and defender;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whereas a joint review of the VPA process agreed by both Parties was undertaken in 2023, leading to a joint report presenting four options, including the termination of the VPA by consensus; whereas the Commission made the unilateral call to end the partnership, which is in contradiction with the spirit of the FLEGT VPA process; whereas the other party has not formally agreed to terminate the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whereas the Commission’s Strategic Framework for International Cooperation Engagement of 7 November 2024 suggests that forest partnerships could build on or even replace VPAs; whereas, despite the challenges, VPAs have proven to be a key instrument in laying the groundwork for improved forest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whereas a move away from the VPA model towards more extractive agreements such as raw materials partnerships or non-binding memoranda of understanding will undermine the EU's credibility when it comes to the protection of biodiversity and the fight against deforestation;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w:t>
            </w:r>
            <w:r>
              <w:tab/>
            </w:r>
            <w:r>
              <w:rPr>
                <w:b/>
                <w:i/>
              </w:rPr>
              <w:t>whereas civil society in Cameroon is increasingly confronted with hostility and a shrinking space; whereas a Circular published on 13 August 2024 constrains NGOs active in the forest sector to sign a Memorandum of Understanding with the Ministry of Forestry and Wildlife;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c.</w:t>
            </w:r>
            <w:r>
              <w:tab/>
            </w:r>
            <w:r>
              <w:rPr>
                <w:b/>
                <w:i/>
              </w:rPr>
              <w:t>whereas VPAs are legally binding agreements that can be complemented by forest partnerships, as reflected in the European Commission’s 2024 Strategic Framework for International Cooperation Engagement; whereas there is a lack of information regarding the impacts of existing Forest Partnerships on the improvement of governance; whereas the Commission has not informed the Parliament of the relevance and criteria used to engage in Forest Partnerships; whereas this failure to involve Parliament prior to developing partnerships with third countries has already occurred in the past;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Highlights that deforestation and forest degradation are key environmental challenges and are among the main drivers of climate change and biodiversity loss, while also having major negative social and economic impacts on producing countries, especially on the more vulnerable parts of society;</w:t>
            </w:r>
          </w:p>
        </w:tc>
        <w:tc>
          <w:tcPr>
            <w:tcW w:w="4876" w:type="dxa"/>
            <w:tcBorders>
              <w:top w:val="nil"/>
              <w:left w:val="nil"/>
              <w:bottom w:val="nil"/>
              <w:right w:val="nil"/>
            </w:tcBorders>
          </w:tcPr>
          <w:p>
            <w:pPr>
              <w:pStyle w:val="Normal6a"/>
            </w:pPr>
            <w:r>
              <w:t>1.</w:t>
            </w:r>
            <w:r>
              <w:tab/>
            </w:r>
            <w:r>
              <w:t xml:space="preserve">Highlights that deforestation and forest degradation are key environmental challenges and are among the main drivers of climate change and biodiversity loss, while also having major negative social and economic impacts on producing </w:t>
            </w:r>
            <w:r>
              <w:rPr>
                <w:b/>
                <w:i/>
              </w:rPr>
              <w:t>communities and</w:t>
            </w:r>
            <w:r>
              <w:t xml:space="preserve"> countries, especially on the more vulnerable parts of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Highlights that the environmental damage caused by deforestation will have hugely negative social and economic consequences for communities engaged in forestry;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Recalls that sustainable and inclusive forest management and governance are essential for achieving the objectives set out in the UN 2030 Agenda for Sustainable Development </w:t>
            </w:r>
            <w:r>
              <w:rPr>
                <w:b/>
                <w:i/>
              </w:rPr>
              <w:t>and</w:t>
            </w:r>
            <w:r>
              <w:t xml:space="preserve"> the Paris Agreement;</w:t>
            </w:r>
          </w:p>
        </w:tc>
        <w:tc>
          <w:tcPr>
            <w:tcW w:w="4876" w:type="dxa"/>
            <w:tcBorders>
              <w:top w:val="nil"/>
              <w:left w:val="nil"/>
              <w:bottom w:val="nil"/>
              <w:right w:val="nil"/>
            </w:tcBorders>
          </w:tcPr>
          <w:p>
            <w:pPr>
              <w:pStyle w:val="Normal6a"/>
            </w:pPr>
            <w:r>
              <w:t>3.</w:t>
            </w:r>
            <w:r>
              <w:tab/>
            </w:r>
            <w:r>
              <w:t>Recalls that sustainable and inclusive forest management and governance are essential for achieving the objectives set out in the UN 2030 Agenda for Sustainable Development</w:t>
            </w:r>
            <w:r>
              <w:rPr>
                <w:b/>
                <w:i/>
              </w:rPr>
              <w:t>,</w:t>
            </w:r>
            <w:r>
              <w:t xml:space="preserve"> the Paris Agreement </w:t>
            </w:r>
            <w:r>
              <w:rPr>
                <w:b/>
                <w:i/>
              </w:rPr>
              <w:t>and the Kunming Montreal Global Biodiversity Framework on halting and reversing nature loss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Emphasises that, despite the failure to implement the FLEGT, the VPA has provided a structured framework for dialogue between the European Union, the Cameroonian authorities and civil society actors; calls on the Commission to maintain regular engagement with local NGOs, forest communities and relevant trade unions in Cameroon after the end of the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Recalls that in the Glasgow Leaders’ Declaration on Forest and Land Use, the European Union and Cameroon reaffirmed their commitment to halt and reverse forest loss and land degradation by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Believes that VPAs provide an important legal framework for both the EU and its partner countries, but that this requires good cooperation with and commitment from the countries concerned; deplores the lack of progress in the implementation of the VPA with Cameroon, especially with regard to the enforcement, transparency and traceability of commitments, and is highly concerned about the ongoing deforestation and forest degradation not only by illegal logging, but also by other key drivers of deforestation, such as forest conversion for agricultural use and mining;</w:t>
            </w:r>
          </w:p>
        </w:tc>
        <w:tc>
          <w:tcPr>
            <w:tcW w:w="4876" w:type="dxa"/>
            <w:tcBorders>
              <w:top w:val="nil"/>
              <w:left w:val="nil"/>
              <w:bottom w:val="nil"/>
              <w:right w:val="nil"/>
            </w:tcBorders>
          </w:tcPr>
          <w:p>
            <w:pPr>
              <w:pStyle w:val="Normal6a"/>
            </w:pPr>
            <w:r>
              <w:t>4.</w:t>
            </w:r>
            <w:r>
              <w:tab/>
            </w:r>
            <w:r>
              <w:t>Believes that VPAs provide an important legal framework for both the EU and its partner countries, but that this requires good cooperation with and commitment from the countries concerned</w:t>
            </w:r>
            <w:r>
              <w:rPr>
                <w:b/>
                <w:i/>
              </w:rPr>
              <w:t>; recalls that in its early stages, the EU-Cameroon VPA resulted in concrete improvements, including on stakeholder participation and access to information but unfortunately that progress has stalled over the past 10 years</w:t>
            </w:r>
            <w:r>
              <w:t>; deplores the lack of progress in the implementation of the VPA with Cameroon, especially with regard to the enforcement, transparency and traceability of commitments, and is highly concerned about the ongoing deforestation and forest degradation not only by illegal logging, but also by other key drivers of deforestation, such as forest conversion for agricultural use and mining;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Believes that VPAs provide an important legal framework for both the EU and its partner countries, but that this requires good cooperation with and commitment from </w:t>
            </w:r>
            <w:r>
              <w:rPr>
                <w:b/>
                <w:i/>
              </w:rPr>
              <w:t>the countries concerned</w:t>
            </w:r>
            <w:r>
              <w:t>; deplores the lack of progress in the implementation of the VPA with Cameroon, especially with regard to the enforcement, transparency and traceability of commitments, and is highly concerned about the ongoing deforestation and forest degradation not only by illegal logging, but also by other key drivers of deforestation, such as forest conversion for agricultural use and mining;</w:t>
            </w:r>
          </w:p>
        </w:tc>
        <w:tc>
          <w:tcPr>
            <w:tcW w:w="4876" w:type="dxa"/>
            <w:tcBorders>
              <w:top w:val="nil"/>
              <w:left w:val="nil"/>
              <w:bottom w:val="nil"/>
              <w:right w:val="nil"/>
            </w:tcBorders>
          </w:tcPr>
          <w:p>
            <w:pPr>
              <w:pStyle w:val="Normal6a"/>
            </w:pPr>
            <w:r>
              <w:t>4.</w:t>
            </w:r>
            <w:r>
              <w:tab/>
            </w:r>
            <w:r>
              <w:t>Believes that VPAs provide an important legal framework for both the EU and its partner countries, but that this requires good cooperation with</w:t>
            </w:r>
            <w:r>
              <w:rPr>
                <w:b/>
                <w:i/>
              </w:rPr>
              <w:t>,</w:t>
            </w:r>
            <w:r>
              <w:t xml:space="preserve"> and commitment from</w:t>
            </w:r>
            <w:r>
              <w:rPr>
                <w:b/>
                <w:i/>
              </w:rPr>
              <w:t>, both parties, and effective multi-stakeholder engagement</w:t>
            </w:r>
            <w:r>
              <w:t>; deplores the lack of progress in the implementation of the VPA with Cameroon, especially with regard to the enforcement, transparency and traceability of commitments, and is highly concerned about the ongoing deforestation and forest degradation not only by illegal logging, but also by other key drivers of deforestation, such as forest conversion for agricultural use and mining;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Stresses that a TLAS offers forest businesses greater legal certainty, simplified controls and more transparent processes, discouraging informal payments and corruption, while increasing revenues for both communities and the state;</w:t>
            </w:r>
          </w:p>
        </w:tc>
        <w:tc>
          <w:tcPr>
            <w:tcW w:w="4876" w:type="dxa"/>
            <w:tcBorders>
              <w:top w:val="nil"/>
              <w:left w:val="nil"/>
              <w:bottom w:val="nil"/>
              <w:right w:val="nil"/>
            </w:tcBorders>
          </w:tcPr>
          <w:p>
            <w:pPr>
              <w:pStyle w:val="Normal6a"/>
            </w:pPr>
            <w:r>
              <w:t>5.</w:t>
            </w:r>
            <w:r>
              <w:tab/>
            </w:r>
            <w:r>
              <w:t>Stresses that a</w:t>
            </w:r>
            <w:r>
              <w:rPr>
                <w:b/>
                <w:i/>
              </w:rPr>
              <w:t> robust and credible</w:t>
            </w:r>
            <w:r>
              <w:t xml:space="preserve"> TLAS offers forest businesses greater legal certainty, simplified controls and more transparent processes, discouraging informal payments and corruption, while increasing revenues for both communities and the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Thierry Mariani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Regrets the </w:t>
            </w:r>
            <w:r>
              <w:rPr>
                <w:b/>
                <w:i/>
              </w:rPr>
              <w:t>need</w:t>
            </w:r>
            <w:r>
              <w:t xml:space="preserve"> to end the VPA with Cameroon; agrees with the Commission that, in the light of the VPA’s shortcomings, this is the best policy option for the time being; expresses concern about the impact of the termination of the VPA on diplomatic and economic relations between Cameroon and the EU;</w:t>
            </w:r>
          </w:p>
        </w:tc>
        <w:tc>
          <w:tcPr>
            <w:tcW w:w="4876" w:type="dxa"/>
            <w:tcBorders>
              <w:top w:val="nil"/>
              <w:left w:val="nil"/>
              <w:bottom w:val="nil"/>
              <w:right w:val="nil"/>
            </w:tcBorders>
          </w:tcPr>
          <w:p>
            <w:pPr>
              <w:pStyle w:val="Normal6a"/>
            </w:pPr>
            <w:r>
              <w:t>6.</w:t>
            </w:r>
            <w:r>
              <w:tab/>
            </w:r>
            <w:r>
              <w:t xml:space="preserve">Regrets the </w:t>
            </w:r>
            <w:r>
              <w:rPr>
                <w:b/>
                <w:i/>
              </w:rPr>
              <w:t>willingness</w:t>
            </w:r>
            <w:r>
              <w:t xml:space="preserve"> to end the VPA with Cameroon; agrees with the Commission that, in the light of the VPA’s shortcomings, this is the best policy option for the time being; expresses concern about the impact of the termination of the VPA on diplomatic and economic relations between Cameroon and the EU; </w:t>
            </w:r>
            <w:r>
              <w:rPr>
                <w:b/>
                <w:i/>
              </w:rPr>
              <w:t>stresses that Cameroon has expressed its willingness to continue to implement the VPA, including through SIGIF 2, which provides the conditions for a guarantee of timber legality and traceability;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Regrets the need to end the VPA with Cameroon; agrees with the Commission that, in the light of the VPA’s shortcomings, this is the best policy option for the time being; expresses concern about the impact of the termination of the VPA on diplomatic and economic relations between Cameroon and the EU;</w:t>
            </w:r>
          </w:p>
        </w:tc>
        <w:tc>
          <w:tcPr>
            <w:tcW w:w="4876" w:type="dxa"/>
            <w:tcBorders>
              <w:top w:val="nil"/>
              <w:left w:val="nil"/>
              <w:bottom w:val="nil"/>
              <w:right w:val="nil"/>
            </w:tcBorders>
          </w:tcPr>
          <w:p>
            <w:pPr>
              <w:pStyle w:val="Normal6a"/>
            </w:pPr>
            <w:r>
              <w:t>6.</w:t>
            </w:r>
            <w:r>
              <w:tab/>
            </w:r>
            <w:r>
              <w:t xml:space="preserve">Regrets the need to end the </w:t>
            </w:r>
            <w:r>
              <w:rPr>
                <w:b/>
                <w:i/>
              </w:rPr>
              <w:t>legally binding</w:t>
            </w:r>
            <w:r>
              <w:t xml:space="preserve"> VPA with Cameroon; agrees with the Commission that, in the light of the VPA’s shortcomings, this is the best policy option for the time being </w:t>
            </w:r>
            <w:r>
              <w:rPr>
                <w:b/>
                <w:i/>
              </w:rPr>
              <w:t>and stresses the need for the Commission to keep engaging with the Governement of Cameroon on forestry</w:t>
            </w:r>
            <w:r>
              <w:t xml:space="preserve"> ; expresses concern about the impact of the termination of the VPA on diplomatic and economic relations between Cameroon and the EU </w:t>
            </w:r>
            <w:r>
              <w:rPr>
                <w:b/>
                <w:i/>
              </w:rPr>
              <w:t>and on EU's capacity to build future meaningful partnerships with the country</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Lídia Pereira,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Regrets the need to end the VPA with Cameroon; agrees with the Commission that, in the light of the VPA’s shortcomings, this is the best policy option for the time being; expresses concern about the impact of the termination of the VPA on diplomatic and economic relations between Cameroon and the EU;</w:t>
            </w:r>
          </w:p>
        </w:tc>
        <w:tc>
          <w:tcPr>
            <w:tcW w:w="4876" w:type="dxa"/>
            <w:tcBorders>
              <w:top w:val="nil"/>
              <w:left w:val="nil"/>
              <w:bottom w:val="nil"/>
              <w:right w:val="nil"/>
            </w:tcBorders>
          </w:tcPr>
          <w:p>
            <w:pPr>
              <w:pStyle w:val="Normal6a"/>
            </w:pPr>
            <w:r>
              <w:t>6.</w:t>
            </w:r>
            <w:r>
              <w:tab/>
            </w:r>
            <w:r>
              <w:t xml:space="preserve">Regrets the need to end the VPA with Cameroon; agrees with the Commission that, in the light of the VPA’s shortcomings, this is the best policy option for the time being; expresses concern about the impact of the termination of the VPA on diplomatic and economic relations between Cameroon and the EU; </w:t>
            </w:r>
            <w:r>
              <w:rPr>
                <w:b/>
                <w:i/>
              </w:rPr>
              <w:t>calls on the Commission to assess the impact of this decision on European businesses operating in or sourcing from Cameroon and to explore support mechanisms to preserve responsible trade channels;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Regrets the need to end the VPA with Cameroon; agrees with the Commission that, in the light of the VPA’s shortcomings, this is the best policy option for the time being; expresses concern about the impact of the termination of the VPA on diplomatic and economic relations between Cameroon and the EU;</w:t>
            </w:r>
          </w:p>
        </w:tc>
        <w:tc>
          <w:tcPr>
            <w:tcW w:w="4876" w:type="dxa"/>
            <w:tcBorders>
              <w:top w:val="nil"/>
              <w:left w:val="nil"/>
              <w:bottom w:val="nil"/>
              <w:right w:val="nil"/>
            </w:tcBorders>
          </w:tcPr>
          <w:p>
            <w:pPr>
              <w:pStyle w:val="Normal6a"/>
            </w:pPr>
            <w:r>
              <w:t>6.</w:t>
            </w:r>
            <w:r>
              <w:tab/>
            </w:r>
            <w:r>
              <w:t xml:space="preserve">Regrets the need to end the VPA with Cameroon; agrees with the Commission that, in the light of the VPA’s shortcomings, this is the best policy option for the time being; expresses concern about the impact of the termination of the VPA on diplomatic and economic relations between Cameroon and the EU </w:t>
            </w:r>
            <w:r>
              <w:rPr>
                <w:b/>
                <w:i/>
              </w:rPr>
              <w:t>and on any future partnerships</w:t>
            </w:r>
            <w:r>
              <w:t xml:space="preserve">; </w:t>
            </w:r>
            <w:r>
              <w:rPr>
                <w:b/>
                <w:i/>
              </w:rPr>
              <w:t>stresses the potential negative impact on civic space, as the VPA provided space for dialogue between the Government and civil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Regrets the </w:t>
            </w:r>
            <w:r>
              <w:rPr>
                <w:b/>
                <w:i/>
              </w:rPr>
              <w:t>need</w:t>
            </w:r>
            <w:r>
              <w:t xml:space="preserve"> to end the VPA with Cameroon</w:t>
            </w:r>
            <w:r>
              <w:rPr>
                <w:b/>
                <w:i/>
              </w:rPr>
              <w:t>; agrees with the Commission that, in the light of the VPA’s shortcomings, this is the best policy option for the time being</w:t>
            </w:r>
            <w:r>
              <w:t>; expresses concern about the impact of the termination of the VPA on diplomatic and economic relations between Cameroon and the EU;</w:t>
            </w:r>
          </w:p>
        </w:tc>
        <w:tc>
          <w:tcPr>
            <w:tcW w:w="4876" w:type="dxa"/>
            <w:tcBorders>
              <w:top w:val="nil"/>
              <w:left w:val="nil"/>
              <w:bottom w:val="nil"/>
              <w:right w:val="nil"/>
            </w:tcBorders>
          </w:tcPr>
          <w:p>
            <w:pPr>
              <w:pStyle w:val="Normal6a"/>
            </w:pPr>
            <w:r>
              <w:t>6.</w:t>
            </w:r>
            <w:r>
              <w:tab/>
            </w:r>
            <w:r>
              <w:t xml:space="preserve">Regrets the </w:t>
            </w:r>
            <w:r>
              <w:rPr>
                <w:b/>
                <w:i/>
              </w:rPr>
              <w:t>decision of the Commission</w:t>
            </w:r>
            <w:r>
              <w:t xml:space="preserve"> to end the VPA with Cameroon; expresses concern about the impact of the termination of the VPA on diplomatic and economic relations between Cameroon and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Regrets the </w:t>
            </w:r>
            <w:r>
              <w:rPr>
                <w:b/>
                <w:i/>
              </w:rPr>
              <w:t>need</w:t>
            </w:r>
            <w:r>
              <w:t xml:space="preserve"> to end the VPA with Cameroon; </w:t>
            </w:r>
            <w:r>
              <w:rPr>
                <w:b/>
                <w:i/>
              </w:rPr>
              <w:t>agrees with the Commission that, in the light</w:t>
            </w:r>
            <w:r>
              <w:t xml:space="preserve"> of the </w:t>
            </w:r>
            <w:r>
              <w:rPr>
                <w:b/>
                <w:i/>
              </w:rPr>
              <w:t>VPA’s shortcomings, this is the best policy</w:t>
            </w:r>
            <w:r>
              <w:t xml:space="preserve"> option for the time being; expresses concern about the impact of the termination of the VPA on diplomatic and economic relations between Cameroon and the EU;</w:t>
            </w:r>
          </w:p>
        </w:tc>
        <w:tc>
          <w:tcPr>
            <w:tcW w:w="4876" w:type="dxa"/>
            <w:tcBorders>
              <w:top w:val="nil"/>
              <w:left w:val="nil"/>
              <w:bottom w:val="nil"/>
              <w:right w:val="nil"/>
            </w:tcBorders>
          </w:tcPr>
          <w:p>
            <w:pPr>
              <w:pStyle w:val="Normal6a"/>
            </w:pPr>
            <w:r>
              <w:t>6.</w:t>
            </w:r>
            <w:r>
              <w:tab/>
            </w:r>
            <w:r>
              <w:t xml:space="preserve">Regrets the </w:t>
            </w:r>
            <w:r>
              <w:rPr>
                <w:b/>
                <w:i/>
              </w:rPr>
              <w:t>decision of the Commission</w:t>
            </w:r>
            <w:r>
              <w:t xml:space="preserve"> to end the VPA with Cameroon; </w:t>
            </w:r>
            <w:r>
              <w:rPr>
                <w:b/>
                <w:i/>
              </w:rPr>
              <w:t>expresses concern about the impact</w:t>
            </w:r>
            <w:r>
              <w:t xml:space="preserve"> of the </w:t>
            </w:r>
            <w:r>
              <w:rPr>
                <w:b/>
                <w:i/>
              </w:rPr>
              <w:t>termination of the</w:t>
            </w:r>
            <w:r>
              <w:t xml:space="preserve"> option for the time being ; expresses concern about the impact of the termination of the VPA on diplomatic and economic relations between Cameroon and the EU; </w:t>
            </w:r>
            <w:r>
              <w:rPr>
                <w:b/>
                <w:i/>
              </w:rPr>
              <w:t>diplomatic and economic relations between Cameroon and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Urges the Government of Cameroon to work towards stopping widespread corruption and to address other factors fuelling illegal logging and forest degradation, with particular regard to customs, in cooperation with other authorities; stresses the importance of protecting human rights, </w:t>
            </w:r>
            <w:r>
              <w:rPr>
                <w:b/>
                <w:i/>
              </w:rPr>
              <w:t>in particular the rights of workers</w:t>
            </w:r>
            <w:r>
              <w:t>, when sourcing goods and products for the EU market; calls, in this context, on local authorities to extend special protections to children;</w:t>
            </w:r>
          </w:p>
        </w:tc>
        <w:tc>
          <w:tcPr>
            <w:tcW w:w="4876" w:type="dxa"/>
            <w:tcBorders>
              <w:top w:val="nil"/>
              <w:left w:val="nil"/>
              <w:bottom w:val="nil"/>
              <w:right w:val="nil"/>
            </w:tcBorders>
          </w:tcPr>
          <w:p>
            <w:pPr>
              <w:pStyle w:val="Normal6a"/>
            </w:pPr>
            <w:r>
              <w:t>7.</w:t>
            </w:r>
            <w:r>
              <w:tab/>
            </w:r>
            <w:r>
              <w:t>Urges the Government of Cameroon to work towards stopping widespread corruption and to address other factors fuelling illegal logging and forest degradation, with particular regard to customs, in cooperation with other authorities; stresses the importance of protecting human</w:t>
            </w:r>
            <w:r>
              <w:rPr>
                <w:b/>
                <w:i/>
              </w:rPr>
              <w:t>, labour and indigenous people's</w:t>
            </w:r>
            <w:r>
              <w:t xml:space="preserve"> rights, </w:t>
            </w:r>
            <w:r>
              <w:rPr>
                <w:b/>
                <w:i/>
              </w:rPr>
              <w:t>notably by respecting in all circumstances the principle of Free, Prior and Informed Consent (FPIC)</w:t>
            </w:r>
            <w:r>
              <w:t xml:space="preserve">, when sourcing goods and products for the EU market; calls, in this context, on local authorities to extend special protections to children; </w:t>
            </w:r>
            <w:r>
              <w:rPr>
                <w:b/>
                <w:i/>
              </w:rPr>
              <w:t>emphasizes the importance of ensuring that civil society actors are given the necessary space and possibilities to engage with governmental actors;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Stresses that countries all over the world that either have or aim to have regulated import markets for legal timber would benefit from cooperating with and, where possible, endorsing each other’s rules and systems, such as the EU’s FLEGT and VPAs; emphasises that international standards would be more effective and would promote long-term legal security for businesses and consumers;</w:t>
            </w:r>
          </w:p>
        </w:tc>
        <w:tc>
          <w:tcPr>
            <w:tcW w:w="4876" w:type="dxa"/>
            <w:tcBorders>
              <w:top w:val="nil"/>
              <w:left w:val="nil"/>
              <w:bottom w:val="nil"/>
              <w:right w:val="nil"/>
            </w:tcBorders>
          </w:tcPr>
          <w:p>
            <w:pPr>
              <w:pStyle w:val="Normal6a"/>
            </w:pPr>
            <w:r>
              <w:t>8.</w:t>
            </w:r>
            <w:r>
              <w:tab/>
            </w:r>
            <w:r>
              <w:t xml:space="preserve">Stresses that countries all over the world that either have or aim to have regulated import markets for legal timber would benefit from cooperating with and, where possible, endorsing each other’s rules and systems, such as the EU’s FLEGT and VPAs; emphasises that international standards would be more effective and would promote long-term legal security for businesses and consumers; </w:t>
            </w:r>
            <w:r>
              <w:rPr>
                <w:b/>
                <w:i/>
              </w:rPr>
              <w:t>highlights the need to promote robust and transformative timber traceability systems and the need to continue to support Cameroon to meet EUDR timber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on the Commission to explore alternatives to ensure the legality of timber and timber products originating from Cameroon and to properly address the problem of illegal timber logging; considers that a forest partnership, as outlined in the EU Deforestation Regulation, could be a possible option for cooperation between the EU and Cameroon; underlines that in order to be effective, any potential future partnerships would have to be developed through an inclusive, deliberative and non-discriminatory process </w:t>
            </w:r>
            <w:r>
              <w:rPr>
                <w:b/>
                <w:i/>
              </w:rPr>
              <w:t>that includes</w:t>
            </w:r>
            <w:r>
              <w:t xml:space="preserve"> civil society, the private sector including microenterprises and other small and medium-sized enterprises, local communities and farmers;</w:t>
            </w:r>
          </w:p>
        </w:tc>
        <w:tc>
          <w:tcPr>
            <w:tcW w:w="4876" w:type="dxa"/>
            <w:tcBorders>
              <w:top w:val="nil"/>
              <w:left w:val="nil"/>
              <w:bottom w:val="nil"/>
              <w:right w:val="nil"/>
            </w:tcBorders>
          </w:tcPr>
          <w:p>
            <w:pPr>
              <w:pStyle w:val="Normal6a"/>
            </w:pPr>
            <w:r>
              <w:t>9.</w:t>
            </w:r>
            <w:r>
              <w:tab/>
            </w:r>
            <w:r>
              <w:t xml:space="preserve">Calls on the Commission to explore alternatives to ensure the legality of timber and timber products originating from Cameroon and to properly address the problem of illegal timber logging; considers that a forest partnership, as outlined in the EU Deforestation Regulation, could be a possible option for cooperation between the EU and Cameroon; </w:t>
            </w:r>
            <w:r>
              <w:rPr>
                <w:b/>
                <w:i/>
              </w:rPr>
              <w:t>emphasises the importance of conducting a thorough diagnostic and independent evaluation of forest governance and trade trends in Cameroon, building on existing assessments, prior to entering negotiations for a Forest Partnership;</w:t>
            </w:r>
            <w:r>
              <w:t xml:space="preserve"> underlines that in order to be effective, any potential future partnerships would have to be developed through an </w:t>
            </w:r>
            <w:r>
              <w:rPr>
                <w:b/>
                <w:i/>
              </w:rPr>
              <w:t>open, transparent,</w:t>
            </w:r>
            <w:r>
              <w:t xml:space="preserve"> inclusive, deliberative and non-discriminatory process </w:t>
            </w:r>
            <w:r>
              <w:rPr>
                <w:b/>
                <w:i/>
              </w:rPr>
              <w:t>with participation from</w:t>
            </w:r>
            <w:r>
              <w:t xml:space="preserve"> civil society</w:t>
            </w:r>
            <w:r>
              <w:rPr>
                <w:b/>
                <w:i/>
              </w:rPr>
              <w:t>, local and international NGOs</w:t>
            </w:r>
            <w:r>
              <w:t xml:space="preserve">, the private sector including microenterprises and other small and medium-sized enterprises, local </w:t>
            </w:r>
            <w:r>
              <w:rPr>
                <w:b/>
                <w:i/>
              </w:rPr>
              <w:t>authorities, local and indigenous</w:t>
            </w:r>
            <w:r>
              <w:t xml:space="preserve"> communities</w:t>
            </w:r>
            <w:r>
              <w:rPr>
                <w:b/>
                <w:i/>
              </w:rPr>
              <w:t>,</w:t>
            </w:r>
            <w:r>
              <w:t xml:space="preserve"> and farmers; </w:t>
            </w:r>
            <w:r>
              <w:rPr>
                <w:b/>
                <w:i/>
              </w:rPr>
              <w:t>calls on the EU to continue to dialogue with and support Cameroon to tackle the challenges of deforestation in a spirit of equal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Calls on the Commission to explore alternatives to ensure the legality of timber and timber products originating from Cameroon and to properly address the problem of illegal timber logging; considers that a forest partnership, as outlined in the EU Deforestation Regulation, could be a possible option for cooperation between the EU and Cameroon; underlines that in order to be effective, any potential future partnerships would have to be developed through an inclusive, deliberative and non-discriminatory process that includes civil society, the private sector including microenterprises and other small and medium-sized enterprises, </w:t>
            </w:r>
            <w:r>
              <w:rPr>
                <w:b/>
                <w:i/>
              </w:rPr>
              <w:t>local communities</w:t>
            </w:r>
            <w:r>
              <w:t xml:space="preserve"> and farmers;</w:t>
            </w:r>
          </w:p>
        </w:tc>
        <w:tc>
          <w:tcPr>
            <w:tcW w:w="4876" w:type="dxa"/>
            <w:tcBorders>
              <w:top w:val="nil"/>
              <w:left w:val="nil"/>
              <w:bottom w:val="nil"/>
              <w:right w:val="nil"/>
            </w:tcBorders>
          </w:tcPr>
          <w:p>
            <w:pPr>
              <w:pStyle w:val="Normal6a"/>
            </w:pPr>
            <w:r>
              <w:t>9.</w:t>
            </w:r>
            <w:r>
              <w:tab/>
            </w:r>
            <w:r>
              <w:t xml:space="preserve">Calls on the Commission to explore alternatives </w:t>
            </w:r>
            <w:r>
              <w:rPr>
                <w:b/>
                <w:i/>
              </w:rPr>
              <w:t>in close dialogue with Cameroon</w:t>
            </w:r>
            <w:r>
              <w:t xml:space="preserve"> to ensure the legality of timber and timber products originating from Cameroon and to properly address the problem of illegal timber logging; considers that a forest partnership, as outlined in the EU Deforestation Regulation, could be a possible option for cooperation between the EU and Cameroon; underlines that in order to be effective, any potential future partnerships would have to be developed through an inclusive, deliberative and non-discriminatory process that </w:t>
            </w:r>
            <w:r>
              <w:rPr>
                <w:b/>
                <w:i/>
              </w:rPr>
              <w:t>meaningfully</w:t>
            </w:r>
            <w:r>
              <w:t xml:space="preserve"> includes civil society, </w:t>
            </w:r>
            <w:r>
              <w:rPr>
                <w:b/>
                <w:i/>
              </w:rPr>
              <w:t>indigenous and local communities, as well as</w:t>
            </w:r>
            <w:r>
              <w:t xml:space="preserve"> the private sector including microenterprises and other small and medium-sized enterprises, and farmers; </w:t>
            </w:r>
            <w:r>
              <w:rPr>
                <w:b/>
                <w:i/>
              </w:rPr>
              <w:t>stresses that ending impunity in the forest sector is a cornerstone of this process, which implies the protection environmental defenders as well as an effective system to tackle human rights violations.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Calls on the Commission to explore alternatives to ensure the legality of timber and timber products originating from Cameroon and to properly address the problem of illegal timber logging; considers that a forest partnership, as outlined in the EU Deforestation Regulation, could be a possible option for cooperation between the EU and Cameroon; underlines that in order to be effective, any potential future partnerships would have to be developed through an inclusive, deliberative and non-discriminatory process that includes civil society, the private sector including microenterprises and other small and medium-sized enterprises, local communities and farmers;</w:t>
            </w:r>
          </w:p>
        </w:tc>
        <w:tc>
          <w:tcPr>
            <w:tcW w:w="4876" w:type="dxa"/>
            <w:tcBorders>
              <w:top w:val="nil"/>
              <w:left w:val="nil"/>
              <w:bottom w:val="nil"/>
              <w:right w:val="nil"/>
            </w:tcBorders>
          </w:tcPr>
          <w:p>
            <w:pPr>
              <w:pStyle w:val="Normal6a"/>
            </w:pPr>
            <w:r>
              <w:t>9.</w:t>
            </w:r>
            <w:r>
              <w:tab/>
            </w:r>
            <w:r>
              <w:t xml:space="preserve">Calls on the Commission to explore alternatives to ensure the legality of timber and timber products originating from Cameroon and to properly address the problem of illegal timber logging; considers that a forest partnership, as outlined in the EU Deforestation Regulation, could be a possible option for cooperation between the EU and Cameroon; underlines that in order to be effective, any potential future partnerships would have to be developed through an inclusive, deliberative and non-discriminatory process that includes civil society, </w:t>
            </w:r>
            <w:r>
              <w:rPr>
                <w:b/>
                <w:i/>
              </w:rPr>
              <w:t>trade unions, environmental NGOs,</w:t>
            </w:r>
            <w:r>
              <w:t xml:space="preserve"> the private sector including microenterprises and other small and medium-sized enterprises, local communities and farmers;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Insists that any future partnership between the European Union and the Republic of Cameroon in the forestry sector or on raw materials include binding provisions on environmental and social governance, mechanisms for consultation with civil society and formal scrutiny by the European Parliament;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Stresses the importance of the parliamentary oversight and monitoring of the VPA by Parliament’s Committee on International Trade; underlines the need for the involvement of Parliament with regard to any future forest partnerships; asks the Commission to regularly report to Parliament on the implementation of the VPAs, including on the work of the joint implementation committees; highlights the need for an in-depth diagnostic and independent assessment of forest governance in Cameroon and for the relevant experiences and lessons learnt from the VPA process to be integrated into any future forest partnership;</w:t>
            </w:r>
          </w:p>
        </w:tc>
        <w:tc>
          <w:tcPr>
            <w:tcW w:w="4876" w:type="dxa"/>
            <w:tcBorders>
              <w:top w:val="nil"/>
              <w:left w:val="nil"/>
              <w:bottom w:val="nil"/>
              <w:right w:val="nil"/>
            </w:tcBorders>
          </w:tcPr>
          <w:p>
            <w:pPr>
              <w:pStyle w:val="Normal6a"/>
            </w:pPr>
            <w:r>
              <w:t>10.</w:t>
            </w:r>
            <w:r>
              <w:tab/>
            </w:r>
            <w:r>
              <w:t xml:space="preserve">Stresses the importance of the parliamentary oversight and monitoring of the VPA by Parliament’s Committee on International Trade; underlines the need for the </w:t>
            </w:r>
            <w:r>
              <w:rPr>
                <w:b/>
                <w:i/>
              </w:rPr>
              <w:t>meaningful</w:t>
            </w:r>
            <w:r>
              <w:t xml:space="preserve"> involvement of Parliament</w:t>
            </w:r>
            <w:r>
              <w:rPr>
                <w:b/>
                <w:i/>
              </w:rPr>
              <w:t>, including through consent,</w:t>
            </w:r>
            <w:r>
              <w:t xml:space="preserve"> with regard to any future forest partnerships</w:t>
            </w:r>
            <w:r>
              <w:rPr>
                <w:b/>
                <w:i/>
              </w:rPr>
              <w:t>; stresses the need to also include consultations with civil society organisations and particularly indigenous communities, environmental and human rights defenders</w:t>
            </w:r>
            <w:r>
              <w:t xml:space="preserve"> ; asks the Commission to regularly report to Parliament on the implementation of the VPAs, </w:t>
            </w:r>
            <w:r>
              <w:rPr>
                <w:b/>
                <w:i/>
              </w:rPr>
              <w:t>Forest partnerships</w:t>
            </w:r>
            <w:r>
              <w:t xml:space="preserve"> including on the work of the joint implementation committees </w:t>
            </w:r>
            <w:r>
              <w:rPr>
                <w:b/>
                <w:i/>
              </w:rPr>
              <w:t>and on the strategies to be pursued in the upcoming years</w:t>
            </w:r>
            <w:r>
              <w:t>; highlights the need for an in-depth diagnostic and independent assessment of forest governance in Cameroon and for the relevant experiences and lessons learnt from the VPA process to be integrated into any future forest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Stresses the importance of the parliamentary oversight and monitoring of the VPA by Parliament’s Committee on International Trade; underlines the need for the involvement of Parliament with regard to any future forest partnerships; asks the Commission to regularly report to Parliament on the implementation of the VPAs, including on the work of the joint implementation committees; highlights the need for an in-depth diagnostic and independent assessment of forest governance in Cameroon and for the relevant experiences and lessons learnt from the VPA process to be integrated into any future forest partnership;</w:t>
            </w:r>
          </w:p>
        </w:tc>
        <w:tc>
          <w:tcPr>
            <w:tcW w:w="4876" w:type="dxa"/>
            <w:tcBorders>
              <w:top w:val="nil"/>
              <w:left w:val="nil"/>
              <w:bottom w:val="nil"/>
              <w:right w:val="nil"/>
            </w:tcBorders>
          </w:tcPr>
          <w:p>
            <w:pPr>
              <w:pStyle w:val="Normal6a"/>
            </w:pPr>
            <w:r>
              <w:t>10.</w:t>
            </w:r>
            <w:r>
              <w:tab/>
            </w:r>
            <w:r>
              <w:t xml:space="preserve">Stresses the importance of the parliamentary oversight and monitoring of the VPA by Parliament’s Committee on International Trade; underlines the need for the </w:t>
            </w:r>
            <w:r>
              <w:rPr>
                <w:b/>
                <w:i/>
              </w:rPr>
              <w:t>timely and continuous</w:t>
            </w:r>
            <w:r>
              <w:t xml:space="preserve"> involvement of Parliament with regard to </w:t>
            </w:r>
            <w:r>
              <w:rPr>
                <w:b/>
                <w:i/>
              </w:rPr>
              <w:t>the assessment of the implementation of existing VPAs, as well as the negotiation, signing and implementation of</w:t>
            </w:r>
            <w:r>
              <w:t xml:space="preserve"> any future forest partnerships; asks the Commission to regularly report to Parliament on the implementation of the VPAs, including on the work of the joint implementation committees; highlights the need for an in-depth diagnostic and independent assessment of forest governance in Cameroon and for the relevant experiences and lessons learnt from the VPA process to be integrated into any future forest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Opposes the wider shift from the Commission towards raw materials partnerships or non-binding memoranda of understanding which are not subject to a formal legislative process and is deeply concerned that such attempts to bypass legislative scrutiny are intended to weaken the EU's commitment to combatting deforestation and protecting biodiversity;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Underlines that despite the termination of the VPA with Cameroon, VPAs continue to provide an important legal framework for both the EU and its partner countries, which has been made possible through good cooperation with and commitment from the countries concerned; stresses that new VPAs with additional partners should be promoted;</w:t>
            </w:r>
          </w:p>
        </w:tc>
        <w:tc>
          <w:tcPr>
            <w:tcW w:w="4876" w:type="dxa"/>
            <w:tcBorders>
              <w:top w:val="nil"/>
              <w:left w:val="nil"/>
              <w:bottom w:val="nil"/>
              <w:right w:val="nil"/>
            </w:tcBorders>
          </w:tcPr>
          <w:p>
            <w:pPr>
              <w:pStyle w:val="Normal6a"/>
            </w:pPr>
            <w:r>
              <w:t>11.</w:t>
            </w:r>
            <w:r>
              <w:tab/>
            </w:r>
            <w:r>
              <w:t xml:space="preserve">Underlines that despite the termination of the VPA with Cameroon, VPAs continue to provide an important legal framework for both the EU and its partner countries, which has been made possible through good cooperation with and commitment from the countries concerned; stresses that new VPAs with additional partners should be promoted; </w:t>
            </w:r>
            <w:r>
              <w:rPr>
                <w:b/>
                <w:i/>
              </w:rPr>
              <w:t>as they play a crucial role in facilitating transparent and accountable forest management, addressing the root causes of illegal logging, fighting against climate change, strengthening local peoples’ land tenure, and providing a tool for the involvement of civil society and forest communities in decision-making; underscores the need for the EU to remain firmly committed to other existing VPAs;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Underlines that despite the termination of the VPA with Cameroon, VPAs continue to provide an important legal framework for both the EU and its partner countries, which has been made possible through good cooperation with and commitment from the countries concerned; stresses that new VPAs with additional partners should be promoted;</w:t>
            </w:r>
          </w:p>
        </w:tc>
        <w:tc>
          <w:tcPr>
            <w:tcW w:w="4876" w:type="dxa"/>
            <w:tcBorders>
              <w:top w:val="nil"/>
              <w:left w:val="nil"/>
              <w:bottom w:val="nil"/>
              <w:right w:val="nil"/>
            </w:tcBorders>
          </w:tcPr>
          <w:p>
            <w:pPr>
              <w:pStyle w:val="Normal6a"/>
            </w:pPr>
            <w:r>
              <w:t>11.</w:t>
            </w:r>
            <w:r>
              <w:tab/>
            </w:r>
            <w:r>
              <w:t xml:space="preserve">Underlines that despite the </w:t>
            </w:r>
            <w:r>
              <w:rPr>
                <w:b/>
                <w:i/>
              </w:rPr>
              <w:t>unprecedented unilateral</w:t>
            </w:r>
            <w:r>
              <w:t xml:space="preserve"> termination of the VPA with Cameroon, VPAs continue to provide an important legal framework for both the EU and its partner countries, which has been made possible through good cooperation with and commitment from the countries concerned; stresses that </w:t>
            </w:r>
            <w:r>
              <w:rPr>
                <w:b/>
                <w:i/>
              </w:rPr>
              <w:t>the EU should remain fully committed to existing VPAs and that</w:t>
            </w:r>
            <w:r>
              <w:t xml:space="preserve"> new VPAs with additional partners should be promoted;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Lídia Pereira,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Calls on the Commission to ensure coherence between the EU's trade and sustainability frameworks when engaging with Cameroon and the broader Central African region; encourages the Commission to reflect, in the context of the ongoing negotiations for a full regional Economic Partnership Agreement, the requirements and objectives of the EU Deforestation Regulation and related legislation; underlines the importance of providing technical assistance and regulatory guidance to partner countries to help align trade practices with environmental standards, particularly in sectors such as timber, cocoa and tropical agriculture;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Calls on the Commission to present, by the end of 2025, an independent evaluation report, involving Cameroonian civil society input, on the reasons for the failure of the FLEGT process in Cameroon and other partner countries, in order to inform the design of future EU strategies on forest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Instructs its President to forward this resolution to the Council, the Commission, the governments </w:t>
            </w:r>
            <w:r>
              <w:rPr>
                <w:b/>
                <w:i/>
              </w:rPr>
              <w:t>and</w:t>
            </w:r>
            <w:r>
              <w:t xml:space="preserve"> parliaments of the Member States and the Government and Parliament of the Republic of Cameroon.</w:t>
            </w:r>
          </w:p>
        </w:tc>
        <w:tc>
          <w:tcPr>
            <w:tcW w:w="4876" w:type="dxa"/>
            <w:tcBorders>
              <w:top w:val="nil"/>
              <w:left w:val="nil"/>
              <w:bottom w:val="nil"/>
              <w:right w:val="nil"/>
            </w:tcBorders>
          </w:tcPr>
          <w:p>
            <w:pPr>
              <w:pStyle w:val="Normal6a"/>
            </w:pPr>
            <w:r>
              <w:t>12.</w:t>
            </w:r>
            <w:r>
              <w:tab/>
            </w:r>
            <w:r>
              <w:t>Instructs its President to forward this resolution to the Council, the Commission, the governments</w:t>
            </w:r>
            <w:r>
              <w:rPr>
                <w:b/>
                <w:i/>
              </w:rPr>
              <w:t>,</w:t>
            </w:r>
            <w:r>
              <w:t xml:space="preserve"> parliaments of the Member States and the Government and Parliament of the Republic of Cameroon </w:t>
            </w:r>
            <w:r>
              <w:rPr>
                <w:b/>
                <w:i/>
              </w:rPr>
              <w:t>and relevant stakeholders in the VPA process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773.056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30</w:t>
    </w:r>
    <w:r>
      <w:fldChar w:fldCharType="end"/>
    </w:r>
    <w:r>
      <w:t>/</w:t>
    </w:r>
    <w:r>
      <w:fldChar w:fldCharType="begin"/>
    </w:r>
    <w:r>
      <w:instrText xml:space="preserve"> NUMPAGES </w:instrText>
    </w:r>
    <w:r>
      <w:fldChar w:fldCharType="separate"/>
    </w:r>
    <w:r>
      <w:t>31</w:t>
    </w:r>
    <w:r>
      <w:fldChar w:fldCharType="end"/>
    </w:r>
    <w:r>
      <w:tab/>
    </w:r>
    <w:r>
      <w:rPr>
        <w:rStyle w:val="HideTWBExt"/>
      </w:rPr>
      <w:t>&lt;PathFdR&gt;</w:t>
    </w:r>
    <w:r>
      <w:t>AM\1319669EN.docx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AM\1319669EN.docx</w:t>
    </w:r>
    <w:r>
      <w:rPr>
        <w:rStyle w:val="HideTWBExt"/>
      </w:rPr>
      <w:t>&lt;/PathFdR&gt;</w:t>
    </w:r>
    <w:r>
      <w:tab/>
    </w:r>
    <w:r>
      <w:fldChar w:fldCharType="begin"/>
    </w:r>
    <w:r>
      <w:instrText xml:space="preserve"> PAGE </w:instrText>
    </w:r>
    <w:r>
      <w:fldChar w:fldCharType="separate"/>
    </w:r>
    <w:r>
      <w:t>31</w:t>
    </w:r>
    <w:r>
      <w:fldChar w:fldCharType="end"/>
    </w:r>
    <w:r>
      <w:t>/</w:t>
    </w:r>
    <w:r>
      <w:fldChar w:fldCharType="begin"/>
    </w:r>
    <w:r>
      <w:instrText xml:space="preserve"> NUMPAGES </w:instrText>
    </w:r>
    <w:r>
      <w:fldChar w:fldCharType="separate"/>
    </w:r>
    <w:r>
      <w:t>31</w:t>
    </w:r>
    <w:r>
      <w:fldChar w:fldCharType="end"/>
    </w:r>
    <w:r>
      <w:tab/>
    </w:r>
    <w:r>
      <w:t>PE</w:t>
    </w:r>
    <w:r>
      <w:rPr>
        <w:rStyle w:val="HideTWBExt"/>
      </w:rPr>
      <w:t>&lt;NoPE&gt;</w:t>
    </w:r>
    <w:r>
      <w:t>773.056</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AM\1319669EN.docx</w:t>
    </w:r>
    <w:r>
      <w:rPr>
        <w:rStyle w:val="HideTWBExt"/>
      </w:rPr>
      <w:t>&lt;/PathFdR&gt;</w:t>
    </w:r>
    <w:r>
      <w:tab/>
    </w:r>
    <w:r>
      <w:tab/>
    </w:r>
    <w:r>
      <w:t>PE</w:t>
    </w:r>
    <w:r>
      <w:rPr>
        <w:rStyle w:val="HideTWBExt"/>
      </w:rPr>
      <w:t>&lt;NoPE&gt;</w:t>
    </w:r>
    <w:r>
      <w:t>773.056</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31</Pages>
  <Words>7348</Words>
  <Characters>39960</Characters>
  <Application>Microsoft Office Word</Application>
  <DocSecurity>0</DocSecurity>
  <Lines>1</Lines>
  <Paragraphs>507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1319669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172045</vt:lpwstr>
  </property>
  <property fmtid="{D5CDD505-2E9C-101B-9397-08002B2CF9AE}" pid="7" name="dmxml.render.traceId">
    <vt:lpwstr>6811dc066d59a2c39a2d4c4e9798ef2f</vt:lpwstr>
  </property>
  <property fmtid="{D5CDD505-2E9C-101B-9397-08002B2CF9AE}" pid="8" name="FooterPath">
    <vt:lpwstr>AM\1319669EN.docx</vt:lpwstr>
  </property>
  <property fmtid="{D5CDD505-2E9C-101B-9397-08002B2CF9AE}" pid="9" name="PE Number">
    <vt:lpwstr>773.056</vt:lpwstr>
  </property>
  <property fmtid="{D5CDD505-2E9C-101B-9397-08002B2CF9AE}" pid="10" name="UID">
    <vt:lpwstr>eu.europa.europarl-DIN1-2025-0000085794_02.00-en-01.00_text-xml</vt:lpwstr>
  </property>
</Properties>
</file>