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European Parliament</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{INTA}</w:t>
      </w:r>
      <w:r>
        <w:t>Committee on International Trade</w:t>
      </w:r>
      <w:r>
        <w:rPr>
          <w:rStyle w:val="HideTWBExt"/>
        </w:rPr>
        <w:t>&lt;/Commission&gt;</w:t>
      </w:r>
    </w:p>
    <w:p>
      <w:pPr>
        <w:pStyle w:val="LineBottom"/>
      </w:pPr>
      <w:r>
        <w:t xml:space="preserve"> </w:t>
      </w:r>
    </w:p>
    <w:p>
      <w:pPr>
        <w:pStyle w:val="CoverReference"/>
      </w:pPr>
      <w:r>
        <w:rPr>
          <w:rStyle w:val="HideTWBExt"/>
        </w:rPr>
        <w:t>&lt;RefProc&gt;</w:t>
      </w:r>
      <w:r>
        <w:t>2025/0009M</w:t>
      </w:r>
      <w:r>
        <w:rPr>
          <w:rStyle w:val="HideTWBExt"/>
        </w:rPr>
        <w:t>&lt;/RefProc&gt;</w:t>
      </w:r>
      <w:r>
        <w:rPr>
          <w:rStyle w:val="HideTWBExt"/>
        </w:rPr>
        <w:t>&lt;RefTypeProc&gt;</w:t>
      </w:r>
      <w:r>
        <w:t>(NLE)</w:t>
      </w:r>
      <w:r>
        <w:rPr>
          <w:rStyle w:val="HideTWBExt"/>
        </w:rPr>
        <w:t>&lt;/RefTypeProc&gt;</w:t>
      </w:r>
    </w:p>
    <w:p>
      <w:pPr>
        <w:pStyle w:val="CoverDate"/>
      </w:pPr>
      <w:r>
        <w:rPr>
          <w:rStyle w:val="HideTWBExt"/>
        </w:rPr>
        <w:t>&lt;Date&gt;</w:t>
      </w:r>
      <w:r>
        <w:rPr>
          <w:rStyle w:val="HideTWBInt"/>
        </w:rPr>
        <w:t>{23/07/2025}</w:t>
      </w:r>
      <w:r>
        <w:t>23.7.2025</w:t>
      </w:r>
      <w:r>
        <w:rPr>
          <w:rStyle w:val="HideTWBExt"/>
        </w:rPr>
        <w:t>&lt;/Date&gt;</w:t>
      </w:r>
    </w:p>
    <w:p>
      <w:pPr>
        <w:pStyle w:val="CoverDocType"/>
      </w:pPr>
      <w:r>
        <w:rPr>
          <w:rStyle w:val="HideTWBExt"/>
        </w:rPr>
        <w:t>&lt;TypeAM&gt;</w:t>
      </w:r>
      <w:r>
        <w:t>AMENDMENTS</w:t>
      </w:r>
      <w:r>
        <w:rPr>
          <w:rStyle w:val="HideTWBExt"/>
        </w:rPr>
        <w:t>&lt;/TypeAM&gt;</w:t>
      </w:r>
    </w:p>
    <w:p>
      <w:pPr>
        <w:pStyle w:val="CoverDocType24a"/>
      </w:pPr>
      <w:r>
        <w:rPr>
          <w:rStyle w:val="HideTWBExt"/>
        </w:rPr>
        <w:t>&lt;RangeAM&gt;</w:t>
      </w:r>
      <w:r>
        <w:t>1</w:t>
      </w:r>
      <w:r>
        <w:t xml:space="preserve"> - </w:t>
      </w:r>
      <w:r>
        <w:t>65</w:t>
      </w:r>
      <w:r>
        <w:rPr>
          <w:rStyle w:val="HideTWBExt"/>
        </w:rPr>
        <w:t>&lt;/RangeAM&gt;</w:t>
      </w:r>
    </w:p>
    <w:p>
      <w:pPr>
        <w:pStyle w:val="CoverBold"/>
      </w:pPr>
      <w:r>
        <w:rPr>
          <w:rStyle w:val="HideTWBExt"/>
        </w:rPr>
        <w:t>&lt;TitreType&gt;</w:t>
      </w:r>
      <w:r>
        <w:t>Draft report</w:t>
      </w:r>
      <w:r>
        <w:rPr>
          <w:rStyle w:val="HideTWBExt"/>
        </w:rPr>
        <w:t>&lt;/TitreType&gt;</w:t>
      </w:r>
    </w:p>
    <w:p>
      <w:pPr>
        <w:pStyle w:val="CoverBold"/>
      </w:pPr>
      <w:r>
        <w:rPr>
          <w:rStyle w:val="HideTWBExt"/>
        </w:rPr>
        <w:t>&lt;Rapporteur&gt;</w:t>
      </w:r>
      <w:r>
        <w:t>Svenja Hahn</w:t>
      </w:r>
      <w:r>
        <w:rPr>
          <w:rStyle w:val="HideTWBExt"/>
        </w:rPr>
        <w:t>&lt;/Rapporteur&gt;</w:t>
      </w:r>
    </w:p>
    <w:p>
      <w:pPr>
        <w:pStyle w:val="CoverNormal24a"/>
      </w:pPr>
      <w:r>
        <w:rPr>
          <w:rStyle w:val="HideTWBExt"/>
        </w:rPr>
        <w:t>&lt;DocRefPE&gt;</w:t>
      </w:r>
      <w:r>
        <w:t>(PE774.429v01-00)</w:t>
      </w:r>
      <w:r>
        <w:rPr>
          <w:rStyle w:val="HideTWBExt"/>
        </w:rPr>
        <w:t>&lt;/DocRefPE&gt;</w:t>
      </w:r>
    </w:p>
    <w:p>
      <w:pPr>
        <w:pStyle w:val="CoverNormal"/>
      </w:pPr>
      <w:r>
        <w:rPr>
          <w:rStyle w:val="HideTWBExt"/>
        </w:rPr>
        <w:t>&lt;Titre&gt;</w:t>
      </w:r>
      <w:r>
        <w:t xml:space="preserve">Digital Trade Agreement between the European Union and the Republic of Singapore </w:t>
      </w:r>
      <w:r>
        <w:rPr>
          <w:rStyle w:val="HideTWBExt"/>
        </w:rPr>
        <w:t>&lt;/Titre&gt;</w:t>
      </w:r>
    </w:p>
    <w:p>
      <w:pPr>
        <w:pStyle w:val="CoverNormal24a"/>
      </w:pPr>
      <w:r>
        <w:rPr>
          <w:rStyle w:val="HideTWBExt"/>
        </w:rPr>
        <w:t>&lt;DocRef&gt;</w:t>
      </w:r>
      <w:r>
        <w:t>(2025/0009M(NLE))</w:t>
      </w:r>
      <w:r>
        <w:rPr>
          <w:rStyle w:val="HideTWBExt"/>
        </w:rPr>
        <w:t>&lt;/DocRef&gt;</w:t>
      </w:r>
    </w:p>
    <w:p>
      <w:r>
        <w:br w:type="page"/>
      </w:r>
      <w:r>
        <w:t>AM_Com_NonLegReport</w:t>
      </w:r>
    </w:p>
    <w:p>
      <w:pPr>
        <w:pStyle w:val="AmNumberTabs"/>
      </w:pPr>
      <w:r>
        <w:br w:type="page"/>
      </w:r>
      <w:r>
        <w:rPr>
          <w:rStyle w:val="HideTWBExt"/>
        </w:rPr>
        <w:t>&lt;RepeatBlock-Amend&gt;</w:t>
      </w:r>
      <w:r>
        <w:rPr>
          <w:rStyle w:val="HideTWBExt"/>
        </w:rPr>
        <w:t>&lt;Amend&gt;</w:t>
      </w:r>
      <w:r>
        <w:t>Amendment</w:t>
      </w:r>
      <w:r>
        <w:tab/>
      </w:r>
      <w:r>
        <w:tab/>
      </w:r>
      <w:r>
        <w:rPr>
          <w:rStyle w:val="HideTWBExt"/>
        </w:rPr>
        <w:t>&lt;NumAm&gt;</w:t>
      </w:r>
      <w:r>
        <w:t>1</w:t>
      </w:r>
      <w:r>
        <w:rPr>
          <w:rStyle w:val="HideTWBExt"/>
        </w:rPr>
        <w:t>&lt;/NumAm&gt;</w:t>
      </w:r>
    </w:p>
    <w:p>
      <w:pPr>
        <w:pStyle w:val="NormalBold"/>
      </w:pPr>
      <w:r>
        <w:rPr>
          <w:rStyle w:val="HideTWBExt"/>
          <w:b w:val="0"/>
        </w:rPr>
        <w:t>&lt;RepeatBlock-By&gt;</w:t>
      </w:r>
      <w:r>
        <w:rPr>
          <w:rStyle w:val="HideTWBExt"/>
          <w:b w:val="0"/>
        </w:rPr>
        <w:t>&lt;Members&gt;</w:t>
      </w:r>
      <w:r>
        <w:t>Lina Gálvez, Brando Benifei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Citation 12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having regard to the European Declaration on Digital Rights and Principles for the Digital Decade (2023/C 23/01),</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w:t>
      </w:r>
      <w:r>
        <w:rPr>
          <w:rStyle w:val="HideTWBExt"/>
        </w:rPr>
        <w:t>&lt;/NumAm&gt;</w:t>
      </w:r>
    </w:p>
    <w:p>
      <w:pPr>
        <w:pStyle w:val="NormalBold"/>
      </w:pPr>
      <w:r>
        <w:rPr>
          <w:rStyle w:val="HideTWBExt"/>
          <w:b w:val="0"/>
        </w:rPr>
        <w:t>&lt;RepeatBlock-By&gt;</w:t>
      </w:r>
      <w:r>
        <w:rPr>
          <w:rStyle w:val="HideTWBExt"/>
          <w:b w:val="0"/>
        </w:rPr>
        <w:t>&lt;Members&gt;</w:t>
      </w:r>
      <w:r>
        <w:t>Martin Schirdewan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Citation 20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having regard to directive (EU) 2024/2831 of the European Parliament and of the Council of 23 October 2024 on improving working conditions in platform work,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w:t>
      </w:r>
      <w:r>
        <w:rPr>
          <w:rStyle w:val="HideTWBExt"/>
        </w:rPr>
        <w:t>&lt;/NumAm&gt;</w:t>
      </w:r>
    </w:p>
    <w:p>
      <w:pPr>
        <w:pStyle w:val="NormalBold"/>
      </w:pPr>
      <w:r>
        <w:rPr>
          <w:rStyle w:val="HideTWBExt"/>
          <w:b w:val="0"/>
        </w:rPr>
        <w:t>&lt;RepeatBlock-By&gt;</w:t>
      </w:r>
      <w:r>
        <w:rPr>
          <w:rStyle w:val="HideTWBExt"/>
          <w:b w:val="0"/>
        </w:rPr>
        <w:t>&lt;Members&gt;</w:t>
      </w:r>
      <w:r>
        <w:t>Martin Schirdewan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Citation 22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having regard to the European Declaration on Digital Rights and Principles for the Digital Decade, 2023/C 23/01, of 23 January 2023,</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w:t>
      </w:r>
      <w:r>
        <w:rPr>
          <w:rStyle w:val="HideTWBExt"/>
        </w:rPr>
        <w:t>&lt;/NumAm&gt;</w:t>
      </w:r>
    </w:p>
    <w:p>
      <w:pPr>
        <w:pStyle w:val="NormalBold"/>
      </w:pPr>
      <w:r>
        <w:rPr>
          <w:rStyle w:val="HideTWBExt"/>
          <w:b w:val="0"/>
        </w:rPr>
        <w:t>&lt;RepeatBlock-By&gt;</w:t>
      </w:r>
      <w:r>
        <w:rPr>
          <w:rStyle w:val="HideTWBExt"/>
          <w:b w:val="0"/>
        </w:rPr>
        <w:t>&lt;Members&gt;</w:t>
      </w:r>
      <w:r>
        <w:t>Martin Schirdewan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Citation 25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having regard to the Resolution on Data Free Flow with Trust and an effective regulation of global data flows of the 46th Closed Session of the Global Privacy Assembly of 1 November 2024,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w:t>
      </w:r>
      <w:r>
        <w:rPr>
          <w:rStyle w:val="HideTWBExt"/>
        </w:rPr>
        <w:t>&lt;/NumAm&gt;</w:t>
      </w:r>
    </w:p>
    <w:p>
      <w:pPr>
        <w:pStyle w:val="NormalBold"/>
      </w:pPr>
      <w:r>
        <w:rPr>
          <w:rStyle w:val="HideTWBExt"/>
          <w:b w:val="0"/>
        </w:rPr>
        <w:t>&lt;RepeatBlock-By&gt;</w:t>
      </w:r>
      <w:r>
        <w:rPr>
          <w:rStyle w:val="HideTWBExt"/>
          <w:b w:val="0"/>
        </w:rPr>
        <w:t>&lt;Members&gt;</w:t>
      </w:r>
      <w:r>
        <w:t>Martin Schirdewan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A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a.</w:t>
            </w:r>
            <w:r>
              <w:tab/>
            </w:r>
            <w:r>
              <w:rPr>
                <w:b/>
                <w:i/>
              </w:rPr>
              <w:t>whereas privacy and data protection are distinct but interrelated fundamental rights enshrined in the EU Charter; whereas the EU’s digital trade policy must safeguard both rights in their own terms and ensure they are not subordinated to trade liberalisation objectives;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w:t>
      </w:r>
      <w:r>
        <w:rPr>
          <w:rStyle w:val="HideTWBExt"/>
        </w:rPr>
        <w:t>&lt;/NumAm&gt;</w:t>
      </w:r>
    </w:p>
    <w:p>
      <w:pPr>
        <w:pStyle w:val="NormalBold"/>
      </w:pPr>
      <w:r>
        <w:rPr>
          <w:rStyle w:val="HideTWBExt"/>
          <w:b w:val="0"/>
        </w:rPr>
        <w:t>&lt;RepeatBlock-By&gt;</w:t>
      </w:r>
      <w:r>
        <w:rPr>
          <w:rStyle w:val="HideTWBExt"/>
          <w:b w:val="0"/>
        </w:rPr>
        <w:t>&lt;Members&gt;</w:t>
      </w:r>
      <w:r>
        <w:t>Vicent Marzà Ibáñez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A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a.</w:t>
            </w:r>
            <w:r>
              <w:tab/>
            </w:r>
            <w:r>
              <w:rPr>
                <w:b/>
                <w:i/>
              </w:rPr>
              <w:t>Whereas privacy and data protection are distinct but interrelated fundamental rights enshrined in the EU Charter; whereas the EU’s digital trade policy must safeguard both rights in their own terms and ensure they are not subordinated to trade liberalisation objectives;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w:t>
      </w:r>
      <w:r>
        <w:rPr>
          <w:rStyle w:val="HideTWBExt"/>
        </w:rPr>
        <w:t>&lt;/NumAm&gt;</w:t>
      </w:r>
    </w:p>
    <w:p>
      <w:pPr>
        <w:pStyle w:val="NormalBold"/>
      </w:pPr>
      <w:r>
        <w:rPr>
          <w:rStyle w:val="HideTWBExt"/>
          <w:b w:val="0"/>
        </w:rPr>
        <w:t>&lt;RepeatBlock-By&gt;</w:t>
      </w:r>
      <w:r>
        <w:rPr>
          <w:rStyle w:val="HideTWBExt"/>
          <w:b w:val="0"/>
        </w:rPr>
        <w:t>&lt;Members&gt;</w:t>
      </w:r>
      <w:r>
        <w:t>Vicent Marzà Ibáñez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whereas this is the first stand-alone digital trade agreement that the EU has concluded with a partner country, and also the first bilateral digital trade agreement concluded between the EU and an ASEAN member state; whereas it thus represents an important stepping stone towards raising the ambition of digital trade rules globally, in particular throughout the Indo-Pacific region, by setting standards for digital trade, data flows, data protection and consumer rights online; </w:t>
            </w:r>
            <w:r>
              <w:rPr>
                <w:b/>
                <w:i/>
              </w:rPr>
              <w:t>whereas the agreement will also serve as a benchmark for the agreements the EU is currently negotiating with other Southeast Asian economies;</w:t>
            </w:r>
          </w:p>
        </w:tc>
        <w:tc>
          <w:tcPr>
            <w:tcW w:w="4876" w:type="dxa"/>
            <w:tcBorders>
              <w:top w:val="nil"/>
              <w:left w:val="nil"/>
              <w:bottom w:val="nil"/>
              <w:right w:val="nil"/>
            </w:tcBorders>
          </w:tcPr>
          <w:p>
            <w:pPr>
              <w:pStyle w:val="Normal6a"/>
            </w:pPr>
            <w:r>
              <w:t>B.</w:t>
            </w:r>
            <w:r>
              <w:tab/>
            </w:r>
            <w:r>
              <w:t>whereas this is the first stand-alone digital trade agreement that the EU has concluded with a partner country, and also the first bilateral digital trade agreement concluded between the EU and an ASEAN member state; whereas it thus represents an important stepping stone towards raising the ambition of digital trade rules globally, in particular throughout the Indo-Pacific region, by setting standards for digital trade, data flows, data protection and consumer rights online;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8</w:t>
      </w:r>
      <w:r>
        <w:rPr>
          <w:rStyle w:val="HideTWBExt"/>
        </w:rPr>
        <w:t>&lt;/NumAm&gt;</w:t>
      </w:r>
    </w:p>
    <w:p>
      <w:pPr>
        <w:pStyle w:val="NormalBold"/>
      </w:pPr>
      <w:r>
        <w:rPr>
          <w:rStyle w:val="HideTWBExt"/>
          <w:b w:val="0"/>
        </w:rPr>
        <w:t>&lt;RepeatBlock-By&gt;</w:t>
      </w:r>
      <w:r>
        <w:rPr>
          <w:rStyle w:val="HideTWBExt"/>
          <w:b w:val="0"/>
        </w:rPr>
        <w:t>&lt;Members&gt;</w:t>
      </w:r>
      <w:r>
        <w:t>Vicent Marzà Ibáñez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B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a.</w:t>
            </w:r>
            <w:r>
              <w:tab/>
            </w:r>
            <w:r>
              <w:rPr>
                <w:b/>
                <w:i/>
              </w:rPr>
              <w:t>Whereas the Digital Trade Agreement between the EU and Singapore seeks to enhance consumer trust in the digital marketplace by improving access to information, safety, and redress mechanisms, while providing businesses with predictability and legal certainty; whereas, however, certain provisions risk weakening fundamental rights to privacy and personal data protection for EU citizens and may constrain the EU’s ability to enforce its digital legislation, such as the AI Act, and may restrict the policy space of the EU to further regulate, thereby creating potential risks for consumers if left unaddressed;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9</w:t>
      </w:r>
      <w:r>
        <w:rPr>
          <w:rStyle w:val="HideTWBExt"/>
        </w:rPr>
        <w:t>&lt;/NumAm&gt;</w:t>
      </w:r>
    </w:p>
    <w:p>
      <w:pPr>
        <w:pStyle w:val="NormalBold"/>
      </w:pPr>
      <w:r>
        <w:rPr>
          <w:rStyle w:val="HideTWBExt"/>
          <w:b w:val="0"/>
        </w:rPr>
        <w:t>&lt;RepeatBlock-By&gt;</w:t>
      </w:r>
      <w:r>
        <w:rPr>
          <w:rStyle w:val="HideTWBExt"/>
          <w:b w:val="0"/>
        </w:rPr>
        <w:t>&lt;Members&gt;</w:t>
      </w:r>
      <w:r>
        <w:t>Martin Schirdewan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B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a.</w:t>
            </w:r>
            <w:r>
              <w:tab/>
            </w:r>
            <w:r>
              <w:rPr>
                <w:b/>
                <w:i/>
              </w:rPr>
              <w:t>whereas some provisions of the digital trade agreement raise concerns in view of their impact on EU policy space, in particular regarding digital regulation, data protection, workers’ rights, digital industrialisation and taxation;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10</w:t>
      </w:r>
      <w:r>
        <w:rPr>
          <w:rStyle w:val="HideTWBExt"/>
        </w:rPr>
        <w:t>&lt;/NumAm&gt;</w:t>
      </w:r>
    </w:p>
    <w:p>
      <w:pPr>
        <w:pStyle w:val="NormalBold"/>
      </w:pPr>
      <w:r>
        <w:rPr>
          <w:rStyle w:val="HideTWBExt"/>
          <w:b w:val="0"/>
        </w:rPr>
        <w:t>&lt;RepeatBlock-By&gt;</w:t>
      </w:r>
      <w:r>
        <w:rPr>
          <w:rStyle w:val="HideTWBExt"/>
          <w:b w:val="0"/>
        </w:rPr>
        <w:t>&lt;Members&gt;</w:t>
      </w:r>
      <w:r>
        <w:t>Vicent Marzà Ibáñez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B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b.</w:t>
            </w:r>
            <w:r>
              <w:tab/>
            </w:r>
            <w:r>
              <w:rPr>
                <w:b/>
                <w:i/>
              </w:rPr>
              <w:t>Whereas the European Data Protection Supervisor explicitly recommended to amend the EU-Singapore Digital Trade Agreement to clarify that each party may adopt and maintain the safeguards it deems appropriate to ensure the protection of personal data and privacy, including through rules for the cross-border transfer of personal data, to explicitly clarify that nothing in the Digital Trade Agreement shall affect the protection of personal data and privacy afforded by the parties’ respective safeguards and that "legitimate public policy objectives" allowing regulatory authorities to require access to source code include not only the ones currently listed in the Digital Trade Agreement, but also the protection of natural persons with regard to the processing of personal data;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11</w:t>
      </w:r>
      <w:r>
        <w:rPr>
          <w:rStyle w:val="HideTWBExt"/>
        </w:rPr>
        <w:t>&lt;/NumAm&gt;</w:t>
      </w:r>
    </w:p>
    <w:p>
      <w:pPr>
        <w:pStyle w:val="NormalBold"/>
      </w:pPr>
      <w:r>
        <w:rPr>
          <w:rStyle w:val="HideTWBExt"/>
          <w:b w:val="0"/>
        </w:rPr>
        <w:t>&lt;RepeatBlock-By&gt;</w:t>
      </w:r>
      <w:r>
        <w:rPr>
          <w:rStyle w:val="HideTWBExt"/>
          <w:b w:val="0"/>
        </w:rPr>
        <w:t>&lt;Members&gt;</w:t>
      </w:r>
      <w:r>
        <w:t>Martin Schirdewan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B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b.</w:t>
            </w:r>
            <w:r>
              <w:tab/>
            </w:r>
            <w:r>
              <w:rPr>
                <w:b/>
                <w:i/>
              </w:rPr>
              <w:t>whereas no impact assessment has been conducted on how digital trade agreements might affect existing regulations or the need for future ones;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12</w:t>
      </w:r>
      <w:r>
        <w:rPr>
          <w:rStyle w:val="HideTWBExt"/>
        </w:rPr>
        <w:t>&lt;/NumAm&gt;</w:t>
      </w:r>
    </w:p>
    <w:p>
      <w:pPr>
        <w:pStyle w:val="NormalBold"/>
      </w:pPr>
      <w:r>
        <w:rPr>
          <w:rStyle w:val="HideTWBExt"/>
          <w:b w:val="0"/>
        </w:rPr>
        <w:t>&lt;RepeatBlock-By&gt;</w:t>
      </w:r>
      <w:r>
        <w:rPr>
          <w:rStyle w:val="HideTWBExt"/>
          <w:b w:val="0"/>
        </w:rPr>
        <w:t>&lt;Members&gt;</w:t>
      </w:r>
      <w:r>
        <w:t>Martin Schirdewan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B c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c.</w:t>
            </w:r>
            <w:r>
              <w:tab/>
            </w:r>
            <w:r>
              <w:rPr>
                <w:b/>
                <w:i/>
              </w:rPr>
              <w:t>whereas historically trade exceptions have proven difficult to invoke successfully, whereas specific exceptions in this agreement are partially ambiguous, narrow and potentially insufficient to safeguard public policy, workers and consumers;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13</w:t>
      </w:r>
      <w:r>
        <w:rPr>
          <w:rStyle w:val="HideTWBExt"/>
        </w:rPr>
        <w:t>&lt;/NumAm&gt;</w:t>
      </w:r>
    </w:p>
    <w:p>
      <w:pPr>
        <w:pStyle w:val="NormalBold"/>
      </w:pPr>
      <w:r>
        <w:rPr>
          <w:rStyle w:val="HideTWBExt"/>
          <w:b w:val="0"/>
        </w:rPr>
        <w:t>&lt;RepeatBlock-By&gt;</w:t>
      </w:r>
      <w:r>
        <w:rPr>
          <w:rStyle w:val="HideTWBExt"/>
          <w:b w:val="0"/>
        </w:rPr>
        <w:t>&lt;Members&gt;</w:t>
      </w:r>
      <w:r>
        <w:t>Vicent Marzà Ibáñez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B c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c.</w:t>
            </w:r>
            <w:r>
              <w:tab/>
            </w:r>
            <w:r>
              <w:rPr>
                <w:b/>
                <w:i/>
              </w:rPr>
              <w:t>Whereas no impact assessment or legal analysis published by the European Commission substantiates the claim by the negotiating team that the agreement is in line with AI Act, Digital Markets Act or Digital Services Act; </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14</w:t>
      </w:r>
      <w:r>
        <w:rPr>
          <w:rStyle w:val="HideTWBExt"/>
        </w:rPr>
        <w:t>&lt;/NumAm&gt;</w:t>
      </w:r>
    </w:p>
    <w:p>
      <w:pPr>
        <w:pStyle w:val="NormalBold"/>
      </w:pPr>
      <w:r>
        <w:rPr>
          <w:rStyle w:val="HideTWBExt"/>
          <w:b w:val="0"/>
        </w:rPr>
        <w:t>&lt;RepeatBlock-By&gt;</w:t>
      </w:r>
      <w:r>
        <w:rPr>
          <w:rStyle w:val="HideTWBExt"/>
          <w:b w:val="0"/>
        </w:rPr>
        <w:t>&lt;Members&gt;</w:t>
      </w:r>
      <w:r>
        <w:t>Waldemar Buda</w:t>
      </w:r>
      <w:r>
        <w:rPr>
          <w:rStyle w:val="HideTWBExt"/>
          <w:b w:val="0"/>
        </w:rPr>
        <w:t>&lt;/Members&gt;</w:t>
      </w:r>
    </w:p>
    <w:p>
      <w:r>
        <w:rPr>
          <w:rStyle w:val="HideTWBExt"/>
          <w:b w:val="0"/>
        </w:rPr>
        <w:t>&lt;AuNomDe&gt;</w:t>
      </w:r>
      <w:r>
        <w:rPr>
          <w:rStyle w:val="HideTWBInt"/>
        </w:rPr>
        <w:t>{ECR}</w:t>
      </w:r>
      <w:r>
        <w:t>on behalf of the ECR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whereas Singapore is a major destination for European investment in Asia and the largest Asian investor in the EU; whereas in 2023, the stock of EU foreign direct investment (FDI) in Singapore amounted to EUR 262.9 billion and the stock of Singapore’s FDI in the EU was EUR 313.5 billion, continuing the expansionary trend observed in previous years;</w:t>
            </w:r>
          </w:p>
        </w:tc>
        <w:tc>
          <w:tcPr>
            <w:tcW w:w="4876" w:type="dxa"/>
            <w:tcBorders>
              <w:top w:val="nil"/>
              <w:left w:val="nil"/>
              <w:bottom w:val="nil"/>
              <w:right w:val="nil"/>
            </w:tcBorders>
          </w:tcPr>
          <w:p>
            <w:pPr>
              <w:pStyle w:val="Normal6a"/>
            </w:pPr>
            <w:r>
              <w:t>D.</w:t>
            </w:r>
            <w:r>
              <w:tab/>
            </w:r>
            <w:r>
              <w:t xml:space="preserve">whereas Singapore is a major destination for European investment in Asia and the largest Asian investor in the EU; whereas in 2023, the stock of EU foreign direct investment (FDI) in Singapore amounted to EUR 262.9 billion </w:t>
            </w:r>
            <w:r>
              <w:rPr>
                <w:b/>
                <w:i/>
              </w:rPr>
              <w:t>making EU the second largest source of FDI in Singapore</w:t>
            </w:r>
            <w:r>
              <w:t xml:space="preserve"> and the stock of Singapore’s FDI in the EU was EUR 313.5 billion, continuing the expansionary trend observed in previous years;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15</w:t>
      </w:r>
      <w:r>
        <w:rPr>
          <w:rStyle w:val="HideTWBExt"/>
        </w:rPr>
        <w:t>&lt;/NumAm&gt;</w:t>
      </w:r>
    </w:p>
    <w:p>
      <w:pPr>
        <w:pStyle w:val="NormalBold"/>
      </w:pPr>
      <w:r>
        <w:rPr>
          <w:rStyle w:val="HideTWBExt"/>
          <w:b w:val="0"/>
        </w:rPr>
        <w:t>&lt;RepeatBlock-By&gt;</w:t>
      </w:r>
      <w:r>
        <w:rPr>
          <w:rStyle w:val="HideTWBExt"/>
          <w:b w:val="0"/>
        </w:rPr>
        <w:t>&lt;Members&gt;</w:t>
      </w:r>
      <w:r>
        <w:t>Martin Schirdewan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whereas in 2023, EU-Singapore trade in services amounted to EUR 80.6 billion;</w:t>
            </w:r>
          </w:p>
        </w:tc>
        <w:tc>
          <w:tcPr>
            <w:tcW w:w="4876" w:type="dxa"/>
            <w:tcBorders>
              <w:top w:val="nil"/>
              <w:left w:val="nil"/>
              <w:bottom w:val="nil"/>
              <w:right w:val="nil"/>
            </w:tcBorders>
          </w:tcPr>
          <w:p>
            <w:pPr>
              <w:pStyle w:val="Normal6a"/>
            </w:pPr>
            <w:r>
              <w:t>E.</w:t>
            </w:r>
            <w:r>
              <w:tab/>
            </w:r>
            <w:r>
              <w:t>whereas</w:t>
            </w:r>
            <w:r>
              <w:rPr>
                <w:b/>
                <w:i/>
              </w:rPr>
              <w:t>,</w:t>
            </w:r>
            <w:r>
              <w:t xml:space="preserve"> in 2023, EU-Singapore trade in services amounted to EUR 80.6 billion </w:t>
            </w:r>
            <w:r>
              <w:rPr>
                <w:b/>
                <w:i/>
              </w:rPr>
              <w:t>in the absence of a dedicated digital trade agreement and with no particular concerns raised in dedicated reports regarding IP theft or other digital trade-related issues</w:t>
            </w:r>
            <w:r>
              <w:t xml:space="preserve">; </w:t>
            </w:r>
            <w:r>
              <w:rPr>
                <w:b/>
                <w:i/>
              </w:rPr>
              <w:t>whereas Singapore has a robust intellectual property framework in place; </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16</w:t>
      </w:r>
      <w:r>
        <w:rPr>
          <w:rStyle w:val="HideTWBExt"/>
        </w:rPr>
        <w:t>&lt;/NumAm&gt;</w:t>
      </w:r>
    </w:p>
    <w:p>
      <w:pPr>
        <w:pStyle w:val="NormalBold"/>
      </w:pPr>
      <w:r>
        <w:rPr>
          <w:rStyle w:val="HideTWBExt"/>
          <w:b w:val="0"/>
        </w:rPr>
        <w:t>&lt;RepeatBlock-By&gt;</w:t>
      </w:r>
      <w:r>
        <w:rPr>
          <w:rStyle w:val="HideTWBExt"/>
          <w:b w:val="0"/>
        </w:rPr>
        <w:t>&lt;Members&gt;</w:t>
      </w:r>
      <w:r>
        <w:t>Martin Schirdewan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E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 a.</w:t>
            </w:r>
            <w:r>
              <w:tab/>
            </w:r>
            <w:r>
              <w:rPr>
                <w:b/>
                <w:i/>
              </w:rPr>
              <w:t>whereas existing agreements, such as the EU’s adequacy decisions, already enable significant data exchange without the need for new digital trade agreements;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17</w:t>
      </w:r>
      <w:r>
        <w:rPr>
          <w:rStyle w:val="HideTWBExt"/>
        </w:rPr>
        <w:t>&lt;/NumAm&gt;</w:t>
      </w:r>
    </w:p>
    <w:p>
      <w:pPr>
        <w:pStyle w:val="NormalBold"/>
      </w:pPr>
      <w:r>
        <w:rPr>
          <w:rStyle w:val="HideTWBExt"/>
          <w:b w:val="0"/>
        </w:rPr>
        <w:t>&lt;RepeatBlock-By&gt;</w:t>
      </w:r>
      <w:r>
        <w:rPr>
          <w:rStyle w:val="HideTWBExt"/>
          <w:b w:val="0"/>
        </w:rPr>
        <w:t>&lt;Members&gt;</w:t>
      </w:r>
      <w:r>
        <w:t>Martin Schirdewan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E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 b.</w:t>
            </w:r>
            <w:r>
              <w:tab/>
            </w:r>
            <w:r>
              <w:rPr>
                <w:b/>
                <w:i/>
              </w:rPr>
              <w:t>whereas supplementary protection of source code lacks an economic justification and could undermine public interest regulations;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18</w:t>
      </w:r>
      <w:r>
        <w:rPr>
          <w:rStyle w:val="HideTWBExt"/>
        </w:rPr>
        <w:t>&lt;/NumAm&gt;</w:t>
      </w:r>
    </w:p>
    <w:p>
      <w:pPr>
        <w:pStyle w:val="NormalBold"/>
      </w:pPr>
      <w:r>
        <w:rPr>
          <w:rStyle w:val="HideTWBExt"/>
          <w:b w:val="0"/>
        </w:rPr>
        <w:t>&lt;RepeatBlock-By&gt;</w:t>
      </w:r>
      <w:r>
        <w:rPr>
          <w:rStyle w:val="HideTWBExt"/>
          <w:b w:val="0"/>
        </w:rPr>
        <w:t>&lt;Members&gt;</w:t>
      </w:r>
      <w:r>
        <w:t>Waldemar Buda</w:t>
      </w:r>
      <w:r>
        <w:rPr>
          <w:rStyle w:val="HideTWBExt"/>
          <w:b w:val="0"/>
        </w:rPr>
        <w:t>&lt;/Members&gt;</w:t>
      </w:r>
    </w:p>
    <w:p>
      <w:r>
        <w:rPr>
          <w:rStyle w:val="HideTWBExt"/>
          <w:b w:val="0"/>
        </w:rPr>
        <w:t>&lt;AuNomDe&gt;</w:t>
      </w:r>
      <w:r>
        <w:rPr>
          <w:rStyle w:val="HideTWBInt"/>
        </w:rPr>
        <w:t>{ECR}</w:t>
      </w:r>
      <w:r>
        <w:t>on behalf of the ECR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whereas digital trade accounts for around 25 % of all international trade and has been growing at a faster pace than traditional trade; whereas the EU is the world’s leader in both exports and imports of digitally deliverable services;</w:t>
            </w:r>
          </w:p>
        </w:tc>
        <w:tc>
          <w:tcPr>
            <w:tcW w:w="4876" w:type="dxa"/>
            <w:tcBorders>
              <w:top w:val="nil"/>
              <w:left w:val="nil"/>
              <w:bottom w:val="nil"/>
              <w:right w:val="nil"/>
            </w:tcBorders>
          </w:tcPr>
          <w:p>
            <w:pPr>
              <w:pStyle w:val="Normal6a"/>
            </w:pPr>
            <w:r>
              <w:t>H.</w:t>
            </w:r>
            <w:r>
              <w:tab/>
            </w:r>
            <w:r>
              <w:t xml:space="preserve">whereas digital trade accounts for around 25 % of all international trade </w:t>
            </w:r>
            <w:r>
              <w:rPr>
                <w:b/>
                <w:i/>
              </w:rPr>
              <w:t>and over half of international trade in services,</w:t>
            </w:r>
            <w:r>
              <w:t xml:space="preserve"> and has been growing at a faster pace than traditional trade; whereas the EU is the world’s leader in both exports and imports of digitally deliverable services;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19</w:t>
      </w:r>
      <w:r>
        <w:rPr>
          <w:rStyle w:val="HideTWBExt"/>
        </w:rPr>
        <w:t>&lt;/NumAm&gt;</w:t>
      </w:r>
    </w:p>
    <w:p>
      <w:pPr>
        <w:pStyle w:val="NormalBold"/>
      </w:pPr>
      <w:r>
        <w:rPr>
          <w:rStyle w:val="HideTWBExt"/>
          <w:b w:val="0"/>
        </w:rPr>
        <w:t>&lt;RepeatBlock-By&gt;</w:t>
      </w:r>
      <w:r>
        <w:rPr>
          <w:rStyle w:val="HideTWBExt"/>
          <w:b w:val="0"/>
        </w:rPr>
        <w:t>&lt;Members&gt;</w:t>
      </w:r>
      <w:r>
        <w:t>Martin Schirdewan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J.</w:t>
            </w:r>
            <w:r>
              <w:tab/>
            </w:r>
            <w:r>
              <w:t>whereas the EU trade policy review of 2021 recognised the contribution of the EU’s digital trade policy to the EU’s digital transformation and led to the announcement of the EU’s intention to step up bilateral engagement and explore stronger frameworks for cooperation on trade-related digital issues with like-minded partners; whereas pursuing partnerships with like-minded countries is also consistent with the objective of the 2023 EU economic security strategy;</w:t>
            </w:r>
          </w:p>
        </w:tc>
        <w:tc>
          <w:tcPr>
            <w:tcW w:w="4876" w:type="dxa"/>
            <w:tcBorders>
              <w:top w:val="nil"/>
              <w:left w:val="nil"/>
              <w:bottom w:val="nil"/>
              <w:right w:val="nil"/>
            </w:tcBorders>
          </w:tcPr>
          <w:p>
            <w:pPr>
              <w:pStyle w:val="Normal6a"/>
            </w:pPr>
            <w:r>
              <w:t>J.</w:t>
            </w:r>
            <w:r>
              <w:tab/>
            </w:r>
            <w:r>
              <w:t>whereas the EU trade policy review of 2021 recognised the contribution of the EU’s digital trade policy to the EU’s digital transformation and led to the announcement of the EU’s intention to step up bilateral engagement and explore stronger frameworks for cooperation on trade-related digital issues with like-minded partners; whereas pursuing partnerships with like-minded countries is also consistent with the objective of the 2023 EU economic security strategy;</w:t>
            </w:r>
            <w:r>
              <w:rPr>
                <w:b/>
                <w:i/>
              </w:rPr>
              <w:t> whereas such cooperation does not necessarily require binding provisions, given the fast-moving nature of digital technologies and the need to ensure future-proof frameworks;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20</w:t>
      </w:r>
      <w:r>
        <w:rPr>
          <w:rStyle w:val="HideTWBExt"/>
        </w:rPr>
        <w:t>&lt;/NumAm&gt;</w:t>
      </w:r>
    </w:p>
    <w:p>
      <w:pPr>
        <w:pStyle w:val="NormalBold"/>
      </w:pPr>
      <w:r>
        <w:rPr>
          <w:rStyle w:val="HideTWBExt"/>
          <w:b w:val="0"/>
        </w:rPr>
        <w:t>&lt;RepeatBlock-By&gt;</w:t>
      </w:r>
      <w:r>
        <w:rPr>
          <w:rStyle w:val="HideTWBExt"/>
          <w:b w:val="0"/>
        </w:rPr>
        <w:t>&lt;Members&gt;</w:t>
      </w:r>
      <w:r>
        <w:t>Martin Schirdewan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L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L a.</w:t>
            </w:r>
            <w:r>
              <w:tab/>
            </w:r>
            <w:r>
              <w:rPr>
                <w:b/>
                <w:i/>
              </w:rPr>
              <w:t>whereas several civil society organisations and data protection experts have raised concerns that digital trade provisions, especially on data flows and source code, may undermine the EU’s regulatory autonomy and fundamental rights framework;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21</w:t>
      </w:r>
      <w:r>
        <w:rPr>
          <w:rStyle w:val="HideTWBExt"/>
        </w:rPr>
        <w:t>&lt;/NumAm&gt;</w:t>
      </w:r>
    </w:p>
    <w:p>
      <w:pPr>
        <w:pStyle w:val="NormalBold"/>
      </w:pPr>
      <w:r>
        <w:rPr>
          <w:rStyle w:val="HideTWBExt"/>
          <w:b w:val="0"/>
        </w:rPr>
        <w:t>&lt;RepeatBlock-By&gt;</w:t>
      </w:r>
      <w:r>
        <w:rPr>
          <w:rStyle w:val="HideTWBExt"/>
          <w:b w:val="0"/>
        </w:rPr>
        <w:t>&lt;Members&gt;</w:t>
      </w:r>
      <w:r>
        <w:t>Lina Gálvez, Brando Benifei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L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L a.</w:t>
            </w:r>
            <w:r>
              <w:tab/>
            </w:r>
            <w:r>
              <w:rPr>
                <w:b/>
                <w:i/>
              </w:rPr>
              <w:t>Whereas SMEs have shown to be able to benefit from digitalization, often face more barriers than larger firms in the digital economy and to digital trade, due to the lack of resources, skills and financing;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22</w:t>
      </w:r>
      <w:r>
        <w:rPr>
          <w:rStyle w:val="HideTWBExt"/>
        </w:rPr>
        <w:t>&lt;/NumAm&gt;</w:t>
      </w:r>
    </w:p>
    <w:p>
      <w:pPr>
        <w:pStyle w:val="NormalBold"/>
      </w:pPr>
      <w:r>
        <w:rPr>
          <w:rStyle w:val="HideTWBExt"/>
          <w:b w:val="0"/>
        </w:rPr>
        <w:t>&lt;RepeatBlock-By&gt;</w:t>
      </w:r>
      <w:r>
        <w:rPr>
          <w:rStyle w:val="HideTWBExt"/>
          <w:b w:val="0"/>
        </w:rPr>
        <w:t>&lt;Members&gt;</w:t>
      </w:r>
      <w:r>
        <w:t>Martin Schirdewan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L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L b.</w:t>
            </w:r>
            <w:r>
              <w:tab/>
            </w:r>
            <w:r>
              <w:rPr>
                <w:b/>
                <w:i/>
              </w:rPr>
              <w:t>whereas the Digital Trade Agreement between the EU and Singapore seeks to enhance consumer trust in the digital marketplace by improving access to information, safety, and redress mechanisms, while providing businesses with predictability and legal certainty; whereas, however, certain provisions risk weakening fundamental rights to privacy and personal data protection for EU citizens and may constrain the EU’s ability to enforce its digital legislation, such as the AI Act, thereby creating potential risks for consumers, if left unaddressed;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23</w:t>
      </w:r>
      <w:r>
        <w:rPr>
          <w:rStyle w:val="HideTWBExt"/>
        </w:rPr>
        <w:t>&lt;/NumAm&gt;</w:t>
      </w:r>
    </w:p>
    <w:p>
      <w:pPr>
        <w:pStyle w:val="NormalBold"/>
      </w:pPr>
      <w:r>
        <w:rPr>
          <w:rStyle w:val="HideTWBExt"/>
          <w:b w:val="0"/>
        </w:rPr>
        <w:t>&lt;RepeatBlock-By&gt;</w:t>
      </w:r>
      <w:r>
        <w:rPr>
          <w:rStyle w:val="HideTWBExt"/>
          <w:b w:val="0"/>
        </w:rPr>
        <w:t>&lt;Members&gt;</w:t>
      </w:r>
      <w:r>
        <w:t>Martin Schirdewan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L c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L c.</w:t>
            </w:r>
            <w:r>
              <w:tab/>
            </w:r>
            <w:r>
              <w:rPr>
                <w:b/>
                <w:i/>
              </w:rPr>
              <w:t>whereas Singapore’s data protection regime is considered less robust than the EU’s, with notable deficiencies, such as the exclusion of the private sector from its primary data protection law;</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24</w:t>
      </w:r>
      <w:r>
        <w:rPr>
          <w:rStyle w:val="HideTWBExt"/>
        </w:rPr>
        <w:t>&lt;/NumAm&gt;</w:t>
      </w:r>
    </w:p>
    <w:p>
      <w:pPr>
        <w:pStyle w:val="NormalBold"/>
      </w:pPr>
      <w:r>
        <w:rPr>
          <w:rStyle w:val="HideTWBExt"/>
          <w:b w:val="0"/>
        </w:rPr>
        <w:t>&lt;RepeatBlock-By&gt;</w:t>
      </w:r>
      <w:r>
        <w:rPr>
          <w:rStyle w:val="HideTWBExt"/>
          <w:b w:val="0"/>
        </w:rPr>
        <w:t>&lt;Members&gt;</w:t>
      </w:r>
      <w:r>
        <w:t>Martin Schirdewan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L d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L d.</w:t>
            </w:r>
            <w:r>
              <w:tab/>
            </w:r>
            <w:r>
              <w:rPr>
                <w:b/>
                <w:i/>
              </w:rPr>
              <w:t xml:space="preserve">whereas experts </w:t>
            </w:r>
            <w:r>
              <w:rPr>
                <w:b/>
                <w:i/>
                <w:vertAlign w:val="superscript"/>
              </w:rPr>
              <w:t>1a</w:t>
            </w:r>
            <w:r>
              <w:rPr>
                <w:b/>
                <w:i/>
              </w:rPr>
              <w:t xml:space="preserve"> have warned that the provisions in the EU’s Digital Trade Agreements on restricting access to source code could affect the accountability mechanisms of the DSA, DMA and AI Act;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 xml:space="preserve"> Jones, Emily and Collins, Philippa and Grosse Ruse-Khan, Henning and Sanchez-Graells, Albert and Irion, Kristina and Dorobantu, Cosmina and Kilic, Burcu and Onitiu, Daria, AI Governance and the Future of Digital Trade Policy (October 09, 2024). University of Oxford Blavatnik School of Government Policy Brief, October 2024, Available at SSRN: https://ssrn.com/abstract=4987769 or http://dx.doi.org/10.2139/ssrn.4987769</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25</w:t>
      </w:r>
      <w:r>
        <w:rPr>
          <w:rStyle w:val="HideTWBExt"/>
        </w:rPr>
        <w:t>&lt;/NumAm&gt;</w:t>
      </w:r>
    </w:p>
    <w:p>
      <w:pPr>
        <w:pStyle w:val="NormalBold"/>
      </w:pPr>
      <w:r>
        <w:rPr>
          <w:rStyle w:val="HideTWBExt"/>
          <w:b w:val="0"/>
        </w:rPr>
        <w:t>&lt;RepeatBlock-By&gt;</w:t>
      </w:r>
      <w:r>
        <w:rPr>
          <w:rStyle w:val="HideTWBExt"/>
          <w:b w:val="0"/>
        </w:rPr>
        <w:t>&lt;Members&gt;</w:t>
      </w:r>
      <w:r>
        <w:t>Martin Schirdewan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L e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L e.</w:t>
            </w:r>
            <w:r>
              <w:tab/>
            </w:r>
            <w:r>
              <w:rPr>
                <w:b/>
                <w:i/>
              </w:rPr>
              <w:t>whereas the European Data Protection Supervisor has questioned whether the agreement provides enough legal certainty to ensure that certain data is kept in the EU if needed; whereas regulators and public bodies in areas such as finance and law enforcement may need to ensure that certain data remains within their reach;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26</w:t>
      </w:r>
      <w:r>
        <w:rPr>
          <w:rStyle w:val="HideTWBExt"/>
        </w:rPr>
        <w:t>&lt;/NumAm&gt;</w:t>
      </w:r>
    </w:p>
    <w:p>
      <w:pPr>
        <w:pStyle w:val="NormalBold"/>
      </w:pPr>
      <w:r>
        <w:rPr>
          <w:rStyle w:val="HideTWBExt"/>
          <w:b w:val="0"/>
        </w:rPr>
        <w:t>&lt;RepeatBlock-By&gt;</w:t>
      </w:r>
      <w:r>
        <w:rPr>
          <w:rStyle w:val="HideTWBExt"/>
          <w:b w:val="0"/>
        </w:rPr>
        <w:t>&lt;Members&gt;</w:t>
      </w:r>
      <w:r>
        <w:t>Martin Schirdewan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L f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L f.</w:t>
            </w:r>
            <w:r>
              <w:tab/>
            </w:r>
            <w:r>
              <w:rPr>
                <w:b/>
                <w:i/>
              </w:rPr>
              <w:t>where as the Global Privacy Assembly, which brings together most data protection regulators, including those in the EU, issued a joint resolution on data flows with trust stating that onward transfers [… ] should be allowed only if the level of protection […] established for the initial transfer are not undermined;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27</w:t>
      </w:r>
      <w:r>
        <w:rPr>
          <w:rStyle w:val="HideTWBExt"/>
        </w:rPr>
        <w:t>&lt;/NumAm&gt;</w:t>
      </w:r>
    </w:p>
    <w:p>
      <w:pPr>
        <w:pStyle w:val="NormalBold"/>
      </w:pPr>
      <w:r>
        <w:rPr>
          <w:rStyle w:val="HideTWBExt"/>
          <w:b w:val="0"/>
        </w:rPr>
        <w:t>&lt;RepeatBlock-By&gt;</w:t>
      </w:r>
      <w:r>
        <w:rPr>
          <w:rStyle w:val="HideTWBExt"/>
          <w:b w:val="0"/>
        </w:rPr>
        <w:t>&lt;Members&gt;</w:t>
      </w:r>
      <w:r>
        <w:t>Vicent Marzà Ibáñez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 a.</w:t>
            </w:r>
            <w:r>
              <w:tab/>
            </w:r>
            <w:r>
              <w:rPr>
                <w:b/>
                <w:i/>
              </w:rPr>
              <w:t>Welcomes the conclusion of tailored EU trade deals based on specific needs and strengths of both partners rather than comprehensive free trade agreements covering virtually all trade between trading partners, based on a downward spiral of lowering tariffs, resulting in negative impacts on vulnerable sectors, without an adequate trickling down of the profits to the most affected sections of society;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28</w:t>
      </w:r>
      <w:r>
        <w:rPr>
          <w:rStyle w:val="HideTWBExt"/>
        </w:rPr>
        <w:t>&lt;/NumAm&gt;</w:t>
      </w:r>
    </w:p>
    <w:p>
      <w:pPr>
        <w:pStyle w:val="NormalBold"/>
      </w:pPr>
      <w:r>
        <w:rPr>
          <w:rStyle w:val="HideTWBExt"/>
          <w:b w:val="0"/>
        </w:rPr>
        <w:t>&lt;RepeatBlock-By&gt;</w:t>
      </w:r>
      <w:r>
        <w:rPr>
          <w:rStyle w:val="HideTWBExt"/>
          <w:b w:val="0"/>
        </w:rPr>
        <w:t>&lt;Members&gt;</w:t>
      </w:r>
      <w:r>
        <w:t>Vicent Marzà Ibáñez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Notes that the agreement lays down binding rules on trade in goods and services enabled by electronic means; acknowledges that these rules </w:t>
            </w:r>
            <w:r>
              <w:rPr>
                <w:b/>
                <w:i/>
              </w:rPr>
              <w:t>will</w:t>
            </w:r>
            <w:r>
              <w:t xml:space="preserve"> further enhance bilateral trade relations between the EUU and Singapore, fostering consumer confidence and providing predictability and legal certainty for businesses involved in digital trade;</w:t>
            </w:r>
          </w:p>
        </w:tc>
        <w:tc>
          <w:tcPr>
            <w:tcW w:w="4876" w:type="dxa"/>
            <w:tcBorders>
              <w:top w:val="nil"/>
              <w:left w:val="nil"/>
              <w:bottom w:val="nil"/>
              <w:right w:val="nil"/>
            </w:tcBorders>
          </w:tcPr>
          <w:p>
            <w:pPr>
              <w:pStyle w:val="Normal6a"/>
            </w:pPr>
            <w:r>
              <w:t>2.</w:t>
            </w:r>
            <w:r>
              <w:tab/>
            </w:r>
            <w:r>
              <w:t xml:space="preserve">Notes that the agreement lays down binding rules on trade in goods and services enabled by electronic means; acknowledges that these rules </w:t>
            </w:r>
            <w:r>
              <w:rPr>
                <w:b/>
                <w:i/>
              </w:rPr>
              <w:t>should</w:t>
            </w:r>
            <w:r>
              <w:t xml:space="preserve"> further enhance bilateral trade relations between the EUU and Singapore, fostering consumer confidence and providing predictability and legal certainty for businesses involved in digital trade;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29</w:t>
      </w:r>
      <w:r>
        <w:rPr>
          <w:rStyle w:val="HideTWBExt"/>
        </w:rPr>
        <w:t>&lt;/NumAm&gt;</w:t>
      </w:r>
    </w:p>
    <w:p>
      <w:pPr>
        <w:pStyle w:val="NormalBold"/>
      </w:pPr>
      <w:r>
        <w:rPr>
          <w:rStyle w:val="HideTWBExt"/>
          <w:b w:val="0"/>
        </w:rPr>
        <w:t>&lt;RepeatBlock-By&gt;</w:t>
      </w:r>
      <w:r>
        <w:rPr>
          <w:rStyle w:val="HideTWBExt"/>
          <w:b w:val="0"/>
        </w:rPr>
        <w:t>&lt;Members&gt;</w:t>
      </w:r>
      <w:r>
        <w:t>Lina Gálvez, Brando Benifei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 a.</w:t>
            </w:r>
            <w:r>
              <w:tab/>
            </w:r>
            <w:r>
              <w:rPr>
                <w:b/>
                <w:i/>
              </w:rPr>
              <w:t>Recalls that this agreement should benefit consumers, citizens, workers and SMEs and that all entities operating in the Single Market shall adhere to the EU regulations, complying with the highest standards in fundamental rights, including labour and digital rights, and market fairness, thus promoting confidence in the digital economy;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30</w:t>
      </w:r>
      <w:r>
        <w:rPr>
          <w:rStyle w:val="HideTWBExt"/>
        </w:rPr>
        <w:t>&lt;/NumAm&gt;</w:t>
      </w:r>
    </w:p>
    <w:p>
      <w:pPr>
        <w:pStyle w:val="NormalBold"/>
      </w:pPr>
      <w:r>
        <w:rPr>
          <w:rStyle w:val="HideTWBExt"/>
          <w:b w:val="0"/>
        </w:rPr>
        <w:t>&lt;RepeatBlock-By&gt;</w:t>
      </w:r>
      <w:r>
        <w:rPr>
          <w:rStyle w:val="HideTWBExt"/>
          <w:b w:val="0"/>
        </w:rPr>
        <w:t>&lt;Members&gt;</w:t>
      </w:r>
      <w:r>
        <w:t>Vicent Marzà Ibáñez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Recalls that the agreement applies to all types of trade enabled by electronic means and aims to guarantee predictability and legal certainty for online trade</w:t>
            </w:r>
            <w:r>
              <w:rPr>
                <w:b/>
                <w:i/>
              </w:rPr>
              <w:t>, while preserving policy space for the parties, as the agreement explicitly upholds the EU’s stringent standards for personal data and privacy protection and both parties retain the right to implement and maintain measures to safeguard personal data and privacy</w:t>
            </w:r>
            <w:r>
              <w:t>;</w:t>
            </w:r>
          </w:p>
        </w:tc>
        <w:tc>
          <w:tcPr>
            <w:tcW w:w="4876" w:type="dxa"/>
            <w:tcBorders>
              <w:top w:val="nil"/>
              <w:left w:val="nil"/>
              <w:bottom w:val="nil"/>
              <w:right w:val="nil"/>
            </w:tcBorders>
          </w:tcPr>
          <w:p>
            <w:pPr>
              <w:pStyle w:val="Normal6a"/>
            </w:pPr>
            <w:r>
              <w:t>3.</w:t>
            </w:r>
            <w:r>
              <w:tab/>
            </w:r>
            <w:r>
              <w:t>Recalls that the agreement applies to all types of trade enabled by electronic means and aims to guarantee predictability and legal certainty for online trade;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31</w:t>
      </w:r>
      <w:r>
        <w:rPr>
          <w:rStyle w:val="HideTWBExt"/>
        </w:rPr>
        <w:t>&lt;/NumAm&gt;</w:t>
      </w:r>
    </w:p>
    <w:p>
      <w:pPr>
        <w:pStyle w:val="NormalBold"/>
      </w:pPr>
      <w:r>
        <w:rPr>
          <w:rStyle w:val="HideTWBExt"/>
          <w:b w:val="0"/>
        </w:rPr>
        <w:t>&lt;RepeatBlock-By&gt;</w:t>
      </w:r>
      <w:r>
        <w:rPr>
          <w:rStyle w:val="HideTWBExt"/>
          <w:b w:val="0"/>
        </w:rPr>
        <w:t>&lt;Members&gt;</w:t>
      </w:r>
      <w:r>
        <w:t>Martin Schirdewan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Recalls that the agreement applies to all types of trade enabled by electronic means and aims to guarantee predictability and legal certainty for online trade, while preserving policy space for the parties</w:t>
            </w:r>
            <w:r>
              <w:rPr>
                <w:b/>
                <w:i/>
              </w:rPr>
              <w:t>, as the agreement explicitly upholds the EU’s stringent standards for personal data and privacy protection</w:t>
            </w:r>
            <w:r>
              <w:t xml:space="preserve"> and both parties retain the right to implement and maintain measures to safeguard personal data and privacy;</w:t>
            </w:r>
          </w:p>
        </w:tc>
        <w:tc>
          <w:tcPr>
            <w:tcW w:w="4876" w:type="dxa"/>
            <w:tcBorders>
              <w:top w:val="nil"/>
              <w:left w:val="nil"/>
              <w:bottom w:val="nil"/>
              <w:right w:val="nil"/>
            </w:tcBorders>
          </w:tcPr>
          <w:p>
            <w:pPr>
              <w:pStyle w:val="Normal6a"/>
            </w:pPr>
            <w:r>
              <w:t>3.</w:t>
            </w:r>
            <w:r>
              <w:tab/>
            </w:r>
            <w:r>
              <w:t xml:space="preserve">Recalls that the agreement applies to all types of trade enabled by electronic means and aims to guarantee predictability and legal certainty for online trade, while preserving policy space for the parties and both parties retain the right to implement and maintain measures to safeguard personal data and privacy; </w:t>
            </w:r>
            <w:r>
              <w:rPr>
                <w:b/>
                <w:i/>
              </w:rPr>
              <w:t>regrets, however, that built-in safeguards are ambiguous, narrow and potentially insufficient in order to safeguard public policy, workers and consumers;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32</w:t>
      </w:r>
      <w:r>
        <w:rPr>
          <w:rStyle w:val="HideTWBExt"/>
        </w:rPr>
        <w:t>&lt;/NumAm&gt;</w:t>
      </w:r>
    </w:p>
    <w:p>
      <w:pPr>
        <w:pStyle w:val="NormalBold"/>
      </w:pPr>
      <w:r>
        <w:rPr>
          <w:rStyle w:val="HideTWBExt"/>
          <w:b w:val="0"/>
        </w:rPr>
        <w:t>&lt;RepeatBlock-By&gt;</w:t>
      </w:r>
      <w:r>
        <w:rPr>
          <w:rStyle w:val="HideTWBExt"/>
          <w:b w:val="0"/>
        </w:rPr>
        <w:t>&lt;Members&gt;</w:t>
      </w:r>
      <w:r>
        <w:t>Lina Gálvez, Brando Benifei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 a.</w:t>
            </w:r>
            <w:r>
              <w:tab/>
            </w:r>
            <w:r>
              <w:rPr>
                <w:b/>
                <w:i/>
              </w:rPr>
              <w:t>Notes that the EDPS opinion recalls the protection of personal data as a fundamental right in the Union and that it cannot be subject to negotiations in the context of EU trade agreements;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33</w:t>
      </w:r>
      <w:r>
        <w:rPr>
          <w:rStyle w:val="HideTWBExt"/>
        </w:rPr>
        <w:t>&lt;/NumAm&gt;</w:t>
      </w:r>
    </w:p>
    <w:p>
      <w:pPr>
        <w:pStyle w:val="NormalBold"/>
      </w:pPr>
      <w:r>
        <w:rPr>
          <w:rStyle w:val="HideTWBExt"/>
          <w:b w:val="0"/>
        </w:rPr>
        <w:t>&lt;RepeatBlock-By&gt;</w:t>
      </w:r>
      <w:r>
        <w:rPr>
          <w:rStyle w:val="HideTWBExt"/>
          <w:b w:val="0"/>
        </w:rPr>
        <w:t>&lt;Members&gt;</w:t>
      </w:r>
      <w:r>
        <w:t>Svenja Hahn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Stresses that this agreement will facilitate electronic transactions by introducing electronic signatures and electronic authentication, and promote a safe online environment by ensuring consumer protection and protecting consumers’ data; further considers that the agreement will create legal certainty for businesses through source code protection and by prohibiting forced technology transfer, while improving access to electronic commerce and simplifying digital trade by reducing the administrative burden for e-commerce by enabling e-invoicing and paperless trading;</w:t>
            </w:r>
          </w:p>
        </w:tc>
        <w:tc>
          <w:tcPr>
            <w:tcW w:w="4876" w:type="dxa"/>
            <w:tcBorders>
              <w:top w:val="nil"/>
              <w:left w:val="nil"/>
              <w:bottom w:val="nil"/>
              <w:right w:val="nil"/>
            </w:tcBorders>
          </w:tcPr>
          <w:p>
            <w:pPr>
              <w:pStyle w:val="Normal6a"/>
            </w:pPr>
            <w:r>
              <w:t>4.</w:t>
            </w:r>
            <w:r>
              <w:tab/>
            </w:r>
            <w:r>
              <w:t xml:space="preserve">Stresses that this agreement will facilitate electronic transactions by introducing electronic signatures and electronic authentication, and promote a safe online environment by ensuring consumer protection and protecting consumers’ data; further considers that the agreement will create legal certainty for businesses through source code protection and by prohibiting forced technology transfer, while improving access to electronic commerce and simplifying digital trade by reducing the administrative burden for e-commerce by enabling e-invoicing and paperless trading; </w:t>
            </w:r>
            <w:r>
              <w:rPr>
                <w:b/>
                <w:i/>
              </w:rPr>
              <w:t>welcomes that this agreement encourages regulatory cooperation on issues related to digital trade, in order to promote the development of digital trade and to ensure digital inclusion also for small and medium-sized enterprises (SMEs); underlines that it is vital for this agreement to be complemented with technical and regulatory conditions that makes digital trade accessible to the widest possible range of actors, in particular to ensure that SMEs can benefit from the agreement;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34</w:t>
      </w:r>
      <w:r>
        <w:rPr>
          <w:rStyle w:val="HideTWBExt"/>
        </w:rPr>
        <w:t>&lt;/NumAm&gt;</w:t>
      </w:r>
    </w:p>
    <w:p>
      <w:pPr>
        <w:pStyle w:val="NormalBold"/>
      </w:pPr>
      <w:r>
        <w:rPr>
          <w:rStyle w:val="HideTWBExt"/>
          <w:b w:val="0"/>
        </w:rPr>
        <w:t>&lt;RepeatBlock-By&gt;</w:t>
      </w:r>
      <w:r>
        <w:rPr>
          <w:rStyle w:val="HideTWBExt"/>
          <w:b w:val="0"/>
        </w:rPr>
        <w:t>&lt;Members&gt;</w:t>
      </w:r>
      <w:r>
        <w:t>Martine Kemp</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Stresses that this agreement will facilitate electronic transactions by introducing electronic signatures and electronic authentication, and promote a safe online environment by ensuring consumer protection and protecting consumers’ data; further considers that the agreement will create legal certainty for businesses through source code protection and by prohibiting forced technology transfer, while improving access to electronic commerce and simplifying digital trade by reducing the administrative burden for e-commerce by enabling e-invoicing and paperless trading;</w:t>
            </w:r>
          </w:p>
        </w:tc>
        <w:tc>
          <w:tcPr>
            <w:tcW w:w="4876" w:type="dxa"/>
            <w:tcBorders>
              <w:top w:val="nil"/>
              <w:left w:val="nil"/>
              <w:bottom w:val="nil"/>
              <w:right w:val="nil"/>
            </w:tcBorders>
          </w:tcPr>
          <w:p>
            <w:pPr>
              <w:pStyle w:val="Normal6a"/>
            </w:pPr>
            <w:r>
              <w:t>4.</w:t>
            </w:r>
            <w:r>
              <w:tab/>
            </w:r>
            <w:r>
              <w:t xml:space="preserve">Stresses that this agreement will facilitate electronic transactions by introducing electronic signatures and electronic authentication, and promote a safe online environment by ensuring consumer protection and protecting consumers’ data; further considers that the agreement will create legal certainty for businesses through source code protection and by prohibiting forced technology transfer, while improving access to electronic commerce and simplifying digital trade by reducing the administrative burden for e-commerce by enabling e-invoicing and paperless trading; </w:t>
            </w:r>
            <w:r>
              <w:rPr>
                <w:b/>
                <w:i/>
              </w:rPr>
              <w:t>recognises in particular the need to reduce the administrative burden for SME, which is essential for their competitiveness in digital markets;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35</w:t>
      </w:r>
      <w:r>
        <w:rPr>
          <w:rStyle w:val="HideTWBExt"/>
        </w:rPr>
        <w:t>&lt;/NumAm&gt;</w:t>
      </w:r>
    </w:p>
    <w:p>
      <w:pPr>
        <w:pStyle w:val="NormalBold"/>
      </w:pPr>
      <w:r>
        <w:rPr>
          <w:rStyle w:val="HideTWBExt"/>
          <w:b w:val="0"/>
        </w:rPr>
        <w:t>&lt;RepeatBlock-By&gt;</w:t>
      </w:r>
      <w:r>
        <w:rPr>
          <w:rStyle w:val="HideTWBExt"/>
          <w:b w:val="0"/>
        </w:rPr>
        <w:t>&lt;Members&gt;</w:t>
      </w:r>
      <w:r>
        <w:t>Lina Gálvez, Brando Benifei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Stresses that this agreement will facilitate electronic transactions by introducing electronic signatures and electronic authentication, and promote a safe online environment by ensuring consumer protection and protecting consumers’ data; further considers that the agreement will create legal certainty for businesses through source code protection and by prohibiting forced technology transfer, while improving access to electronic commerce and simplifying digital trade by reducing the administrative burden for e-commerce by enabling e-invoicing and paperless trading;</w:t>
            </w:r>
          </w:p>
        </w:tc>
        <w:tc>
          <w:tcPr>
            <w:tcW w:w="4876" w:type="dxa"/>
            <w:tcBorders>
              <w:top w:val="nil"/>
              <w:left w:val="nil"/>
              <w:bottom w:val="nil"/>
              <w:right w:val="nil"/>
            </w:tcBorders>
          </w:tcPr>
          <w:p>
            <w:pPr>
              <w:pStyle w:val="Normal6a"/>
            </w:pPr>
            <w:r>
              <w:t>4.</w:t>
            </w:r>
            <w:r>
              <w:tab/>
            </w:r>
            <w:r>
              <w:t>Stresses that this agreement will facilitate electronic transactions by introducing electronic signatures and electronic authentication, and promote a safe online environment by ensuring consumer protection and protecting consumers’ data</w:t>
            </w:r>
            <w:r>
              <w:rPr>
                <w:b/>
                <w:i/>
              </w:rPr>
              <w:t>, consumer protection must be guaranteed within the online and offline economy</w:t>
            </w:r>
            <w:r>
              <w:t>; further considers that the agreement will create legal certainty for businesses through source code protection and by prohibiting forced technology transfer, while improving access to electronic commerce and simplifying digital trade by reducing the administrative burden for e-commerce by enabling e-invoicing and paperless trading;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36</w:t>
      </w:r>
      <w:r>
        <w:rPr>
          <w:rStyle w:val="HideTWBExt"/>
        </w:rPr>
        <w:t>&lt;/NumAm&gt;</w:t>
      </w:r>
    </w:p>
    <w:p>
      <w:pPr>
        <w:pStyle w:val="NormalBold"/>
      </w:pPr>
      <w:r>
        <w:rPr>
          <w:rStyle w:val="HideTWBExt"/>
          <w:b w:val="0"/>
        </w:rPr>
        <w:t>&lt;RepeatBlock-By&gt;</w:t>
      </w:r>
      <w:r>
        <w:rPr>
          <w:rStyle w:val="HideTWBExt"/>
          <w:b w:val="0"/>
        </w:rPr>
        <w:t>&lt;Members&gt;</w:t>
      </w:r>
      <w:r>
        <w:t>Vicent Marzà Ibáñez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Stresses that this agreement </w:t>
            </w:r>
            <w:r>
              <w:rPr>
                <w:b/>
                <w:i/>
              </w:rPr>
              <w:t>will</w:t>
            </w:r>
            <w:r>
              <w:t xml:space="preserve"> facilitate electronic transactions by introducing electronic signatures and electronic authentication, and promote a safe online environment by ensuring consumer protection and protecting consumers’ data; further considers that the agreement </w:t>
            </w:r>
            <w:r>
              <w:rPr>
                <w:b/>
                <w:i/>
              </w:rPr>
              <w:t>will</w:t>
            </w:r>
            <w:r>
              <w:t xml:space="preserve"> create legal certainty for businesses through source code protection and by prohibiting forced technology transfer, while improving access to electronic commerce and simplifying digital trade by reducing the administrative burden for e-commerce by enabling e-invoicing and paperless trading;</w:t>
            </w:r>
          </w:p>
        </w:tc>
        <w:tc>
          <w:tcPr>
            <w:tcW w:w="4876" w:type="dxa"/>
            <w:tcBorders>
              <w:top w:val="nil"/>
              <w:left w:val="nil"/>
              <w:bottom w:val="nil"/>
              <w:right w:val="nil"/>
            </w:tcBorders>
          </w:tcPr>
          <w:p>
            <w:pPr>
              <w:pStyle w:val="Normal6a"/>
            </w:pPr>
            <w:r>
              <w:t>4.</w:t>
            </w:r>
            <w:r>
              <w:tab/>
            </w:r>
            <w:r>
              <w:t xml:space="preserve">Stresses that this agreement </w:t>
            </w:r>
            <w:r>
              <w:rPr>
                <w:b/>
                <w:i/>
              </w:rPr>
              <w:t>should</w:t>
            </w:r>
            <w:r>
              <w:t xml:space="preserve"> facilitate electronic transactions by introducing electronic signatures and electronic authentication, and promote a safe online environment by ensuring consumer protection and protecting consumers’ data; further considers that the agreement </w:t>
            </w:r>
            <w:r>
              <w:rPr>
                <w:b/>
                <w:i/>
              </w:rPr>
              <w:t>should</w:t>
            </w:r>
            <w:r>
              <w:t xml:space="preserve"> create legal certainty for businesses through source code protection and by prohibiting forced technology transfer, while improving access to electronic commerce and simplifying digital trade by reducing the administrative burden for e-commerce by enabling e-invoicing and paperless trading;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37</w:t>
      </w:r>
      <w:r>
        <w:rPr>
          <w:rStyle w:val="HideTWBExt"/>
        </w:rPr>
        <w:t>&lt;/NumAm&gt;</w:t>
      </w:r>
    </w:p>
    <w:p>
      <w:pPr>
        <w:pStyle w:val="NormalBold"/>
      </w:pPr>
      <w:r>
        <w:rPr>
          <w:rStyle w:val="HideTWBExt"/>
          <w:b w:val="0"/>
        </w:rPr>
        <w:t>&lt;RepeatBlock-By&gt;</w:t>
      </w:r>
      <w:r>
        <w:rPr>
          <w:rStyle w:val="HideTWBExt"/>
          <w:b w:val="0"/>
        </w:rPr>
        <w:t>&lt;Members&gt;</w:t>
      </w:r>
      <w:r>
        <w:t>Lina Gálvez, Brando Benifei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4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 a.</w:t>
            </w:r>
            <w:r>
              <w:tab/>
            </w:r>
            <w:r>
              <w:rPr>
                <w:b/>
                <w:i/>
              </w:rPr>
              <w:t>Welcomes this agreement which should work as a building block to remove barriers and challenges faced by SMEs and facilitate digital trade;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38</w:t>
      </w:r>
      <w:r>
        <w:rPr>
          <w:rStyle w:val="HideTWBExt"/>
        </w:rPr>
        <w:t>&lt;/NumAm&gt;</w:t>
      </w:r>
    </w:p>
    <w:p>
      <w:pPr>
        <w:pStyle w:val="NormalBold"/>
      </w:pPr>
      <w:r>
        <w:rPr>
          <w:rStyle w:val="HideTWBExt"/>
          <w:b w:val="0"/>
        </w:rPr>
        <w:t>&lt;RepeatBlock-By&gt;</w:t>
      </w:r>
      <w:r>
        <w:rPr>
          <w:rStyle w:val="HideTWBExt"/>
          <w:b w:val="0"/>
        </w:rPr>
        <w:t>&lt;Members&gt;</w:t>
      </w:r>
      <w:r>
        <w:t>Lina Gálvez, Brando Benifei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4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 b.</w:t>
            </w:r>
            <w:r>
              <w:tab/>
            </w:r>
            <w:r>
              <w:rPr>
                <w:b/>
                <w:i/>
              </w:rPr>
              <w:t>Highlights that this agreement shall fully respect current and future EU data privacy, personal data, consumer protection and AI regulations and should not weaken the EU’s ability to maintain regulatory authority, enforce laws, and safeguard fundamental rights in the future;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39</w:t>
      </w:r>
      <w:r>
        <w:rPr>
          <w:rStyle w:val="HideTWBExt"/>
        </w:rPr>
        <w:t>&lt;/NumAm&gt;</w:t>
      </w:r>
    </w:p>
    <w:p>
      <w:pPr>
        <w:pStyle w:val="NormalBold"/>
      </w:pPr>
      <w:r>
        <w:rPr>
          <w:rStyle w:val="HideTWBExt"/>
          <w:b w:val="0"/>
        </w:rPr>
        <w:t>&lt;RepeatBlock-By&gt;</w:t>
      </w:r>
      <w:r>
        <w:rPr>
          <w:rStyle w:val="HideTWBExt"/>
          <w:b w:val="0"/>
        </w:rPr>
        <w:t>&lt;Members&gt;</w:t>
      </w:r>
      <w:r>
        <w:t>Lina Gálvez, Brando Benifei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4 c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 c.</w:t>
            </w:r>
            <w:r>
              <w:tab/>
            </w:r>
            <w:r>
              <w:rPr>
                <w:b/>
                <w:i/>
              </w:rPr>
              <w:t>Stresses the need to reinforce the provisions related to source code, to enable regulatory bodies’ ability to ensure that companies comply with EU legislation, such as the AI Act, enabling the EU to fully enforce its digital laws and safeguard citizens' rights thus reinforcing consumer safety and trust;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40</w:t>
      </w:r>
      <w:r>
        <w:rPr>
          <w:rStyle w:val="HideTWBExt"/>
        </w:rPr>
        <w:t>&lt;/NumAm&gt;</w:t>
      </w:r>
    </w:p>
    <w:p>
      <w:pPr>
        <w:pStyle w:val="NormalBold"/>
      </w:pPr>
      <w:r>
        <w:rPr>
          <w:rStyle w:val="HideTWBExt"/>
          <w:b w:val="0"/>
        </w:rPr>
        <w:t>&lt;RepeatBlock-By&gt;</w:t>
      </w:r>
      <w:r>
        <w:rPr>
          <w:rStyle w:val="HideTWBExt"/>
          <w:b w:val="0"/>
        </w:rPr>
        <w:t>&lt;Members&gt;</w:t>
      </w:r>
      <w:r>
        <w:t>Lina Gálvez, Brando Benifei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4 d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 d.</w:t>
            </w:r>
            <w:r>
              <w:tab/>
            </w:r>
            <w:r>
              <w:rPr>
                <w:b/>
                <w:i/>
              </w:rPr>
              <w:t>Moreover, we call on the establishment of disciplines to prohibit forced technology transfer of IPRs in the source code;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41</w:t>
      </w:r>
      <w:r>
        <w:rPr>
          <w:rStyle w:val="HideTWBExt"/>
        </w:rPr>
        <w:t>&lt;/NumAm&gt;</w:t>
      </w:r>
    </w:p>
    <w:p>
      <w:pPr>
        <w:pStyle w:val="NormalBold"/>
      </w:pPr>
      <w:r>
        <w:rPr>
          <w:rStyle w:val="HideTWBExt"/>
          <w:b w:val="0"/>
        </w:rPr>
        <w:t>&lt;RepeatBlock-By&gt;</w:t>
      </w:r>
      <w:r>
        <w:rPr>
          <w:rStyle w:val="HideTWBExt"/>
          <w:b w:val="0"/>
        </w:rPr>
        <w:t>&lt;Members&gt;</w:t>
      </w:r>
      <w:r>
        <w:t>Lina Gálvez, Brando Benifei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4 e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 e.</w:t>
            </w:r>
            <w:r>
              <w:tab/>
            </w:r>
            <w:r>
              <w:rPr>
                <w:b/>
                <w:i/>
              </w:rPr>
              <w:t>Highlights that the article on unsolicited commercial electronic messages could further expand the definition of spam to include all communications. This would make the provision future-proof against emerging technologies, while also addressing the existing issue of telemarketing calls;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42</w:t>
      </w:r>
      <w:r>
        <w:rPr>
          <w:rStyle w:val="HideTWBExt"/>
        </w:rPr>
        <w:t>&lt;/NumAm&gt;</w:t>
      </w:r>
    </w:p>
    <w:p>
      <w:pPr>
        <w:pStyle w:val="NormalBold"/>
      </w:pPr>
      <w:r>
        <w:rPr>
          <w:rStyle w:val="HideTWBExt"/>
          <w:b w:val="0"/>
        </w:rPr>
        <w:t>&lt;RepeatBlock-By&gt;</w:t>
      </w:r>
      <w:r>
        <w:rPr>
          <w:rStyle w:val="HideTWBExt"/>
          <w:b w:val="0"/>
        </w:rPr>
        <w:t>&lt;Members&gt;</w:t>
      </w:r>
      <w:r>
        <w:t>Martin Schirdewan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5.</w:t>
            </w:r>
            <w:r>
              <w:tab/>
            </w:r>
            <w:r>
              <w:rPr>
                <w:b/>
                <w:i/>
              </w:rPr>
              <w:t>Welcomes the fact that the cross-border data flow provisions in the agreement apply to all sectors in order to ensure that data flows freely; underlines that these provisions build on established practice and are accompanied by regulatory policy space in order for regulators and supervisors to exercise their right to ensure the protection of data and privacy and to protect other public policy objectives;</w:t>
            </w:r>
          </w:p>
        </w:tc>
        <w:tc>
          <w:tcPr>
            <w:tcW w:w="4876" w:type="dxa"/>
            <w:tcBorders>
              <w:top w:val="nil"/>
              <w:left w:val="nil"/>
              <w:bottom w:val="nil"/>
              <w:right w:val="nil"/>
            </w:tcBorders>
          </w:tcPr>
          <w:p>
            <w:pPr>
              <w:pStyle w:val="Normal6a"/>
            </w:pPr>
            <w:r>
              <w:rPr>
                <w:b/>
                <w:i/>
              </w:rPr>
              <w:t>deleted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43</w:t>
      </w:r>
      <w:r>
        <w:rPr>
          <w:rStyle w:val="HideTWBExt"/>
        </w:rPr>
        <w:t>&lt;/NumAm&gt;</w:t>
      </w:r>
    </w:p>
    <w:p>
      <w:pPr>
        <w:pStyle w:val="NormalBold"/>
      </w:pPr>
      <w:r>
        <w:rPr>
          <w:rStyle w:val="HideTWBExt"/>
          <w:b w:val="0"/>
        </w:rPr>
        <w:t>&lt;RepeatBlock-By&gt;</w:t>
      </w:r>
      <w:r>
        <w:rPr>
          <w:rStyle w:val="HideTWBExt"/>
          <w:b w:val="0"/>
        </w:rPr>
        <w:t>&lt;Members&gt;</w:t>
      </w:r>
      <w:r>
        <w:t>Vicent Marzà Ibáñez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Welcomes the fact that the cross-border data flow provisions in the agreement apply to all sectors in order to ensure that data flows freely; underlines that these provisions build on established practice and are accompanied by regulatory policy space in order for regulators and supervisors to exercise their right to ensure the protection of data and privacy and to protect other public policy objectives;</w:t>
            </w:r>
          </w:p>
        </w:tc>
        <w:tc>
          <w:tcPr>
            <w:tcW w:w="4876" w:type="dxa"/>
            <w:tcBorders>
              <w:top w:val="nil"/>
              <w:left w:val="nil"/>
              <w:bottom w:val="nil"/>
              <w:right w:val="nil"/>
            </w:tcBorders>
          </w:tcPr>
          <w:p>
            <w:pPr>
              <w:pStyle w:val="Normal6a"/>
            </w:pPr>
            <w:r>
              <w:t>5.</w:t>
            </w:r>
            <w:r>
              <w:tab/>
            </w:r>
            <w:r>
              <w:t xml:space="preserve">Welcomes the fact that the cross-border data flow provisions in the agreement apply to all sectors in order to ensure that data flows freely; underlines that these provisions build on established practice and are accompanied by regulatory policy space in order for regulators and supervisors to exercise their right to ensure the protection of data and privacy and to protect other public policy objectives; </w:t>
            </w:r>
            <w:r>
              <w:rPr>
                <w:b/>
                <w:i/>
              </w:rPr>
              <w:t>shares the concerns raised by the European Data Protection Supervisor and stresses that pursuing an adequacy decision would have provided a more appropriate and stable basis for facilitating digital trade while preserving the EU’s regulatory autonomy; notes that this agreement departs from the horizontal provisions agreed in 2018 between the European Parliament, the Council, and the Commission, which allow negotiations on data flows only insofar as they would not compromise the EU’s ability to safeguard privacy and personal data; notes that by adapting the EU model clause to accommodate Singapore, the agreement introduces legal uncertainty and raises the risk of trade disputes over digital rights;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44</w:t>
      </w:r>
      <w:r>
        <w:rPr>
          <w:rStyle w:val="HideTWBExt"/>
        </w:rPr>
        <w:t>&lt;/NumAm&gt;</w:t>
      </w:r>
    </w:p>
    <w:p>
      <w:pPr>
        <w:pStyle w:val="NormalBold"/>
      </w:pPr>
      <w:r>
        <w:rPr>
          <w:rStyle w:val="HideTWBExt"/>
          <w:b w:val="0"/>
        </w:rPr>
        <w:t>&lt;RepeatBlock-By&gt;</w:t>
      </w:r>
      <w:r>
        <w:rPr>
          <w:rStyle w:val="HideTWBExt"/>
          <w:b w:val="0"/>
        </w:rPr>
        <w:t>&lt;Members&gt;</w:t>
      </w:r>
      <w:r>
        <w:t>Martin Schirdewan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5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 a.</w:t>
            </w:r>
            <w:r>
              <w:tab/>
            </w:r>
            <w:r>
              <w:rPr>
                <w:b/>
                <w:i/>
              </w:rPr>
              <w:t>Shares the concerns raised by the European Data Protection Supervisor that the absence of legally binding language equivalent to the Horizontal Provisions on cross-border data flows and the protection of personal data and privacy adopted by the EU in 2018, creates legal uncertainty as to the Union's position on the protection of personal data and risks creating friction with the EU data protection legal framework; stresses that pursuing an adequacy decision would have provided a more appropriate and stable basis for facilitating digital trade while preserving the EU’s regulatory autonomy;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45</w:t>
      </w:r>
      <w:r>
        <w:rPr>
          <w:rStyle w:val="HideTWBExt"/>
        </w:rPr>
        <w:t>&lt;/NumAm&gt;</w:t>
      </w:r>
    </w:p>
    <w:p>
      <w:pPr>
        <w:pStyle w:val="NormalBold"/>
      </w:pPr>
      <w:r>
        <w:rPr>
          <w:rStyle w:val="HideTWBExt"/>
          <w:b w:val="0"/>
        </w:rPr>
        <w:t>&lt;RepeatBlock-By&gt;</w:t>
      </w:r>
      <w:r>
        <w:rPr>
          <w:rStyle w:val="HideTWBExt"/>
          <w:b w:val="0"/>
        </w:rPr>
        <w:t>&lt;Members&gt;</w:t>
      </w:r>
      <w:r>
        <w:t>Lina Gálvez, Brando Benifei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5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 a.</w:t>
            </w:r>
            <w:r>
              <w:tab/>
            </w:r>
            <w:r>
              <w:rPr>
                <w:b/>
                <w:i/>
              </w:rPr>
              <w:t>Stresses the need to protect the EU framework on data and digital rights, as indicated in the European Declaration on Digital Rights and Principles for the Digital Decade. The agreement's provisions on free data flows need to be implemented according with the current level of protection in the EU to ensure robust protection of personal data;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46</w:t>
      </w:r>
      <w:r>
        <w:rPr>
          <w:rStyle w:val="HideTWBExt"/>
        </w:rPr>
        <w:t>&lt;/NumAm&gt;</w:t>
      </w:r>
    </w:p>
    <w:p>
      <w:pPr>
        <w:pStyle w:val="NormalBold"/>
      </w:pPr>
      <w:r>
        <w:rPr>
          <w:rStyle w:val="HideTWBExt"/>
          <w:b w:val="0"/>
        </w:rPr>
        <w:t>&lt;RepeatBlock-By&gt;</w:t>
      </w:r>
      <w:r>
        <w:rPr>
          <w:rStyle w:val="HideTWBExt"/>
          <w:b w:val="0"/>
        </w:rPr>
        <w:t>&lt;Members&gt;</w:t>
      </w:r>
      <w:r>
        <w:t>Vicent Marzà Ibáñez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Acknowledges that the provisions on source code in this agreement are slightly more advanced compared to previous agreements, further strengthening the role of source code protection; considers this vital in order to protect small and medium-sized enterprises and start-ups against forced technology transfers; recalls, in this regard, the EU’s strategic objectives of further industrialisation and technological sovereignty; underlines, however, the simultaneous need for regulatory oversight and policy space; </w:t>
            </w:r>
            <w:r>
              <w:rPr>
                <w:b/>
                <w:i/>
              </w:rPr>
              <w:t>welcomes the fact</w:t>
            </w:r>
            <w:r>
              <w:t xml:space="preserve"> that the agreement does not </w:t>
            </w:r>
            <w:r>
              <w:rPr>
                <w:b/>
                <w:i/>
              </w:rPr>
              <w:t>jeopardise the</w:t>
            </w:r>
            <w:r>
              <w:t xml:space="preserve"> enforcement of </w:t>
            </w:r>
            <w:r>
              <w:rPr>
                <w:b/>
                <w:i/>
              </w:rPr>
              <w:t>the EU’s digital rules</w:t>
            </w:r>
            <w:r>
              <w:t>;</w:t>
            </w:r>
          </w:p>
        </w:tc>
        <w:tc>
          <w:tcPr>
            <w:tcW w:w="4876" w:type="dxa"/>
            <w:tcBorders>
              <w:top w:val="nil"/>
              <w:left w:val="nil"/>
              <w:bottom w:val="nil"/>
              <w:right w:val="nil"/>
            </w:tcBorders>
          </w:tcPr>
          <w:p>
            <w:pPr>
              <w:pStyle w:val="Normal6a"/>
            </w:pPr>
            <w:r>
              <w:t>6.</w:t>
            </w:r>
            <w:r>
              <w:tab/>
            </w:r>
            <w:r>
              <w:t xml:space="preserve">Acknowledges that the provisions on source code in this agreement are slightly more advanced compared to previous agreements, further strengthening the role of source code protection; considers this vital in order to protect small and medium-sized enterprises and start-ups against forced technology transfers; recalls, in this regard, the EU’s strategic objectives of further industrialisation and technological sovereignty; underlines, however, the simultaneous need for regulatory oversight and policy space; </w:t>
            </w:r>
            <w:r>
              <w:rPr>
                <w:b/>
                <w:i/>
              </w:rPr>
              <w:t>notes that while the agreement bans foreign demands for EU companies’ source code to prevent IP theft, the current wording may limit regulators’ ability to enforce laws like the AI Act; regrets</w:t>
            </w:r>
            <w:r>
              <w:t xml:space="preserve"> that the agreement does not </w:t>
            </w:r>
            <w:r>
              <w:rPr>
                <w:b/>
                <w:i/>
              </w:rPr>
              <w:t>explicitly provide recognition to the role of civil society, researchers or trade unions in scrutiny of the possible negative impacts of algorithms; warns that restricted access to source code could hinder investigations into fraud and security risks, undermining consumer safety and trust; stresses that IP protection must not come at the expense of effective</w:t>
            </w:r>
            <w:r>
              <w:t xml:space="preserve"> enforcement of </w:t>
            </w:r>
            <w:r>
              <w:rPr>
                <w:b/>
                <w:i/>
              </w:rPr>
              <w:t>EU law</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47</w:t>
      </w:r>
      <w:r>
        <w:rPr>
          <w:rStyle w:val="HideTWBExt"/>
        </w:rPr>
        <w:t>&lt;/NumAm&gt;</w:t>
      </w:r>
    </w:p>
    <w:p>
      <w:pPr>
        <w:pStyle w:val="NormalBold"/>
      </w:pPr>
      <w:r>
        <w:rPr>
          <w:rStyle w:val="HideTWBExt"/>
          <w:b w:val="0"/>
        </w:rPr>
        <w:t>&lt;RepeatBlock-By&gt;</w:t>
      </w:r>
      <w:r>
        <w:rPr>
          <w:rStyle w:val="HideTWBExt"/>
          <w:b w:val="0"/>
        </w:rPr>
        <w:t>&lt;Members&gt;</w:t>
      </w:r>
      <w:r>
        <w:t>Martine Kemp</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Acknowledges that the provisions on source code in this agreement are slightly more advanced compared to previous agreements, further strengthening the role of source code protection; considers this vital in order to protect small and medium-sized enterprises and start-ups against forced technology transfers; recalls, in this regard, the EU’s strategic objectives of further industrialisation and technological sovereignty; underlines, however, the simultaneous need for regulatory oversight and policy space; welcomes the fact that the agreement does not jeopardise the enforcement of the EU’s digital rules;</w:t>
            </w:r>
          </w:p>
        </w:tc>
        <w:tc>
          <w:tcPr>
            <w:tcW w:w="4876" w:type="dxa"/>
            <w:tcBorders>
              <w:top w:val="nil"/>
              <w:left w:val="nil"/>
              <w:bottom w:val="nil"/>
              <w:right w:val="nil"/>
            </w:tcBorders>
          </w:tcPr>
          <w:p>
            <w:pPr>
              <w:pStyle w:val="Normal6a"/>
            </w:pPr>
            <w:r>
              <w:t>6.</w:t>
            </w:r>
            <w:r>
              <w:tab/>
            </w:r>
            <w:r>
              <w:t>Acknowledges that the provisions on source code in this agreement are slightly more advanced compared to previous agreements, further strengthening the role of source code protection; considers this vital in order to protect small and medium-sized enterprises and start-ups against forced technology transfers; </w:t>
            </w:r>
            <w:r>
              <w:rPr>
                <w:b/>
                <w:i/>
              </w:rPr>
              <w:t>emphasises the importance of ensuring SME can effectively participate in digital trade and benefit from fair market access ;</w:t>
            </w:r>
            <w:r>
              <w:t xml:space="preserve"> recalls, in this regard, the EU’s strategic objectives of further industrialisation and technological sovereignty; underlines, however, the simultaneous need for regulatory oversight and policy space; welcomes the fact that the agreement does not jeopardise the enforcement of the EU’s digital rules;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48</w:t>
      </w:r>
      <w:r>
        <w:rPr>
          <w:rStyle w:val="HideTWBExt"/>
        </w:rPr>
        <w:t>&lt;/NumAm&gt;</w:t>
      </w:r>
    </w:p>
    <w:p>
      <w:pPr>
        <w:pStyle w:val="NormalBold"/>
      </w:pPr>
      <w:r>
        <w:rPr>
          <w:rStyle w:val="HideTWBExt"/>
          <w:b w:val="0"/>
        </w:rPr>
        <w:t>&lt;RepeatBlock-By&gt;</w:t>
      </w:r>
      <w:r>
        <w:rPr>
          <w:rStyle w:val="HideTWBExt"/>
          <w:b w:val="0"/>
        </w:rPr>
        <w:t>&lt;Members&gt;</w:t>
      </w:r>
      <w:r>
        <w:t>Martin Schirdewan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Acknowledges that the provisions on source code in this agreement are slightly more advanced compared to previous agreements, further strengthening the role of source code protection; considers this vital in order to protect small and medium-sized enterprises and start-ups against forced technology transfers; recalls, in this regard, the EU’s strategic objectives of further industrialisation and technological sovereignty; underlines, however, the simultaneous need for regulatory oversight and policy space; </w:t>
            </w:r>
            <w:r>
              <w:rPr>
                <w:b/>
                <w:i/>
              </w:rPr>
              <w:t>welcomes the fact that the agreement does not jeopardise the enforcement of the EU’s digital rules;</w:t>
            </w:r>
          </w:p>
        </w:tc>
        <w:tc>
          <w:tcPr>
            <w:tcW w:w="4876" w:type="dxa"/>
            <w:tcBorders>
              <w:top w:val="nil"/>
              <w:left w:val="nil"/>
              <w:bottom w:val="nil"/>
              <w:right w:val="nil"/>
            </w:tcBorders>
          </w:tcPr>
          <w:p>
            <w:pPr>
              <w:pStyle w:val="Normal6a"/>
            </w:pPr>
            <w:r>
              <w:t>6.</w:t>
            </w:r>
            <w:r>
              <w:tab/>
            </w:r>
            <w:r>
              <w:t>Acknowledges that the provisions on source code in this agreement are slightly more advanced compared to previous agreements, further strengthening the role of source code protection; considers this vital in order to protect small and medium-sized enterprises and start-ups against forced technology transfers; recalls, in this regard, the EU’s strategic objectives of further industrialisation and technological sovereignty; underlines, however, the simultaneous need for regulatory oversight and policy space; </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49</w:t>
      </w:r>
      <w:r>
        <w:rPr>
          <w:rStyle w:val="HideTWBExt"/>
        </w:rPr>
        <w:t>&lt;/NumAm&gt;</w:t>
      </w:r>
    </w:p>
    <w:p>
      <w:pPr>
        <w:pStyle w:val="NormalBold"/>
      </w:pPr>
      <w:r>
        <w:rPr>
          <w:rStyle w:val="HideTWBExt"/>
          <w:b w:val="0"/>
        </w:rPr>
        <w:t>&lt;RepeatBlock-By&gt;</w:t>
      </w:r>
      <w:r>
        <w:rPr>
          <w:rStyle w:val="HideTWBExt"/>
          <w:b w:val="0"/>
        </w:rPr>
        <w:t>&lt;Members&gt;</w:t>
      </w:r>
      <w:r>
        <w:t>Martin Schirdewan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6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 a.</w:t>
            </w:r>
            <w:r>
              <w:tab/>
            </w:r>
            <w:r>
              <w:rPr>
                <w:b/>
                <w:i/>
              </w:rPr>
              <w:t>Is concerned that restrictions to government access to source code may negatively impact platform workers and the regulation of algorithmic systems in the workplace and risks entrenching corporate ownership of worker-generated data;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50</w:t>
      </w:r>
      <w:r>
        <w:rPr>
          <w:rStyle w:val="HideTWBExt"/>
        </w:rPr>
        <w:t>&lt;/NumAm&gt;</w:t>
      </w:r>
    </w:p>
    <w:p>
      <w:pPr>
        <w:pStyle w:val="NormalBold"/>
      </w:pPr>
      <w:r>
        <w:rPr>
          <w:rStyle w:val="HideTWBExt"/>
          <w:b w:val="0"/>
        </w:rPr>
        <w:t>&lt;RepeatBlock-By&gt;</w:t>
      </w:r>
      <w:r>
        <w:rPr>
          <w:rStyle w:val="HideTWBExt"/>
          <w:b w:val="0"/>
        </w:rPr>
        <w:t>&lt;Members&gt;</w:t>
      </w:r>
      <w:r>
        <w:t>Vicent Marzà Ibáñez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6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 a.</w:t>
            </w:r>
            <w:r>
              <w:tab/>
            </w:r>
            <w:r>
              <w:rPr>
                <w:b/>
                <w:i/>
              </w:rPr>
              <w:t>Stresses that the EU should act as a global standard-setter for rights-based digital governance, and not adopt deregulatory templates that undermine its own internal digital rulebook;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51</w:t>
      </w:r>
      <w:r>
        <w:rPr>
          <w:rStyle w:val="HideTWBExt"/>
        </w:rPr>
        <w:t>&lt;/NumAm&gt;</w:t>
      </w:r>
    </w:p>
    <w:p>
      <w:pPr>
        <w:pStyle w:val="NormalBold"/>
      </w:pPr>
      <w:r>
        <w:rPr>
          <w:rStyle w:val="HideTWBExt"/>
          <w:b w:val="0"/>
        </w:rPr>
        <w:t>&lt;RepeatBlock-By&gt;</w:t>
      </w:r>
      <w:r>
        <w:rPr>
          <w:rStyle w:val="HideTWBExt"/>
          <w:b w:val="0"/>
        </w:rPr>
        <w:t>&lt;Members&gt;</w:t>
      </w:r>
      <w:r>
        <w:t>Martin Schirdewan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6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 b.</w:t>
            </w:r>
            <w:r>
              <w:tab/>
            </w:r>
            <w:r>
              <w:rPr>
                <w:b/>
                <w:i/>
              </w:rPr>
              <w:t>Expresses its concern over the provisions to prohibit data localisation and restrictions on mandating specific standards or technologies which could undermine the EU’s efforts to achieve strategic autonomy in the digital sector; is worried that a prohibition on data localisation hinders access to data by regulators and public bodies in areas such as finance and law enforcement;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52</w:t>
      </w:r>
      <w:r>
        <w:rPr>
          <w:rStyle w:val="HideTWBExt"/>
        </w:rPr>
        <w:t>&lt;/NumAm&gt;</w:t>
      </w:r>
    </w:p>
    <w:p>
      <w:pPr>
        <w:pStyle w:val="NormalBold"/>
      </w:pPr>
      <w:r>
        <w:rPr>
          <w:rStyle w:val="HideTWBExt"/>
          <w:b w:val="0"/>
        </w:rPr>
        <w:t>&lt;RepeatBlock-By&gt;</w:t>
      </w:r>
      <w:r>
        <w:rPr>
          <w:rStyle w:val="HideTWBExt"/>
          <w:b w:val="0"/>
        </w:rPr>
        <w:t>&lt;Members&gt;</w:t>
      </w:r>
      <w:r>
        <w:t>Martin Schirdewan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6 c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 c.</w:t>
            </w:r>
            <w:r>
              <w:tab/>
            </w:r>
            <w:r>
              <w:rPr>
                <w:b/>
                <w:i/>
              </w:rPr>
              <w:t>Emphasizes that restrictions to government access to source code may hinder future regulatory efforts by extending protection beyond traditional software code to cover critical AI components such as training data and model parameters; is concerned that this effectively creates new intellectual property protections that restrict regulatory access to increasingly complex AI systems;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53</w:t>
      </w:r>
      <w:r>
        <w:rPr>
          <w:rStyle w:val="HideTWBExt"/>
        </w:rPr>
        <w:t>&lt;/NumAm&gt;</w:t>
      </w:r>
    </w:p>
    <w:p>
      <w:pPr>
        <w:pStyle w:val="NormalBold"/>
      </w:pPr>
      <w:r>
        <w:rPr>
          <w:rStyle w:val="HideTWBExt"/>
          <w:b w:val="0"/>
        </w:rPr>
        <w:t>&lt;RepeatBlock-By&gt;</w:t>
      </w:r>
      <w:r>
        <w:rPr>
          <w:rStyle w:val="HideTWBExt"/>
          <w:b w:val="0"/>
        </w:rPr>
        <w:t>&lt;Members&gt;</w:t>
      </w:r>
      <w:r>
        <w:t>Martin Schirdewan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6 c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 c.</w:t>
            </w:r>
            <w:r>
              <w:tab/>
            </w:r>
            <w:r>
              <w:rPr>
                <w:b/>
                <w:i/>
              </w:rPr>
              <w:t>Expresses its concern that provisions that restrict access to source code may weaken the accountability mechanisms of the Digital Services Act, the Digital Markets Act, and the AI Act, as the extensive investigative powers granted to the European Commission under these laws could be constrained by the limited exceptions in the agreement;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54</w:t>
      </w:r>
      <w:r>
        <w:rPr>
          <w:rStyle w:val="HideTWBExt"/>
        </w:rPr>
        <w:t>&lt;/NumAm&gt;</w:t>
      </w:r>
    </w:p>
    <w:p>
      <w:pPr>
        <w:pStyle w:val="NormalBold"/>
      </w:pPr>
      <w:r>
        <w:rPr>
          <w:rStyle w:val="HideTWBExt"/>
          <w:b w:val="0"/>
        </w:rPr>
        <w:t>&lt;RepeatBlock-By&gt;</w:t>
      </w:r>
      <w:r>
        <w:rPr>
          <w:rStyle w:val="HideTWBExt"/>
          <w:b w:val="0"/>
        </w:rPr>
        <w:t>&lt;Members&gt;</w:t>
      </w:r>
      <w:r>
        <w:t>Lina Gálvez, Brando Benifei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Stresses the strategic importance of this agreement, given Singapore’s position as a gateway to the wider ASEAN region</w:t>
            </w:r>
            <w:r>
              <w:rPr>
                <w:b/>
                <w:i/>
              </w:rPr>
              <w:t>;</w:t>
            </w:r>
            <w:r>
              <w:t xml:space="preserve"> considers this agreement to be a milestone in the EU’s ambition to shape global rules for digital trade, enabling the EU to advance its vision for the digital economy;</w:t>
            </w:r>
          </w:p>
        </w:tc>
        <w:tc>
          <w:tcPr>
            <w:tcW w:w="4876" w:type="dxa"/>
            <w:tcBorders>
              <w:top w:val="nil"/>
              <w:left w:val="nil"/>
              <w:bottom w:val="nil"/>
              <w:right w:val="nil"/>
            </w:tcBorders>
          </w:tcPr>
          <w:p>
            <w:pPr>
              <w:pStyle w:val="Normal6a"/>
            </w:pPr>
            <w:r>
              <w:t>7.</w:t>
            </w:r>
            <w:r>
              <w:tab/>
            </w:r>
            <w:r>
              <w:t xml:space="preserve">Stresses the strategic importance of this agreement, given Singapore’s position as a gateway to the wider ASEAN region </w:t>
            </w:r>
            <w:r>
              <w:rPr>
                <w:b/>
                <w:i/>
              </w:rPr>
              <w:t>and recognises that this agreement's impact extends beyond the EU to shape the digital rights landscape in Singapore and potentially other countries. Thus, asks for strong provisions on source code and data flows to protect digital rights.</w:t>
            </w:r>
            <w:r>
              <w:t xml:space="preserve"> Considers this agreement to be a milestone in the EU’s ambition to shape global rules for digital trade, enabling the EU to advance its vision for the digital economy;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55</w:t>
      </w:r>
      <w:r>
        <w:rPr>
          <w:rStyle w:val="HideTWBExt"/>
        </w:rPr>
        <w:t>&lt;/NumAm&gt;</w:t>
      </w:r>
    </w:p>
    <w:p>
      <w:pPr>
        <w:pStyle w:val="NormalBold"/>
      </w:pPr>
      <w:r>
        <w:rPr>
          <w:rStyle w:val="HideTWBExt"/>
          <w:b w:val="0"/>
        </w:rPr>
        <w:t>&lt;RepeatBlock-By&gt;</w:t>
      </w:r>
      <w:r>
        <w:rPr>
          <w:rStyle w:val="HideTWBExt"/>
          <w:b w:val="0"/>
        </w:rPr>
        <w:t>&lt;Members&gt;</w:t>
      </w:r>
      <w:r>
        <w:t>Waldemar Buda</w:t>
      </w:r>
      <w:r>
        <w:rPr>
          <w:rStyle w:val="HideTWBExt"/>
          <w:b w:val="0"/>
        </w:rPr>
        <w:t>&lt;/Members&gt;</w:t>
      </w:r>
    </w:p>
    <w:p>
      <w:r>
        <w:rPr>
          <w:rStyle w:val="HideTWBExt"/>
          <w:b w:val="0"/>
        </w:rPr>
        <w:t>&lt;AuNomDe&gt;</w:t>
      </w:r>
      <w:r>
        <w:rPr>
          <w:rStyle w:val="HideTWBInt"/>
        </w:rPr>
        <w:t>{ECR}</w:t>
      </w:r>
      <w:r>
        <w:t>on behalf of the ECR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Stresses the strategic importance of this agreement, given Singapore’s position as a gateway to the wider ASEAN region; considers this agreement to be a milestone in the EU’s ambition to shape global rules for digital trade, enabling the EU to advance its vision for the digital economy;</w:t>
            </w:r>
          </w:p>
        </w:tc>
        <w:tc>
          <w:tcPr>
            <w:tcW w:w="4876" w:type="dxa"/>
            <w:tcBorders>
              <w:top w:val="nil"/>
              <w:left w:val="nil"/>
              <w:bottom w:val="nil"/>
              <w:right w:val="nil"/>
            </w:tcBorders>
          </w:tcPr>
          <w:p>
            <w:pPr>
              <w:pStyle w:val="Normal6a"/>
            </w:pPr>
            <w:r>
              <w:t>7.</w:t>
            </w:r>
            <w:r>
              <w:tab/>
            </w:r>
            <w:r>
              <w:t xml:space="preserve">Stresses the strategic importance of this agreement, given Singapore’s position as a gateway to the wider ASEAN region; considers this agreement to be a milestone in the EU’s ambition to shape global rules for digital trade, enabling the EU to advance its vision for the digital economy; </w:t>
            </w:r>
            <w:r>
              <w:rPr>
                <w:b/>
                <w:i/>
              </w:rPr>
              <w:t>notes the Republic of Singapore’s previous experience in concluding bilateral agreements on digital trade;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56</w:t>
      </w:r>
      <w:r>
        <w:rPr>
          <w:rStyle w:val="HideTWBExt"/>
        </w:rPr>
        <w:t>&lt;/NumAm&gt;</w:t>
      </w:r>
    </w:p>
    <w:p>
      <w:pPr>
        <w:pStyle w:val="NormalBold"/>
      </w:pPr>
      <w:r>
        <w:rPr>
          <w:rStyle w:val="HideTWBExt"/>
          <w:b w:val="0"/>
        </w:rPr>
        <w:t>&lt;RepeatBlock-By&gt;</w:t>
      </w:r>
      <w:r>
        <w:rPr>
          <w:rStyle w:val="HideTWBExt"/>
          <w:b w:val="0"/>
        </w:rPr>
        <w:t>&lt;Members&gt;</w:t>
      </w:r>
      <w:r>
        <w:t>Martin Schirdewan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Stresses the strategic importance of this agreement, given Singapore’s position as a gateway to the wider ASEAN region; considers this agreement to be a milestone in the EU’s ambition to </w:t>
            </w:r>
            <w:r>
              <w:rPr>
                <w:b/>
                <w:i/>
              </w:rPr>
              <w:t>shape</w:t>
            </w:r>
            <w:r>
              <w:t xml:space="preserve"> global </w:t>
            </w:r>
            <w:r>
              <w:rPr>
                <w:b/>
                <w:i/>
              </w:rPr>
              <w:t>rules for</w:t>
            </w:r>
            <w:r>
              <w:t xml:space="preserve"> digital </w:t>
            </w:r>
            <w:r>
              <w:rPr>
                <w:b/>
                <w:i/>
              </w:rPr>
              <w:t>trade</w:t>
            </w:r>
            <w:r>
              <w:t>, enabling the EU to advance its vision for the digital economy;</w:t>
            </w:r>
          </w:p>
        </w:tc>
        <w:tc>
          <w:tcPr>
            <w:tcW w:w="4876" w:type="dxa"/>
            <w:tcBorders>
              <w:top w:val="nil"/>
              <w:left w:val="nil"/>
              <w:bottom w:val="nil"/>
              <w:right w:val="nil"/>
            </w:tcBorders>
          </w:tcPr>
          <w:p>
            <w:pPr>
              <w:pStyle w:val="Normal6a"/>
            </w:pPr>
            <w:r>
              <w:t>7.</w:t>
            </w:r>
            <w:r>
              <w:tab/>
            </w:r>
            <w:r>
              <w:t xml:space="preserve">Stresses the strategic importance of this agreement, given Singapore’s position as a gateway to the wider ASEAN region; considers this agreement to be a milestone in the EU’s ambition to </w:t>
            </w:r>
            <w:r>
              <w:rPr>
                <w:b/>
                <w:i/>
              </w:rPr>
              <w:t>act as a</w:t>
            </w:r>
            <w:r>
              <w:t xml:space="preserve"> global </w:t>
            </w:r>
            <w:r>
              <w:rPr>
                <w:b/>
                <w:i/>
              </w:rPr>
              <w:t>standard-setter for rights-based</w:t>
            </w:r>
            <w:r>
              <w:t xml:space="preserve"> digital </w:t>
            </w:r>
            <w:r>
              <w:rPr>
                <w:b/>
                <w:i/>
              </w:rPr>
              <w:t>governance</w:t>
            </w:r>
            <w:r>
              <w:t>, enabling the EU to advance its vision for the digital economy;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57</w:t>
      </w:r>
      <w:r>
        <w:rPr>
          <w:rStyle w:val="HideTWBExt"/>
        </w:rPr>
        <w:t>&lt;/NumAm&gt;</w:t>
      </w:r>
    </w:p>
    <w:p>
      <w:pPr>
        <w:pStyle w:val="NormalBold"/>
      </w:pPr>
      <w:r>
        <w:rPr>
          <w:rStyle w:val="HideTWBExt"/>
          <w:b w:val="0"/>
        </w:rPr>
        <w:t>&lt;RepeatBlock-By&gt;</w:t>
      </w:r>
      <w:r>
        <w:rPr>
          <w:rStyle w:val="HideTWBExt"/>
          <w:b w:val="0"/>
        </w:rPr>
        <w:t>&lt;Members&gt;</w:t>
      </w:r>
      <w:r>
        <w:t>Waldemar Buda</w:t>
      </w:r>
      <w:r>
        <w:rPr>
          <w:rStyle w:val="HideTWBExt"/>
          <w:b w:val="0"/>
        </w:rPr>
        <w:t>&lt;/Members&gt;</w:t>
      </w:r>
    </w:p>
    <w:p>
      <w:r>
        <w:rPr>
          <w:rStyle w:val="HideTWBExt"/>
          <w:b w:val="0"/>
        </w:rPr>
        <w:t>&lt;AuNomDe&gt;</w:t>
      </w:r>
      <w:r>
        <w:rPr>
          <w:rStyle w:val="HideTWBInt"/>
        </w:rPr>
        <w:t>{ECR}</w:t>
      </w:r>
      <w:r>
        <w:t>on behalf of the ECR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Underlines the significance of concluding bilateral agreements in the current geopolitical climate; calls, in this context, on the Commission and the Member States to explore possibilities for further digital trade agreements with other partners;</w:t>
            </w:r>
          </w:p>
        </w:tc>
        <w:tc>
          <w:tcPr>
            <w:tcW w:w="4876" w:type="dxa"/>
            <w:tcBorders>
              <w:top w:val="nil"/>
              <w:left w:val="nil"/>
              <w:bottom w:val="nil"/>
              <w:right w:val="nil"/>
            </w:tcBorders>
          </w:tcPr>
          <w:p>
            <w:pPr>
              <w:pStyle w:val="Normal6a"/>
            </w:pPr>
            <w:r>
              <w:t>8.</w:t>
            </w:r>
            <w:r>
              <w:tab/>
            </w:r>
            <w:r>
              <w:t xml:space="preserve">Underlines the significance of concluding bilateral agreements in the current geopolitical climate; calls, in this context, on the Commission and the Member States to explore possibilities for further digital trade agreements with other partners </w:t>
            </w:r>
            <w:r>
              <w:rPr>
                <w:b/>
                <w:i/>
              </w:rPr>
              <w:t>modelled on the Agreement on Digital Trade between the European Union and the Republic of Singapore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58</w:t>
      </w:r>
      <w:r>
        <w:rPr>
          <w:rStyle w:val="HideTWBExt"/>
        </w:rPr>
        <w:t>&lt;/NumAm&gt;</w:t>
      </w:r>
    </w:p>
    <w:p>
      <w:pPr>
        <w:pStyle w:val="NormalBold"/>
      </w:pPr>
      <w:r>
        <w:rPr>
          <w:rStyle w:val="HideTWBExt"/>
          <w:b w:val="0"/>
        </w:rPr>
        <w:t>&lt;RepeatBlock-By&gt;</w:t>
      </w:r>
      <w:r>
        <w:rPr>
          <w:rStyle w:val="HideTWBExt"/>
          <w:b w:val="0"/>
        </w:rPr>
        <w:t>&lt;Members&gt;</w:t>
      </w:r>
      <w:r>
        <w:t>Martin Schirdewan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9.</w:t>
            </w:r>
            <w:r>
              <w:tab/>
            </w:r>
            <w:r>
              <w:rPr>
                <w:b/>
                <w:i/>
              </w:rPr>
              <w:t>Recalls that the opinion of the European Data Protection Supervisor includes recommendations regarding specific wording on personal data and privacy in the agreement; calls on the Commission to derive insights from these recommendations when drafting future digital trade agreements;</w:t>
            </w:r>
          </w:p>
        </w:tc>
        <w:tc>
          <w:tcPr>
            <w:tcW w:w="4876" w:type="dxa"/>
            <w:tcBorders>
              <w:top w:val="nil"/>
              <w:left w:val="nil"/>
              <w:bottom w:val="nil"/>
              <w:right w:val="nil"/>
            </w:tcBorders>
          </w:tcPr>
          <w:p>
            <w:pPr>
              <w:pStyle w:val="Normal6a"/>
            </w:pPr>
            <w:r>
              <w:rPr>
                <w:b/>
                <w:i/>
              </w:rPr>
              <w:t>deleted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59</w:t>
      </w:r>
      <w:r>
        <w:rPr>
          <w:rStyle w:val="HideTWBExt"/>
        </w:rPr>
        <w:t>&lt;/NumAm&gt;</w:t>
      </w:r>
    </w:p>
    <w:p>
      <w:pPr>
        <w:pStyle w:val="NormalBold"/>
      </w:pPr>
      <w:r>
        <w:rPr>
          <w:rStyle w:val="HideTWBExt"/>
          <w:b w:val="0"/>
        </w:rPr>
        <w:t>&lt;RepeatBlock-By&gt;</w:t>
      </w:r>
      <w:r>
        <w:rPr>
          <w:rStyle w:val="HideTWBExt"/>
          <w:b w:val="0"/>
        </w:rPr>
        <w:t>&lt;Members&gt;</w:t>
      </w:r>
      <w:r>
        <w:t>Lina Gálvez, Brando Benifei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Recalls that the opinion of the European Data Protection Supervisor includes recommendations regarding specific wording on personal data and privacy in the agreement; calls on the Commission to derive insights from these recommendations when drafting future digital trade agreements;</w:t>
            </w:r>
          </w:p>
        </w:tc>
        <w:tc>
          <w:tcPr>
            <w:tcW w:w="4876" w:type="dxa"/>
            <w:tcBorders>
              <w:top w:val="nil"/>
              <w:left w:val="nil"/>
              <w:bottom w:val="nil"/>
              <w:right w:val="nil"/>
            </w:tcBorders>
          </w:tcPr>
          <w:p>
            <w:pPr>
              <w:pStyle w:val="Normal6a"/>
            </w:pPr>
            <w:r>
              <w:t>9.</w:t>
            </w:r>
            <w:r>
              <w:tab/>
            </w:r>
            <w:r>
              <w:t xml:space="preserve">Recalls that the opinion of the European Data Protection Supervisor includes recommendations regarding specific wording on personal data and privacy in the agreement </w:t>
            </w:r>
            <w:r>
              <w:rPr>
                <w:b/>
                <w:i/>
              </w:rPr>
              <w:t>to reinforce EU laws protecting privacy and related to data protection in cases of trade disputes; calls on the Commission to consider ways in which it could complement the Digital Trade Agreement by increasing convergence between the EU and Singaporean data protection regimes</w:t>
            </w:r>
            <w:r>
              <w:t xml:space="preserve">; calls on the Commission to derive insights from these recommendations when </w:t>
            </w:r>
            <w:r>
              <w:rPr>
                <w:b/>
                <w:i/>
              </w:rPr>
              <w:t>implementing this agreement and when</w:t>
            </w:r>
            <w:r>
              <w:t xml:space="preserve"> drafting future digital trade agreements;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60</w:t>
      </w:r>
      <w:r>
        <w:rPr>
          <w:rStyle w:val="HideTWBExt"/>
        </w:rPr>
        <w:t>&lt;/NumAm&gt;</w:t>
      </w:r>
    </w:p>
    <w:p>
      <w:pPr>
        <w:pStyle w:val="NormalBold"/>
      </w:pPr>
      <w:r>
        <w:rPr>
          <w:rStyle w:val="HideTWBExt"/>
          <w:b w:val="0"/>
        </w:rPr>
        <w:t>&lt;RepeatBlock-By&gt;</w:t>
      </w:r>
      <w:r>
        <w:rPr>
          <w:rStyle w:val="HideTWBExt"/>
          <w:b w:val="0"/>
        </w:rPr>
        <w:t>&lt;Members&gt;</w:t>
      </w:r>
      <w:r>
        <w:t>Vicent Marzà Ibáñez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Recalls that the opinion of the European Data Protection Supervisor includes recommendations regarding specific wording on personal data and privacy </w:t>
            </w:r>
            <w:r>
              <w:rPr>
                <w:b/>
                <w:i/>
              </w:rPr>
              <w:t>in the agreement</w:t>
            </w:r>
            <w:r>
              <w:t>; calls on the Commission to derive insights from these recommendations when drafting future digital trade agreements;</w:t>
            </w:r>
          </w:p>
        </w:tc>
        <w:tc>
          <w:tcPr>
            <w:tcW w:w="4876" w:type="dxa"/>
            <w:tcBorders>
              <w:top w:val="nil"/>
              <w:left w:val="nil"/>
              <w:bottom w:val="nil"/>
              <w:right w:val="nil"/>
            </w:tcBorders>
          </w:tcPr>
          <w:p>
            <w:pPr>
              <w:pStyle w:val="Normal6a"/>
            </w:pPr>
            <w:r>
              <w:t>9.</w:t>
            </w:r>
            <w:r>
              <w:tab/>
            </w:r>
            <w:r>
              <w:t xml:space="preserve">Recalls that the opinion of the European Data Protection Supervisor includes recommendations regarding specific wording on personal data and privacy </w:t>
            </w:r>
            <w:r>
              <w:rPr>
                <w:b/>
                <w:i/>
              </w:rPr>
              <w:t>that should be taken into account in future digital trade agreements</w:t>
            </w:r>
            <w:r>
              <w:t>; calls on the Commission to derive insights from these recommendations when drafting future digital trade agreements;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61</w:t>
      </w:r>
      <w:r>
        <w:rPr>
          <w:rStyle w:val="HideTWBExt"/>
        </w:rPr>
        <w:t>&lt;/NumAm&gt;</w:t>
      </w:r>
    </w:p>
    <w:p>
      <w:pPr>
        <w:pStyle w:val="NormalBold"/>
      </w:pPr>
      <w:r>
        <w:rPr>
          <w:rStyle w:val="HideTWBExt"/>
          <w:b w:val="0"/>
        </w:rPr>
        <w:t>&lt;RepeatBlock-By&gt;</w:t>
      </w:r>
      <w:r>
        <w:rPr>
          <w:rStyle w:val="HideTWBExt"/>
          <w:b w:val="0"/>
        </w:rPr>
        <w:t>&lt;Members&gt;</w:t>
      </w:r>
      <w:r>
        <w:t>Martin Schirdewan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9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 a.</w:t>
            </w:r>
            <w:r>
              <w:tab/>
            </w:r>
            <w:r>
              <w:rPr>
                <w:b/>
                <w:i/>
              </w:rPr>
              <w:t>Calls on the Commission to modernise the EU digital trade framework by developing a future-proof digital trade policy that safeguards regulatory autonomy, ensures democratic oversight, and adapts to technological change;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62</w:t>
      </w:r>
      <w:r>
        <w:rPr>
          <w:rStyle w:val="HideTWBExt"/>
        </w:rPr>
        <w:t>&lt;/NumAm&gt;</w:t>
      </w:r>
    </w:p>
    <w:p>
      <w:pPr>
        <w:pStyle w:val="NormalBold"/>
      </w:pPr>
      <w:r>
        <w:rPr>
          <w:rStyle w:val="HideTWBExt"/>
          <w:b w:val="0"/>
        </w:rPr>
        <w:t>&lt;RepeatBlock-By&gt;</w:t>
      </w:r>
      <w:r>
        <w:rPr>
          <w:rStyle w:val="HideTWBExt"/>
          <w:b w:val="0"/>
        </w:rPr>
        <w:t>&lt;Members&gt;</w:t>
      </w:r>
      <w:r>
        <w:t>Martin Schirdewan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9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 b.</w:t>
            </w:r>
            <w:r>
              <w:tab/>
            </w:r>
            <w:r>
              <w:rPr>
                <w:b/>
                <w:i/>
              </w:rPr>
              <w:t>Calls on the Commission to eliminate all restrictions on access to source code and algorithms in trade agreements. Urges the inclusion of language supporting transparency, auditability, and algorithmic accountability as essential regulatory principles; </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63</w:t>
      </w:r>
      <w:r>
        <w:rPr>
          <w:rStyle w:val="HideTWBExt"/>
        </w:rPr>
        <w:t>&lt;/NumAm&gt;</w:t>
      </w:r>
    </w:p>
    <w:p>
      <w:pPr>
        <w:pStyle w:val="NormalBold"/>
      </w:pPr>
      <w:r>
        <w:rPr>
          <w:rStyle w:val="HideTWBExt"/>
          <w:b w:val="0"/>
        </w:rPr>
        <w:t>&lt;RepeatBlock-By&gt;</w:t>
      </w:r>
      <w:r>
        <w:rPr>
          <w:rStyle w:val="HideTWBExt"/>
          <w:b w:val="0"/>
        </w:rPr>
        <w:t>&lt;Members&gt;</w:t>
      </w:r>
      <w:r>
        <w:t>Martin Schirdewan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9 c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 c.</w:t>
            </w:r>
            <w:r>
              <w:tab/>
            </w:r>
            <w:r>
              <w:rPr>
                <w:b/>
                <w:i/>
              </w:rPr>
              <w:t>Calls on the Commission to replace ‘free flow of data’ provisions with adequacy-based transfer mechanisms aligned with EU standards, including mutual recognition pathways, regulatory convergence, and compliance monitoring;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64</w:t>
      </w:r>
      <w:r>
        <w:rPr>
          <w:rStyle w:val="HideTWBExt"/>
        </w:rPr>
        <w:t>&lt;/NumAm&gt;</w:t>
      </w:r>
    </w:p>
    <w:p>
      <w:pPr>
        <w:pStyle w:val="NormalBold"/>
      </w:pPr>
      <w:r>
        <w:rPr>
          <w:rStyle w:val="HideTWBExt"/>
          <w:b w:val="0"/>
        </w:rPr>
        <w:t>&lt;RepeatBlock-By&gt;</w:t>
      </w:r>
      <w:r>
        <w:rPr>
          <w:rStyle w:val="HideTWBExt"/>
          <w:b w:val="0"/>
        </w:rPr>
        <w:t>&lt;Members&gt;</w:t>
      </w:r>
      <w:r>
        <w:t>Martin Schirdewan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9 d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 d.</w:t>
            </w:r>
            <w:r>
              <w:tab/>
            </w:r>
            <w:r>
              <w:rPr>
                <w:b/>
                <w:i/>
              </w:rPr>
              <w:t>Calls on the Commission to safeguard strategic digital autonomy through localisation carve-outs, including European data spaces and domestic infrastructure in key sectors, as recommended by the European Data Protection Supervisor;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65</w:t>
      </w:r>
      <w:r>
        <w:rPr>
          <w:rStyle w:val="HideTWBExt"/>
        </w:rPr>
        <w:t>&lt;/NumAm&gt;</w:t>
      </w:r>
    </w:p>
    <w:p>
      <w:pPr>
        <w:pStyle w:val="NormalBold"/>
      </w:pPr>
      <w:r>
        <w:rPr>
          <w:rStyle w:val="HideTWBExt"/>
          <w:b w:val="0"/>
        </w:rPr>
        <w:t>&lt;RepeatBlock-By&gt;</w:t>
      </w:r>
      <w:r>
        <w:rPr>
          <w:rStyle w:val="HideTWBExt"/>
          <w:b w:val="0"/>
        </w:rPr>
        <w:t>&lt;Members&gt;</w:t>
      </w:r>
      <w:r>
        <w:t>Martin Schirdewan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9 e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 e.</w:t>
            </w:r>
            <w:r>
              <w:tab/>
            </w:r>
            <w:r>
              <w:rPr>
                <w:b/>
                <w:i/>
              </w:rPr>
              <w:t>Calls for an expert-led policy review of digital trade commitments to ensure consistency with EU regulation. Urges a moratorium on new digital trade negotiations until the review concludes, and the establishment of clear criteria and consultation mechanisms for future talks;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775.729</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32</w:t>
    </w:r>
    <w:r>
      <w:fldChar w:fldCharType="end"/>
    </w:r>
    <w:r>
      <w:t>/</w:t>
    </w:r>
    <w:r>
      <w:fldChar w:fldCharType="begin"/>
    </w:r>
    <w:r>
      <w:instrText xml:space="preserve"> NUMPAGES </w:instrText>
    </w:r>
    <w:r>
      <w:fldChar w:fldCharType="separate"/>
    </w:r>
    <w:r>
      <w:t>33</w:t>
    </w:r>
    <w:r>
      <w:fldChar w:fldCharType="end"/>
    </w:r>
    <w:r>
      <w:tab/>
    </w:r>
    <w:r>
      <w:rPr>
        <w:rStyle w:val="HideTWBExt"/>
      </w:rPr>
      <w:t>&lt;PathFdR&gt;</w:t>
    </w:r>
    <w:r>
      <w:t>AM\1325574EN.docx</w:t>
    </w:r>
    <w:r>
      <w:rPr>
        <w:rStyle w:val="HideTWBExt"/>
      </w:rPr>
      <w:t>&lt;/PathFdR&gt;</w:t>
    </w:r>
  </w:p>
  <w:p>
    <w:pPr>
      <w:pStyle w:val="EPFooter2"/>
    </w:pPr>
    <w:r>
      <w:t>EN</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AM\1325574EN.docx</w:t>
    </w:r>
    <w:r>
      <w:rPr>
        <w:rStyle w:val="HideTWBExt"/>
      </w:rPr>
      <w:t>&lt;/PathFdR&gt;</w:t>
    </w:r>
    <w:r>
      <w:tab/>
    </w:r>
    <w:r>
      <w:fldChar w:fldCharType="begin"/>
    </w:r>
    <w:r>
      <w:instrText xml:space="preserve"> PAGE </w:instrText>
    </w:r>
    <w:r>
      <w:fldChar w:fldCharType="separate"/>
    </w:r>
    <w:r>
      <w:t>33</w:t>
    </w:r>
    <w:r>
      <w:fldChar w:fldCharType="end"/>
    </w:r>
    <w:r>
      <w:t>/</w:t>
    </w:r>
    <w:r>
      <w:fldChar w:fldCharType="begin"/>
    </w:r>
    <w:r>
      <w:instrText xml:space="preserve"> NUMPAGES </w:instrText>
    </w:r>
    <w:r>
      <w:fldChar w:fldCharType="separate"/>
    </w:r>
    <w:r>
      <w:t>33</w:t>
    </w:r>
    <w:r>
      <w:fldChar w:fldCharType="end"/>
    </w:r>
    <w:r>
      <w:tab/>
    </w:r>
    <w:r>
      <w:t>PE</w:t>
    </w:r>
    <w:r>
      <w:rPr>
        <w:rStyle w:val="HideTWBExt"/>
      </w:rPr>
      <w:t>&lt;NoPE&gt;</w:t>
    </w:r>
    <w:r>
      <w:t>775.729</w:t>
    </w:r>
    <w:r>
      <w:rPr>
        <w:rStyle w:val="HideTWBExt"/>
      </w:rPr>
      <w:t>&lt;/NoPE&gt;</w:t>
    </w:r>
    <w:r>
      <w:rPr>
        <w:rStyle w:val="HideTWBExt"/>
      </w:rPr>
      <w:t>&lt;Version&gt;</w:t>
    </w:r>
    <w:r>
      <w:t>v01-00</w:t>
    </w:r>
    <w:r>
      <w:rPr>
        <w:rStyle w:val="HideTWBExt"/>
      </w:rPr>
      <w:t>&lt;/Version&gt;</w:t>
    </w:r>
  </w:p>
  <w:p>
    <w:pPr>
      <w:pStyle w:val="EPFooter2"/>
    </w:pPr>
    <w:r>
      <w:tab/>
    </w:r>
    <w:r>
      <w:tab/>
    </w:r>
    <w:r>
      <w:t>EN</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AM\1325574EN.docx</w:t>
    </w:r>
    <w:r>
      <w:rPr>
        <w:rStyle w:val="HideTWBExt"/>
      </w:rPr>
      <w:t>&lt;/PathFdR&gt;</w:t>
    </w:r>
    <w:r>
      <w:tab/>
    </w:r>
    <w:r>
      <w:tab/>
    </w:r>
    <w:r>
      <w:t>PE</w:t>
    </w:r>
    <w:r>
      <w:rPr>
        <w:rStyle w:val="HideTWBExt"/>
      </w:rPr>
      <w:t>&lt;NoPE&gt;</w:t>
    </w:r>
    <w:r>
      <w:t>775.729</w:t>
    </w:r>
    <w:r>
      <w:rPr>
        <w:rStyle w:val="HideTWBExt"/>
      </w:rPr>
      <w:t>&lt;/NoPE&gt;</w:t>
    </w:r>
    <w:r>
      <w:rPr>
        <w:rStyle w:val="HideTWBExt"/>
      </w:rPr>
      <w:t>&lt;Version&gt;</w:t>
    </w:r>
    <w:r>
      <w:t>v01-00</w:t>
    </w:r>
    <w:r>
      <w:rPr>
        <w:rStyle w:val="HideTWBExt"/>
      </w:rPr>
      <w:t>&lt;/Version&gt;</w:t>
    </w:r>
  </w:p>
  <w:p>
    <w:pPr>
      <w:pStyle w:val="EPFooter2"/>
    </w:pPr>
    <w:r>
      <w:t>EN</w:t>
    </w:r>
    <w:r>
      <w:tab/>
    </w:r>
    <w:r>
      <w:rPr>
        <w:rStyle w:val="EPFooter2Motto"/>
      </w:rPr>
      <w:t>United in diversity</w:t>
    </w:r>
    <w:r>
      <w:tab/>
    </w:r>
    <w:r>
      <w:t>EN</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140430 HideTWBExt;}{\s16\qr \li0\ri0\sb240\sa240\nowidctlpar\wrapdefault\aspalpha\aspnum\faauto\adjustright\rin0\lin0\itap0 \rtlch\fcs1 \af0\afs20\alang1025 \ltrch\fcs0 &#13;_x000a_\fs24\lang2057\langfe2057\cgrid\langnp2057\langfenp2057 \sbasedon0 \snext16 \spriority0 \styrsid1140430 AmOrLang;}{\s17\ql \li0\ri0\sa120\nowidctlpar\wrapdefault\aspalpha\aspnum\faauto\adjustright\rin0\lin0\itap0 \rtlch\fcs1 \af0\afs20\alang1025 &#13;_x000a_\ltrch\fcs0 \fs24\lang2057\langfe2057\cgrid\langnp2057\langfenp2057 \sbasedon0 \snext17 \spriority0 \styrsid1140430 Normal6a;}{\s18\ql \li0\ri0\nowidctlpar\wrapdefault\aspalpha\aspnum\faauto\adjustright\rin0\lin0\itap0 \rtlch\fcs1 \af0\afs20\alang1025 &#13;_x000a_\ltrch\fcs0 \b\fs24\lang2057\langfe2057\cgrid\langnp2057\langfenp2057 \sbasedon0 \snext18 \spriority0 \styrsid1140430 NormalBold;}{\s19\qc \li0\ri0\sa240\nowidctlpar\wrapdefault\aspalpha\aspnum\faauto\adjustright\rin0\lin0\itap0 \rtlch\fcs1 &#13;_x000a_\af0\afs20\alang1025 \ltrch\fcs0 \i\fs24\lang2057\langfe2057\cgrid\langnp2057\langfenp2057 \sbasedon0 \snext19 \spriority0 \styrsid1140430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1140430 AmNumberTabs;}}{\*\rsidtbl \rsid24658\rsid358857\rsid735077\rsid787282\rsid1140430\rsid2892074\rsid3622648\rsid4666813\rsid5708216&#13;_x000a_\rsid6641733\rsid7553164\rsid8465581\rsid8681905\rsid8724649\rsid9636012\rsid9862312\rsid11215221\rsid11370291\rsid11434737\rsid11607138\rsid11824949\rsid12154954\rsid12213393\rsid14424199\rsid15204470\rsid15285974\rsid15535219\rsid15950462\rsid16324206&#13;_x000a_\rsid16662270}{\mmathPr\mmathFont34\mbrkBin0\mbrkBinSub0\msmallFrac0\mdispDef1\mlMargin0\mrMargin0\mdefJc1\mwrapIndent1440\mintLim0\mnaryLim1}{\info{\author FELIX Karina}{\operator FELIX Karina}{\creatim\yr2019\mo7\dy3\hr17\min21}&#13;_x000a_{\revtim\yr2019\mo7\dy3\hr17\min21}{\version1}{\edmins0}{\nofpages1}{\nofwords25}{\nofchars291}{\*\company European Parliament}{\nofcharsws29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14043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2213393 &#13;_x000a_\chftnsep &#13;_x000a_\par }}{\*\ftnsepc \ltrpar \pard\plain \ltrpar\ql \li0\ri0\widctlpar\wrapdefault\aspalpha\aspnum\faauto\adjustright\rin0\lin0\itap0 \rtlch\fcs1 \af0\afs20\alang1025 \ltrch\fcs0 \fs24\lang2057\langfe2057\cgrid\langnp2057\langfenp2057 {\rtlch\fcs1 \af0 &#13;_x000a_\ltrch\fcs0 \insrsid12213393 \chftnsepc &#13;_x000a_\par }}{\*\aftnsep \ltrpar \pard\plain \ltrpar\ql \li0\ri0\widctlpar\wrapdefault\aspalpha\aspnum\faauto\adjustright\rin0\lin0\itap0 \rtlch\fcs1 \af0\afs20\alang1025 \ltrch\fcs0 \fs24\lang2057\langfe2057\cgrid\langnp2057\langfenp2057 {\rtlch\fcs1 \af0 &#13;_x000a_\ltrch\fcs0 \insrsid12213393 \chftnsep &#13;_x000a_\par }}{\*\aftnsepc \ltrpar \pard\plain \ltrpar\ql \li0\ri0\widctlpar\wrapdefault\aspalpha\aspnum\faauto\adjustright\rin0\lin0\itap0 \rtlch\fcs1 \af0\afs20\alang1025 \ltrch\fcs0 \fs24\lang2057\langfe2057\cgrid\langnp2057\langfenp2057 {\rtlch\fcs1 \af0 &#13;_x000a_\ltrch\fcs0 \insrsid1221339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1140430 \rtlch\fcs1 \af0\afs20\alang1025 \ltrch\fcs0 \b\fs24\lang2057\langfe2057\cgrid\langnp2057\langfenp2057 {\rtlch\fcs1 \af0 \ltrch\fcs0 \cs15\b0\v\f1\fs20\cf9\lang1024\langfe1024\noproof\insrsid1140430\charrsid4417459 &#13;_x000a_{\*\bkmkstart restart}&lt;Amend&gt;}{\rtlch\fcs1 \af0 \ltrch\fcs0 \insrsid1140430\charrsid1799708 [ZAMENDMENT]}{\rtlch\fcs1 \af0 \ltrch\fcs0 \insrsid1140430 \tab \tab }{\rtlch\fcs1 \af0 \ltrch\fcs0 &#13;_x000a_\cs15\b0\v\f1\fs20\cf9\lang1024\langfe1024\noproof\insrsid1140430\charrsid4417459 &lt;NumAm&gt;}{\rtlch\fcs1 \af0 \ltrch\fcs0 \insrsid1140430\charrsid1799708 [ZNRAM]}{\rtlch\fcs1 \af0 \ltrch\fcs0 &#13;_x000a_\cs15\b0\v\f1\fs20\cf9\lang1024\langfe1024\noproof\insrsid1140430\charrsid4417459 &lt;/NumAm&gt;}{\rtlch\fcs1 \af0 \ltrch\fcs0 \insrsid1140430\charrsid4080556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14699840 &lt;RepeatBlock-By&gt;}{\rtlch\fcs1 \af0 \ltrch\fcs0 \lang1024\langfe1024\noproof\insrsid1140430\charrsid14699840 [RepeatMembers]}{\rtlch\fcs1 \af0 \ltrch\fcs0 &#13;_x000a_\cs15\b0\v\f1\fs20\cf9\lang1024\langfe1024\noproof\insrsid1140430\charrsid14699840 &lt;Members&gt;}{\rtlch\fcs1 \af0 \ltrch\fcs0 \insrsid1140430\charrsid14699840 [ZMEMBERS]}{\rtlch\fcs1 \af0 \ltrch\fcs0 &#13;_x000a_\cs15\b0\v\f1\fs20\cf9\lang1024\langfe1024\noproof\insrsid1140430\charrsid14699840 &lt;/Members&gt;}{\rtlch\fcs1 \af0 \ltrch\fcs0 \insrsid1140430\charrsid14699840 &#13;_x000a_\par }\pard\plain \ltrpar\ql \li0\ri0\widctlpar\wrapdefault\aspalpha\aspnum\faauto\adjustright\rin0\lin0\itap0\pararsid1140430 \rtlch\fcs1 \af0\afs20\alang1025 \ltrch\fcs0 \fs24\lang2057\langfe2057\cgrid\langnp2057\langfenp2057 {\rtlch\fcs1 \af0 \ltrch\fcs0 &#13;_x000a_\cs15\v\f1\fs20\cf9\lang1024\langfe1024\noproof\langnp1043\insrsid1140430\charrsid14424489 &lt;AuNomDe&gt;&lt;OptDel&gt;}{\rtlch\fcs1 \af0 \ltrch\fcs0 \lang1043\langfe2057\langnp1043\insrsid1140430\charrsid14424489 [ZONBEHALF]}{\rtlch\fcs1 \af0 \ltrch\fcs0 &#13;_x000a_\cs15\v\f1\fs20\cf9\lang1024\langfe1024\noproof\langnp1043\insrsid1140430\charrsid14424489 &lt;/OptDel&gt;&lt;/AuNomDe&gt;}{\rtlch\fcs1 \af0 \ltrch\fcs0 \lang1043\langfe2057\langnp1043\insrsid1140430\charrsid14424489 &#13;_x000a_\par }{\rtlch\fcs1 \af0 \ltrch\fcs0 \insrsid1140430\charrsid14699840 &lt;&lt;&lt;}{\rtlch\fcs1 \af0 \ltrch\fcs0 \cs15\v\f1\fs20\cf9\lang1024\langfe1024\noproof\insrsid1140430\charrsid14699840 &lt;/RepeatBlock-By&gt;}{\rtlch\fcs1 \af0 \ltrch\fcs0 &#13;_x000a_\insrsid1140430\charrsid14699840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4737239 &lt;DocAmend&gt;}{\rtlch\fcs1 \af0 \ltrch\fcs0 \insrsid1140430\charrsid1799708 [Z}{\rtlch\fcs1 \af0 \ltrch\fcs0 \insrsid1140430 AMDOC}{\rtlch\fcs1 \af0 \ltrch\fcs0 &#13;_x000a_\insrsid1140430\charrsid1799708 ]}{\rtlch\fcs1 \af0 \ltrch\fcs0 \cs15\b0\v\f1\fs20\cf9\lang1024\langfe1024\noproof\insrsid1140430\charrsid4737239 &lt;/DocAmend&gt;}{\rtlch\fcs1 \af0 \ltrch\fcs0 \insrsid1140430\charrsid1799708 &#13;_x000a_\par }{\rtlch\fcs1 \af0 \ltrch\fcs0 \cs15\b0\v\f1\fs20\cf9\lang1024\langfe1024\noproof\insrsid1140430\charrsid1799708 &lt;Article&gt;}{\rtlch\fcs1 \af0 \ltrch\fcs0 \insrsid1140430\charrsid1799708 [ZAMPART]}{\rtlch\fcs1 \af0 \ltrch\fcs0 &#13;_x000a_\cs15\b0\v\f1\fs20\cf9\lang1024\langfe1024\noproof\insrsid1140430\charrsid1799708 &lt;/Article&gt;}{\rtlch\fcs1 \af0 \ltrch\fcs0 \insrsid1140430\charrsid1799708 &#13;_x000a_\par \ltrrow}\trowd \irow0\irowband0\ltrrow\ts11\trqc\trgaph340\trleft-340\trftsWidth3\trwWidth9752\trftsWidthB3\trpaddl340\trpaddr340\trpaddfl3\trpaddft3\trpaddfb3\trpaddfr3\tblrsid7949889\tblind0\tblindtype3 \clvertalt\clbrdrt\brdrtbl \clbrdrl\brdrtbl &#13;_x000a_\clbrdrb\brdrtbl \clbrdrr\brdrtbl \cltxlrtb\clftsWidth3\clwWidth9752\clshdrawnil \cellx9412\pard\plain \ltrpar\ql \li0\ri0\keepn\widctlpar\intbl\wrapdefault\aspalpha\aspnum\faauto\adjustright\rin0\lin0\pararsid13053803 \rtlch\fcs1 \af0\afs20\alang1025 &#13;_x000a_\ltrch\fcs0 \fs24\lang2057\langfe2057\cgrid\langnp2057\langfenp2057 {\rtlch\fcs1 \af0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0\irowband0\ltrrow&#13;_x000a_\ts11\trqc\trgaph340\trleft-340\trftsWidth3\trwWidth9752\trftsWidthB3\trpaddl340\trpaddr340\trpaddfl3\trpaddft3\trpaddfb3\trpaddfr3\tblrsid7949889\tblind0\tblindtype3 \clvertalt\clbrdrt\brdrtbl \clbrdrl\brdrtbl \clbrdrb\brdrtbl \clbrdrr\brdrtbl &#13;_x000a_\cltxlrtb\clftsWidth3\clwWidth9752\clshdrawnil \cellx9412\row \ltrrow}\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19\qc \li0\ri0\sa240\keepn\nowidctlpar\intbl\wrapdefault\aspalpha\aspnum\faauto\adjustright\rin0\lin0\pararsid13053803 \rtlch\fcs1 \af0\afs20\alang1025 \ltrch\fcs0 \i\fs24\lang2057\langfe2057\cgrid\langnp2057\langfenp2057 {\rtlch\fcs1 \af0 \ltrch\fcs0 &#13;_x000a_\insrsid1140430\charrsid1799708 [ZLEFT]\cell [ZRIGHT]\cell }\pard\plain \ltrpar\ql \li0\ri0\widctlpar\intbl\wrapdefault\aspalpha\aspnum\faauto\adjustright\rin0\lin0 \rtlch\fcs1 \af0\afs20\alang1025 \ltrch\fcs0 &#13;_x000a_\fs24\lang2057\langfe2057\cgrid\langnp2057\langfenp2057 {\rtlch\fcs1 \af0 \ltrch\fcs0 \insrsid1140430\charrsid1799708 \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7\ql \li0\ri0\sa120\nowidctlpar\intbl\wrapdefault\aspalpha\aspnum\faauto\adjustright\rin0\lin0\pararsid7949889 \rtlch\fcs1 \af0\afs20\alang1025 \ltrch\fcs0 \fs24\lang2057\langfe2057\cgrid\langnp2057\langfenp2057 {\rtlch\fcs1 \af0 \ltrch\fcs0 &#13;_x000a_\insrsid1140430\charrsid1799708 [ZTEXTL]\cell [ZTEXTR]}{\rtlch\fcs1 \af0\afs24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2\irowband2\lastrow \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6\qr \li0\ri0\sb240\sa240\nowidctlpar\wrapdefault\aspalpha\aspnum\faauto\adjustright\rin0\lin0\itap0\pararsid1140430 \rtlch\fcs1 \af0\afs20\alang1025 \ltrch\fcs0 \fs24\lang2057\langfe2057\cgrid\langnp2057\langfenp2057 {\rtlch\fcs1 \af0 \ltrch\fcs0 &#13;_x000a_\insrsid1140430\charrsid1799708 Or. }{\rtlch\fcs1 \af0 \ltrch\fcs0 \cs15\v\f1\fs20\cf9\lang1024\langfe1024\noproof\insrsid1140430\charrsid1799708 &lt;Original&gt;}{\rtlch\fcs1 \af0 \ltrch\fcs0 \insrsid1140430\charrsid1799708 [ZORLANG]}{\rtlch\fcs1 \af0 &#13;_x000a_\ltrch\fcs0 \cs15\v\f1\fs20\cf9\lang1024\langfe1024\noproof\insrsid1140430\charrsid1799708 &lt;/Original&gt;}{\rtlch\fcs1 \af0 \ltrch\fcs0 \insrsid1140430\charrsid1799708 &#13;_x000a_\par }\pard\plain \ltrpar\ql \li0\ri0\widctlpar\wrapdefault\aspalpha\aspnum\faauto\adjustright\rin0\lin0\itap0\pararsid1140430 \rtlch\fcs1 \af0\afs20\alang1025 \ltrch\fcs0 \fs24\lang2057\langfe2057\cgrid\langnp2057\langfenp2057 {\rtlch\fcs1 \af0 \ltrch\fcs0 &#13;_x000a_\cs15\v\f1\fs20\cf9\lang1024\langfe1024\noproof\insrsid1140430\charrsid1799708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54&#13;_x000a_9504b3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NormalBold">
    <w:name w:val="NormalBold"/>
    <w:basedOn w:val="Normal"/>
    <w:pPr>
      <w:widowControl w:val="0"/>
    </w:pPr>
    <w:rPr>
      <w:b/>
    </w:rPr>
  </w:style>
  <w:style w:type="paragraph" w:customStyle="1" w:styleId="EPName">
    <w:name w:val="EPName"/>
    <w:basedOn w:val="Normal"/>
    <w:pPr>
      <w:widowControl w:val="0"/>
      <w:spacing w:before="80" w:after="80"/>
    </w:pPr>
    <w:rPr>
      <w:rFonts w:ascii="Arial Narrow" w:eastAsia="Arial" w:hAnsi="Arial Narrow" w:cs="Arial"/>
      <w:b/>
      <w:sz w:val="32"/>
    </w:rPr>
  </w:style>
  <w:style w:type="paragraph" w:customStyle="1" w:styleId="CoverNormal24a">
    <w:name w:val="CoverNormal24a"/>
    <w:basedOn w:val="Normal"/>
    <w:pPr>
      <w:widowControl w:val="0"/>
      <w:spacing w:after="480"/>
      <w:ind w:left="1416"/>
    </w:pPr>
  </w:style>
  <w:style w:type="paragraph" w:customStyle="1" w:styleId="CoverNormal">
    <w:name w:val="CoverNormal"/>
    <w:basedOn w:val="Normal"/>
    <w:pPr>
      <w:widowControl w:val="0"/>
      <w:ind w:left="1418"/>
    </w:pPr>
  </w:style>
  <w:style w:type="paragraph" w:customStyle="1" w:styleId="CoverReference">
    <w:name w:val="CoverReference"/>
    <w:basedOn w:val="Normal"/>
    <w:pPr>
      <w:widowControl w:val="0"/>
      <w:spacing w:before="1080"/>
      <w:jc w:val="right"/>
    </w:pPr>
    <w:rPr>
      <w:rFonts w:ascii="Arial" w:eastAsia="Arial" w:hAnsi="Arial" w:cs="Arial"/>
      <w:b/>
    </w:rPr>
  </w:style>
  <w:style w:type="paragraph" w:customStyle="1" w:styleId="CoverDocType">
    <w:name w:val="CoverDocType"/>
    <w:basedOn w:val="Normal"/>
    <w:pPr>
      <w:widowControl w:val="0"/>
      <w:ind w:left="1418"/>
    </w:pPr>
    <w:rPr>
      <w:rFonts w:ascii="Arial" w:hAnsi="Arial"/>
      <w:b/>
      <w:sz w:val="48"/>
    </w:rPr>
  </w:style>
  <w:style w:type="paragraph" w:customStyle="1" w:styleId="CoverDate">
    <w:name w:val="CoverDate"/>
    <w:basedOn w:val="Normal"/>
    <w:pPr>
      <w:widowControl w:val="0"/>
      <w:spacing w:before="240" w:after="1200"/>
    </w:pPr>
  </w:style>
  <w:style w:type="paragraph" w:customStyle="1" w:styleId="CoverDocType24a">
    <w:name w:val="CoverDocType24a"/>
    <w:basedOn w:val="Normal"/>
    <w:pPr>
      <w:widowControl w:val="0"/>
      <w:spacing w:after="480"/>
      <w:ind w:left="1416"/>
    </w:pPr>
    <w:rPr>
      <w:rFonts w:ascii="Arial" w:eastAsia="Arial" w:hAnsi="Arial" w:cs="Arial"/>
      <w:b/>
      <w:sz w:val="48"/>
    </w:rPr>
  </w:style>
  <w:style w:type="paragraph" w:customStyle="1" w:styleId="CoverBold">
    <w:name w:val="CoverBold"/>
    <w:basedOn w:val="Normal"/>
    <w:pPr>
      <w:widowControl w:val="0"/>
      <w:ind w:left="1416"/>
    </w:pPr>
    <w:rPr>
      <w:b/>
    </w:rPr>
  </w:style>
  <w:style w:type="paragraph" w:customStyle="1" w:styleId="EPBody">
    <w:name w:val="EPBody"/>
    <w:basedOn w:val="Normal"/>
    <w:pPr>
      <w:widowControl w:val="0"/>
      <w:jc w:val="center"/>
    </w:pPr>
    <w:rPr>
      <w:rFonts w:ascii="Arial" w:eastAsia="Arial" w:hAnsi="Arial" w:cs="Arial"/>
      <w:i/>
      <w:sz w:val="22"/>
    </w:rPr>
  </w:style>
  <w:style w:type="paragraph" w:customStyle="1" w:styleId="LineTop">
    <w:name w:val="LineTop"/>
    <w:basedOn w:val="Normal"/>
    <w:next w:val="Normal"/>
    <w:pPr>
      <w:widowControl w:val="0"/>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val="0"/>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val="0"/>
      <w:spacing w:after="80"/>
    </w:pPr>
    <w:rPr>
      <w:rFonts w:ascii="Arial" w:eastAsia="Arial" w:hAnsi="Arial" w:cs="Arial"/>
      <w:sz w:val="20"/>
    </w:rPr>
  </w:style>
  <w:style w:type="paragraph" w:customStyle="1" w:styleId="EPLogo">
    <w:name w:val="EPLogo"/>
    <w:basedOn w:val="Normal"/>
    <w:pPr>
      <w:widowControl w:val="0"/>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AmOrLang">
    <w:name w:val="AmOrLang"/>
    <w:basedOn w:val="Normal"/>
    <w:pPr>
      <w:widowControl w:val="0"/>
      <w:spacing w:before="240" w:after="240"/>
      <w:jc w:val="right"/>
    </w:pPr>
  </w:style>
  <w:style w:type="paragraph" w:customStyle="1" w:styleId="Normal6a">
    <w:name w:val="Normal6a"/>
    <w:basedOn w:val="Normal"/>
    <w:pPr>
      <w:widowControl w:val="0"/>
      <w:spacing w:after="120"/>
    </w:pPr>
  </w:style>
  <w:style w:type="paragraph" w:customStyle="1" w:styleId="AmColumnHeading">
    <w:name w:val="AmColumnHeading"/>
    <w:basedOn w:val="Normal"/>
    <w:pPr>
      <w:widowControl w:val="0"/>
      <w:spacing w:after="240"/>
      <w:jc w:val="center"/>
    </w:pPr>
    <w:rPr>
      <w:i/>
    </w:rPr>
  </w:style>
  <w:style w:type="paragraph" w:customStyle="1" w:styleId="AmNumberTabs">
    <w:name w:val="AmNumberTabs"/>
    <w:basedOn w:val="Normal"/>
    <w:pPr>
      <w:widowControl w:val="0"/>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val="0"/>
      <w:tabs>
        <w:tab w:val="center" w:pos="4534"/>
        <w:tab w:val="right" w:pos="9070"/>
      </w:tabs>
      <w:spacing w:before="240" w:after="240"/>
    </w:pPr>
    <w:rPr>
      <w:sz w:val="22"/>
    </w:rPr>
  </w:style>
  <w:style w:type="paragraph" w:customStyle="1" w:styleId="AmCrossRef">
    <w:name w:val="AmCrossRef"/>
    <w:basedOn w:val="Normal"/>
    <w:pPr>
      <w:widowControl w:val="0"/>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pPr>
      <w:widowControl w:val="0"/>
    </w:pPr>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val="0"/>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val="0"/>
      <w:spacing w:after="240"/>
    </w:pPr>
  </w:style>
  <w:style w:type="paragraph" w:customStyle="1" w:styleId="NormalBold12b">
    <w:name w:val="NormalBold12b"/>
    <w:basedOn w:val="Normal"/>
    <w:pPr>
      <w:widowControl w:val="0"/>
      <w:spacing w:before="240"/>
    </w:pPr>
    <w:rPr>
      <w:b/>
    </w:rPr>
  </w:style>
  <w:style w:type="paragraph" w:customStyle="1" w:styleId="AmJustTitle">
    <w:name w:val="AmJustTitle"/>
    <w:basedOn w:val="Normal"/>
    <w:next w:val="AmJustText"/>
    <w:pPr>
      <w:keepNext/>
      <w:widowControl w:val="0"/>
      <w:spacing w:before="240" w:after="240"/>
      <w:jc w:val="center"/>
    </w:pPr>
    <w:rPr>
      <w:i/>
    </w:rPr>
  </w:style>
  <w:style w:type="paragraph" w:customStyle="1" w:styleId="AmJustText">
    <w:name w:val="AmJustText"/>
    <w:basedOn w:val="Normal"/>
    <w:pPr>
      <w:widowControl w:val="0"/>
      <w:spacing w:after="240"/>
    </w:pPr>
    <w:rPr>
      <w:i/>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33</Pages>
  <Words>6299</Words>
  <Characters>35637</Characters>
  <Application>Microsoft Office Word</Application>
  <DocSecurity>0</DocSecurity>
  <Lines>1</Lines>
  <Paragraphs>563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41450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e-Parliament@europarl.europa.eu</dc:creator>
  <cp:lastModifiedBy>e-Parliament@europarl.europa.eu</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1325574</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219164</vt:lpwstr>
  </property>
  <property fmtid="{D5CDD505-2E9C-101B-9397-08002B2CF9AE}" pid="7" name="dmxml.render.traceId">
    <vt:lpwstr>6880f00305b323fcba9995de0baa5ca5</vt:lpwstr>
  </property>
  <property fmtid="{D5CDD505-2E9C-101B-9397-08002B2CF9AE}" pid="8" name="FooterPath">
    <vt:lpwstr>AM\1325574EN.docx</vt:lpwstr>
  </property>
  <property fmtid="{D5CDD505-2E9C-101B-9397-08002B2CF9AE}" pid="9" name="PE Number">
    <vt:lpwstr>775.729</vt:lpwstr>
  </property>
  <property fmtid="{D5CDD505-2E9C-101B-9397-08002B2CF9AE}" pid="10" name="UID">
    <vt:lpwstr>eu.europa.europarl-DIN1-2025-0000154895_02.00-en-01.00_text-xml</vt:lpwstr>
  </property>
</Properties>
</file>