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European Parliament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{INTA}</w:t>
      </w:r>
      <w:r>
        <w:t>Committee on International Trade</w:t>
      </w:r>
      <w:r>
        <w:rPr>
          <w:rStyle w:val="HideTWBExt"/>
        </w:rPr>
        <w:t>&lt;/Commission&gt;</w:t>
      </w:r>
    </w:p>
    <w:p>
      <w:pPr>
        <w:pStyle w:val="LineBottom"/>
      </w:pPr>
      <w:r>
        <w:t xml:space="preserve"> </w:t>
      </w:r>
    </w:p>
    <w:p>
      <w:pPr>
        <w:pStyle w:val="CoverReference"/>
      </w:pPr>
      <w:r>
        <w:rPr>
          <w:rStyle w:val="HideTWBExt"/>
        </w:rPr>
        <w:t>&lt;RefProc&gt;</w:t>
      </w:r>
      <w:r>
        <w:t>2025/0259M</w:t>
      </w:r>
      <w:r>
        <w:rPr>
          <w:rStyle w:val="HideTWBExt"/>
        </w:rPr>
        <w:t>&lt;/RefProc&gt;</w:t>
      </w:r>
      <w:r>
        <w:rPr>
          <w:rStyle w:val="HideTWBExt"/>
        </w:rPr>
        <w:t>&lt;RefTypeProc&gt;</w:t>
      </w:r>
      <w:r>
        <w:t>(NLE)</w:t>
      </w:r>
      <w:r>
        <w:rPr>
          <w:rStyle w:val="HideTWBExt"/>
        </w:rPr>
        <w:t>&lt;/RefTypeProc&gt;</w:t>
      </w:r>
    </w:p>
    <w:p>
      <w:pPr>
        <w:pStyle w:val="CoverDate"/>
      </w:pPr>
      <w:r>
        <w:rPr>
          <w:rStyle w:val="HideTWBExt"/>
        </w:rPr>
        <w:t>&lt;Date&gt;</w:t>
      </w:r>
      <w:r>
        <w:rPr>
          <w:rStyle w:val="HideTWBInt"/>
        </w:rPr>
        <w:t>{25/03/2026}</w:t>
      </w:r>
      <w:r>
        <w:t>25.3.2026</w:t>
      </w:r>
      <w:r>
        <w:rPr>
          <w:rStyle w:val="HideTWBExt"/>
        </w:rPr>
        <w:t>&lt;/Date&gt;</w:t>
      </w:r>
    </w:p>
    <w:p>
      <w:pPr>
        <w:pStyle w:val="CoverDocType"/>
      </w:pPr>
      <w:r>
        <w:rPr>
          <w:rStyle w:val="HideTWBExt"/>
        </w:rPr>
        <w:t>&lt;TypeAM&gt;</w:t>
      </w:r>
      <w:r>
        <w:t>AMENDMENTS</w:t>
      </w:r>
      <w:r>
        <w:rPr>
          <w:rStyle w:val="HideTWBExt"/>
        </w:rPr>
        <w:t>&lt;/TypeAM&gt;</w:t>
      </w:r>
    </w:p>
    <w:p>
      <w:pPr>
        <w:pStyle w:val="CoverDocType24a"/>
      </w:pPr>
      <w:r>
        <w:rPr>
          <w:rStyle w:val="HideTWBExt"/>
        </w:rPr>
        <w:t>&lt;RangeAM&gt;</w:t>
      </w:r>
      <w:r>
        <w:t>1</w:t>
      </w:r>
      <w:r>
        <w:t xml:space="preserve"> - </w:t>
      </w:r>
      <w:r>
        <w:t>67</w:t>
      </w:r>
      <w:r>
        <w:rPr>
          <w:rStyle w:val="HideTWBExt"/>
        </w:rPr>
        <w:t>&lt;/RangeAM&gt;</w:t>
      </w:r>
    </w:p>
    <w:p>
      <w:pPr>
        <w:pStyle w:val="CoverBold"/>
      </w:pPr>
      <w:r>
        <w:rPr>
          <w:rStyle w:val="HideTWBExt"/>
        </w:rPr>
        <w:t>&lt;TitreType&gt;</w:t>
      </w:r>
      <w:r>
        <w:t>Draft report</w:t>
      </w:r>
      <w:r>
        <w:rPr>
          <w:rStyle w:val="HideTWBExt"/>
        </w:rPr>
        <w:t>&lt;/TitreType&gt;</w:t>
      </w:r>
    </w:p>
    <w:p>
      <w:pPr>
        <w:pStyle w:val="CoverBold"/>
      </w:pPr>
      <w:r>
        <w:rPr>
          <w:rStyle w:val="HideTWBExt"/>
        </w:rPr>
        <w:t>&lt;Rapporteur&gt;</w:t>
      </w:r>
      <w:r>
        <w:t>Karin Karlsbro</w:t>
      </w:r>
      <w:r>
        <w:rPr>
          <w:rStyle w:val="HideTWBExt"/>
        </w:rPr>
        <w:t>&lt;/Rapporteur&gt;</w:t>
      </w:r>
    </w:p>
    <w:p>
      <w:pPr>
        <w:pStyle w:val="CoverNormal24a"/>
      </w:pPr>
      <w:r>
        <w:rPr>
          <w:rStyle w:val="HideTWBExt"/>
        </w:rPr>
        <w:t>&lt;DocRefPE&gt;</w:t>
      </w:r>
      <w:r>
        <w:t>(PE785.168v01-00)</w:t>
      </w:r>
      <w:r>
        <w:rPr>
          <w:rStyle w:val="HideTWBExt"/>
        </w:rPr>
        <w:t>&lt;/DocRefPE&gt;</w:t>
      </w:r>
    </w:p>
    <w:p>
      <w:pPr>
        <w:pStyle w:val="CoverNormal"/>
      </w:pPr>
      <w:r>
        <w:rPr>
          <w:rStyle w:val="HideTWBExt"/>
        </w:rPr>
        <w:t>&lt;Titre&gt;</w:t>
      </w:r>
      <w:r>
        <w:t>Termination of the Voluntary Partnership Agreement between the European Union and the Republic of Liberia on Forest Law Enforcement Governance and Trade in timber products to the European Union</w:t>
      </w:r>
      <w:r>
        <w:rPr>
          <w:rStyle w:val="HideTWBExt"/>
        </w:rPr>
        <w:t>&lt;/Titre&gt;</w:t>
      </w:r>
    </w:p>
    <w:p>
      <w:pPr>
        <w:pStyle w:val="CoverNormal24a"/>
      </w:pPr>
      <w:r>
        <w:rPr>
          <w:rStyle w:val="HideTWBExt"/>
        </w:rPr>
        <w:t>&lt;DocRef&gt;</w:t>
      </w:r>
      <w:r>
        <w:t>(2025/0259M(NLE))</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Amendment</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Jean-Marc Germain, Raphaël Glucksmann</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the Partnership Agreement between the European Union and its Member States, of the one part, and the Members of the Organisation of African, Caribbean and Pacific States, of the other part,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Jean-Marc Germain, Raphaël Glucksmann</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8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the UN sustainable development goals and in particular SDG 15, which aims to protect, restore and promote sustainable use of terrestrial ecosystems, sustainably manage forests, combat desertification, and halt and reverse land degradation and halt biodiversity loss,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Anna Cavazzini</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9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the Paris Agreement and to the Kunming-Montreal Global Biodiversity Framework on halting and reversing nature loss,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Anna Cavazzini</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9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the UN Sustainable Development Goals,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Anna Cavazzini</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whereas Liberia’s forests cover approximately 68 % of its national territory; whereas illegal logging and forest conversion, enabled by poor forest governance and driven by trade, are major contributors to deforestation; whereas 0.39 % of forest cover was lost between 2010 and 2020;</w:t>
            </w:r>
          </w:p>
        </w:tc>
        <w:tc>
          <w:tcPr>
            <w:tcW w:w="4876" w:type="dxa"/>
            <w:tcBorders>
              <w:top w:val="nil"/>
              <w:left w:val="nil"/>
              <w:bottom w:val="nil"/>
              <w:right w:val="nil"/>
            </w:tcBorders>
          </w:tcPr>
          <w:p>
            <w:pPr>
              <w:pStyle w:val="Normal6a"/>
            </w:pPr>
            <w:r>
              <w:t>B.</w:t>
            </w:r>
            <w:r>
              <w:tab/>
            </w:r>
            <w:r>
              <w:t xml:space="preserve">whereas Liberia’s forests cover approximately 68 % of its national territory </w:t>
            </w:r>
            <w:r>
              <w:rPr>
                <w:b/>
                <w:i/>
              </w:rPr>
              <w:t>and more than half of West Africa’s remaining tropical forests; whereas according to the FAO, most of the forests found in Liberia are primary or naturally regenerated forests; whereas Global Forest Watch reports that between 2021 and 2024, 98% of tree cover loss in Liberia occurred in natural forests, with a total loss of 589,000 ha; whereas based on data from Global Forest Watch, between 2001 and 2022, Liberia lost 2.2 million hectares of forest, equivalent to a 23% decrease in vegetation cover since 2000</w:t>
            </w:r>
            <w:r>
              <w:t>; whereas illegal logging and forest conversion, enabled by poor forest governance and driven by trade, are major contributors to deforestation; whereas 0.39 % of forest cover was lost between 2010 and 2020;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Anna Cavazzini</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a.</w:t>
            </w:r>
            <w:r>
              <w:tab/>
            </w:r>
            <w:r>
              <w:rPr>
                <w:b/>
                <w:i/>
              </w:rPr>
              <w:t>whereas the Liberian government plans to expand cocoa plantations by 25,000 hectares by 2030; whereas some observers have documented since 2018 an increasing exodus of cocoa farmers from Côte d’Ivoire to Liberia with the aim of converting primary forests into cocoa plantations, resulting in illegal deforestation in Eastern Liberia and the region bordering Côte d’Ivoire, and threatening local communities that depend on primary forests for their livelihoods; whereas this is the region in Liberia where deforestation and forest degradation is occurring at the fastest rate; whereas this situation creates an environment that has been qualified by observers as conductive to human trafficking and exploitation, including child labour; whereas cocoa trafficking has been observed between the two countries;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Jean-Marc Germain, Raphaël Glucksmann</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a.</w:t>
            </w:r>
            <w:r>
              <w:tab/>
            </w:r>
            <w:r>
              <w:rPr>
                <w:b/>
                <w:i/>
              </w:rPr>
              <w:t>whereas deforestations and forest degradation are aggravating factors in the ongoing climate and biodiversity crises; whereas illegal logging has significant negative economic, environmental and social impacts, results in particular in loss of public revenues and benefits for forest-dependent communities, and is often linked to conflicts over land and resources, the disempowerment of local and indigenous communities, corruption and armed conflicts;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Jean-Marc Germain, Raphaël Glucksmann</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whereas Liberia should comply with the EU Timber Regulation when exporting timber and timber products to the EU;</w:t>
            </w:r>
          </w:p>
        </w:tc>
        <w:tc>
          <w:tcPr>
            <w:tcW w:w="4876" w:type="dxa"/>
            <w:tcBorders>
              <w:top w:val="nil"/>
              <w:left w:val="nil"/>
              <w:bottom w:val="nil"/>
              <w:right w:val="nil"/>
            </w:tcBorders>
          </w:tcPr>
          <w:p>
            <w:pPr>
              <w:pStyle w:val="Normal6a"/>
            </w:pPr>
            <w:r>
              <w:t>C.</w:t>
            </w:r>
            <w:r>
              <w:tab/>
            </w:r>
            <w:r>
              <w:t xml:space="preserve">whereas Liberia should comply with the EU Timber Regulation </w:t>
            </w:r>
            <w:r>
              <w:rPr>
                <w:b/>
                <w:i/>
              </w:rPr>
              <w:t>(EUTR)</w:t>
            </w:r>
            <w:r>
              <w:t xml:space="preserve"> when exporting timber and timber products to the EU; </w:t>
            </w:r>
            <w:r>
              <w:rPr>
                <w:b/>
                <w:i/>
              </w:rPr>
              <w:t>whereas the Commission should support Liberia in its endeavour to comply with the EUTR and prepare for implementation of the EU Deforestation Regulation, set to apply from December 2026;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Lídia Pereira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whereas Liberia should comply with the </w:t>
            </w:r>
            <w:r>
              <w:rPr>
                <w:b/>
                <w:i/>
              </w:rPr>
              <w:t>EU Timber Regulation</w:t>
            </w:r>
            <w:r>
              <w:t xml:space="preserve"> when exporting timber and timber products to the EU;</w:t>
            </w:r>
          </w:p>
        </w:tc>
        <w:tc>
          <w:tcPr>
            <w:tcW w:w="4876" w:type="dxa"/>
            <w:tcBorders>
              <w:top w:val="nil"/>
              <w:left w:val="nil"/>
              <w:bottom w:val="nil"/>
              <w:right w:val="nil"/>
            </w:tcBorders>
          </w:tcPr>
          <w:p>
            <w:pPr>
              <w:pStyle w:val="Normal6a"/>
            </w:pPr>
            <w:r>
              <w:t>C.</w:t>
            </w:r>
            <w:r>
              <w:tab/>
            </w:r>
            <w:r>
              <w:t xml:space="preserve">whereas Liberia should comply with the </w:t>
            </w:r>
            <w:r>
              <w:rPr>
                <w:b/>
                <w:i/>
              </w:rPr>
              <w:t>applicable EU legal framework</w:t>
            </w:r>
            <w:r>
              <w:t xml:space="preserve"> when exporting timber and timber products to the EU;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i/>
              </w:rPr>
              <w:t>(Formally, the EUTR, Regulation (EU) No 995/2010, was repealed with effect from 30 December 2025. It continues to apply until 31 December 2028 to timber and timber products produced before June 2023 and placed on the market from 30 December 2025 onwards. We should adopt broader wording that takes into account the repeal, the transitional period, and the application of the EUDR, Regulation (EU) 2023/1115.)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Anna Cavazzini</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C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a.</w:t>
            </w:r>
            <w:r>
              <w:tab/>
            </w:r>
            <w:r>
              <w:rPr>
                <w:b/>
                <w:i/>
              </w:rPr>
              <w:t>whereas FLEGT VPAs are bilateral, legally binding trade agreements that commit the EU and the partner country to eliminating trade in illegally sourced timber; whereas they provide a unique combination of trade levers and governance reform;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Jean-Marc Germain, Raphaël Glucksmann</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whereas the purpose of FLEGT VPAs is to </w:t>
            </w:r>
            <w:r>
              <w:rPr>
                <w:b/>
                <w:i/>
              </w:rPr>
              <w:t>bring</w:t>
            </w:r>
            <w:r>
              <w:t xml:space="preserve"> about systemic changes in forest governance, law enforcement, transparency and the inclusion of various stakeholders in the political decision-making process, specifically local communities and civil society organisations;</w:t>
            </w:r>
          </w:p>
        </w:tc>
        <w:tc>
          <w:tcPr>
            <w:tcW w:w="4876" w:type="dxa"/>
            <w:tcBorders>
              <w:top w:val="nil"/>
              <w:left w:val="nil"/>
              <w:bottom w:val="nil"/>
              <w:right w:val="nil"/>
            </w:tcBorders>
          </w:tcPr>
          <w:p>
            <w:pPr>
              <w:pStyle w:val="Normal6a"/>
            </w:pPr>
            <w:r>
              <w:t>D.</w:t>
            </w:r>
            <w:r>
              <w:tab/>
            </w:r>
            <w:r>
              <w:t xml:space="preserve">whereas the purpose of FLEGT VPAs is to </w:t>
            </w:r>
            <w:r>
              <w:rPr>
                <w:b/>
                <w:i/>
              </w:rPr>
              <w:t>provide a basis for dialogue and cooperation between the Union and Liberia as well as a legal framework that brings</w:t>
            </w:r>
            <w:r>
              <w:t xml:space="preserve"> about systemic changes in forest governance, law enforcement, transparency and the inclusion of various stakeholders in the political decision-making process, specifically local communities and civil society organisations</w:t>
            </w:r>
            <w:r>
              <w:rPr>
                <w:b/>
                <w:i/>
              </w:rPr>
              <w:t>, in order to ensure both the sustainable management of all types of forest and that imports of Liberian timber products have been legally produced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Jean-Marc Germain, Raphaël Glucksmann</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D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a.</w:t>
            </w:r>
            <w:r>
              <w:tab/>
            </w:r>
            <w:r>
              <w:rPr>
                <w:b/>
                <w:i/>
              </w:rPr>
              <w:t>whereas the VPA has produced concrete results, by catalysing regulatory reform, clarifying land rights, training Forestry Development Authority officers, improving traceability systems, reinforcing benefit sharing through payments of logging revenues to local communities, and expanding space for civil society participation in forest governance;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Jean-Marc Germain, Raphaël Glucksmann</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whereas Liberia’s FLEGT licensing scheme is not yet in place and the Timber Legality Assurance System remains non-operational, </w:t>
            </w:r>
            <w:r>
              <w:rPr>
                <w:b/>
                <w:i/>
              </w:rPr>
              <w:t>implying that</w:t>
            </w:r>
            <w:r>
              <w:t xml:space="preserve"> the VPA </w:t>
            </w:r>
            <w:r>
              <w:rPr>
                <w:b/>
                <w:i/>
              </w:rPr>
              <w:t>between the EU and Liberia is not operational to date</w:t>
            </w:r>
            <w:r>
              <w:t>;</w:t>
            </w:r>
          </w:p>
        </w:tc>
        <w:tc>
          <w:tcPr>
            <w:tcW w:w="4876" w:type="dxa"/>
            <w:tcBorders>
              <w:top w:val="nil"/>
              <w:left w:val="nil"/>
              <w:bottom w:val="nil"/>
              <w:right w:val="nil"/>
            </w:tcBorders>
          </w:tcPr>
          <w:p>
            <w:pPr>
              <w:pStyle w:val="Normal6a"/>
            </w:pPr>
            <w:r>
              <w:t>E.</w:t>
            </w:r>
            <w:r>
              <w:tab/>
            </w:r>
            <w:r>
              <w:t xml:space="preserve">whereas </w:t>
            </w:r>
            <w:r>
              <w:rPr>
                <w:b/>
                <w:i/>
              </w:rPr>
              <w:t>although</w:t>
            </w:r>
            <w:r>
              <w:t xml:space="preserve"> Liberia’s FLEGT licensing scheme is not yet in place and the Timber Legality Assurance System remains non-operational, </w:t>
            </w:r>
            <w:r>
              <w:rPr>
                <w:b/>
                <w:i/>
              </w:rPr>
              <w:t>progress has been achieved, with the Aide Memoire from the March 2022 Joint Implementation Committee meeting indicating 46 out of 132 verifiers in LiberTrace activated, and the Aide Memoire from the June 2024 Joint Implementation Committee Meeting indicating 86 out of 132 verifiers activated; whereas renewed efforts for the operationalisation of</w:t>
            </w:r>
            <w:r>
              <w:t xml:space="preserve"> the VPA </w:t>
            </w:r>
            <w:r>
              <w:rPr>
                <w:b/>
                <w:i/>
              </w:rPr>
              <w:t>have been observed since the inauguration of the current administration in 2024, including a new indicative target for issuance of FLEGT licencing in 2026</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Anna Cavazzini</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whereas Liberia’s FLEGT licensing scheme is not yet in place and the Timber Legality Assurance System remains non-operational, implying that the VPA between the EU and Liberia is not operational to date;</w:t>
            </w:r>
          </w:p>
        </w:tc>
        <w:tc>
          <w:tcPr>
            <w:tcW w:w="4876" w:type="dxa"/>
            <w:tcBorders>
              <w:top w:val="nil"/>
              <w:left w:val="nil"/>
              <w:bottom w:val="nil"/>
              <w:right w:val="nil"/>
            </w:tcBorders>
          </w:tcPr>
          <w:p>
            <w:pPr>
              <w:pStyle w:val="Normal6a"/>
            </w:pPr>
            <w:r>
              <w:t>E.</w:t>
            </w:r>
            <w:r>
              <w:tab/>
            </w:r>
            <w:r>
              <w:t xml:space="preserve">whereas Liberia’s FLEGT licensing scheme is not yet in place and the Timber Legality Assurance System remains non-operational, implying that the VPA between the EU and Liberia is not operational to date; </w:t>
            </w:r>
            <w:r>
              <w:rPr>
                <w:b/>
                <w:i/>
              </w:rPr>
              <w:t>whereas the current Joseph Boakai administration has resumed efforts to implement the VPA, reinstating joint committees and halting illegal exports, and has restarted payments of logging revenues to communities;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Jean-Marc Germain, Raphaël Glucksmann</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whereas </w:t>
            </w:r>
            <w:r>
              <w:rPr>
                <w:b/>
                <w:i/>
              </w:rPr>
              <w:t>Liberia has not met its VPA obligations over the last 11</w:t>
            </w:r>
            <w:r>
              <w:t xml:space="preserve"> years;</w:t>
            </w:r>
          </w:p>
        </w:tc>
        <w:tc>
          <w:tcPr>
            <w:tcW w:w="4876" w:type="dxa"/>
            <w:tcBorders>
              <w:top w:val="nil"/>
              <w:left w:val="nil"/>
              <w:bottom w:val="nil"/>
              <w:right w:val="nil"/>
            </w:tcBorders>
          </w:tcPr>
          <w:p>
            <w:pPr>
              <w:pStyle w:val="Normal6a"/>
            </w:pPr>
            <w:r>
              <w:t>F.</w:t>
            </w:r>
            <w:r>
              <w:tab/>
            </w:r>
            <w:r>
              <w:t xml:space="preserve">whereas </w:t>
            </w:r>
            <w:r>
              <w:rPr>
                <w:b/>
                <w:i/>
              </w:rPr>
              <w:t>work on full implementation of the VPA continues after 13</w:t>
            </w:r>
            <w:r>
              <w:t xml:space="preserve"> years</w:t>
            </w:r>
            <w:r>
              <w:rPr>
                <w:b/>
                <w:i/>
              </w:rPr>
              <w:t>, whereas the first African country to implement FLEGT licensing, Ghana, issued its first FLEGT license in August of 2025, after 16 years of work towards implementation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Lídia Pereira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whereas Liberia has not met its VPA obligations over the last 11 years;</w:t>
            </w:r>
          </w:p>
        </w:tc>
        <w:tc>
          <w:tcPr>
            <w:tcW w:w="4876" w:type="dxa"/>
            <w:tcBorders>
              <w:top w:val="nil"/>
              <w:left w:val="nil"/>
              <w:bottom w:val="nil"/>
              <w:right w:val="nil"/>
            </w:tcBorders>
          </w:tcPr>
          <w:p>
            <w:pPr>
              <w:pStyle w:val="Normal6a"/>
            </w:pPr>
            <w:r>
              <w:t>F.</w:t>
            </w:r>
            <w:r>
              <w:tab/>
            </w:r>
            <w:r>
              <w:t xml:space="preserve">whereas Liberia has not </w:t>
            </w:r>
            <w:r>
              <w:rPr>
                <w:b/>
                <w:i/>
              </w:rPr>
              <w:t>fully</w:t>
            </w:r>
            <w:r>
              <w:t xml:space="preserve"> met its VPA obligations </w:t>
            </w:r>
            <w:r>
              <w:rPr>
                <w:b/>
                <w:i/>
              </w:rPr>
              <w:t>and has not achieved its core objective</w:t>
            </w:r>
            <w:r>
              <w:t xml:space="preserve"> over the last 11 years;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Anna Cavazzini</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whereas Liberia has not met its VPA obligations over the last 11 years;</w:t>
            </w:r>
          </w:p>
        </w:tc>
        <w:tc>
          <w:tcPr>
            <w:tcW w:w="4876" w:type="dxa"/>
            <w:tcBorders>
              <w:top w:val="nil"/>
              <w:left w:val="nil"/>
              <w:bottom w:val="nil"/>
              <w:right w:val="nil"/>
            </w:tcBorders>
          </w:tcPr>
          <w:p>
            <w:pPr>
              <w:pStyle w:val="Normal6a"/>
            </w:pPr>
            <w:r>
              <w:t>F.</w:t>
            </w:r>
            <w:r>
              <w:tab/>
            </w:r>
            <w:r>
              <w:t xml:space="preserve">whereas Liberia has </w:t>
            </w:r>
            <w:r>
              <w:rPr>
                <w:b/>
                <w:i/>
              </w:rPr>
              <w:t>reached progress in some areas but has</w:t>
            </w:r>
            <w:r>
              <w:t xml:space="preserve"> not met </w:t>
            </w:r>
            <w:r>
              <w:rPr>
                <w:b/>
                <w:i/>
              </w:rPr>
              <w:t>all</w:t>
            </w:r>
            <w:r>
              <w:t xml:space="preserve"> its VPA obligations over the last 11 years;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Jean-Marc Germain, Raphaël Glucksmann</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whereas the Liberia-EU VPA entered into force in 2013; whereas in September 2025, the Commission decided to end the partnership;</w:t>
            </w:r>
          </w:p>
        </w:tc>
        <w:tc>
          <w:tcPr>
            <w:tcW w:w="4876" w:type="dxa"/>
            <w:tcBorders>
              <w:top w:val="nil"/>
              <w:left w:val="nil"/>
              <w:bottom w:val="nil"/>
              <w:right w:val="nil"/>
            </w:tcBorders>
          </w:tcPr>
          <w:p>
            <w:pPr>
              <w:pStyle w:val="Normal6a"/>
            </w:pPr>
            <w:r>
              <w:t>G.</w:t>
            </w:r>
            <w:r>
              <w:tab/>
            </w:r>
            <w:r>
              <w:t xml:space="preserve">whereas the Liberia-EU VPA entered into force in 2013; whereas in September 2025, the Commission decided to end the partnership; </w:t>
            </w:r>
            <w:r>
              <w:rPr>
                <w:b/>
                <w:i/>
              </w:rPr>
              <w:t>whereas the unilateral termination of the partnership agreement could tarnish the reputation of the EU as a reliable forestry actor and defender;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Lídia Pereira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whereas the Liberia-EU VPA entered into force in 2013; whereas in </w:t>
            </w:r>
            <w:r>
              <w:rPr>
                <w:b/>
                <w:i/>
              </w:rPr>
              <w:t>September</w:t>
            </w:r>
            <w:r>
              <w:t xml:space="preserve"> 2025, </w:t>
            </w:r>
            <w:r>
              <w:rPr>
                <w:b/>
                <w:i/>
              </w:rPr>
              <w:t>the Commission decided to end the</w:t>
            </w:r>
            <w:r>
              <w:t xml:space="preserve"> partnership;</w:t>
            </w:r>
          </w:p>
        </w:tc>
        <w:tc>
          <w:tcPr>
            <w:tcW w:w="4876" w:type="dxa"/>
            <w:tcBorders>
              <w:top w:val="nil"/>
              <w:left w:val="nil"/>
              <w:bottom w:val="nil"/>
              <w:right w:val="nil"/>
            </w:tcBorders>
          </w:tcPr>
          <w:p>
            <w:pPr>
              <w:pStyle w:val="Normal6a"/>
            </w:pPr>
            <w:r>
              <w:t>G.</w:t>
            </w:r>
            <w:r>
              <w:tab/>
            </w:r>
            <w:r>
              <w:t xml:space="preserve">whereas the Liberia-EU VPA entered into force in 2013; whereas in </w:t>
            </w:r>
            <w:r>
              <w:rPr>
                <w:b/>
                <w:i/>
              </w:rPr>
              <w:t>May</w:t>
            </w:r>
            <w:r>
              <w:t xml:space="preserve"> 2025, </w:t>
            </w:r>
            <w:r>
              <w:rPr>
                <w:b/>
                <w:i/>
              </w:rPr>
              <w:t>Liberia has expressed their will to transition from a VPA to a Forest</w:t>
            </w:r>
            <w:r>
              <w:t xml:space="preserve"> Partnership </w:t>
            </w:r>
            <w:r>
              <w:rPr>
                <w:b/>
                <w:i/>
              </w:rPr>
              <w:t>focusing on community forest, sustainable production, protection of biodiversity and legal reforms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Jean-Marc Germain, Raphaël Glucksmann</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whereas in its communication of 7 November 2024 on the strategic framework for international cooperation engagement, the Commission suggests that forest partnerships could build on or even replace VPAs;</w:t>
            </w:r>
          </w:p>
        </w:tc>
        <w:tc>
          <w:tcPr>
            <w:tcW w:w="4876" w:type="dxa"/>
            <w:tcBorders>
              <w:top w:val="nil"/>
              <w:left w:val="nil"/>
              <w:bottom w:val="nil"/>
              <w:right w:val="nil"/>
            </w:tcBorders>
          </w:tcPr>
          <w:p>
            <w:pPr>
              <w:pStyle w:val="Normal6a"/>
            </w:pPr>
            <w:r>
              <w:t>H.</w:t>
            </w:r>
            <w:r>
              <w:tab/>
            </w:r>
            <w:r>
              <w:t xml:space="preserve">whereas in its communication of 7 November 2024 on the strategic framework for international cooperation engagement, the Commission suggests that forest partnerships could build on or even replace VPAs; </w:t>
            </w:r>
            <w:r>
              <w:rPr>
                <w:b/>
                <w:i/>
              </w:rPr>
              <w:t>whereas VPAs and forest partnerships are two distinct instruments, different in nature and scope; whereas Forest partnerships are non-binding umbrella partnerships, expanding beyond timber licensing and the forest governance sector, and as such are complementary instrument to VPAs;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Lídia Pereira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whereas in its communication of 7 November 2024 on the strategic framework for international cooperation engagement, the Commission suggests that forest partnerships could build on or even replace VPAs;</w:t>
            </w:r>
          </w:p>
        </w:tc>
        <w:tc>
          <w:tcPr>
            <w:tcW w:w="4876" w:type="dxa"/>
            <w:tcBorders>
              <w:top w:val="nil"/>
              <w:left w:val="nil"/>
              <w:bottom w:val="nil"/>
              <w:right w:val="nil"/>
            </w:tcBorders>
          </w:tcPr>
          <w:p>
            <w:pPr>
              <w:pStyle w:val="Normal6a"/>
            </w:pPr>
            <w:r>
              <w:t>H.</w:t>
            </w:r>
            <w:r>
              <w:tab/>
            </w:r>
            <w:r>
              <w:t>whereas in its communication of 7 November 2024 on the strategic framework for international cooperation engagement, the Commission suggests that Forest Partnerships could build on or even replace VPAs;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Anna Cavazzini</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H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a.</w:t>
            </w:r>
            <w:r>
              <w:tab/>
            </w:r>
            <w:r>
              <w:rPr>
                <w:b/>
                <w:i/>
              </w:rPr>
              <w:t>whereas the Commission proposes replacing the VPA with a Forest Partnership that has not yet been drafted;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Anna Cavazzini</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H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b.</w:t>
            </w:r>
            <w:r>
              <w:tab/>
            </w:r>
            <w:r>
              <w:rPr>
                <w:b/>
                <w:i/>
              </w:rPr>
              <w:t>whereas Forest Partnerships focus on boosting investment opportunities in line with the EU’s Global Gateway investment approach; whereas the associated budgets are not sufficiently transparent, lowering the level of accountability;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Jean-Marc Germain, Raphaël Glucksmann</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Highlights the fact that deforestation and forest degradation </w:t>
            </w:r>
            <w:r>
              <w:rPr>
                <w:b/>
                <w:i/>
              </w:rPr>
              <w:t>are key</w:t>
            </w:r>
            <w:r>
              <w:t xml:space="preserve"> environmental </w:t>
            </w:r>
            <w:r>
              <w:rPr>
                <w:b/>
                <w:i/>
              </w:rPr>
              <w:t>challenges that</w:t>
            </w:r>
            <w:r>
              <w:t xml:space="preserve"> particularly </w:t>
            </w:r>
            <w:r>
              <w:rPr>
                <w:b/>
                <w:i/>
              </w:rPr>
              <w:t>impact</w:t>
            </w:r>
            <w:r>
              <w:t xml:space="preserve"> vulnerable </w:t>
            </w:r>
            <w:r>
              <w:rPr>
                <w:b/>
                <w:i/>
              </w:rPr>
              <w:t>parts of society, such as civil society groups</w:t>
            </w:r>
            <w:r>
              <w:t xml:space="preserve"> and Indigenous communities;</w:t>
            </w:r>
          </w:p>
        </w:tc>
        <w:tc>
          <w:tcPr>
            <w:tcW w:w="4876" w:type="dxa"/>
            <w:tcBorders>
              <w:top w:val="nil"/>
              <w:left w:val="nil"/>
              <w:bottom w:val="nil"/>
              <w:right w:val="nil"/>
            </w:tcBorders>
          </w:tcPr>
          <w:p>
            <w:pPr>
              <w:pStyle w:val="Normal6a"/>
            </w:pPr>
            <w:r>
              <w:t>1.</w:t>
            </w:r>
            <w:r>
              <w:tab/>
            </w:r>
            <w:r>
              <w:t xml:space="preserve">Highlights the fact that </w:t>
            </w:r>
            <w:r>
              <w:rPr>
                <w:b/>
                <w:i/>
              </w:rPr>
              <w:t>illegal and unsustainable logging,</w:t>
            </w:r>
            <w:r>
              <w:t xml:space="preserve"> deforestation and forest degradation </w:t>
            </w:r>
            <w:r>
              <w:rPr>
                <w:b/>
                <w:i/>
              </w:rPr>
              <w:t>have profound negative</w:t>
            </w:r>
            <w:r>
              <w:t xml:space="preserve"> environmental </w:t>
            </w:r>
            <w:r>
              <w:rPr>
                <w:b/>
                <w:i/>
              </w:rPr>
              <w:t>consequences and detrimental impacts on human development, undermining economic stability, health and social cohesion,</w:t>
            </w:r>
            <w:r>
              <w:t xml:space="preserve"> particularly </w:t>
            </w:r>
            <w:r>
              <w:rPr>
                <w:b/>
                <w:i/>
              </w:rPr>
              <w:t>for</w:t>
            </w:r>
            <w:r>
              <w:t xml:space="preserve"> vulnerable </w:t>
            </w:r>
            <w:r>
              <w:rPr>
                <w:b/>
                <w:i/>
              </w:rPr>
              <w:t>populations</w:t>
            </w:r>
            <w:r>
              <w:t xml:space="preserve"> and Indigenous communities;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Anna Cavazzini</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Highlights the fact that deforestation and forest degradation are key environmental challenges </w:t>
            </w:r>
            <w:r>
              <w:rPr>
                <w:b/>
                <w:i/>
              </w:rPr>
              <w:t>that</w:t>
            </w:r>
            <w:r>
              <w:t xml:space="preserve"> particularly impact vulnerable parts of society, such as civil society groups and Indigenous communities;</w:t>
            </w:r>
          </w:p>
        </w:tc>
        <w:tc>
          <w:tcPr>
            <w:tcW w:w="4876" w:type="dxa"/>
            <w:tcBorders>
              <w:top w:val="nil"/>
              <w:left w:val="nil"/>
              <w:bottom w:val="nil"/>
              <w:right w:val="nil"/>
            </w:tcBorders>
          </w:tcPr>
          <w:p>
            <w:pPr>
              <w:pStyle w:val="Normal6a"/>
            </w:pPr>
            <w:r>
              <w:t>1.</w:t>
            </w:r>
            <w:r>
              <w:tab/>
            </w:r>
            <w:r>
              <w:t xml:space="preserve">Highlights the fact that deforestation and forest degradation are key environmental challenges </w:t>
            </w:r>
            <w:r>
              <w:rPr>
                <w:b/>
                <w:i/>
              </w:rPr>
              <w:t>and are among the main drivers of climate change and biodiversity loss, while also having a</w:t>
            </w:r>
            <w:r>
              <w:t xml:space="preserve"> particularly </w:t>
            </w:r>
            <w:r>
              <w:rPr>
                <w:b/>
                <w:i/>
              </w:rPr>
              <w:t>severe</w:t>
            </w:r>
            <w:r>
              <w:t xml:space="preserve"> impact </w:t>
            </w:r>
            <w:r>
              <w:rPr>
                <w:b/>
                <w:i/>
              </w:rPr>
              <w:t>on</w:t>
            </w:r>
            <w:r>
              <w:t xml:space="preserve"> vulnerable parts of society, such as civil society groups and Indigenous communities;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Jean-Marc Germain, Raphaël Glucksmann</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Highlights the fact that the environmental damage caused by deforestation will have hugely negative social and economic consequences for communities </w:t>
            </w:r>
            <w:r>
              <w:rPr>
                <w:b/>
                <w:i/>
              </w:rPr>
              <w:t>engaged in forestry</w:t>
            </w:r>
            <w:r>
              <w:t>;</w:t>
            </w:r>
          </w:p>
        </w:tc>
        <w:tc>
          <w:tcPr>
            <w:tcW w:w="4876" w:type="dxa"/>
            <w:tcBorders>
              <w:top w:val="nil"/>
              <w:left w:val="nil"/>
              <w:bottom w:val="nil"/>
              <w:right w:val="nil"/>
            </w:tcBorders>
          </w:tcPr>
          <w:p>
            <w:pPr>
              <w:pStyle w:val="Normal6a"/>
            </w:pPr>
            <w:r>
              <w:t>2.</w:t>
            </w:r>
            <w:r>
              <w:tab/>
            </w:r>
            <w:r>
              <w:t>Highlights the fact that the environmental damage caused by deforestation will have hugely negative social and economic consequences for communities</w:t>
            </w:r>
            <w:r>
              <w:rPr>
                <w:b/>
                <w:i/>
              </w:rPr>
              <w:t>, notably loss of income and resources, increase of poverty and economic and social inequalities at the expense of smallholder farmers, displacements of communities and land conflicts resulting in loss of traditional ways of life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Anna Cavazzini</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Highlights the fact that the environmental damage caused by deforestation will have hugely negative social and economic consequences for communities engaged in forestry;</w:t>
            </w:r>
          </w:p>
        </w:tc>
        <w:tc>
          <w:tcPr>
            <w:tcW w:w="4876" w:type="dxa"/>
            <w:tcBorders>
              <w:top w:val="nil"/>
              <w:left w:val="nil"/>
              <w:bottom w:val="nil"/>
              <w:right w:val="nil"/>
            </w:tcBorders>
          </w:tcPr>
          <w:p>
            <w:pPr>
              <w:pStyle w:val="Normal6a"/>
            </w:pPr>
            <w:r>
              <w:t>2.</w:t>
            </w:r>
            <w:r>
              <w:tab/>
            </w:r>
            <w:r>
              <w:t xml:space="preserve">Highlights the fact that the environmental damage caused by deforestation </w:t>
            </w:r>
            <w:r>
              <w:rPr>
                <w:b/>
                <w:i/>
              </w:rPr>
              <w:t>and forest degradation</w:t>
            </w:r>
            <w:r>
              <w:t xml:space="preserve"> will have hugely negative social and economic consequences for communities engaged in forestry;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Anna Cavazzini</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Underlines that the Global Gateway strategy should support Liberia in promoting sustainable, inclusive and green development throughout its territory;</w:t>
            </w:r>
          </w:p>
        </w:tc>
        <w:tc>
          <w:tcPr>
            <w:tcW w:w="4876" w:type="dxa"/>
            <w:tcBorders>
              <w:top w:val="nil"/>
              <w:left w:val="nil"/>
              <w:bottom w:val="nil"/>
              <w:right w:val="nil"/>
            </w:tcBorders>
          </w:tcPr>
          <w:p>
            <w:pPr>
              <w:pStyle w:val="Normal6a"/>
            </w:pPr>
            <w:r>
              <w:t>3.</w:t>
            </w:r>
            <w:r>
              <w:tab/>
            </w:r>
            <w:r>
              <w:t xml:space="preserve">Underlines that the Global Gateway strategy should </w:t>
            </w:r>
            <w:r>
              <w:rPr>
                <w:b/>
                <w:i/>
              </w:rPr>
              <w:t>remain focused on poverty reduction and</w:t>
            </w:r>
            <w:r>
              <w:t xml:space="preserve"> support Liberia in promoting sustainable, inclusive and green development throughout its territory </w:t>
            </w:r>
            <w:r>
              <w:rPr>
                <w:b/>
                <w:i/>
              </w:rPr>
              <w:t>and stresses that work on illegal logging under the VPA is of key relevance to the Global Gateway Strategy</w:t>
            </w:r>
            <w:r>
              <w:t xml:space="preserve">; </w:t>
            </w:r>
            <w:r>
              <w:rPr>
                <w:b/>
                <w:i/>
              </w:rPr>
              <w:t>highlights that civil society organisations involved in the VPA process should be meaningfully involved in the framework of Global Gateway discussions with Liberia;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Anna Cavazzini</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Recalls that VPAs provide an important legal framework for both the EU and its partner countries, and that they require effective multi-stakeholder dialogue and good cooperation with and commitment from the countries concerned; recalls that the EU-Liberia VPA resulted in improvements, including in stakeholder participation in government processes and forestry reform, but that unfortunately this progress has not been consistent throughout the last 11 years; regrets the lack of progress in the implementation of the VPA with Liberia, especially with regard to the establishment of an operational FLEGT licensing scheme and Timber Legality Assurance System;</w:t>
            </w:r>
          </w:p>
        </w:tc>
        <w:tc>
          <w:tcPr>
            <w:tcW w:w="4876" w:type="dxa"/>
            <w:tcBorders>
              <w:top w:val="nil"/>
              <w:left w:val="nil"/>
              <w:bottom w:val="nil"/>
              <w:right w:val="nil"/>
            </w:tcBorders>
          </w:tcPr>
          <w:p>
            <w:pPr>
              <w:pStyle w:val="Normal6a"/>
            </w:pPr>
            <w:r>
              <w:t>5.</w:t>
            </w:r>
            <w:r>
              <w:tab/>
            </w:r>
            <w:r>
              <w:t xml:space="preserve">Recalls that VPAs provide an important legal framework for both the EU and its partner countries, and that they require effective multi-stakeholder dialogue and good cooperation with and commitment from the countries concerned; recalls that the EU-Liberia VPA resulted in improvements, including in stakeholder participation in government processes and forestry reform </w:t>
            </w:r>
            <w:r>
              <w:rPr>
                <w:b/>
                <w:i/>
              </w:rPr>
              <w:t>resulting in increased accountability in the forestry sector and in a stronger local communities’ voice in forest governance</w:t>
            </w:r>
            <w:r>
              <w:t>, but that unfortunately this progress has not been consistent throughout the last 11 years</w:t>
            </w:r>
            <w:r>
              <w:rPr>
                <w:b/>
                <w:i/>
              </w:rPr>
              <w:t>, especially with regards to enforcement, corruption and fair benefit sharing with local communities</w:t>
            </w:r>
            <w:r>
              <w:t>; regrets the lack of progress in the implementation of the VPA with Liberia, especially with regard to the establishment of an operational FLEGT licensing scheme and Timber Legality Assurance System;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Jean-Marc Germain, Raphaël Glucksmann</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Recalls that VPAs provide an important legal framework for both the EU and its partner countries, and that they require effective multi-stakeholder dialogue and good cooperation with and commitment from the countries concerned; recalls that the EU-Liberia VPA resulted in improvements, including in stakeholder participation in government processes and forestry reform, but that unfortunately this progress has not been consistent throughout the last </w:t>
            </w:r>
            <w:r>
              <w:rPr>
                <w:b/>
                <w:i/>
              </w:rPr>
              <w:t>11</w:t>
            </w:r>
            <w:r>
              <w:t xml:space="preserve"> years; regrets the lack of progress in the implementation of the VPA with Liberia, especially with regard to the establishment of an operational FLEGT licensing scheme and Timber Legality Assurance System;</w:t>
            </w:r>
          </w:p>
        </w:tc>
        <w:tc>
          <w:tcPr>
            <w:tcW w:w="4876" w:type="dxa"/>
            <w:tcBorders>
              <w:top w:val="nil"/>
              <w:left w:val="nil"/>
              <w:bottom w:val="nil"/>
              <w:right w:val="nil"/>
            </w:tcBorders>
          </w:tcPr>
          <w:p>
            <w:pPr>
              <w:pStyle w:val="Normal6a"/>
            </w:pPr>
            <w:r>
              <w:t>5.</w:t>
            </w:r>
            <w:r>
              <w:tab/>
            </w:r>
            <w:r>
              <w:t xml:space="preserve">Recalls that VPAs provide an important legal framework for both the EU and its partner countries, and that they require effective multi-stakeholder dialogue and good cooperation with and commitment from the countries concerned; recalls that the EU-Liberia VPA resulted in improvements, including in stakeholder participation in government processes and forestry reform, but that unfortunately this progress has not been consistent throughout the last </w:t>
            </w:r>
            <w:r>
              <w:rPr>
                <w:b/>
                <w:i/>
              </w:rPr>
              <w:t>13</w:t>
            </w:r>
            <w:r>
              <w:t xml:space="preserve"> years; regrets the lack of progress in the implementation of the VPA with Liberia, especially with regard to the establishment of an operational FLEGT licensing scheme and Timber Legality Assurance System;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Jean-Marc Germain, Raphaël Glucksmann</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Highlights </w:t>
            </w:r>
            <w:r>
              <w:rPr>
                <w:b/>
                <w:i/>
              </w:rPr>
              <w:t>the fact</w:t>
            </w:r>
            <w:r>
              <w:t xml:space="preserve"> that weak governance, ineffective law enforcement, insecure land tenures, lack of access to finance, shrinking civic space and corruption</w:t>
            </w:r>
            <w:r>
              <w:rPr>
                <w:b/>
                <w:i/>
              </w:rPr>
              <w:t>, require</w:t>
            </w:r>
            <w:r>
              <w:t xml:space="preserve"> the EU to meaningfully engage relevant stakeholders, such as Indigenous people and local communities, with a view to overcoming regulatory implementation hurdles regarding transparency and traceability;</w:t>
            </w:r>
          </w:p>
        </w:tc>
        <w:tc>
          <w:tcPr>
            <w:tcW w:w="4876" w:type="dxa"/>
            <w:tcBorders>
              <w:top w:val="nil"/>
              <w:left w:val="nil"/>
              <w:bottom w:val="nil"/>
              <w:right w:val="nil"/>
            </w:tcBorders>
          </w:tcPr>
          <w:p>
            <w:pPr>
              <w:pStyle w:val="Normal6a"/>
            </w:pPr>
            <w:r>
              <w:t>6.</w:t>
            </w:r>
            <w:r>
              <w:tab/>
            </w:r>
            <w:r>
              <w:t xml:space="preserve">Highlights that </w:t>
            </w:r>
            <w:r>
              <w:rPr>
                <w:b/>
                <w:i/>
              </w:rPr>
              <w:t>countering</w:t>
            </w:r>
            <w:r>
              <w:t xml:space="preserve"> weak governance, ineffective law enforcement, insecure land tenures, lack of access to finance, shrinking civic space and corruption </w:t>
            </w:r>
            <w:r>
              <w:rPr>
                <w:b/>
                <w:i/>
              </w:rPr>
              <w:t>requires</w:t>
            </w:r>
            <w:r>
              <w:t xml:space="preserve"> the EU to meaningfully </w:t>
            </w:r>
            <w:r>
              <w:rPr>
                <w:b/>
                <w:i/>
              </w:rPr>
              <w:t>and continuously</w:t>
            </w:r>
            <w:r>
              <w:t xml:space="preserve"> engage relevant stakeholders, such as Indigenous people and local communities, with a view to overcoming regulatory implementation hurdles regarding transparency and traceability; </w:t>
            </w:r>
            <w:r>
              <w:rPr>
                <w:b/>
                <w:i/>
              </w:rPr>
              <w:t>stresses that there should be no vacuum in cooperation between the Union and Liberia on sustainable and inclusive forest management and governance;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Highlights the fact that weak governance, ineffective law enforcement, insecure land tenures, lack of access to finance, shrinking civic space and corruption, require the EU to meaningfully engage relevant stakeholders, such as Indigenous people and local communities, with a view to overcoming regulatory implementation hurdles regarding transparency and traceability;</w:t>
            </w:r>
          </w:p>
        </w:tc>
        <w:tc>
          <w:tcPr>
            <w:tcW w:w="4876" w:type="dxa"/>
            <w:tcBorders>
              <w:top w:val="nil"/>
              <w:left w:val="nil"/>
              <w:bottom w:val="nil"/>
              <w:right w:val="nil"/>
            </w:tcBorders>
          </w:tcPr>
          <w:p>
            <w:pPr>
              <w:pStyle w:val="Normal6a"/>
            </w:pPr>
            <w:r>
              <w:t>6.</w:t>
            </w:r>
            <w:r>
              <w:tab/>
            </w:r>
            <w:r>
              <w:t>Highlights the fact that weak governance, ineffective law enforcement, insecure land tenures, lack of access to finance, shrinking civic space and corruption, require the EU to meaningfully engage relevant stakeholders, such as Indigenous people</w:t>
            </w:r>
            <w:r>
              <w:rPr>
                <w:b/>
                <w:i/>
              </w:rPr>
              <w:t>, trade unions</w:t>
            </w:r>
            <w:r>
              <w:t xml:space="preserve"> and local communities, with a view to overcoming regulatory implementation hurdles regarding transparency and traceability;</w:t>
            </w:r>
          </w:p>
        </w:tc>
      </w:tr>
    </w:tbl>
    <w:p>
      <w:pPr>
        <w:pStyle w:val="AmOrLang"/>
      </w:pPr>
      <w:r>
        <w:t xml:space="preserve">Or. </w:t>
      </w:r>
      <w:r>
        <w:rPr>
          <w:rStyle w:val="HideTWBExt"/>
        </w:rPr>
        <w:t>&lt;Original&gt;</w:t>
      </w:r>
      <w:r>
        <w:rPr>
          <w:rStyle w:val="HideTWBInt"/>
        </w:rPr>
        <w:t>{GA}</w:t>
      </w:r>
      <w:r>
        <w:t>ga</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Jean-Marc Germain, Raphaël Glucksmann</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6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a.</w:t>
            </w:r>
            <w:r>
              <w:tab/>
            </w:r>
            <w:r>
              <w:rPr>
                <w:b/>
                <w:i/>
              </w:rPr>
              <w:t>Expresses concern that civil society in Liberia faces increasing hostility and a shrinking space for participation in sustainable and inclusive forest management and governance;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Anna Cavazzini</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Underlines the importance of including civil society and local authorities in decision-making processes, of benefit sharing with local communities and of reinforcing security and accountability; regrets the lack of information sharing with civil society prior to the Commission proposal to terminate the VPA with Liberia;</w:t>
            </w:r>
          </w:p>
        </w:tc>
        <w:tc>
          <w:tcPr>
            <w:tcW w:w="4876" w:type="dxa"/>
            <w:tcBorders>
              <w:top w:val="nil"/>
              <w:left w:val="nil"/>
              <w:bottom w:val="nil"/>
              <w:right w:val="nil"/>
            </w:tcBorders>
          </w:tcPr>
          <w:p>
            <w:pPr>
              <w:pStyle w:val="Normal6a"/>
            </w:pPr>
            <w:r>
              <w:t>7.</w:t>
            </w:r>
            <w:r>
              <w:tab/>
            </w:r>
            <w:r>
              <w:t xml:space="preserve">Underlines the importance of including civil society and local authorities in decision-making processes, of benefit sharing with local communities and of reinforcing security and accountability; regrets the lack of information sharing with civil society prior to the Commission proposal to terminate the VPA with Liberia; </w:t>
            </w:r>
            <w:r>
              <w:rPr>
                <w:b/>
                <w:i/>
              </w:rPr>
              <w:t>notes that civil society organisations in the EU and in Liberia have expressed serious concerns about the Commission’s proposal for termination of the VPA;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Jean-Marc Germain, Raphaël Glucksmann</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Underlines the importance of including civil society and local authorities in decision-making processes, of benefit sharing with local communities and of reinforcing security and accountability; </w:t>
            </w:r>
            <w:r>
              <w:rPr>
                <w:b/>
                <w:i/>
              </w:rPr>
              <w:t>regrets</w:t>
            </w:r>
            <w:r>
              <w:t xml:space="preserve"> the lack of information sharing with civil society prior to the Commission proposal to terminate the VPA with Liberia;</w:t>
            </w:r>
          </w:p>
        </w:tc>
        <w:tc>
          <w:tcPr>
            <w:tcW w:w="4876" w:type="dxa"/>
            <w:tcBorders>
              <w:top w:val="nil"/>
              <w:left w:val="nil"/>
              <w:bottom w:val="nil"/>
              <w:right w:val="nil"/>
            </w:tcBorders>
          </w:tcPr>
          <w:p>
            <w:pPr>
              <w:pStyle w:val="Normal6a"/>
            </w:pPr>
            <w:r>
              <w:t>7.</w:t>
            </w:r>
            <w:r>
              <w:tab/>
            </w:r>
            <w:r>
              <w:t xml:space="preserve">Underlines the importance of including </w:t>
            </w:r>
            <w:r>
              <w:rPr>
                <w:b/>
                <w:i/>
              </w:rPr>
              <w:t>multi-stakeholder mechanisms bringing together</w:t>
            </w:r>
            <w:r>
              <w:t xml:space="preserve"> civil society and local authorities in decision-making processes, of benefit sharing with local communities and of reinforcing security and accountability; </w:t>
            </w:r>
            <w:r>
              <w:rPr>
                <w:b/>
                <w:i/>
              </w:rPr>
              <w:t>deplores</w:t>
            </w:r>
            <w:r>
              <w:t xml:space="preserve"> the lack of information sharing </w:t>
            </w:r>
            <w:r>
              <w:rPr>
                <w:b/>
                <w:i/>
              </w:rPr>
              <w:t>and meaningful consultation</w:t>
            </w:r>
            <w:r>
              <w:t xml:space="preserve"> with civil society prior to the Commission proposal to terminate the VPA with Liberia;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Lídia Pereira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Underlines the importance of including civil society and local authorities in decision-making processes, of benefit sharing with local communities and of reinforcing security and accountability; </w:t>
            </w:r>
            <w:r>
              <w:rPr>
                <w:b/>
                <w:i/>
              </w:rPr>
              <w:t>regrets the lack of information sharing</w:t>
            </w:r>
            <w:r>
              <w:t xml:space="preserve"> with civil society </w:t>
            </w:r>
            <w:r>
              <w:rPr>
                <w:b/>
                <w:i/>
              </w:rPr>
              <w:t>prior to the Commission proposal to terminate the VPA with Liberia</w:t>
            </w:r>
            <w:r>
              <w:t>;</w:t>
            </w:r>
          </w:p>
        </w:tc>
        <w:tc>
          <w:tcPr>
            <w:tcW w:w="4876" w:type="dxa"/>
            <w:tcBorders>
              <w:top w:val="nil"/>
              <w:left w:val="nil"/>
              <w:bottom w:val="nil"/>
              <w:right w:val="nil"/>
            </w:tcBorders>
          </w:tcPr>
          <w:p>
            <w:pPr>
              <w:pStyle w:val="Normal6a"/>
            </w:pPr>
            <w:r>
              <w:t>7.</w:t>
            </w:r>
            <w:r>
              <w:tab/>
            </w:r>
            <w:r>
              <w:t>Underlines the importance of including civil society</w:t>
            </w:r>
            <w:r>
              <w:rPr>
                <w:b/>
                <w:i/>
              </w:rPr>
              <w:t>, private sector</w:t>
            </w:r>
            <w:r>
              <w:t xml:space="preserve"> and local authorities in decision-making processes, of benefit sharing with local communities and of reinforcing security and accountability; </w:t>
            </w:r>
            <w:r>
              <w:rPr>
                <w:b/>
                <w:i/>
              </w:rPr>
              <w:t>stresses that decisions concerning the future of EU-Liberia cooperation on forests should be accompanied by timely information-sharing and meaningful engagement</w:t>
            </w:r>
            <w:r>
              <w:t xml:space="preserve"> with civil society;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Underlines the importance of including civil society and local authorities in decision-making processes, of benefit sharing with local communities and of reinforcing security and accountability; regrets the lack of information sharing with civil society prior to the Commission proposal to terminate the VPA with Liberia;</w:t>
            </w:r>
          </w:p>
        </w:tc>
        <w:tc>
          <w:tcPr>
            <w:tcW w:w="4876" w:type="dxa"/>
            <w:tcBorders>
              <w:top w:val="nil"/>
              <w:left w:val="nil"/>
              <w:bottom w:val="nil"/>
              <w:right w:val="nil"/>
            </w:tcBorders>
          </w:tcPr>
          <w:p>
            <w:pPr>
              <w:pStyle w:val="Normal6a"/>
            </w:pPr>
            <w:r>
              <w:t>7.</w:t>
            </w:r>
            <w:r>
              <w:tab/>
            </w:r>
            <w:r>
              <w:t xml:space="preserve">Underlines the importance of including civil society and local authorities in decision-making processes, of benefit sharing with local communities and of reinforcing security and accountability; regrets the lack of information sharing </w:t>
            </w:r>
            <w:r>
              <w:rPr>
                <w:b/>
                <w:i/>
              </w:rPr>
              <w:t>and engagement</w:t>
            </w:r>
            <w:r>
              <w:t xml:space="preserve"> with civil society prior to the Commission proposal to terminate the VPA with Liberia;</w:t>
            </w:r>
          </w:p>
        </w:tc>
      </w:tr>
    </w:tbl>
    <w:p>
      <w:pPr>
        <w:pStyle w:val="AmOrLang"/>
      </w:pPr>
      <w:r>
        <w:t xml:space="preserve">Or. </w:t>
      </w:r>
      <w:r>
        <w:rPr>
          <w:rStyle w:val="HideTWBExt"/>
        </w:rPr>
        <w:t>&lt;Original&gt;</w:t>
      </w:r>
      <w:r>
        <w:rPr>
          <w:rStyle w:val="HideTWBInt"/>
        </w:rPr>
        <w:t>{GA}</w:t>
      </w:r>
      <w:r>
        <w:t>ga</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Anna Cavazzini</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7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a.</w:t>
            </w:r>
            <w:r>
              <w:tab/>
            </w:r>
            <w:r>
              <w:rPr>
                <w:b/>
                <w:i/>
              </w:rPr>
              <w:t>Calls on the Commission to strengthen existing multistakeholder platforms, particularly the Joint Implementation Committee, by guaranteeing adequate funding and customized capacity building initiatives to enable civil society organisations, Indigenous Peoples, and local communities to actively participate in any future Forest Partnerships;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Anna Cavazzini</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Stresses that countries all over the world that either have or aim to have regulated import markets for legal timber would benefit from cooperating with each other and, where possible, endorsing each other’s rules and systems, such as the EU’s FLEGT VPAs; emphasises that establishing international standards would be more effective in this regard and would promote long-term legal security for businesses and consumers;</w:t>
            </w:r>
          </w:p>
        </w:tc>
        <w:tc>
          <w:tcPr>
            <w:tcW w:w="4876" w:type="dxa"/>
            <w:tcBorders>
              <w:top w:val="nil"/>
              <w:left w:val="nil"/>
              <w:bottom w:val="nil"/>
              <w:right w:val="nil"/>
            </w:tcBorders>
          </w:tcPr>
          <w:p>
            <w:pPr>
              <w:pStyle w:val="Normal6a"/>
            </w:pPr>
            <w:r>
              <w:t>8.</w:t>
            </w:r>
            <w:r>
              <w:tab/>
            </w:r>
            <w:r>
              <w:t xml:space="preserve">Stresses that countries all over the world that either have or aim to have regulated import markets for legal timber would benefit from cooperating with each other and, where possible, endorsing each other’s rules and systems, such as the EU’s FLEGT VPAs; emphasises that establishing international standards </w:t>
            </w:r>
            <w:r>
              <w:rPr>
                <w:b/>
                <w:i/>
              </w:rPr>
              <w:t>aiming to guarantee timber legality</w:t>
            </w:r>
            <w:r>
              <w:t xml:space="preserve"> would be more effective in this regard and would promote long-term legal security for businesses and consumers; </w:t>
            </w:r>
            <w:r>
              <w:rPr>
                <w:b/>
                <w:i/>
              </w:rPr>
              <w:t>highlights that certification is not a viable solution on its own which is proven via continued and well-documented failures of certification systems, such are inadequate to fully prove compliance with deforestation and legality requirements;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Jean-Marc Germain, Raphaël Glucksmann</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Stresses that countries all over the world that either have or aim to have regulated import markets for legal timber would benefit from cooperating with each other and, where possible, endorsing each other’s rules and systems, such as the EU’s FLEGT VPAs; emphasises that establishing international standards would be more effective in this regard and would promote long-term legal security for businesses and consumers;</w:t>
            </w:r>
          </w:p>
        </w:tc>
        <w:tc>
          <w:tcPr>
            <w:tcW w:w="4876" w:type="dxa"/>
            <w:tcBorders>
              <w:top w:val="nil"/>
              <w:left w:val="nil"/>
              <w:bottom w:val="nil"/>
              <w:right w:val="nil"/>
            </w:tcBorders>
          </w:tcPr>
          <w:p>
            <w:pPr>
              <w:pStyle w:val="Normal6a"/>
            </w:pPr>
            <w:r>
              <w:t>8.</w:t>
            </w:r>
            <w:r>
              <w:tab/>
            </w:r>
            <w:r>
              <w:rPr>
                <w:b/>
                <w:i/>
              </w:rPr>
              <w:t>Underlines that proof of timber legality is increasingly being included in market regulations worldwide;</w:t>
            </w:r>
            <w:r>
              <w:t xml:space="preserve"> stresses that countries all over the world that either have or aim to have regulated import markets for legal timber would benefit from cooperating with each other and, where possible, endorsing each other’s rules and systems, such as the EU’s FLEGT VPAs; emphasises that establishing international standards </w:t>
            </w:r>
            <w:r>
              <w:rPr>
                <w:b/>
                <w:i/>
              </w:rPr>
              <w:t>and systems that promote legal timber</w:t>
            </w:r>
            <w:r>
              <w:t xml:space="preserve"> would be more effective in this regard and would promote long-term legal security for businesses and consumers;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Lídia Pereira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Highlights the fact that addressing the root causes of deforestation, such as weak governance, ineffective law enforcement, insecure land tenures, lack of access to finance, shrinking civic space and corruption, requires the EU and its partner countries to carry out joint assessments based on the meaningful engagement of relevant stakeholders, such as Indigenous people and local communities, with a view to overcoming regulatory implementation hurdles regarding transparency and traceability;</w:t>
            </w:r>
          </w:p>
        </w:tc>
        <w:tc>
          <w:tcPr>
            <w:tcW w:w="4876" w:type="dxa"/>
            <w:tcBorders>
              <w:top w:val="nil"/>
              <w:left w:val="nil"/>
              <w:bottom w:val="nil"/>
              <w:right w:val="nil"/>
            </w:tcBorders>
          </w:tcPr>
          <w:p>
            <w:pPr>
              <w:pStyle w:val="Normal6a"/>
            </w:pPr>
            <w:r>
              <w:rPr>
                <w:b/>
                <w:i/>
              </w:rPr>
              <w:t>deleted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i/>
              </w:rPr>
              <w:t>(Paragraph 9 appears redundant in light of paragraph 6, since it reiterates the same structural obstacles and the same need for meaningful stakeholder engagement.)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Jean-Marc Germain, Raphaël Glucksmann</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Highlights the fact that addressing the root causes of deforestation, such as weak governance, ineffective law enforcement, insecure land tenures, lack of access to finance, shrinking civic space and corruption, requires the EU and its partner countries to carry out joint assessments based on the meaningful engagement of </w:t>
            </w:r>
            <w:r>
              <w:rPr>
                <w:b/>
                <w:i/>
              </w:rPr>
              <w:t>relevant</w:t>
            </w:r>
            <w:r>
              <w:t xml:space="preserve"> stakeholders, </w:t>
            </w:r>
            <w:r>
              <w:rPr>
                <w:b/>
                <w:i/>
              </w:rPr>
              <w:t>such as</w:t>
            </w:r>
            <w:r>
              <w:t xml:space="preserve"> Indigenous people and local communities, with a view to overcoming regulatory implementation hurdles regarding transparency and traceability;</w:t>
            </w:r>
          </w:p>
        </w:tc>
        <w:tc>
          <w:tcPr>
            <w:tcW w:w="4876" w:type="dxa"/>
            <w:tcBorders>
              <w:top w:val="nil"/>
              <w:left w:val="nil"/>
              <w:bottom w:val="nil"/>
              <w:right w:val="nil"/>
            </w:tcBorders>
          </w:tcPr>
          <w:p>
            <w:pPr>
              <w:pStyle w:val="Normal6a"/>
            </w:pPr>
            <w:r>
              <w:t>9.</w:t>
            </w:r>
            <w:r>
              <w:tab/>
            </w:r>
            <w:r>
              <w:t xml:space="preserve">Highlights the fact that addressing the root causes of deforestation, such as weak governance, ineffective law enforcement, insecure land tenures, lack of access to finance, shrinking civic space and corruption, requires the EU and its partner countries to carry out joint assessments based on the meaningful engagement of stakeholders, </w:t>
            </w:r>
            <w:r>
              <w:rPr>
                <w:b/>
                <w:i/>
              </w:rPr>
              <w:t>including</w:t>
            </w:r>
            <w:r>
              <w:t xml:space="preserve"> Indigenous people and local communities, with a view to overcoming regulatory implementation hurdles regarding transparency and traceability; </w:t>
            </w:r>
            <w:r>
              <w:rPr>
                <w:b/>
                <w:i/>
              </w:rPr>
              <w:t>highlights the need for an in-depth diagnostic and independent assessment of the evolution of forest governance in Liberia and for the relevant experiences and lessons learnt from the VPA process to inform any decision on the future of the agreement and to be integrated into any future partnership;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Anna Cavazzini</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Highlights the fact that addressing the root causes of deforestation, such as weak governance, ineffective law enforcement, insecure land tenures, lack of access to finance, shrinking civic space and corruption, requires the EU and its partner countries to carry out joint assessments based on the meaningful engagement of relevant stakeholders, such as Indigenous people and local communities, with a view to overcoming regulatory implementation hurdles regarding transparency and traceability;</w:t>
            </w:r>
          </w:p>
        </w:tc>
        <w:tc>
          <w:tcPr>
            <w:tcW w:w="4876" w:type="dxa"/>
            <w:tcBorders>
              <w:top w:val="nil"/>
              <w:left w:val="nil"/>
              <w:bottom w:val="nil"/>
              <w:right w:val="nil"/>
            </w:tcBorders>
          </w:tcPr>
          <w:p>
            <w:pPr>
              <w:pStyle w:val="Normal6a"/>
            </w:pPr>
            <w:r>
              <w:t>9.</w:t>
            </w:r>
            <w:r>
              <w:tab/>
            </w:r>
            <w:r>
              <w:t xml:space="preserve">Highlights the fact that addressing the root causes of deforestation, such as </w:t>
            </w:r>
            <w:r>
              <w:rPr>
                <w:b/>
                <w:i/>
              </w:rPr>
              <w:t>rising global consumption and demand of agricultural commodities, timber and mining, excessive influence of the timber industry and other groups with vested interests,</w:t>
            </w:r>
            <w:r>
              <w:t xml:space="preserve"> weak governance, ineffective law enforcement, insecure land tenures, lack of access to finance, shrinking civic space and corruption, requires the EU and its partner countries to carry out joint assessments based on the meaningful engagement of relevant stakeholders, such as Indigenous people and local communities, with a view to overcoming regulatory implementation hurdles regarding transparency and traceability;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Highlights the fact that addressing the root causes of deforestation, such as weak governance, ineffective law enforcement, insecure land tenures, lack of access to finance, shrinking civic space and corruption, requires the EU and its partner countries to carry out joint assessments based on the meaningful engagement of relevant stakeholders, such as Indigenous people and local communities, with a view to overcoming regulatory implementation hurdles regarding transparency and traceability;</w:t>
            </w:r>
          </w:p>
        </w:tc>
        <w:tc>
          <w:tcPr>
            <w:tcW w:w="4876" w:type="dxa"/>
            <w:tcBorders>
              <w:top w:val="nil"/>
              <w:left w:val="nil"/>
              <w:bottom w:val="nil"/>
              <w:right w:val="nil"/>
            </w:tcBorders>
          </w:tcPr>
          <w:p>
            <w:pPr>
              <w:pStyle w:val="Normal6a"/>
            </w:pPr>
            <w:r>
              <w:t>9.</w:t>
            </w:r>
            <w:r>
              <w:tab/>
            </w:r>
            <w:r>
              <w:t>Highlights the fact that addressing the root causes of deforestation, such as weak governance, ineffective law enforcement, insecure land tenures</w:t>
            </w:r>
            <w:r>
              <w:rPr>
                <w:b/>
                <w:i/>
              </w:rPr>
              <w:t>, extractivist policies</w:t>
            </w:r>
            <w:r>
              <w:t>, lack of access to finance, shrinking civic space and corruption, requires the EU and its partner countries to carry out joint assessments based on the meaningful engagement of relevant stakeholders, such as Indigenous people</w:t>
            </w:r>
            <w:r>
              <w:rPr>
                <w:b/>
                <w:i/>
              </w:rPr>
              <w:t>, trade unions</w:t>
            </w:r>
            <w:r>
              <w:t xml:space="preserve"> and local communities, with a view to overcoming regulatory implementation hurdles regarding transparency and traceability;</w:t>
            </w:r>
          </w:p>
        </w:tc>
      </w:tr>
    </w:tbl>
    <w:p>
      <w:pPr>
        <w:pStyle w:val="AmOrLang"/>
      </w:pPr>
      <w:r>
        <w:t xml:space="preserve">Or. </w:t>
      </w:r>
      <w:r>
        <w:rPr>
          <w:rStyle w:val="HideTWBExt"/>
        </w:rPr>
        <w:t>&lt;Original&gt;</w:t>
      </w:r>
      <w:r>
        <w:rPr>
          <w:rStyle w:val="HideTWBInt"/>
        </w:rPr>
        <w:t>{GA}</w:t>
      </w:r>
      <w:r>
        <w:t>ga</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Anna Cavazzini</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rPr>
                <w:b/>
                <w:i/>
              </w:rPr>
              <w:t>Regrets the need</w:t>
            </w:r>
            <w:r>
              <w:t xml:space="preserve"> to end the legally binding VPA with Liberia and stresses the need for the Commission to keep engaging with the Government of Liberia on forestry; points out the negative impact that this could have on civic space, as the VPA has contributed to the facilitation of dialogue between the Government of Liberia and civil society in recent years; underlines that the EU remains a committed partner of Liberia in fostering economic growth and comprehensive human development; calls on the Commission and the European External Action Service to engage in dialogue with the authorities of Liberia to explore possibilities for constructive cooperation based on areas of mutual interest, combat illegal logging, support forest conservation and boost economic cooperation and trade;</w:t>
            </w:r>
          </w:p>
        </w:tc>
        <w:tc>
          <w:tcPr>
            <w:tcW w:w="4876" w:type="dxa"/>
            <w:tcBorders>
              <w:top w:val="nil"/>
              <w:left w:val="nil"/>
              <w:bottom w:val="nil"/>
              <w:right w:val="nil"/>
            </w:tcBorders>
          </w:tcPr>
          <w:p>
            <w:pPr>
              <w:pStyle w:val="Normal6a"/>
            </w:pPr>
            <w:r>
              <w:t>10.</w:t>
            </w:r>
            <w:r>
              <w:tab/>
            </w:r>
            <w:r>
              <w:rPr>
                <w:b/>
                <w:i/>
              </w:rPr>
              <w:t>Rejects the Commission's proposal</w:t>
            </w:r>
            <w:r>
              <w:t xml:space="preserve"> to end the legally binding VPA with Liberia and stresses the need for the Commission to keep engaging with the Government of Liberia on forestry; points out the negative impact that this could have on civic space, as the VPA has contributed to the facilitation of dialogue between the Government of Liberia and civil society in recent years; underlines that the EU remains a committed partner of Liberia in fostering economic growth and comprehensive human development; calls on the Commission and the European External Action Service to engage in dialogue with the authorities of Liberia to explore possibilities for constructive cooperation based on areas of mutual interest, combat illegal logging, support forest conservation and boost economic cooperation and trade; </w:t>
            </w:r>
            <w:r>
              <w:rPr>
                <w:b/>
                <w:i/>
              </w:rPr>
              <w:t>insists that any Forest Partnership should build on the governance structures already established through the VPA, including inclusive multistakeholder platforms, legality verification tools, and community participation; asks the Commission to preserve existing bodies within the VPA, or create meaningful replacements for them; underlines that these bodies' roles should be anchored in law or regulation, not merely outlined in project documents;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Jean-Marc Germain, Raphaël Glucksmann</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rPr>
                <w:b/>
                <w:i/>
              </w:rPr>
              <w:t>Regrets the need</w:t>
            </w:r>
            <w:r>
              <w:t xml:space="preserve"> to end the legally binding VPA with Liberia and stresses the need for the Commission to keep engaging with the Government of Liberia on forestry; points out the negative impact that this could have on civic space, as the VPA has contributed to the facilitation of dialogue between the Government of Liberia and civil society in recent years; underlines that the EU remains a committed partner of Liberia in fostering economic growth and comprehensive human development; calls on the Commission and the European External Action Service to engage in dialogue with the authorities of Liberia to explore possibilities for constructive cooperation based on areas of mutual interest, combat illegal logging, support forest conservation and boost economic cooperation and trade;</w:t>
            </w:r>
          </w:p>
        </w:tc>
        <w:tc>
          <w:tcPr>
            <w:tcW w:w="4876" w:type="dxa"/>
            <w:tcBorders>
              <w:top w:val="nil"/>
              <w:left w:val="nil"/>
              <w:bottom w:val="nil"/>
              <w:right w:val="nil"/>
            </w:tcBorders>
          </w:tcPr>
          <w:p>
            <w:pPr>
              <w:pStyle w:val="Normal6a"/>
            </w:pPr>
            <w:r>
              <w:t>10.</w:t>
            </w:r>
            <w:r>
              <w:tab/>
            </w:r>
            <w:r>
              <w:rPr>
                <w:b/>
                <w:i/>
              </w:rPr>
              <w:t>Rejects the Commission’s decision</w:t>
            </w:r>
            <w:r>
              <w:t xml:space="preserve"> to end the legally binding VPA with Liberia and stresses the need for the Commission to keep engaging with the Government of Liberia on forestry; points out the negative impact that this could have on civic space, as the VPA has contributed to the facilitation of dialogue between the Government of Liberia and civil society in recent years; underlines that the EU remains a committed partner of Liberia in fostering </w:t>
            </w:r>
            <w:r>
              <w:rPr>
                <w:b/>
                <w:i/>
              </w:rPr>
              <w:t>sustainable and inclusive</w:t>
            </w:r>
            <w:r>
              <w:t xml:space="preserve"> economic growth and comprehensive human development</w:t>
            </w:r>
            <w:r>
              <w:rPr>
                <w:b/>
                <w:i/>
              </w:rPr>
              <w:t>; underlines that the VPA provides an already existing formal framework for dialogue and cooperation between the Union and Liberia, and is thus uniquely suited to facilitate the development of any complementary initiative, such as a future potential Forest Partnership</w:t>
            </w:r>
            <w:r>
              <w:t>; calls on the Commission and the European External Action Service to engage in dialogue with the authorities of Liberia to explore possibilities for constructive cooperation based on areas of mutual interest, combat illegal logging, support forest conservation</w:t>
            </w:r>
            <w:r>
              <w:rPr>
                <w:b/>
                <w:i/>
              </w:rPr>
              <w:t>, assist with the implementation of the Regulation on Deforestation-free Products (EUDR)</w:t>
            </w:r>
            <w:r>
              <w:t xml:space="preserve"> and boost economic cooperation and trade;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Lídia Pereira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Regrets the need to end the legally binding VPA with Liberia and stresses the need for the Commission to keep engaging with the Government of Liberia on forestry; points out the negative impact that this could have on civic space, as the VPA has contributed to the facilitation of dialogue between the Government of Liberia and civil society in recent years; underlines that the EU remains a committed partner of Liberia in fostering economic growth and comprehensive human development; calls on the Commission </w:t>
            </w:r>
            <w:r>
              <w:rPr>
                <w:b/>
                <w:i/>
              </w:rPr>
              <w:t>and the European External Action Service to engage in dialogue with the authorities of</w:t>
            </w:r>
            <w:r>
              <w:t xml:space="preserve"> Liberia </w:t>
            </w:r>
            <w:r>
              <w:rPr>
                <w:b/>
                <w:i/>
              </w:rPr>
              <w:t>to explore possibilities for constructive cooperation based on areas of mutual interest, combat illegal logging, support forest conservation and boost economic cooperation and trade</w:t>
            </w:r>
            <w:r>
              <w:t>;</w:t>
            </w:r>
          </w:p>
        </w:tc>
        <w:tc>
          <w:tcPr>
            <w:tcW w:w="4876" w:type="dxa"/>
            <w:tcBorders>
              <w:top w:val="nil"/>
              <w:left w:val="nil"/>
              <w:bottom w:val="nil"/>
              <w:right w:val="nil"/>
            </w:tcBorders>
          </w:tcPr>
          <w:p>
            <w:pPr>
              <w:pStyle w:val="Normal6a"/>
            </w:pPr>
            <w:r>
              <w:t>10.</w:t>
            </w:r>
            <w:r>
              <w:tab/>
            </w:r>
            <w:r>
              <w:t xml:space="preserve">Regrets the need to end the legally binding VPA with Liberia and stresses the need for the Commission to keep engaging with the Government of Liberia on forestry; points out the negative impact that this could have on civic space, as the VPA has contributed to the facilitation of dialogue between the Government of Liberia and civil society in recent years; underlines that the EU remains a committed partner of Liberia in fostering economic growth and comprehensive human development; </w:t>
            </w:r>
            <w:r>
              <w:rPr>
                <w:b/>
                <w:i/>
              </w:rPr>
              <w:t>stresses also the importance of ensuring that the termination of the VPA, without a clearly structured transition, does not weaken the cooperative relationship between the EU and Liberia, does not raise wider concerns as regards the relevance of VPAs, and does not lead to broader repercussions for the forestry sector;</w:t>
            </w:r>
            <w:r>
              <w:t xml:space="preserve"> calls on the Commission </w:t>
            </w:r>
            <w:r>
              <w:rPr>
                <w:b/>
                <w:i/>
              </w:rPr>
              <w:t>to assess such effects in its future engagement with</w:t>
            </w:r>
            <w:r>
              <w:t xml:space="preserve"> Liberia;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Regrets the </w:t>
            </w:r>
            <w:r>
              <w:rPr>
                <w:b/>
                <w:i/>
              </w:rPr>
              <w:t>need</w:t>
            </w:r>
            <w:r>
              <w:t xml:space="preserve"> to end the legally binding VPA with Liberia and stresses the need for the Commission to keep engaging with the Government of Liberia on forestry; points out the negative impact that this could have on civic space, as the VPA has contributed to the facilitation of dialogue between the Government of Liberia and civil society in recent years; underlines that the EU remains a committed partner of Liberia in fostering economic growth and comprehensive human development; calls on the Commission and the European External Action Service to engage in dialogue with the authorities of Liberia to explore possibilities for constructive cooperation based on areas of mutual interest, combat illegal logging, support forest conservation and boost economic cooperation and trade;</w:t>
            </w:r>
          </w:p>
        </w:tc>
        <w:tc>
          <w:tcPr>
            <w:tcW w:w="4876" w:type="dxa"/>
            <w:tcBorders>
              <w:top w:val="nil"/>
              <w:left w:val="nil"/>
              <w:bottom w:val="nil"/>
              <w:right w:val="nil"/>
            </w:tcBorders>
          </w:tcPr>
          <w:p>
            <w:pPr>
              <w:pStyle w:val="Normal6a"/>
            </w:pPr>
            <w:r>
              <w:t>10.</w:t>
            </w:r>
            <w:r>
              <w:tab/>
            </w:r>
            <w:r>
              <w:t xml:space="preserve">Regrets the </w:t>
            </w:r>
            <w:r>
              <w:rPr>
                <w:b/>
                <w:i/>
              </w:rPr>
              <w:t>decision</w:t>
            </w:r>
            <w:r>
              <w:t xml:space="preserve"> to end the legally binding VPA with Liberia and stresses the need for the Commission to keep engaging with the Government of Liberia </w:t>
            </w:r>
            <w:r>
              <w:rPr>
                <w:b/>
                <w:i/>
              </w:rPr>
              <w:t>and Liberian civil society</w:t>
            </w:r>
            <w:r>
              <w:t xml:space="preserve"> on forestry; points out the negative impact that this could have on civic space, as the VPA has contributed to the facilitation of dialogue between the Government of Liberia and civil society in recent years; underlines that the EU remains a committed partner of Liberia in fostering economic growth and comprehensive human development; calls on the Commission and the European External Action Service to engage in dialogue with the authorities </w:t>
            </w:r>
            <w:r>
              <w:rPr>
                <w:b/>
                <w:i/>
              </w:rPr>
              <w:t>and civil society</w:t>
            </w:r>
            <w:r>
              <w:t xml:space="preserve"> of Liberia to explore possibilities for constructive cooperation based on areas of mutual interest, combat illegal logging, support forest conservation and boost economic cooperation and trade;</w:t>
            </w:r>
          </w:p>
        </w:tc>
      </w:tr>
    </w:tbl>
    <w:p>
      <w:pPr>
        <w:pStyle w:val="AmOrLang"/>
      </w:pPr>
      <w:r>
        <w:t xml:space="preserve">Or. </w:t>
      </w:r>
      <w:r>
        <w:rPr>
          <w:rStyle w:val="HideTWBExt"/>
        </w:rPr>
        <w:t>&lt;Original&gt;</w:t>
      </w:r>
      <w:r>
        <w:rPr>
          <w:rStyle w:val="HideTWBInt"/>
        </w:rPr>
        <w:t>{GA}</w:t>
      </w:r>
      <w:r>
        <w:t>ga</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Anna Cavazzini</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Calls on the Commission to explore alternatives, in close dialogue with Liberia, to ensure the legality of timber and timber products originating from Liberia and to properly address the problem of illegal timber logging, while taking into account the recent positive developments in Liberia regarding government and stakeholder involvement, ensuring that the progress made is not lost due to the termination of the VPA;</w:t>
            </w:r>
          </w:p>
        </w:tc>
        <w:tc>
          <w:tcPr>
            <w:tcW w:w="4876" w:type="dxa"/>
            <w:tcBorders>
              <w:top w:val="nil"/>
              <w:left w:val="nil"/>
              <w:bottom w:val="nil"/>
              <w:right w:val="nil"/>
            </w:tcBorders>
          </w:tcPr>
          <w:p>
            <w:pPr>
              <w:pStyle w:val="Normal6a"/>
            </w:pPr>
            <w:r>
              <w:t>11.</w:t>
            </w:r>
            <w:r>
              <w:tab/>
            </w:r>
            <w:r>
              <w:t xml:space="preserve">Calls on the Commission to explore alternatives, in close dialogue with Liberia, to ensure the legality of timber and timber products originating from Liberia and to properly address the problem of illegal timber logging, while taking into account the recent positive developments in Liberia regarding government and stakeholder involvement, ensuring that the progress made is not lost due to the termination of the VPA; </w:t>
            </w:r>
            <w:r>
              <w:rPr>
                <w:b/>
                <w:i/>
              </w:rPr>
              <w:t>therefore stresses that in case of a termination of the VPA with Liberia, this must not take effect until a successor Forest Partnership has been fully developed and endorsed by both the Liberia Implementation Committee and the Joint Implementation Committee, ensuring continuity of governance, accountability, and stakeholder participation; urges that civil society organisations, local communities, Indigenous communities, environmental and human rights defenders, and trade unions be included at every stage of drafting such a Forest Partnership, including through existing multistakeholder groups; insists that any Forest Partnership build on VPA governance structures, including multistakeholder platforms, legality verification tools, and community participation mechanisms, and calls on the Commission to preserve or replace bodies such as the Joint Implementation Committee and Liberia Implementation Committee, with their roles anchored in law or regulation rather than project documents alone;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Lídia Pereira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Calls on the Commission to explore alternatives, in close dialogue with Liberia, to ensure the legality of timber and timber products originating from Liberia and to properly address the problem of illegal timber logging, while taking into account the recent positive developments in Liberia regarding government and stakeholder involvement, ensuring that the progress made is not lost due to the termination of the VPA;</w:t>
            </w:r>
          </w:p>
        </w:tc>
        <w:tc>
          <w:tcPr>
            <w:tcW w:w="4876" w:type="dxa"/>
            <w:tcBorders>
              <w:top w:val="nil"/>
              <w:left w:val="nil"/>
              <w:bottom w:val="nil"/>
              <w:right w:val="nil"/>
            </w:tcBorders>
          </w:tcPr>
          <w:p>
            <w:pPr>
              <w:pStyle w:val="Normal6a"/>
            </w:pPr>
            <w:r>
              <w:t>11.</w:t>
            </w:r>
            <w:r>
              <w:tab/>
            </w:r>
            <w:r>
              <w:t xml:space="preserve">Calls on the Commission to explore alternatives, in close dialogue with Liberia, </w:t>
            </w:r>
            <w:r>
              <w:rPr>
                <w:b/>
                <w:i/>
              </w:rPr>
              <w:t>including through the development of a Forest Partnership as a framework for continued dialogue and cooperation</w:t>
            </w:r>
            <w:r>
              <w:t xml:space="preserve"> to ensure the legality of timber and timber products originating from Liberia and to properly address the problem of illegal timber logging, while taking into account the recent positive developments in Liberia regarding government and stakeholder involvement, ensuring that the progress made is not lost due to the termination of the VPA;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Jean-Marc Germain, Raphaël Glucksmann</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Calls on the Commission to explore </w:t>
            </w:r>
            <w:r>
              <w:rPr>
                <w:b/>
                <w:i/>
              </w:rPr>
              <w:t>alternatives</w:t>
            </w:r>
            <w:r>
              <w:t xml:space="preserve">, in close dialogue with Liberia, to ensure the legality of timber and timber products originating from Liberia and to properly address the problem of illegal timber logging, while taking into account the recent positive developments in Liberia regarding government and stakeholder involvement, ensuring that the progress made is </w:t>
            </w:r>
            <w:r>
              <w:rPr>
                <w:b/>
                <w:i/>
              </w:rPr>
              <w:t>not lost due to the termination of the VPA</w:t>
            </w:r>
            <w:r>
              <w:t>;</w:t>
            </w:r>
          </w:p>
        </w:tc>
        <w:tc>
          <w:tcPr>
            <w:tcW w:w="4876" w:type="dxa"/>
            <w:tcBorders>
              <w:top w:val="nil"/>
              <w:left w:val="nil"/>
              <w:bottom w:val="nil"/>
              <w:right w:val="nil"/>
            </w:tcBorders>
          </w:tcPr>
          <w:p>
            <w:pPr>
              <w:pStyle w:val="Normal6a"/>
            </w:pPr>
            <w:r>
              <w:t>11.</w:t>
            </w:r>
            <w:r>
              <w:tab/>
            </w:r>
            <w:r>
              <w:t xml:space="preserve">Calls on the Commission to explore </w:t>
            </w:r>
            <w:r>
              <w:rPr>
                <w:b/>
                <w:i/>
              </w:rPr>
              <w:t>complementary initiatives</w:t>
            </w:r>
            <w:r>
              <w:t xml:space="preserve">, in close dialogue with Liberia, to ensure the legality of timber and timber products originating from Liberia and to properly address the problem of illegal timber logging, while taking into account the recent positive developments in Liberia regarding government and stakeholder involvement, ensuring that the progress made is </w:t>
            </w:r>
            <w:r>
              <w:rPr>
                <w:b/>
                <w:i/>
              </w:rPr>
              <w:t>pursued, encouraged and strengthened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Anna Cavazzini</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a.</w:t>
            </w:r>
            <w:r>
              <w:tab/>
            </w:r>
            <w:r>
              <w:rPr>
                <w:b/>
                <w:i/>
              </w:rPr>
              <w:t>Asks the Commission to ensure that any future Forest Partnerships with Liberia would create synergies with other forest-related initiatives and funding streams; further calls for the Forest Partnership to include a comprehensive legal framework encompassing applicable laws, regulations and memoranda of understanding, alongside an explicit strategy for ensuring that community forestry governance structures are structurally integrated within Partnership operations; stresses that the Forest Partnership must transcend the mere identification of non-compliance by establishing and enforcing effective sanctions and remedies, including at community and concession level; calls on the Commission to embed social benefit delivery benchmarks covering health, education, and livelihoods as mandatory compliance requirements within the Forest Partnership framework; calls for the establishment of local-level grievance and feedback mechanisms that are formally linked to Forest Partnership structures;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Jean-Marc Germain, Raphaël Glucksmann</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a.</w:t>
            </w:r>
            <w:r>
              <w:tab/>
            </w:r>
            <w:r>
              <w:rPr>
                <w:b/>
                <w:i/>
              </w:rPr>
              <w:t>Insists that any potential future Forest partnership with Liberia must build on and ensure full continuation of inclusive and participatory governance structures of the VPA, including the Joint Implementation Committee and Liberia Implementation Committee, with their roles and mandates formally embedded in law; stresses that any potential future partnership should contain strong accountability mechanisms, including local grievance and feedback mechanisms and enforceable and effective sanctions and remedies; calls on the Commission to design and embed detailed indicators for impact assessment and social benefit into Forest Partnership compliance and evaluation requirements;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Lídia Pereira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a.</w:t>
            </w:r>
            <w:r>
              <w:tab/>
            </w:r>
            <w:r>
              <w:rPr>
                <w:b/>
                <w:i/>
              </w:rPr>
              <w:t>Calls on the Commission, before the effective cessation of the VPA, to present to Parliament a clear transition roadmap setting out the objectives, timeline, governance structure and stakeholder consultation arrangements for future cooperation with Liberia, so as to ensure that the progress already achieved in stakeholder participation, benefit-sharing and legal reform is not lost;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Anna Cavazzini</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b.</w:t>
            </w:r>
            <w:r>
              <w:tab/>
            </w:r>
            <w:r>
              <w:rPr>
                <w:b/>
                <w:i/>
              </w:rPr>
              <w:t>Is gravely concerned about deforestation driven not only by illegal logging but also by forest conversion for agriculture, particularly cocoa production in eastern Liberia and along the Côte d'Ivoire border; notes that the majority of Liberian cocoa exports go to the EU and stresses that efforts must be made with the European cocoa industry to ensure only sustainably produced cocoa reaches the EU market; stresses the need for timely implementation of the EU Deforestation Regulation to ensure cocoa imports are free from links to forest conversion, land rights violations, or exploitative labour practices; highlights the importance of the cocoa sector for small farmer's income and asks the Commission to support a cocoa initiative in Liberia, aiming to ensure sustainability and fair income for producers; Calls on the Commission to support the implementation of the national traceability system currently being developed in Côte d’Ivoire as the sole system for cocoa traceability in Côte d’Ivoire and to equally support Liberia in its efforts for a national traceability system;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Anna Cavazzini</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Stresses the importance of parliamentary oversight and the monitoring of VPAs by Parliament’s Committee on International Trade; underlines the need for the meaningful and timely involvement of Parliament with regard to the assessment of the implementation of existing VPAs, as well as the negotiation, signing and implementation of any future forest partnerships; stresses the need to also include </w:t>
            </w:r>
            <w:r>
              <w:rPr>
                <w:b/>
                <w:i/>
              </w:rPr>
              <w:t>consultations with</w:t>
            </w:r>
            <w:r>
              <w:t xml:space="preserve"> civil society organisations, the private sector and particularly Indigenous communities, environmental and human rights defenders and trade unions; asks the Commission to regularly report to Parliament on the implementation of the EU’s VPAs and forest partnerships, including on the work of the joint implementation committees and on the strategies to be pursued in the coming years;</w:t>
            </w:r>
          </w:p>
        </w:tc>
        <w:tc>
          <w:tcPr>
            <w:tcW w:w="4876" w:type="dxa"/>
            <w:tcBorders>
              <w:top w:val="nil"/>
              <w:left w:val="nil"/>
              <w:bottom w:val="nil"/>
              <w:right w:val="nil"/>
            </w:tcBorders>
          </w:tcPr>
          <w:p>
            <w:pPr>
              <w:pStyle w:val="Normal6a"/>
            </w:pPr>
            <w:r>
              <w:t>12.</w:t>
            </w:r>
            <w:r>
              <w:tab/>
            </w:r>
            <w:r>
              <w:t xml:space="preserve">Stresses the importance of parliamentary oversight and the monitoring of VPAs by Parliament’s Committee on International Trade; underlines the need for the meaningful and timely involvement of Parliament with regard to the assessment of the implementation of existing VPAs, as well as the negotiation, signing and implementation of any future forest partnerships; stresses the need to also include </w:t>
            </w:r>
            <w:r>
              <w:rPr>
                <w:b/>
                <w:i/>
              </w:rPr>
              <w:t>meaningful participation of</w:t>
            </w:r>
            <w:r>
              <w:t xml:space="preserve"> civil society organisations, the private sector</w:t>
            </w:r>
            <w:r>
              <w:rPr>
                <w:b/>
                <w:i/>
              </w:rPr>
              <w:t>, local communities</w:t>
            </w:r>
            <w:r>
              <w:t xml:space="preserve"> and particularly Indigenous communities, environmental and human rights defenders and trade unions; asks the Commission to regularly report to Parliament on the implementation of the EU’s VPAs and forest partnerships, including on the work of the joint implementation committees and on the strategies to be pursued in the coming years; </w:t>
            </w:r>
            <w:r>
              <w:rPr>
                <w:b/>
                <w:i/>
              </w:rPr>
              <w:t>calls on the Commission to revise the FLEGT Working Group's terms of reference to require regular reporting on Forest Partnerships and to include representatives from civil society organisations based in Forest Partnership countries; further calls for the regular publication of meeting summaries from Forest Partnership discussions, accompanied by strategic road maps and budgets that incorporate clear and measurable performance indicators;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Jean-Marc Germain, Raphaël Glucksmann</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Stresses the importance of parliamentary oversight and the monitoring of VPAs by Parliament’s Committee on International Trade; underlines the need for the meaningful and timely involvement of Parliament with regard to the assessment of the implementation of existing VPAs, as well as the negotiation, signing and implementation of any future forest partnerships; stresses the need to </w:t>
            </w:r>
            <w:r>
              <w:rPr>
                <w:b/>
                <w:i/>
              </w:rPr>
              <w:t>also include consultations with</w:t>
            </w:r>
            <w:r>
              <w:t xml:space="preserve"> civil society </w:t>
            </w:r>
            <w:r>
              <w:rPr>
                <w:b/>
                <w:i/>
              </w:rPr>
              <w:t>organisations</w:t>
            </w:r>
            <w:r>
              <w:t>, the private sector and particularly Indigenous communities, environmental and human rights defenders and trade unions; asks the Commission to regularly report to Parliament on the implementation of the EU’s VPAs and forest partnerships, including on the work of the joint implementation committees and on the strategies to be pursued in the coming years;</w:t>
            </w:r>
          </w:p>
        </w:tc>
        <w:tc>
          <w:tcPr>
            <w:tcW w:w="4876" w:type="dxa"/>
            <w:tcBorders>
              <w:top w:val="nil"/>
              <w:left w:val="nil"/>
              <w:bottom w:val="nil"/>
              <w:right w:val="nil"/>
            </w:tcBorders>
          </w:tcPr>
          <w:p>
            <w:pPr>
              <w:pStyle w:val="Normal6a"/>
            </w:pPr>
            <w:r>
              <w:t>12.</w:t>
            </w:r>
            <w:r>
              <w:tab/>
            </w:r>
            <w:r>
              <w:t>Stresses the importance of parliamentary oversight and the monitoring of VPAs by Parliament’s Committee on International Trade; underlines the need for the meaningful</w:t>
            </w:r>
            <w:r>
              <w:rPr>
                <w:b/>
                <w:i/>
              </w:rPr>
              <w:t>, continuous</w:t>
            </w:r>
            <w:r>
              <w:t xml:space="preserve"> and timely involvement of Parliament with regard to the assessment of the implementation of existing VPAs, as well as the negotiation, signing and implementation of any </w:t>
            </w:r>
            <w:r>
              <w:rPr>
                <w:b/>
                <w:i/>
              </w:rPr>
              <w:t>potential</w:t>
            </w:r>
            <w:r>
              <w:t xml:space="preserve"> future forest partnerships; stresses the need to </w:t>
            </w:r>
            <w:r>
              <w:rPr>
                <w:b/>
                <w:i/>
              </w:rPr>
              <w:t>ensure full transparency and meaningful, deliberative and non-discriminatory participation of stakeholders at all stages of the negotiation, notably through the VPA multi-stakeholders platforms, involving in particular</w:t>
            </w:r>
            <w:r>
              <w:t xml:space="preserve"> civil society</w:t>
            </w:r>
            <w:r>
              <w:rPr>
                <w:b/>
                <w:i/>
              </w:rPr>
              <w:t>, local and international NGOs</w:t>
            </w:r>
            <w:r>
              <w:t xml:space="preserve">, the private sector </w:t>
            </w:r>
            <w:r>
              <w:rPr>
                <w:b/>
                <w:i/>
              </w:rPr>
              <w:t>including microenterprises and other small and medium-sized enterprises, local authorities, farmers,</w:t>
            </w:r>
            <w:r>
              <w:t xml:space="preserve"> and particularly Indigenous </w:t>
            </w:r>
            <w:r>
              <w:rPr>
                <w:b/>
                <w:i/>
              </w:rPr>
              <w:t>people and local</w:t>
            </w:r>
            <w:r>
              <w:t xml:space="preserve"> communities, environmental and human rights defenders and trade unions; asks the Commission to regularly report to Parliament on the implementation of the EU’s VPAs and forest partnerships, including on the work of the joint implementation committees and on the strategies to be pursued in the coming years;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Lídia Pereira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Stresses the importance of parliamentary oversight and the monitoring of VPAs by Parliament’s Committee on International Trade; underlines the need for the meaningful and timely involvement of Parliament with regard to the assessment of the implementation of existing VPAs, as well as the negotiation, signing and implementation of any future forest partnerships; stresses the need to also include consultations with civil society organisations, the private sector and particularly Indigenous communities, environmental and human rights defenders and trade unions; asks the Commission to regularly report to Parliament on the implementation of the EU’s VPAs and forest partnerships, including on the work of the joint implementation committees and on the strategies to be pursued in the coming years;</w:t>
            </w:r>
          </w:p>
        </w:tc>
        <w:tc>
          <w:tcPr>
            <w:tcW w:w="4876" w:type="dxa"/>
            <w:tcBorders>
              <w:top w:val="nil"/>
              <w:left w:val="nil"/>
              <w:bottom w:val="nil"/>
              <w:right w:val="nil"/>
            </w:tcBorders>
          </w:tcPr>
          <w:p>
            <w:pPr>
              <w:pStyle w:val="Normal6a"/>
            </w:pPr>
            <w:r>
              <w:t>12.</w:t>
            </w:r>
            <w:r>
              <w:tab/>
            </w:r>
            <w:r>
              <w:t xml:space="preserve">Stresses the importance of parliamentary oversight and the monitoring of VPAs by Parliament’s Committee on International Trade; underlines the need for the meaningful and timely involvement of Parliament with regard to the assessment of the implementation of existing VPAs, as well as the negotiation, signing and implementation of any </w:t>
            </w:r>
            <w:r>
              <w:rPr>
                <w:b/>
                <w:i/>
              </w:rPr>
              <w:t>future Forest Partnerships; regrets the lack of a formal role for Parliament in the conclusion and implementation of</w:t>
            </w:r>
            <w:r>
              <w:t xml:space="preserve"> future Forest Partnerships; stresses the need to also include consultations with civil society organisations, the private sector and particularly Indigenous communities, environmental and human rights defenders and trade unions; asks the Commission to regularly report to Parliament on the implementation of the EU’s VPAs and Forest Partnerships, including on the work of the joint implementation committees and on the strategies to be pursued in the coming years;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Regrets the direction of travel on VPAs more broadly;</w:t>
            </w:r>
            <w:r>
              <w:t xml:space="preserve"> </w:t>
            </w:r>
            <w:r>
              <w:rPr>
                <w:b/>
                <w:i/>
              </w:rPr>
              <w:t>strongly opposes the move away from VPAs towards non-binding memorandums of understanding for which the Parliament has no oversight or scrutiny role;</w:t>
            </w:r>
            <w:r>
              <w:t xml:space="preserve"> </w:t>
            </w:r>
            <w:r>
              <w:rPr>
                <w:b/>
                <w:i/>
              </w:rPr>
              <w:t>believes that this will undermine effective environmental governance and the ability of the Union to develop comprehensive partnerships to combat deforestation and illegal logging;</w:t>
            </w:r>
          </w:p>
        </w:tc>
      </w:tr>
    </w:tbl>
    <w:p>
      <w:pPr>
        <w:pStyle w:val="AmOrLang"/>
      </w:pPr>
      <w:r>
        <w:t xml:space="preserve">Or. </w:t>
      </w:r>
      <w:r>
        <w:rPr>
          <w:rStyle w:val="HideTWBExt"/>
        </w:rPr>
        <w:t>&lt;Original&gt;</w:t>
      </w:r>
      <w:r>
        <w:rPr>
          <w:rStyle w:val="HideTWBInt"/>
        </w:rPr>
        <w:t>{GA}</w:t>
      </w:r>
      <w:r>
        <w:t>ga</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Lídia Pereira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Underlines that despite the termination of the VPA with Liberia, VPAs continue to provide an important legal framework for both the EU and its partner countries, which has been made possible through good cooperation with and commitment from the countries concerned; stresses that the EU should remain fully committed to existing VPAs and should support partner countries in their implementation;</w:t>
            </w:r>
          </w:p>
        </w:tc>
        <w:tc>
          <w:tcPr>
            <w:tcW w:w="4876" w:type="dxa"/>
            <w:tcBorders>
              <w:top w:val="nil"/>
              <w:left w:val="nil"/>
              <w:bottom w:val="nil"/>
              <w:right w:val="nil"/>
            </w:tcBorders>
          </w:tcPr>
          <w:p>
            <w:pPr>
              <w:pStyle w:val="Normal6a"/>
            </w:pPr>
            <w:r>
              <w:t>13.</w:t>
            </w:r>
            <w:r>
              <w:tab/>
            </w:r>
            <w:r>
              <w:t xml:space="preserve">Underlines that despite the termination of the VPA with Liberia, VPAs continue to provide an important legal framework for both the EU and its partner countries, which has been made possible through good cooperation with and commitment from the countries concerned; stresses that the EU should remain fully committed to existing VPAs and should support partner countries in their implementation; </w:t>
            </w:r>
            <w:r>
              <w:rPr>
                <w:b/>
                <w:i/>
              </w:rPr>
              <w:t>calls on the Commission to draw lessons from the implementation of existing VPAs, including by assessing the reasons why only Indonesia and Ghana have reached the licensing stage while several other VPAs remain in implementation, standstill or termination phases, in order to ensure that the methodology is better adapted and more effective in future;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Underlines that despite the termination of the VPA with Liberia, VPAs continue to provide an important legal framework for both the EU and its partner countries, which has been made possible through good cooperation with and commitment from the countries concerned; stresses that the EU should remain fully committed to existing VPAs and should support partner countries in their implementation;</w:t>
            </w:r>
          </w:p>
        </w:tc>
        <w:tc>
          <w:tcPr>
            <w:tcW w:w="4876" w:type="dxa"/>
            <w:tcBorders>
              <w:top w:val="nil"/>
              <w:left w:val="nil"/>
              <w:bottom w:val="nil"/>
              <w:right w:val="nil"/>
            </w:tcBorders>
          </w:tcPr>
          <w:p>
            <w:pPr>
              <w:pStyle w:val="Normal6a"/>
            </w:pPr>
            <w:r>
              <w:t>13.</w:t>
            </w:r>
            <w:r>
              <w:tab/>
            </w:r>
            <w:r>
              <w:t xml:space="preserve">Underlines that despite the termination of the VPA with Liberia, VPAs continue to provide an important legal framework for both the EU and its partner countries, which has been made possible through good cooperation with and commitment from the countries concerned; stresses that the EU should remain fully committed to existing VPAs and should support partner countries in their implementation; </w:t>
            </w:r>
            <w:r>
              <w:rPr>
                <w:b/>
                <w:i/>
              </w:rPr>
              <w:t>stresses that in enhancing VPA implementation, the EU should seek to establish new VPAs;</w:t>
            </w:r>
          </w:p>
        </w:tc>
      </w:tr>
    </w:tbl>
    <w:p>
      <w:pPr>
        <w:pStyle w:val="AmOrLang"/>
      </w:pPr>
      <w:r>
        <w:t xml:space="preserve">Or. </w:t>
      </w:r>
      <w:r>
        <w:rPr>
          <w:rStyle w:val="HideTWBExt"/>
        </w:rPr>
        <w:t>&lt;Original&gt;</w:t>
      </w:r>
      <w:r>
        <w:rPr>
          <w:rStyle w:val="HideTWBInt"/>
        </w:rPr>
        <w:t>{GA}</w:t>
      </w:r>
      <w:r>
        <w:t>ga</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Anna Cavazzini</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Underlines that </w:t>
            </w:r>
            <w:r>
              <w:rPr>
                <w:b/>
                <w:i/>
              </w:rPr>
              <w:t>despite the termination of the VPA with Liberia,</w:t>
            </w:r>
            <w:r>
              <w:t xml:space="preserve"> VPAs continue to provide an important legal framework for both the EU and its partner countries, which has been made possible through good cooperation with and commitment from the countries concerned; stresses that the EU should remain fully committed to existing VPAs and should support partner countries in their implementation;</w:t>
            </w:r>
          </w:p>
        </w:tc>
        <w:tc>
          <w:tcPr>
            <w:tcW w:w="4876" w:type="dxa"/>
            <w:tcBorders>
              <w:top w:val="nil"/>
              <w:left w:val="nil"/>
              <w:bottom w:val="nil"/>
              <w:right w:val="nil"/>
            </w:tcBorders>
          </w:tcPr>
          <w:p>
            <w:pPr>
              <w:pStyle w:val="Normal6a"/>
            </w:pPr>
            <w:r>
              <w:t>13.</w:t>
            </w:r>
            <w:r>
              <w:tab/>
            </w:r>
            <w:r>
              <w:t>Underlines that VPAs continue to provide an important legal framework for both the EU and its partner countries, which has been made possible through good cooperation with and commitment from the countries concerned; stresses that the EU should remain fully committed to existing VPAs and should support partner countries in their implementation;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Jean-Marc Germain, Raphaël Glucksmann</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Underlines that </w:t>
            </w:r>
            <w:r>
              <w:rPr>
                <w:b/>
                <w:i/>
              </w:rPr>
              <w:t>despite the termination of the VPA with Liberia,</w:t>
            </w:r>
            <w:r>
              <w:t xml:space="preserve"> VPAs continue to provide an important legal framework for both the EU and its partner countries, which has been made possible through good cooperation with and commitment from the countries concerned; stresses that the EU should remain fully committed to existing VPAs and should support partner countries in their implementation;</w:t>
            </w:r>
          </w:p>
        </w:tc>
        <w:tc>
          <w:tcPr>
            <w:tcW w:w="4876" w:type="dxa"/>
            <w:tcBorders>
              <w:top w:val="nil"/>
              <w:left w:val="nil"/>
              <w:bottom w:val="nil"/>
              <w:right w:val="nil"/>
            </w:tcBorders>
          </w:tcPr>
          <w:p>
            <w:pPr>
              <w:pStyle w:val="Normal6a"/>
            </w:pPr>
            <w:r>
              <w:t>13.</w:t>
            </w:r>
            <w:r>
              <w:tab/>
            </w:r>
            <w:r>
              <w:t>Underlines that VPAs continue to provide an important legal framework for both the EU and its partner countries, which has been made possible through good cooperation with and commitment from the countries concerned; stresses that the EU should remain fully committed to existing VPAs and should support partner countries in their implementation</w:t>
            </w:r>
            <w:r>
              <w:rPr>
                <w:b/>
                <w:i/>
              </w:rPr>
              <w:t>, including through technical assistance and financial support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Anna Cavazzini</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Calls on the Commission to ensure coherence between the EU’s trade and sustainability frameworks when engaging with Liberia;</w:t>
            </w:r>
          </w:p>
        </w:tc>
        <w:tc>
          <w:tcPr>
            <w:tcW w:w="4876" w:type="dxa"/>
            <w:tcBorders>
              <w:top w:val="nil"/>
              <w:left w:val="nil"/>
              <w:bottom w:val="nil"/>
              <w:right w:val="nil"/>
            </w:tcBorders>
          </w:tcPr>
          <w:p>
            <w:pPr>
              <w:pStyle w:val="Normal6a"/>
            </w:pPr>
            <w:r>
              <w:t>14.</w:t>
            </w:r>
            <w:r>
              <w:tab/>
            </w:r>
            <w:r>
              <w:t xml:space="preserve">Calls on the Commission to ensure coherence between the EU’s trade and sustainability frameworks when engaging with Liberia; </w:t>
            </w:r>
            <w:r>
              <w:rPr>
                <w:b/>
                <w:i/>
              </w:rPr>
              <w:t>stresses the importance of providing technical assistance and regulatory guidance to partner countries to implement the EU Deforestation Regulation and to help align trade practices with environmental standards, particularly in sectors such as timber, cocoa and tropical agriculture;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Calls on the Commission to ensure coherence between the EU’s trade and sustainability frameworks when engaging with Liberia;</w:t>
            </w:r>
          </w:p>
        </w:tc>
        <w:tc>
          <w:tcPr>
            <w:tcW w:w="4876" w:type="dxa"/>
            <w:tcBorders>
              <w:top w:val="nil"/>
              <w:left w:val="nil"/>
              <w:bottom w:val="nil"/>
              <w:right w:val="nil"/>
            </w:tcBorders>
          </w:tcPr>
          <w:p>
            <w:pPr>
              <w:pStyle w:val="Normal6a"/>
            </w:pPr>
            <w:r>
              <w:t>14.</w:t>
            </w:r>
            <w:r>
              <w:tab/>
            </w:r>
            <w:r>
              <w:t xml:space="preserve">Calls on the Commission to ensure coherence between the EU’s trade and sustainability frameworks when engaging with Liberia </w:t>
            </w:r>
            <w:r>
              <w:rPr>
                <w:b/>
                <w:i/>
              </w:rPr>
              <w:t>and in their approach to combatting deforestation more broadly</w:t>
            </w:r>
            <w:r>
              <w:t>;</w:t>
            </w:r>
          </w:p>
        </w:tc>
      </w:tr>
    </w:tbl>
    <w:p>
      <w:pPr>
        <w:pStyle w:val="AmOrLang"/>
      </w:pPr>
      <w:r>
        <w:t xml:space="preserve">Or. </w:t>
      </w:r>
      <w:r>
        <w:rPr>
          <w:rStyle w:val="HideTWBExt"/>
        </w:rPr>
        <w:t>&lt;Original&gt;</w:t>
      </w:r>
      <w:r>
        <w:rPr>
          <w:rStyle w:val="HideTWBInt"/>
        </w:rPr>
        <w:t>{GA}</w:t>
      </w:r>
      <w:r>
        <w:t>ga</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Anna Cavazzini</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 a.</w:t>
            </w:r>
            <w:r>
              <w:tab/>
            </w:r>
            <w:r>
              <w:rPr>
                <w:b/>
                <w:i/>
              </w:rPr>
              <w:t>Calls on the Commission to ensure that any Forest Partnership includes a robust monitoring and accountability framework, including through Independent Forest Monitoring arrangements, decision-tracking tools such as dashboards and monitoring evaluation logs, and clearly assigned responsibility for follow-up so that commitments are not merely symbolic; further calls for the Forest Partnership to be supported by stable, long-term and secured funding mechanisms, and for neutral technical facilitation through a dedicated secretariat or facilitation unit to ensure effective coordination;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Jean-Marc Germain, Raphaël Glucksmann</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 a.</w:t>
            </w:r>
            <w:r>
              <w:tab/>
            </w:r>
            <w:r>
              <w:rPr>
                <w:b/>
                <w:i/>
              </w:rPr>
              <w:t>Insists that the VPA should remain in place and fully and continuously operating at least until, as detailed in this resolution, a Forest Partnership with similar participatory structures, an adequate budget, and robust monitoring and accountability mechanisms is signed;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786.757</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40</w:t>
    </w:r>
    <w:r>
      <w:fldChar w:fldCharType="end"/>
    </w:r>
    <w:r>
      <w:t>/</w:t>
    </w:r>
    <w:r>
      <w:fldChar w:fldCharType="begin"/>
    </w:r>
    <w:r>
      <w:instrText xml:space="preserve"> NUMPAGES </w:instrText>
    </w:r>
    <w:r>
      <w:fldChar w:fldCharType="separate"/>
    </w:r>
    <w:r>
      <w:t>40</w:t>
    </w:r>
    <w:r>
      <w:fldChar w:fldCharType="end"/>
    </w:r>
    <w:r>
      <w:tab/>
    </w:r>
    <w:r>
      <w:rPr>
        <w:rStyle w:val="HideTWBExt"/>
      </w:rPr>
      <w:t>&lt;PathFdR&gt;</w:t>
    </w:r>
    <w:r>
      <w:t>AM\1340158EN.docx</w:t>
    </w:r>
    <w:r>
      <w:rPr>
        <w:rStyle w:val="HideTWBExt"/>
      </w:rPr>
      <w:t>&lt;/PathFdR&gt;</w:t>
    </w:r>
  </w:p>
  <w:p>
    <w:pPr>
      <w:pStyle w:val="EPFooter2"/>
    </w:pPr>
    <w:r>
      <w:t>EN</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AM\1340158EN.docx</w:t>
    </w:r>
    <w:r>
      <w:rPr>
        <w:rStyle w:val="HideTWBExt"/>
      </w:rPr>
      <w:t>&lt;/PathFdR&gt;</w:t>
    </w:r>
    <w:r>
      <w:tab/>
    </w:r>
    <w:r>
      <w:fldChar w:fldCharType="begin"/>
    </w:r>
    <w:r>
      <w:instrText xml:space="preserve"> PAGE </w:instrText>
    </w:r>
    <w:r>
      <w:fldChar w:fldCharType="separate"/>
    </w:r>
    <w:r>
      <w:t>39</w:t>
    </w:r>
    <w:r>
      <w:fldChar w:fldCharType="end"/>
    </w:r>
    <w:r>
      <w:t>/</w:t>
    </w:r>
    <w:r>
      <w:fldChar w:fldCharType="begin"/>
    </w:r>
    <w:r>
      <w:instrText xml:space="preserve"> NUMPAGES </w:instrText>
    </w:r>
    <w:r>
      <w:fldChar w:fldCharType="separate"/>
    </w:r>
    <w:r>
      <w:t>40</w:t>
    </w:r>
    <w:r>
      <w:fldChar w:fldCharType="end"/>
    </w:r>
    <w:r>
      <w:tab/>
    </w:r>
    <w:r>
      <w:t>PE</w:t>
    </w:r>
    <w:r>
      <w:rPr>
        <w:rStyle w:val="HideTWBExt"/>
      </w:rPr>
      <w:t>&lt;NoPE&gt;</w:t>
    </w:r>
    <w:r>
      <w:t>786.757</w:t>
    </w:r>
    <w:r>
      <w:rPr>
        <w:rStyle w:val="HideTWBExt"/>
      </w:rPr>
      <w:t>&lt;/NoPE&gt;</w:t>
    </w:r>
    <w:r>
      <w:rPr>
        <w:rStyle w:val="HideTWBExt"/>
      </w:rPr>
      <w:t>&lt;Version&gt;</w:t>
    </w:r>
    <w:r>
      <w:t>v01-00</w:t>
    </w:r>
    <w:r>
      <w:rPr>
        <w:rStyle w:val="HideTWBExt"/>
      </w:rPr>
      <w:t>&lt;/Version&gt;</w:t>
    </w:r>
  </w:p>
  <w:p>
    <w:pPr>
      <w:pStyle w:val="EPFooter2"/>
    </w:pPr>
    <w:r>
      <w:tab/>
    </w:r>
    <w:r>
      <w:tab/>
    </w:r>
    <w:r>
      <w:t>EN</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AM\1340158EN.docx</w:t>
    </w:r>
    <w:r>
      <w:rPr>
        <w:rStyle w:val="HideTWBExt"/>
      </w:rPr>
      <w:t>&lt;/PathFdR&gt;</w:t>
    </w:r>
    <w:r>
      <w:tab/>
    </w:r>
    <w:r>
      <w:tab/>
    </w:r>
    <w:r>
      <w:t>PE</w:t>
    </w:r>
    <w:r>
      <w:rPr>
        <w:rStyle w:val="HideTWBExt"/>
      </w:rPr>
      <w:t>&lt;NoPE&gt;</w:t>
    </w:r>
    <w:r>
      <w:t>786.757</w:t>
    </w:r>
    <w:r>
      <w:rPr>
        <w:rStyle w:val="HideTWBExt"/>
      </w:rPr>
      <w:t>&lt;/NoPE&gt;</w:t>
    </w:r>
    <w:r>
      <w:rPr>
        <w:rStyle w:val="HideTWBExt"/>
      </w:rPr>
      <w:t>&lt;Version&gt;</w:t>
    </w:r>
    <w:r>
      <w:t>v01-00</w:t>
    </w:r>
    <w:r>
      <w:rPr>
        <w:rStyle w:val="HideTWBExt"/>
      </w:rPr>
      <w:t>&lt;/Version&gt;</w:t>
    </w:r>
  </w:p>
  <w:p>
    <w:pPr>
      <w:pStyle w:val="EPFooter2"/>
    </w:pPr>
    <w:r>
      <w:t>EN</w:t>
    </w:r>
    <w:r>
      <w:tab/>
    </w:r>
    <w:r>
      <w:rPr>
        <w:rStyle w:val="EPFooter2Motto"/>
      </w:rPr>
      <w:t>United in diversity</w:t>
    </w:r>
    <w:r>
      <w:tab/>
    </w:r>
    <w:r>
      <w:t>EN</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40</Pages>
  <Words>9236</Words>
  <Characters>52837</Characters>
  <Application>Microsoft Office Word</Application>
  <DocSecurity>0</DocSecurity>
  <Lines>1</Lines>
  <Paragraphs>648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61499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1340158</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440301</vt:lpwstr>
  </property>
  <property fmtid="{D5CDD505-2E9C-101B-9397-08002B2CF9AE}" pid="7" name="dmxml.render.traceId">
    <vt:lpwstr>69cbd75e15d883ba2e57d146b1b64492</vt:lpwstr>
  </property>
  <property fmtid="{D5CDD505-2E9C-101B-9397-08002B2CF9AE}" pid="8" name="FooterPath">
    <vt:lpwstr>AM\1340158EN.docx</vt:lpwstr>
  </property>
  <property fmtid="{D5CDD505-2E9C-101B-9397-08002B2CF9AE}" pid="9" name="PE Number">
    <vt:lpwstr>786.757</vt:lpwstr>
  </property>
  <property fmtid="{D5CDD505-2E9C-101B-9397-08002B2CF9AE}" pid="10" name="UID">
    <vt:lpwstr>eu.europa.europarl-DIN1-2026-0000076688_01.00-en-01.00_text-xml</vt:lpwstr>
  </property>
</Properties>
</file>