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{INTA}</w:t>
      </w:r>
      <w:r>
        <w:t>Committee on International Trade</w:t>
      </w:r>
      <w:r>
        <w:rPr>
          <w:rStyle w:val="HideTWBExt"/>
        </w:rPr>
        <w:t>&lt;/Commission&gt;</w:t>
      </w:r>
    </w:p>
    <w:p>
      <w:pPr>
        <w:pStyle w:val="LineBottom"/>
      </w:pPr>
      <w:r>
        <w:t xml:space="preserve"> </w:t>
      </w:r>
    </w:p>
    <w:p>
      <w:pPr>
        <w:pStyle w:val="CoverReference"/>
      </w:pPr>
      <w:r>
        <w:rPr>
          <w:rStyle w:val="HideTWBExt"/>
        </w:rPr>
        <w:t>&lt;RefProc&gt;</w:t>
      </w:r>
      <w:r>
        <w:t>2025/0273M</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{08/10/2026}</w:t>
      </w:r>
      <w:r>
        <w:t>8.10.2026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94</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Lina Gálvez</w:t>
      </w:r>
      <w:r>
        <w:rPr>
          <w:rStyle w:val="HideTWBExt"/>
        </w:rPr>
        <w:t>&lt;/Rapporteur&gt;</w:t>
      </w:r>
    </w:p>
    <w:p>
      <w:pPr>
        <w:pStyle w:val="CoverNormal24a"/>
      </w:pPr>
      <w:r>
        <w:rPr>
          <w:rStyle w:val="HideTWBExt"/>
        </w:rPr>
        <w:t>&lt;DocRefPE&gt;</w:t>
      </w:r>
      <w:r>
        <w:t>(PE792.145v01-00)</w:t>
      </w:r>
      <w:r>
        <w:rPr>
          <w:rStyle w:val="HideTWBExt"/>
        </w:rPr>
        <w:t>&lt;/DocRefPE&gt;</w:t>
      </w:r>
    </w:p>
    <w:p>
      <w:pPr>
        <w:pStyle w:val="CoverNormal"/>
      </w:pPr>
      <w:r>
        <w:rPr>
          <w:rStyle w:val="HideTWBExt"/>
        </w:rPr>
        <w:t>&lt;Titre&gt;</w:t>
      </w:r>
      <w:r>
        <w:t>Conclusion, on behalf of the Union, of the Agreement on Digital Trade between the European Union and the Republic of Korea</w:t>
      </w:r>
      <w:r>
        <w:rPr>
          <w:rStyle w:val="HideTWBExt"/>
        </w:rPr>
        <w:t>&lt;/Titre&gt;</w:t>
      </w:r>
    </w:p>
    <w:p>
      <w:pPr>
        <w:pStyle w:val="CoverNormal24a"/>
      </w:pPr>
      <w:r>
        <w:rPr>
          <w:rStyle w:val="HideTWBExt"/>
        </w:rPr>
        <w:t>&lt;DocRef&gt;</w:t>
      </w:r>
      <w:r>
        <w:t>(2025/0273M(NLE))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United Nations Convention on the Law of the Sea (UNCLOS), in particular its provisions on freedom of navigation;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Articles 7 and 8 of the Charter of Fundamental Rights of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European Declaration on Digital Rights and Principles for the Digital Decade (2023/C 23/01),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directive (EU) 2024/2831 of the European Parliament and of the Council of 23 October 2024 on improving working conditions in platform 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European Technological Sovereignty Package, which includes the Cloud and AI Development Act (CADA) (COM(2026) 502) presented on 3 June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 and the Republic of Korea (hereinafter ‘Korea’) share important values, including democracy, the rule of law, respect for human rights and a strong commitment to open and rules-based trade and the multilateral trading system, as well as challenges, such as facing a complex international economic situation, energy insecurity and high pressure on the multilateral system;</w:t>
            </w:r>
          </w:p>
        </w:tc>
        <w:tc>
          <w:tcPr>
            <w:tcW w:w="4876" w:type="dxa"/>
            <w:tcBorders>
              <w:top w:val="nil"/>
              <w:left w:val="nil"/>
              <w:bottom w:val="nil"/>
              <w:right w:val="nil"/>
            </w:tcBorders>
          </w:tcPr>
          <w:p>
            <w:pPr>
              <w:pStyle w:val="Normal6a"/>
            </w:pPr>
            <w:r>
              <w:t>A.</w:t>
            </w:r>
            <w:r>
              <w:tab/>
            </w:r>
            <w:r>
              <w:t xml:space="preserve">whereas the EU and the Republic of Korea (hereinafter ‘Korea’) share important values, including democracy, the rule of law, respect for human rights and a strong commitment to open and rules-based trade and the multilateral trading system, as well as challenges, such as facing a complex international economic situation, energy insecurity and high pressure on the multilateral system; </w:t>
            </w:r>
            <w:r>
              <w:rPr>
                <w:b/>
                <w:i/>
              </w:rPr>
              <w:t>whereas data centres, artificial intelligence applications and semiconductor manufacturing have a rapidly growing need for reliable and affordable energy, and a technology-neutral energy policy – which includes nuclear energy – is therefore a prerequisite for the competitiveness of both partners’ digital economies;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the EU and the Republic of Korea (hereinafter ‘Korea’) share important values, including democracy, the rule of law, respect for human rights and a strong commitment to open and rules-based trade and the multilateral trading system, as well as challenges, such as facing a complex international economic situation, energy insecurity and high pressure on the multilateral system;</w:t>
            </w:r>
          </w:p>
        </w:tc>
        <w:tc>
          <w:tcPr>
            <w:tcW w:w="4876" w:type="dxa"/>
            <w:tcBorders>
              <w:top w:val="nil"/>
              <w:left w:val="nil"/>
              <w:bottom w:val="nil"/>
              <w:right w:val="nil"/>
            </w:tcBorders>
          </w:tcPr>
          <w:p>
            <w:pPr>
              <w:pStyle w:val="Normal6a"/>
            </w:pPr>
            <w:r>
              <w:t>A.</w:t>
            </w:r>
            <w:r>
              <w:tab/>
            </w:r>
            <w:r>
              <w:t>whereas the EU and the Republic of Korea (hereinafter ‘Korea’) share important values, including democracy, the rule of law, respect for human rights</w:t>
            </w:r>
            <w:r>
              <w:rPr>
                <w:b/>
                <w:i/>
              </w:rPr>
              <w:t>, cultural diversity,</w:t>
            </w:r>
            <w:r>
              <w:t xml:space="preserve"> and a strong commitment to open and rules-based trade and the multilateral trading system, as well as challenges, such as facing a complex international economic situation, energy insecurity and high pressure on the multilateral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this stand-alone digital trade agreement (DTA) represents an important stepping stone towards </w:t>
            </w:r>
            <w:r>
              <w:rPr>
                <w:b/>
                <w:i/>
              </w:rPr>
              <w:t>raising the ambition of</w:t>
            </w:r>
            <w:r>
              <w:t xml:space="preserve"> digital trade rules </w:t>
            </w:r>
            <w:r>
              <w:rPr>
                <w:b/>
                <w:i/>
              </w:rPr>
              <w:t>globally</w:t>
            </w:r>
            <w:r>
              <w:t xml:space="preserve">, in particular throughout the Indo-Pacific region, by </w:t>
            </w:r>
            <w:r>
              <w:rPr>
                <w:b/>
                <w:i/>
              </w:rPr>
              <w:t>setting standards</w:t>
            </w:r>
            <w:r>
              <w:t xml:space="preserve"> for digital trade, data flows, data protection and consumer rights online;</w:t>
            </w:r>
          </w:p>
        </w:tc>
        <w:tc>
          <w:tcPr>
            <w:tcW w:w="4876" w:type="dxa"/>
            <w:tcBorders>
              <w:top w:val="nil"/>
              <w:left w:val="nil"/>
              <w:bottom w:val="nil"/>
              <w:right w:val="nil"/>
            </w:tcBorders>
          </w:tcPr>
          <w:p>
            <w:pPr>
              <w:pStyle w:val="Normal6a"/>
            </w:pPr>
            <w:r>
              <w:t>B.</w:t>
            </w:r>
            <w:r>
              <w:tab/>
            </w:r>
            <w:r>
              <w:t xml:space="preserve">whereas this stand-alone digital trade agreement (DTA) represents an important stepping stone towards </w:t>
            </w:r>
            <w:r>
              <w:rPr>
                <w:b/>
                <w:i/>
              </w:rPr>
              <w:t>globally open, reliable and non-discriminatory</w:t>
            </w:r>
            <w:r>
              <w:t xml:space="preserve"> digital trade rules, in particular throughout the Indo-Pacific region, by </w:t>
            </w:r>
            <w:r>
              <w:rPr>
                <w:b/>
                <w:i/>
              </w:rPr>
              <w:t>removing trade barriers and establishing common ground rules for digital trade,</w:t>
            </w:r>
            <w:r>
              <w:t> for digital trade, data flows, data protection and consumer rights online;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the Republic of Korea is a party to the Regional Comprehensive Economic Partnership (RCEP) and has acceded to the Digital Economy Partnership Agreement (DEPA); whereas Korea has extensive experience in establishing advanced digital trade disciplines in East Asia; whereas both the EU and Korea are active participants in the World Trade Organization (WTO) Joint Statement Initiative on Electronic Commerce, demonstrating a shared commitment to anchoring digital trade rules firmly in the multilateral trading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on 17 December 2021 the Commission adopted the adequacy decision for personal data transfers between the EU and Korea;</w:t>
            </w:r>
          </w:p>
        </w:tc>
        <w:tc>
          <w:tcPr>
            <w:tcW w:w="4876" w:type="dxa"/>
            <w:tcBorders>
              <w:top w:val="nil"/>
              <w:left w:val="nil"/>
              <w:bottom w:val="nil"/>
              <w:right w:val="nil"/>
            </w:tcBorders>
          </w:tcPr>
          <w:p>
            <w:pPr>
              <w:pStyle w:val="Normal6a"/>
            </w:pPr>
            <w:r>
              <w:t>C.</w:t>
            </w:r>
            <w:r>
              <w:tab/>
            </w:r>
            <w:r>
              <w:t xml:space="preserve">whereas on 17 December 2021 the Commission adopted the adequacy decision for personal data transfers between the EU and Korea; </w:t>
            </w:r>
            <w:r>
              <w:rPr>
                <w:b/>
                <w:i/>
              </w:rPr>
              <w:t>recognising that Korea ensures an adequate level of protection for personal data transferred from the EU and providing a strong foundation for trusted cross-border data flows;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on 17 December 2021 the Commission adopted the adequacy decision for personal data transfers between the EU and Korea;</w:t>
            </w:r>
          </w:p>
        </w:tc>
        <w:tc>
          <w:tcPr>
            <w:tcW w:w="4876" w:type="dxa"/>
            <w:tcBorders>
              <w:top w:val="nil"/>
              <w:left w:val="nil"/>
              <w:bottom w:val="nil"/>
              <w:right w:val="nil"/>
            </w:tcBorders>
          </w:tcPr>
          <w:p>
            <w:pPr>
              <w:pStyle w:val="Normal6a"/>
            </w:pPr>
            <w:r>
              <w:t>C.</w:t>
            </w:r>
            <w:r>
              <w:tab/>
            </w:r>
            <w:r>
              <w:t xml:space="preserve">whereas on 17 December 2021 the Commission adopted the adequacy decision for personal data transfers between the EU and Korea </w:t>
            </w:r>
            <w:r>
              <w:rPr>
                <w:b/>
                <w:i/>
              </w:rPr>
              <w:t>enabling personal data to flow between the two jurisdictions without additional authorisations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whereas privacy and personal data protection are distinct but interrelated fundamental rights under Articles 7 and 8 of the Charter of Fundamental Rights of the European Union; whereas digital trade commitments must safeguard both and must not subordinate them to trade liberalisation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whereas the 2018 Horizontal Provisions on cross-border data flows and personal data endorsed by the Commission were intended to shield existing and future Union data-protection law from trade commitments; whereas subsequent DTAs, including the one with Korea, have departed from that approach;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whereas the European Data Protection Supervisor found that the EU-Korea DTA weakens the safeguards contained in the Horizontal Provisions, creating legal uncertainty with the Union data protection framework, and questioned the need for additional data-flow commitments given the existing adequacy framework; whereas its recommendations to strengthen Article 6 and safeguard regulatory access to source code were not reflected in the final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J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whereas the EU and Korea already maintain comprehensive frameworks for the protection and enforcement of intellectual property rights, reinforced by the EU-Korea FTA;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w:t>
            </w:r>
            <w:r>
              <w:tab/>
            </w:r>
            <w:r>
              <w:rPr>
                <w:b/>
                <w:i/>
              </w:rPr>
              <w:t>whereas the current bilateral trade relationship between the EU and Korea, underpinned by the EU-Korea FTA, needs to be deepened with and supported by updated digital rules;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whereas the </w:t>
            </w:r>
            <w:r>
              <w:rPr>
                <w:b/>
                <w:i/>
              </w:rPr>
              <w:t>current</w:t>
            </w:r>
            <w:r>
              <w:t xml:space="preserve"> bilateral trade relationship between the EU and Korea, underpinned by the </w:t>
            </w:r>
            <w:r>
              <w:rPr>
                <w:b/>
                <w:i/>
              </w:rPr>
              <w:t>EU-Korea FTA, needs to be deepened with and supported by updated</w:t>
            </w:r>
            <w:r>
              <w:t xml:space="preserve"> digital </w:t>
            </w:r>
            <w:r>
              <w:rPr>
                <w:b/>
                <w:i/>
              </w:rPr>
              <w:t>rules</w:t>
            </w:r>
            <w:r>
              <w:t>;</w:t>
            </w:r>
          </w:p>
        </w:tc>
        <w:tc>
          <w:tcPr>
            <w:tcW w:w="4876" w:type="dxa"/>
            <w:tcBorders>
              <w:top w:val="nil"/>
              <w:left w:val="nil"/>
              <w:bottom w:val="nil"/>
              <w:right w:val="nil"/>
            </w:tcBorders>
          </w:tcPr>
          <w:p>
            <w:pPr>
              <w:pStyle w:val="Normal6a"/>
            </w:pPr>
            <w:r>
              <w:t>K.</w:t>
            </w:r>
            <w:r>
              <w:tab/>
            </w:r>
            <w:r>
              <w:t xml:space="preserve">whereas the </w:t>
            </w:r>
            <w:r>
              <w:rPr>
                <w:b/>
                <w:i/>
              </w:rPr>
              <w:t>EU-Korea DTA will further deepen the</w:t>
            </w:r>
            <w:r>
              <w:t xml:space="preserve"> bilateral trade relationship between the EU and Korea, underpinned by the </w:t>
            </w:r>
            <w:r>
              <w:rPr>
                <w:b/>
                <w:i/>
              </w:rPr>
              <w:t>EU Korea FTA, establishing ambitious and modern rules for</w:t>
            </w:r>
            <w:r>
              <w:t xml:space="preserve"> digital </w:t>
            </w:r>
            <w:r>
              <w:rPr>
                <w:b/>
                <w:i/>
              </w:rPr>
              <w:t>trade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whereas small and medium-sized enterprises (SMEs) and small mid-caps (SMCs) are central to the Union's industrial competitiveness, yet face disproportionate administrative, technical, and compliance barriers in digital trade compared to large corporations;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Dan Barna, Svenja Hahn, Benoit Cassart,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whereas the implementation of digital trade provisions must be fully consistent with the Artificial Intelligence Act (the AI Act) and intellectual property rights, including copyright and related rights; whereas the development and deployment of generative AI models should, where applicable under Union law, be accompanied by appropriate transparency regarding training content, the protection of creators' rights, and robust safety safeguards;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L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Lc.</w:t>
            </w:r>
            <w:r>
              <w:tab/>
            </w:r>
            <w:r>
              <w:rPr>
                <w:b/>
                <w:i/>
              </w:rPr>
              <w:t>whereas the Draghi Report on the Future of European Competitiveness stresses the imperative to close the innovation gap in advanced technologies and remove barriers preventing innovative firms from scaling up; whereas digital trade agreements with global technological leaders, such as the Republic of Korea, are strategic tools to support the cross-border expansion of EU deep-tech scale-ups and small mid-caps (SMCs);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whereas this agreement aligns with the EU’s goal to establish modern digital trade rules with its global partners, as demonstrated in the digital trade chapters of recently concluded FTAs with Australia, as well as the cross-border data flows agreement with Japan;</w:t>
            </w:r>
          </w:p>
        </w:tc>
        <w:tc>
          <w:tcPr>
            <w:tcW w:w="4876" w:type="dxa"/>
            <w:tcBorders>
              <w:top w:val="nil"/>
              <w:left w:val="nil"/>
              <w:bottom w:val="nil"/>
              <w:right w:val="nil"/>
            </w:tcBorders>
          </w:tcPr>
          <w:p>
            <w:pPr>
              <w:pStyle w:val="Normal6a"/>
            </w:pPr>
            <w:r>
              <w:t>O.</w:t>
            </w:r>
            <w:r>
              <w:tab/>
            </w:r>
            <w:r>
              <w:t xml:space="preserve">whereas this agreement aligns with the EU’s goal to establish modern digital trade rules with its global partners, as demonstrated in the digital trade chapters of recently concluded FTAs with Australia, </w:t>
            </w:r>
            <w:r>
              <w:rPr>
                <w:b/>
                <w:i/>
              </w:rPr>
              <w:t>in the EU-Singapore Digital Trade Agreement (DTA),</w:t>
            </w:r>
            <w:r>
              <w:t xml:space="preserve"> as well as the cross-border data flows agreement with Japan;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whereas this agreement aligns with the EU’s </w:t>
            </w:r>
            <w:r>
              <w:rPr>
                <w:b/>
                <w:i/>
              </w:rPr>
              <w:t>goal to establish modern</w:t>
            </w:r>
            <w:r>
              <w:t xml:space="preserve"> digital trade rules </w:t>
            </w:r>
            <w:r>
              <w:rPr>
                <w:b/>
                <w:i/>
              </w:rPr>
              <w:t>with its global partners, as demonstrated</w:t>
            </w:r>
            <w:r>
              <w:t xml:space="preserve"> in the digital trade chapters of recently concluded FTAs with Australia, as well as the cross-border data flows agreement with Japan;</w:t>
            </w:r>
          </w:p>
        </w:tc>
        <w:tc>
          <w:tcPr>
            <w:tcW w:w="4876" w:type="dxa"/>
            <w:tcBorders>
              <w:top w:val="nil"/>
              <w:left w:val="nil"/>
              <w:bottom w:val="nil"/>
              <w:right w:val="nil"/>
            </w:tcBorders>
          </w:tcPr>
          <w:p>
            <w:pPr>
              <w:pStyle w:val="Normal6a"/>
            </w:pPr>
            <w:r>
              <w:t>O.</w:t>
            </w:r>
            <w:r>
              <w:tab/>
            </w:r>
            <w:r>
              <w:t>whereas this agreement aligns with the EU’s digital trade rules</w:t>
            </w:r>
            <w:r>
              <w:rPr>
                <w:b/>
                <w:i/>
              </w:rPr>
              <w:t>, as included</w:t>
            </w:r>
            <w:r>
              <w:t xml:space="preserve"> in the digital trade chapters of recently concluded FTAs with Australia, as well as the cross-border data flows agreement with Japan;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whereas no dedicated impact assessment has examined the compatibility of digital trade commitments with the Union’s fundamental-rights framework and digital acquis, including their impact on current and future legislation; whereas such an assessment is necessary to evaluate their implications for the Union’s regulatory space over the digital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whereas the text agreed with South Korea does not fully reflect the horizontal provisions for cross-border data flows and for personal data protection in EU trade and investment agreements agreed by the European Parliament and Council in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Dan Barna, Svenja Hahn,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whereas removing unjustified barriers and preventing regulatory fragmentation are essential to enhance the global competitiveness, innovation, and technological leadership of Union enterprises;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whereas unjustified data localisation requirements can constitute barriers to digital trade, increase compliance costs and disproportionately affect 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whereas stakeholders, trade unions, academics and data protection experts have repeatedly warned that digital trade disciplines may constrain the Union’s regulatory space on data protection, AI, competition, cybersecurity, data governance, workers’ rights and digital taxation, including the enforcement and future development of EU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whereas the European Data Protection Supervisor issued an opinion on this agreement, identifying potential legal uncertainty in some provisions and called for additional safeguards and clarifications;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Oc.</w:t>
            </w:r>
            <w:r>
              <w:tab/>
            </w:r>
            <w:r>
              <w:rPr>
                <w:b/>
                <w:i/>
              </w:rPr>
              <w:t>whereas Article 5 prohibits broad data- and computing-localisation requirements and subjects public interest derogations to several conditions, including a necessity test; whereas these commitments may constrain the Union’s regulatory space on data governance, industrial and security policy, technological sovereignty and data-centre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Oc.</w:t>
            </w:r>
            <w:r>
              <w:tab/>
            </w:r>
            <w:r>
              <w:rPr>
                <w:b/>
                <w:i/>
              </w:rPr>
              <w:t>whereas the European Commission did not conduct any impact assessment on how digital trade agreements might affect the implementation of existing EU rules like the AI Act, Digital Markets Acts or Digital Services Act or how the new trade disciplines may affect the ability to adopt future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Od.</w:t>
            </w:r>
            <w:r>
              <w:tab/>
            </w:r>
            <w:r>
              <w:rPr>
                <w:b/>
                <w:i/>
              </w:rPr>
              <w:t>whereas, after negotiations concluded, the Commission presented the European Technological Sovereignty Package, including the Cloud and AI Development Act, to expand EU cloud and AI capacity and reduce strategic dependencies; whereas its data and infrastructure localisation requirements may conflict with commitments under this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Oe.</w:t>
            </w:r>
            <w:r>
              <w:tab/>
            </w:r>
            <w:r>
              <w:rPr>
                <w:b/>
                <w:i/>
              </w:rPr>
              <w:t xml:space="preserve">whereas Article 11 restricts access to source code, subject to specific exceptions; whereas this may constrain the Union’s ability to require transparency and scrutiny of software and AI systems; whereas experts have warned that it could weaken accountability mechanisms under the DSA, DMA and AI Act and limit the development of stronger auditing and oversight requirements as AI evolves; </w:t>
            </w:r>
            <w:r>
              <w:rPr>
                <w:b/>
                <w:i/>
                <w:vertAlign w:val="superscript"/>
              </w:rPr>
              <w:t>1a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Jones, Emily and Collins, Philippa and Grosse Ruse-Khan, Henning and Sanchez-Graells, Albert and Irion, Kristina and Dorobantu, Cosmina and Kilic, Burcu and Onitiu, Daria, AI Governance and the Future of Digital Trade Policy (October 09, 2024). University of Oxford Blavatnik School of Government Policy Brief, October 2024, Available at http://dx.doi.org/10.2139/ssrn.4987769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O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Of.</w:t>
            </w:r>
            <w:r>
              <w:tab/>
            </w:r>
            <w:r>
              <w:rPr>
                <w:b/>
                <w:i/>
              </w:rPr>
              <w:t>whereas trade-law exceptions have historically been difficult to invoke successfully; whereas the Korea Agreement’s exceptions are narrow, ambiguous and potentially insufficient to safeguard public policy, workers and consumers;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Welcomes</w:t>
            </w:r>
            <w:r>
              <w:t xml:space="preserve"> the signing, in Brussels on 10 June 2026, of the Digital Trade Agreement;</w:t>
            </w:r>
          </w:p>
        </w:tc>
        <w:tc>
          <w:tcPr>
            <w:tcW w:w="4876" w:type="dxa"/>
            <w:tcBorders>
              <w:top w:val="nil"/>
              <w:left w:val="nil"/>
              <w:bottom w:val="nil"/>
              <w:right w:val="nil"/>
            </w:tcBorders>
          </w:tcPr>
          <w:p>
            <w:pPr>
              <w:pStyle w:val="Normal6a"/>
            </w:pPr>
            <w:r>
              <w:t>1.</w:t>
            </w:r>
            <w:r>
              <w:tab/>
            </w:r>
            <w:r>
              <w:rPr>
                <w:b/>
                <w:i/>
              </w:rPr>
              <w:t>Takes note of</w:t>
            </w:r>
            <w:r>
              <w:t xml:space="preserve"> the signing, in Brussels on 10 June 2026, of the Digital Trade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Welcomes</w:t>
            </w:r>
            <w:r>
              <w:t xml:space="preserve"> the signing, in Brussels on 10 June 2026, of the Digital Trade Agreement;</w:t>
            </w:r>
          </w:p>
        </w:tc>
        <w:tc>
          <w:tcPr>
            <w:tcW w:w="4876" w:type="dxa"/>
            <w:tcBorders>
              <w:top w:val="nil"/>
              <w:left w:val="nil"/>
              <w:bottom w:val="nil"/>
              <w:right w:val="nil"/>
            </w:tcBorders>
          </w:tcPr>
          <w:p>
            <w:pPr>
              <w:pStyle w:val="Normal6a"/>
            </w:pPr>
            <w:r>
              <w:t>1.</w:t>
            </w:r>
            <w:r>
              <w:tab/>
            </w:r>
            <w:r>
              <w:rPr>
                <w:b/>
                <w:i/>
              </w:rPr>
              <w:t>Notes</w:t>
            </w:r>
            <w:r>
              <w:t xml:space="preserve"> the signing, in Brussels on 10 June 2026, of the Digital Trade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Notes that the agreement lays down binding rules on trade in goods and services enabled by electronic means; acknowledges that these rules </w:t>
            </w:r>
            <w:r>
              <w:rPr>
                <w:b/>
                <w:i/>
              </w:rPr>
              <w:t>will further</w:t>
            </w:r>
            <w:r>
              <w:t xml:space="preserve"> enhance bilateral trade relations between the EU and Korea, fostering consumer confidence and providing predictability and legal certainty for businesses involved in digital trade;</w:t>
            </w:r>
          </w:p>
        </w:tc>
        <w:tc>
          <w:tcPr>
            <w:tcW w:w="4876" w:type="dxa"/>
            <w:tcBorders>
              <w:top w:val="nil"/>
              <w:left w:val="nil"/>
              <w:bottom w:val="nil"/>
              <w:right w:val="nil"/>
            </w:tcBorders>
          </w:tcPr>
          <w:p>
            <w:pPr>
              <w:pStyle w:val="Normal6a"/>
            </w:pPr>
            <w:r>
              <w:t>2.</w:t>
            </w:r>
            <w:r>
              <w:tab/>
            </w:r>
            <w:r>
              <w:t xml:space="preserve">Notes that the agreement lays down binding rules on trade in goods and services enabled by electronic means; acknowledges that </w:t>
            </w:r>
            <w:r>
              <w:rPr>
                <w:b/>
                <w:i/>
              </w:rPr>
              <w:t>while</w:t>
            </w:r>
            <w:r>
              <w:t xml:space="preserve"> these rules </w:t>
            </w:r>
            <w:r>
              <w:rPr>
                <w:b/>
                <w:i/>
              </w:rPr>
              <w:t>are intended to</w:t>
            </w:r>
            <w:r>
              <w:t xml:space="preserve"> enhance bilateral trade relations between the EU and Korea, fostering consumer confidence and providing predictability and legal certainty for businesses involved in digital trade; </w:t>
            </w:r>
            <w:r>
              <w:rPr>
                <w:b/>
                <w:i/>
              </w:rPr>
              <w:t>their economic benefits have not been sufficiently demonstrated, while several provisions raise concerns regarding their potential impact on consumer protection, fundamental rights and the Union’s regulatory autonomy in rapidly evolving areas of digital policy;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Notes that the agreement lays down binding rules on trade in goods and services enabled by electronic means; acknowledges that these rules will further enhance bilateral trade relations between the EU and Korea, fostering consumer confidence and providing predictability and legal certainty for businesses involved in digital trade;</w:t>
            </w:r>
          </w:p>
        </w:tc>
        <w:tc>
          <w:tcPr>
            <w:tcW w:w="4876" w:type="dxa"/>
            <w:tcBorders>
              <w:top w:val="nil"/>
              <w:left w:val="nil"/>
              <w:bottom w:val="nil"/>
              <w:right w:val="nil"/>
            </w:tcBorders>
          </w:tcPr>
          <w:p>
            <w:pPr>
              <w:pStyle w:val="Normal6a"/>
            </w:pPr>
            <w:r>
              <w:t>2.</w:t>
            </w:r>
            <w:r>
              <w:tab/>
            </w:r>
            <w:r>
              <w:t xml:space="preserve">Notes that the agreement lays down binding rules on trade in goods and services enabled by electronic means; acknowledges that these rules will further enhance bilateral trade relations between the EU and Korea, </w:t>
            </w:r>
            <w:r>
              <w:rPr>
                <w:b/>
                <w:i/>
              </w:rPr>
              <w:t>strengthen the competitiveness of European businesses, in particular SMEs, reduce unnecessary barriers and costs,</w:t>
            </w:r>
            <w:r>
              <w:t xml:space="preserve"> fostering consumer confidence and providing predictability and legal certainty for businesses involved in digital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Notes that the agreement lays down binding rules on trade in goods and services enabled by electronic means; </w:t>
            </w:r>
            <w:r>
              <w:rPr>
                <w:b/>
                <w:i/>
              </w:rPr>
              <w:t>acknowledges</w:t>
            </w:r>
            <w:r>
              <w:t xml:space="preserve"> that these rules will further enhance bilateral trade relations between the EU and Korea, fostering consumer confidence and providing predictability and legal certainty for businesses involved in digital trade;</w:t>
            </w:r>
          </w:p>
        </w:tc>
        <w:tc>
          <w:tcPr>
            <w:tcW w:w="4876" w:type="dxa"/>
            <w:tcBorders>
              <w:top w:val="nil"/>
              <w:left w:val="nil"/>
              <w:bottom w:val="nil"/>
              <w:right w:val="nil"/>
            </w:tcBorders>
          </w:tcPr>
          <w:p>
            <w:pPr>
              <w:pStyle w:val="Normal6a"/>
            </w:pPr>
            <w:r>
              <w:t>2.</w:t>
            </w:r>
            <w:r>
              <w:tab/>
            </w:r>
            <w:r>
              <w:t xml:space="preserve">Notes that the agreement lays down binding rules on trade in goods and services enabled by electronic means; </w:t>
            </w:r>
            <w:r>
              <w:rPr>
                <w:b/>
                <w:i/>
              </w:rPr>
              <w:t>hopes</w:t>
            </w:r>
            <w:r>
              <w:t xml:space="preserve"> that these rules will further enhance bilateral trade relations between the EU and Korea, fostering consumer confidence and providing predictability and legal certainty for businesses involved in digital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Calls on the Commission to ensure effective implementation of the binding provisions of the agreement and make effective use of the Commission's Single Entry Point mechanism to enable SMEs, small mid-caps (SMCs), trade organisations and civil society organisations to submit complaints concerning unjustified market-access barriers and alleged instances of non-compliance with digital trade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Recalls that this agreement should benefit consumers, citizens, workers and SMEs and that all entities operating in the single market must adhere to EU regulations, complying with the highest standards in fundamental rights, including labour and digital rights; notes the concerns expressed by civil society organisations that the safeguards for those rights are potentially insufficient;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Recalls that the agreement applies to all types of trade enabled by electronic means and aims to guarantee predictability and legal certainty for online trade, while preserving policy space for the parties; </w:t>
            </w:r>
            <w:r>
              <w:rPr>
                <w:b/>
                <w:i/>
              </w:rPr>
              <w:t>welcomes in particular the fact</w:t>
            </w:r>
            <w:r>
              <w:t xml:space="preserve"> that the </w:t>
            </w:r>
            <w:r>
              <w:rPr>
                <w:b/>
                <w:i/>
              </w:rPr>
              <w:t>agreement explicitly upholds the EU’s stringent standards</w:t>
            </w:r>
            <w:r>
              <w:t xml:space="preserve"> for personal data </w:t>
            </w:r>
            <w:r>
              <w:rPr>
                <w:b/>
                <w:i/>
              </w:rPr>
              <w:t>and privacy</w:t>
            </w:r>
            <w:r>
              <w:t xml:space="preserve"> protection</w:t>
            </w:r>
            <w:r>
              <w:rPr>
                <w:b/>
                <w:i/>
              </w:rPr>
              <w:t>, ensuring both parties retain the right to implement and maintain measures to safeguard personal data and privacy</w:t>
            </w:r>
            <w:r>
              <w:t>;</w:t>
            </w:r>
          </w:p>
        </w:tc>
        <w:tc>
          <w:tcPr>
            <w:tcW w:w="4876" w:type="dxa"/>
            <w:tcBorders>
              <w:top w:val="nil"/>
              <w:left w:val="nil"/>
              <w:bottom w:val="nil"/>
              <w:right w:val="nil"/>
            </w:tcBorders>
          </w:tcPr>
          <w:p>
            <w:pPr>
              <w:pStyle w:val="Normal6a"/>
            </w:pPr>
            <w:r>
              <w:t>3.</w:t>
            </w:r>
            <w:r>
              <w:tab/>
            </w:r>
            <w:r>
              <w:t xml:space="preserve">Recalls that the agreement applies to all types of trade enabled by electronic means and aims to guarantee predictability and legal certainty for online trade, while </w:t>
            </w:r>
            <w:r>
              <w:rPr>
                <w:b/>
                <w:i/>
              </w:rPr>
              <w:t>aiming at</w:t>
            </w:r>
            <w:r>
              <w:t xml:space="preserve"> preserving policy space for the parties; </w:t>
            </w:r>
            <w:r>
              <w:rPr>
                <w:b/>
                <w:i/>
              </w:rPr>
              <w:t>regrets</w:t>
            </w:r>
            <w:r>
              <w:t xml:space="preserve"> that the </w:t>
            </w:r>
            <w:r>
              <w:rPr>
                <w:b/>
                <w:i/>
              </w:rPr>
              <w:t>text agreed with South Korea does not fully reflect the horizontal provisions for cross-border data flows and</w:t>
            </w:r>
            <w:r>
              <w:t xml:space="preserve"> for personal data protection </w:t>
            </w:r>
            <w:r>
              <w:rPr>
                <w:b/>
                <w:i/>
              </w:rPr>
              <w:t>in EU trade and investment agreements agreed by the European Parliament and Council in 2018; notes the concerns expressed by civil society organisations that the safeguards are potentially insufficient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Recalls that the agreement applies to all types of trade enabled by electronic means and aims to guarantee predictability and legal certainty for online trade, </w:t>
            </w:r>
            <w:r>
              <w:rPr>
                <w:b/>
                <w:i/>
              </w:rPr>
              <w:t>while preserving policy space for the</w:t>
            </w:r>
            <w:r>
              <w:t xml:space="preserve"> parties; welcomes in particular the fact that the agreement explicitly upholds the EU’s stringent standards for personal data and privacy protection, ensuring both parties retain the right to implement and maintain measures to safeguard personal data and privacy;</w:t>
            </w:r>
          </w:p>
        </w:tc>
        <w:tc>
          <w:tcPr>
            <w:tcW w:w="4876" w:type="dxa"/>
            <w:tcBorders>
              <w:top w:val="nil"/>
              <w:left w:val="nil"/>
              <w:bottom w:val="nil"/>
              <w:right w:val="nil"/>
            </w:tcBorders>
          </w:tcPr>
          <w:p>
            <w:pPr>
              <w:pStyle w:val="Normal6a"/>
            </w:pPr>
            <w:r>
              <w:t>3.</w:t>
            </w:r>
            <w:r>
              <w:tab/>
            </w:r>
            <w:r>
              <w:t xml:space="preserve">Recalls that the agreement applies to all types of trade enabled by electronic means and aims to guarantee predictability and legal certainty for online trade, </w:t>
            </w:r>
            <w:r>
              <w:rPr>
                <w:b/>
                <w:i/>
              </w:rPr>
              <w:t>whilst the regulatory discretion retained by the contracting</w:t>
            </w:r>
            <w:r>
              <w:t xml:space="preserve"> parties </w:t>
            </w:r>
            <w:r>
              <w:rPr>
                <w:b/>
                <w:i/>
              </w:rPr>
              <w:t>must not be used to create new, hidden barriers to trade</w:t>
            </w:r>
            <w:r>
              <w:t>; welcomes in particular the fact that the agreement explicitly upholds the EU’s stringent standards for personal data and privacy protection, ensuring both parties retain the right to implement and maintain measures to safeguard personal data and privacy;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Recalls that the agreement applies to all types of trade enabled by electronic means and aims to guarantee predictability and legal certainty for online trade, while preserving policy space for the parties; </w:t>
            </w:r>
            <w:r>
              <w:rPr>
                <w:b/>
                <w:i/>
              </w:rPr>
              <w:t>welcomes in particular the fact</w:t>
            </w:r>
            <w:r>
              <w:t xml:space="preserve"> that the agreement </w:t>
            </w:r>
            <w:r>
              <w:rPr>
                <w:b/>
                <w:i/>
              </w:rPr>
              <w:t>explicitly upholds the EU’s stringent standards for personal data and privacy protection, ensuring both parties retain the right to implement and maintain measures to safeguard personal data and privacy</w:t>
            </w:r>
            <w:r>
              <w:t>;</w:t>
            </w:r>
          </w:p>
        </w:tc>
        <w:tc>
          <w:tcPr>
            <w:tcW w:w="4876" w:type="dxa"/>
            <w:tcBorders>
              <w:top w:val="nil"/>
              <w:left w:val="nil"/>
              <w:bottom w:val="nil"/>
              <w:right w:val="nil"/>
            </w:tcBorders>
          </w:tcPr>
          <w:p>
            <w:pPr>
              <w:pStyle w:val="Normal6a"/>
            </w:pPr>
            <w:r>
              <w:t>3.</w:t>
            </w:r>
            <w:r>
              <w:tab/>
            </w:r>
            <w:r>
              <w:t xml:space="preserve">Recalls that the agreement applies to all types of trade enabled by electronic means and aims to guarantee predictability and legal certainty for online trade, while preserving policy space for the parties; </w:t>
            </w:r>
            <w:r>
              <w:rPr>
                <w:b/>
                <w:i/>
              </w:rPr>
              <w:t>regrets</w:t>
            </w:r>
            <w:r>
              <w:t xml:space="preserve"> that the agreement </w:t>
            </w:r>
            <w:r>
              <w:rPr>
                <w:b/>
                <w:i/>
              </w:rPr>
              <w:t>does not fully reproduce the Union’s 2018 Horizontal Provisions and, as the EDPS warned, may create legal uncertainty with the Union’s data-protection framework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Takes note of the concerns expressed by civil society organisations and the EDPS regarding the deviation from the 2018 horizontal provisions on cross-border data flows and data protection; emphasises that the protection of personal data and privacy is a non-negotiable fundamental right under Union law; calls on the Commission to ensure that the Agreement strictly maintains the exact same level of protection and objective as the 2018 horizontal principles and to guarantee that these divergences do not become a precedent for future digital trade agreements; welcomes, in this regard, that the text achieves this objective through the autonomous safeguard; recalls that privacy and the protection of personal data are distinct but interrelated fundamental rights protected by Articles 7 and 8 of the Charter of Fundamental Rights of the European Union that are fully exempt from commercial balancing or necessity tests; stresses that the legitimate public policy objectives subject to a necessity test are strictly separate from the fundamental right to data protection, thereby ensuring that Union privacy safeguards cannot be challenged before international trade panels;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Stresses that this agreement will facilitate electronic transactions by introducing electronic signatures and electronic authentication, and promote a safe online environment by ensuring the protection of consumers and their data; considers, furthermore,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c>
          <w:tcPr>
            <w:tcW w:w="4876" w:type="dxa"/>
            <w:tcBorders>
              <w:top w:val="nil"/>
              <w:left w:val="nil"/>
              <w:bottom w:val="nil"/>
              <w:right w:val="nil"/>
            </w:tcBorders>
          </w:tcPr>
          <w:p>
            <w:pPr>
              <w:pStyle w:val="Normal6a"/>
            </w:pPr>
            <w:r>
              <w:t>4.</w:t>
            </w:r>
            <w:r>
              <w:tab/>
            </w:r>
            <w:r>
              <w:t xml:space="preserve">Stresses that this agreement will facilitate electronic transactions by introducing electronic signatures and electronic authentication, and promote a safe online environment by ensuring the protection of consumers and their data; considers, furthermore,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 </w:t>
            </w:r>
            <w:r>
              <w:rPr>
                <w:b/>
                <w:i/>
              </w:rPr>
              <w:t>welcomes the promotion of regulatory cooperation to foster digital inclusion, particularly for SMEs and small mid-caps (SMCs); calls for streamlined technical and administrative procedures to effectively reduce compliance burdens and ensure that digital trade opportunities are accessible to the widest possible range of economic actors;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Stresses that this agreement will facilitate electronic transactions by introducing electronic signatures and electronic authentication, and promote a safe online environment by ensuring the protection of consumers and their data; considers, furthermore,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c>
          <w:tcPr>
            <w:tcW w:w="4876" w:type="dxa"/>
            <w:tcBorders>
              <w:top w:val="nil"/>
              <w:left w:val="nil"/>
              <w:bottom w:val="nil"/>
              <w:right w:val="nil"/>
            </w:tcBorders>
          </w:tcPr>
          <w:p>
            <w:pPr>
              <w:pStyle w:val="Normal6a"/>
            </w:pPr>
            <w:r>
              <w:t>4.</w:t>
            </w:r>
            <w:r>
              <w:tab/>
            </w:r>
            <w:r>
              <w:t xml:space="preserve">Stresses that this agreement will facilitate electronic transactions by introducing electronic signatures and electronic authentication, and promote a safe online environment by ensuring the protection of consumers and their data; considers, furthermore,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 </w:t>
            </w:r>
            <w:r>
              <w:rPr>
                <w:b/>
                <w:i/>
              </w:rPr>
              <w:t>stresses that simpler digital procedures are particularly important for SMEs seeking to enter and expand in the Korean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Stresses that this agreement will facilitate electronic transactions by introducing electronic signatures and electronic authentication, and promote a safe online environment by ensuring the protection of consumers and their data; considers, furthermore, that the agreement </w:t>
            </w:r>
            <w:r>
              <w:rPr>
                <w:b/>
                <w:i/>
              </w:rPr>
              <w:t>will create legal certainty for businesses through source code protection and by prohibiting forced technology transfer, while</w:t>
            </w:r>
            <w:r>
              <w:t xml:space="preserve"> improving access to electronic commerce and simplifying digital trade by reducing the administrative burden for e-commerce by enabling e-invoicing and paperless trading;</w:t>
            </w:r>
          </w:p>
        </w:tc>
        <w:tc>
          <w:tcPr>
            <w:tcW w:w="4876" w:type="dxa"/>
            <w:tcBorders>
              <w:top w:val="nil"/>
              <w:left w:val="nil"/>
              <w:bottom w:val="nil"/>
              <w:right w:val="nil"/>
            </w:tcBorders>
          </w:tcPr>
          <w:p>
            <w:pPr>
              <w:pStyle w:val="Normal6a"/>
            </w:pPr>
            <w:r>
              <w:t>4.</w:t>
            </w:r>
            <w:r>
              <w:tab/>
            </w:r>
            <w:r>
              <w:t xml:space="preserve">Stresses that this agreement will facilitate electronic transactions by introducing electronic signatures and electronic authentication, and promote a safe online environment by ensuring the protection of consumers and their data; considers, furthermore, that the agreement </w:t>
            </w:r>
            <w:r>
              <w:rPr>
                <w:b/>
                <w:i/>
              </w:rPr>
              <w:t>aims at</w:t>
            </w:r>
            <w:r>
              <w:t xml:space="preserve"> improving access to electronic commerce and simplifying digital trade by reducing the administrative burden for e-commerce by enabling e-invoicing and paperless trading;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Stresses that this agreement will facilitate electronic transactions by introducing electronic signatures and electronic authentication, and promote a safe online environment by ensuring the protection of consumers and their data; considers, furthermore, that the agreement will create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c>
          <w:tcPr>
            <w:tcW w:w="4876" w:type="dxa"/>
            <w:tcBorders>
              <w:top w:val="nil"/>
              <w:left w:val="nil"/>
              <w:bottom w:val="nil"/>
              <w:right w:val="nil"/>
            </w:tcBorders>
          </w:tcPr>
          <w:p>
            <w:pPr>
              <w:pStyle w:val="Normal6a"/>
            </w:pPr>
            <w:r>
              <w:t>4.</w:t>
            </w:r>
            <w:r>
              <w:tab/>
            </w:r>
            <w:r>
              <w:t xml:space="preserve">Stresses that this agreement will facilitate electronic transactions by introducing electronic signatures and electronic authentication, and promote a safe online environment by ensuring the protection of consumers and their data; considers, furthermore, that the agreement will create </w:t>
            </w:r>
            <w:r>
              <w:rPr>
                <w:b/>
                <w:i/>
              </w:rPr>
              <w:t>additional</w:t>
            </w:r>
            <w:r>
              <w:t xml:space="preserve"> legal certainty for businesses through source code protection and by prohibiting forced technology transfer, while improving access to electronic commerce and simplifying digital trade by reducing the administrative burden for e-commerce by enabling e-invoicing and paperless trading;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w:t>
            </w:r>
            <w:r>
              <w:t xml:space="preserve"> the fact that the cross-border data flow provisions in the agreement apply to all sectors in order to ensure that data flows freely; underlines that these provisions build on established practice and are accompanied by regulatory policy space in order for regulators and supervisors to exercise their right to ensure the protection of data and privacy and to safeguard other public policy objectives;</w:t>
            </w:r>
          </w:p>
        </w:tc>
        <w:tc>
          <w:tcPr>
            <w:tcW w:w="4876" w:type="dxa"/>
            <w:tcBorders>
              <w:top w:val="nil"/>
              <w:left w:val="nil"/>
              <w:bottom w:val="nil"/>
              <w:right w:val="nil"/>
            </w:tcBorders>
          </w:tcPr>
          <w:p>
            <w:pPr>
              <w:pStyle w:val="Normal6a"/>
            </w:pPr>
            <w:r>
              <w:t>5.</w:t>
            </w:r>
            <w:r>
              <w:tab/>
            </w:r>
            <w:r>
              <w:rPr>
                <w:b/>
                <w:i/>
              </w:rPr>
              <w:t>Takes note of</w:t>
            </w:r>
            <w:r>
              <w:t xml:space="preserve"> the fact that the </w:t>
            </w:r>
            <w:r>
              <w:rPr>
                <w:b/>
                <w:i/>
              </w:rPr>
              <w:t>broad</w:t>
            </w:r>
            <w:r>
              <w:t xml:space="preserve"> cross-border data flow provisions in the agreement apply to all sectors in order to ensure that data flows freely; underlines that these provisions build on established practice and are accompanied by regulatory policy space in order for regulators and supervisors to exercise their right to ensure the protection of data and privacy and to safeguard other public policy objectives; </w:t>
            </w:r>
            <w:r>
              <w:rPr>
                <w:b/>
                <w:i/>
              </w:rPr>
              <w:t>and prohibits data-localisation requirements, local computing requirements and prior approval of transfers; is concerned that the safeguards in Article 5 are limited to measures pursuing a ‘legitimate’ public policy objective and remain subject to cumulative tests, requiring a Party to show that a legitimate public policy measure is neither 'arbitrary' or 'unjustifiably discriminatory' and imposes no greater restriction on data transfers or the location of computing facilities than 'necessary', thereby subjecting public-interest regulation to trade-law scrutiny and potentially constraining future regulatory space; calls on the Union and Member States to review the free-flow-of-data model to preserve regulatory space for future rules on strategic data centres and computing infrastructure, including resilience, cybersecurity, sensitive data, environmental sustainability and, where justified, data or infrastructure localisation;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Welcomes the fact that the cross-border data flow provisions in the agreement apply to all sectors in order to ensure that data flows freely; underlines that these provisions build on established practice and are accompanied by regulatory policy space in order for regulators and supervisors to exercise their right to ensure the protection of data and privacy and to safeguard other public policy objectives;</w:t>
            </w:r>
          </w:p>
        </w:tc>
        <w:tc>
          <w:tcPr>
            <w:tcW w:w="4876" w:type="dxa"/>
            <w:tcBorders>
              <w:top w:val="nil"/>
              <w:left w:val="nil"/>
              <w:bottom w:val="nil"/>
              <w:right w:val="nil"/>
            </w:tcBorders>
          </w:tcPr>
          <w:p>
            <w:pPr>
              <w:pStyle w:val="Normal6a"/>
            </w:pPr>
            <w:r>
              <w:t>5.</w:t>
            </w:r>
            <w:r>
              <w:tab/>
            </w:r>
            <w:r>
              <w:t xml:space="preserve">Welcomes the fact that the cross-border data flow provisions in the agreement apply to all sectors in order to ensure that data flows freely; underlines that these provisions build on established practice and are accompanied by regulatory policy space in order for regulators and supervisors to exercise their right to ensure the protection of data and privacy and to safeguard other public policy objectives; </w:t>
            </w:r>
            <w:r>
              <w:rPr>
                <w:b/>
                <w:i/>
              </w:rPr>
              <w:t>stresses that the scope for derogations under Article 5(3) of the Agreement must be interpreted narrowly and remain in strict compliance with the conditions of non-discrimination and necessity laid down therein;</w:t>
            </w:r>
            <w:r>
              <w:t xml:space="preserve"> </w:t>
            </w:r>
            <w:r>
              <w:rPr>
                <w:b/>
                <w:i/>
              </w:rPr>
              <w:t>calls on the Commission to keep Parliament fully informed of the results of the assessment provided for in Article 5(6) within three years of the Agreement’s entry into force;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Welcomes</w:t>
            </w:r>
            <w:r>
              <w:t xml:space="preserve"> the fact that the cross-border data flow provisions in the agreement apply to all sectors in order to ensure that data flows freely; underlines that these provisions build on established practice and </w:t>
            </w:r>
            <w:r>
              <w:rPr>
                <w:b/>
                <w:i/>
              </w:rPr>
              <w:t>are</w:t>
            </w:r>
            <w:r>
              <w:t xml:space="preserve"> accompanied by regulatory policy space in order for regulators and supervisors to exercise their right to ensure the protection of data and privacy and to safeguard other public policy objectives;</w:t>
            </w:r>
          </w:p>
        </w:tc>
        <w:tc>
          <w:tcPr>
            <w:tcW w:w="4876" w:type="dxa"/>
            <w:tcBorders>
              <w:top w:val="nil"/>
              <w:left w:val="nil"/>
              <w:bottom w:val="nil"/>
              <w:right w:val="nil"/>
            </w:tcBorders>
          </w:tcPr>
          <w:p>
            <w:pPr>
              <w:pStyle w:val="Normal6a"/>
            </w:pPr>
            <w:r>
              <w:t>5.</w:t>
            </w:r>
            <w:r>
              <w:tab/>
            </w:r>
            <w:r>
              <w:rPr>
                <w:b/>
                <w:i/>
              </w:rPr>
              <w:t>Notes</w:t>
            </w:r>
            <w:r>
              <w:t xml:space="preserve"> the fact that the cross-border data flow provisions in the agreement apply to all sectors in order to ensure that data flows freely; underlines that these provisions build on established practice and </w:t>
            </w:r>
            <w:r>
              <w:rPr>
                <w:b/>
                <w:i/>
              </w:rPr>
              <w:t>should be</w:t>
            </w:r>
            <w:r>
              <w:t xml:space="preserve"> accompanied by regulatory policy space in order for regulators and supervisors to exercise their right to ensure the protection of data and privacy and to safeguard other public policy objectives; </w:t>
            </w:r>
            <w:r>
              <w:rPr>
                <w:b/>
                <w:i/>
              </w:rPr>
              <w:t>regrets that the ability for the EU to put in place rules in the future that restrict data flows will be subject to a trade “necessity” test, which, if contested by South Korea, will require the EU to prove that no other less-trade restrictive alternative was possible;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Lina Gálvez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Stresses that the bilateral rules on cross-border data flows and personal data protection in the Agreement serve a complementary function to adequacy decisions adopted pursuant to Article 45 of Regulation (EU) 2016/679 (GDPR); emphasizes that adequacy decisions are unilateral, autonomous and dynamic regulatory acts of the Union remain subject to monitoring and may need to be amended, suspended or withdrawn in light of changes in law and practice, while the Digital Trade Agreement is concluded for an indefinite period; calls on the Commission to clarify how any future reassessment of Korea's adequacy status, or any future restriction adopted under Chapter V of the GDPR or other Union law, could be given full effect without being constrained by the cross-border data-flow commitments in the Agreement; underlines that, while an adequacy decision guarantees an equivalent level of personal data protection for cross-border transfers, Articles 5 and 6 establish binding bilateral obligations to prohibit unjustified data localisation requirements for both personal and non-personal data; welcomes, in this regard, the autonomous safeguard in the Agreement, which confirms a full carve-out for personal data protection and privacy, ensuring that Union privacy safeguards remain exempt from commercial balancing or trade necessity tests;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Notes that, as per the footnote to Article 5(3) of the Agreement, protection against the dissemination of disinformation may also be regarded as a legitimate public interest objective;</w:t>
            </w:r>
            <w:r>
              <w:t xml:space="preserve"> </w:t>
            </w:r>
            <w:r>
              <w:rPr>
                <w:b/>
                <w:i/>
              </w:rPr>
              <w:t>stresses that this concept must be interpreted narrowly and in a manner in accordance with the rule of law, and must not provide a basis for restrictions on lawful expression of opinion or on cross-border access to lawful content;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on the Commission to provide Parliament with a legal assessment of the consistency of Article 5 with the Cloud and AI Development Act, particularly EU localisation requirements for data, processing and computing infrastructure, and to ensure that Union cloud and AI policy is driven by public-policy objectives rather than constrained by prior trade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Acknowledges that the provisions on source code in this agreement are slightly more advanced than those in previous agreements, further strengthening the role of source code protection</w:t>
            </w:r>
            <w:r>
              <w:rPr>
                <w:b/>
                <w:i/>
              </w:rPr>
              <w:t>; considers this vital in order to protect small and medium-sized enterprises and start-ups against forced technology transfers</w:t>
            </w:r>
            <w:r>
              <w:t xml:space="preserve">; recalls, in this regard, the EU’s strategic objectives of further industrialisation and technological sovereignty; underlines, however, the simultaneous need for regulatory oversight and policy space; </w:t>
            </w:r>
            <w:r>
              <w:rPr>
                <w:b/>
                <w:i/>
              </w:rPr>
              <w:t>welcomes the fact</w:t>
            </w:r>
            <w:r>
              <w:t xml:space="preserve"> that the </w:t>
            </w:r>
            <w:r>
              <w:rPr>
                <w:b/>
                <w:i/>
              </w:rPr>
              <w:t>agreement does</w:t>
            </w:r>
            <w:r>
              <w:t xml:space="preserve"> not jeopardise the enforcement of the EU’s digital rules;</w:t>
            </w:r>
          </w:p>
        </w:tc>
        <w:tc>
          <w:tcPr>
            <w:tcW w:w="4876" w:type="dxa"/>
            <w:tcBorders>
              <w:top w:val="nil"/>
              <w:left w:val="nil"/>
              <w:bottom w:val="nil"/>
              <w:right w:val="nil"/>
            </w:tcBorders>
          </w:tcPr>
          <w:p>
            <w:pPr>
              <w:pStyle w:val="Normal6a"/>
            </w:pPr>
            <w:r>
              <w:t>6.</w:t>
            </w:r>
            <w:r>
              <w:tab/>
            </w:r>
            <w:r>
              <w:t xml:space="preserve">Acknowledges that the provisions on source code in this agreement are slightly more advanced than those in previous agreements, further strengthening the role of source code protection; recalls, in this regard, the EU’s strategic objectives of further industrialisation and technological sovereignty; underlines, however, the simultaneous need for regulatory oversight and policy space; </w:t>
            </w:r>
            <w:r>
              <w:rPr>
                <w:b/>
                <w:i/>
              </w:rPr>
              <w:t>highlights the importance</w:t>
            </w:r>
            <w:r>
              <w:t xml:space="preserve"> that the </w:t>
            </w:r>
            <w:r>
              <w:rPr>
                <w:b/>
                <w:i/>
              </w:rPr>
              <w:t>protection of source code should</w:t>
            </w:r>
            <w:r>
              <w:t xml:space="preserve"> not jeopardise </w:t>
            </w:r>
            <w:r>
              <w:rPr>
                <w:b/>
                <w:i/>
              </w:rPr>
              <w:t>the implementation of the EU digital and fundamental rights framework and</w:t>
            </w:r>
            <w:r>
              <w:t xml:space="preserve"> the enforcement of the EU’s digital rules; </w:t>
            </w:r>
            <w:r>
              <w:rPr>
                <w:b/>
                <w:i/>
              </w:rPr>
              <w:t>recalls the importance that competent authorities should retain the ability to obtain access to the source code or other technical information when necessary to exercise their legal powers; regrets that the Agreement does not offer a definition of source code; recalls that effective scrutiny of contemporary software and AI systems may require access not only to source code but other technical information, such as model parameters, information on training-data provenance, interfaces or other system components; underlines the important role that independent researchers can play in the scrutiny of source code and related technical information; calls on the Commission to integrate these concerns when negotiating future digital trade agreements;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Acknowledges that the provisions on source code in this agreement are slightly more advanced than those in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technological sovereignty; underlines</w:t>
            </w:r>
            <w:r>
              <w:rPr>
                <w:b/>
                <w:i/>
              </w:rPr>
              <w:t>, however, the simultaneous need for regulatory oversight and policy space;</w:t>
            </w:r>
            <w:r>
              <w:t xml:space="preserve"> </w:t>
            </w:r>
            <w:r>
              <w:rPr>
                <w:b/>
                <w:i/>
              </w:rPr>
              <w:t>welcomes the fact that</w:t>
            </w:r>
            <w:r>
              <w:t xml:space="preserve"> the agreement </w:t>
            </w:r>
            <w:r>
              <w:rPr>
                <w:b/>
                <w:i/>
              </w:rPr>
              <w:t>does not jeopardise the enforcement of</w:t>
            </w:r>
            <w:r>
              <w:t xml:space="preserve"> the EU’s digital rules;</w:t>
            </w:r>
          </w:p>
        </w:tc>
        <w:tc>
          <w:tcPr>
            <w:tcW w:w="4876" w:type="dxa"/>
            <w:tcBorders>
              <w:top w:val="nil"/>
              <w:left w:val="nil"/>
              <w:bottom w:val="nil"/>
              <w:right w:val="nil"/>
            </w:tcBorders>
          </w:tcPr>
          <w:p>
            <w:pPr>
              <w:pStyle w:val="Normal6a"/>
            </w:pPr>
            <w:r>
              <w:t>6.</w:t>
            </w:r>
            <w:r>
              <w:tab/>
            </w:r>
            <w:r>
              <w:t xml:space="preserve">Acknowledges that the provisions on source code in this agreement are slightly more advanced than those in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technological sovereignty; underlines </w:t>
            </w:r>
            <w:r>
              <w:rPr>
                <w:b/>
                <w:i/>
              </w:rPr>
              <w:t>that the authorities’ rights of access to source code under Article 11(3) of</w:t>
            </w:r>
            <w:r>
              <w:t xml:space="preserve"> the Agreement </w:t>
            </w:r>
            <w:r>
              <w:rPr>
                <w:b/>
                <w:i/>
              </w:rPr>
              <w:t>must be interpreted narrowly, in a manner in accordance with the safeguards against unauthorised disclosure provided for therein and the requirement for access to be proportionate and targeted;</w:t>
            </w:r>
            <w:r>
              <w:t xml:space="preserve"> </w:t>
            </w:r>
            <w:r>
              <w:rPr>
                <w:b/>
                <w:i/>
              </w:rPr>
              <w:t>calls on the Commission to review</w:t>
            </w:r>
            <w:r>
              <w:t xml:space="preserve"> the EU’s digital </w:t>
            </w:r>
            <w:r>
              <w:rPr>
                <w:b/>
                <w:i/>
              </w:rPr>
              <w:t>legislation as part of its efforts to simplify</w:t>
            </w:r>
            <w:r>
              <w:t xml:space="preserve"> rules </w:t>
            </w:r>
            <w:r>
              <w:rPr>
                <w:b/>
                <w:i/>
              </w:rPr>
              <w:t>and cut red tape, with a view to ensuring coherence, proportionality and the impact on competitiveness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Acknowledges that the provisions on source code in this agreement are slightly more advanced than those in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technological sovereignty; underlines, however, the simultaneous need for regulatory oversight and policy space; welcomes the fact that the agreement does not jeopardise the enforcement of the EU’s digital rules;</w:t>
            </w:r>
          </w:p>
        </w:tc>
        <w:tc>
          <w:tcPr>
            <w:tcW w:w="4876" w:type="dxa"/>
            <w:tcBorders>
              <w:top w:val="nil"/>
              <w:left w:val="nil"/>
              <w:bottom w:val="nil"/>
              <w:right w:val="nil"/>
            </w:tcBorders>
          </w:tcPr>
          <w:p>
            <w:pPr>
              <w:pStyle w:val="Normal6a"/>
            </w:pPr>
            <w:r>
              <w:t>6.</w:t>
            </w:r>
            <w:r>
              <w:tab/>
            </w:r>
            <w:r>
              <w:t>Acknowledges that the provisions on source code in this agreement are slightly more advanced than those in previous agreements, further strengthening the role of source code protection; considers this vital in order to protect small and medium-sized enterprises</w:t>
            </w:r>
            <w:r>
              <w:rPr>
                <w:b/>
                <w:i/>
              </w:rPr>
              <w:t>, small mid-caps (SMCs),</w:t>
            </w:r>
            <w:r>
              <w:t xml:space="preserve"> and start-ups against forced technology transfers</w:t>
            </w:r>
            <w:r>
              <w:rPr>
                <w:b/>
                <w:i/>
              </w:rPr>
              <w:t>; stresses the need to ensure that these enterprises can benefit from fair, transparent and non-discriminatory market-access opportunities</w:t>
            </w:r>
            <w:r>
              <w:t>; recalls, in this regard, the EU’s strategic objectives of further industrialisation and technological sovereignty; underlines, however, the simultaneous need for regulatory oversight and policy space; welcomes the fact that the agreement does not jeopardise the enforcement of the EU’s digital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Acknowledges that the provisions on source code in this agreement </w:t>
            </w:r>
            <w:r>
              <w:rPr>
                <w:b/>
                <w:i/>
              </w:rPr>
              <w:t>are slightly more advanced than those in previous agreements,</w:t>
            </w:r>
            <w:r>
              <w:t xml:space="preserve"> further </w:t>
            </w:r>
            <w:r>
              <w:rPr>
                <w:b/>
                <w:i/>
              </w:rPr>
              <w:t>strengthening</w:t>
            </w:r>
            <w:r>
              <w:t xml:space="preserve"> the role of source code protection; </w:t>
            </w:r>
            <w:r>
              <w:rPr>
                <w:b/>
                <w:i/>
              </w:rPr>
              <w:t>considers this vital in order to protect small and medium-sized enterprises and start-ups against forced technology transfers</w:t>
            </w:r>
            <w:r>
              <w:t>; recalls, in this regard, the EU’s strategic objectives of further industrialisation and technological sovereignty; underlines, however, the simultaneous need for regulatory oversight and policy space; welcomes the fact that the agreement does not jeopardise the enforcement of the EU’s digital rules;</w:t>
            </w:r>
          </w:p>
        </w:tc>
        <w:tc>
          <w:tcPr>
            <w:tcW w:w="4876" w:type="dxa"/>
            <w:tcBorders>
              <w:top w:val="nil"/>
              <w:left w:val="nil"/>
              <w:bottom w:val="nil"/>
              <w:right w:val="nil"/>
            </w:tcBorders>
          </w:tcPr>
          <w:p>
            <w:pPr>
              <w:pStyle w:val="Normal6a"/>
            </w:pPr>
            <w:r>
              <w:t>6.</w:t>
            </w:r>
            <w:r>
              <w:tab/>
            </w:r>
            <w:r>
              <w:t xml:space="preserve">Acknowledges that the provisions on source code in this agreement further </w:t>
            </w:r>
            <w:r>
              <w:rPr>
                <w:b/>
                <w:i/>
              </w:rPr>
              <w:t>strengthen</w:t>
            </w:r>
            <w:r>
              <w:t xml:space="preserve"> the role of source code protection; </w:t>
            </w:r>
            <w:r>
              <w:rPr>
                <w:b/>
                <w:i/>
              </w:rPr>
              <w:t>expresses concern that source-code restrictions may undermine enforcement of the DSA, DMA and AI Act as the extensive investigative powers granted to the European Commission under these laws could be constrained by the limited exceptions in the agreement</w:t>
            </w:r>
            <w:r>
              <w:t>; recalls, in this regard, the EU’s strategic objectives of further industrialisation and technological sovereignty; underlines, however, the simultaneous need for regulatory oversight and policy space; welcomes the fact that the agreement does not jeopardise the enforcement of the EU’s digital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Acknowledges that the provisions on source code in this agreement are slightly more advanced than those in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technological </w:t>
            </w:r>
            <w:r>
              <w:rPr>
                <w:b/>
                <w:i/>
              </w:rPr>
              <w:t>sovereignty</w:t>
            </w:r>
            <w:r>
              <w:t>; underlines, however, the simultaneous need for regulatory oversight and policy space; welcomes the fact that the agreement does not jeopardise the enforcement of the EU’s digital rules;</w:t>
            </w:r>
          </w:p>
        </w:tc>
        <w:tc>
          <w:tcPr>
            <w:tcW w:w="4876" w:type="dxa"/>
            <w:tcBorders>
              <w:top w:val="nil"/>
              <w:left w:val="nil"/>
              <w:bottom w:val="nil"/>
              <w:right w:val="nil"/>
            </w:tcBorders>
          </w:tcPr>
          <w:p>
            <w:pPr>
              <w:pStyle w:val="Normal6a"/>
            </w:pPr>
            <w:r>
              <w:t>6.</w:t>
            </w:r>
            <w:r>
              <w:tab/>
            </w:r>
            <w:r>
              <w:t xml:space="preserve">Acknowledges that the provisions on source code in this agreement are slightly more advanced than those in previous agreements, further strengthening the role of source code protection; considers this vital in order to protect small and medium-sized enterprises and start-ups against forced technology transfers; recalls, in this regard, the EU’s strategic objectives of further industrialisation and </w:t>
            </w:r>
            <w:r>
              <w:rPr>
                <w:b/>
                <w:i/>
              </w:rPr>
              <w:t>strengthening</w:t>
            </w:r>
            <w:r>
              <w:t xml:space="preserve"> technological </w:t>
            </w:r>
            <w:r>
              <w:rPr>
                <w:b/>
                <w:i/>
              </w:rPr>
              <w:t>competitiveness, innovation and economic resilience</w:t>
            </w:r>
            <w:r>
              <w:t>; underlines, however, the simultaneous need for regulatory oversight and policy space; welcomes the fact that the agreement does not jeopardise the enforcement of the EU’s digital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Expresses concern that Article 11 creates an additional layer of source-code protection whose necessity and proportionality have not been demonstrated, in light of existing solid EU and Korean IP and trade-secret safeguards; considers that the risks of these restrictions outweigh the alleged risk of misappropriation, as they may constrain regulatory and independent scrutiny of algorithmic systems, impede enforcement of the AI Act and other Union digital legislation, and hinder the detection and remedy of discrimination, unfair practices and other harms to fundamental and workers’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Underlines, in the context of deepening EU-Korea strategic cooperation, the importance of protecting sensitive technologies and know-how;</w:t>
            </w:r>
            <w:r>
              <w:t xml:space="preserve"> </w:t>
            </w:r>
            <w:r>
              <w:rPr>
                <w:b/>
                <w:i/>
              </w:rPr>
              <w:t>encourages closer coordination between the EU and the Republic of Korea on technology transfers and exports of dual-use items and advanced technologies to third countries, especially when these may affect the security interests of Member States or the Union;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Regrets that the Agreement leaves ‘source code’ undefined, risking an extension of access restrictions beyond traditional software code to critical AI components, including model parameters, weights and training-data information; stresses that the Union must retain full regulatory space to require access to relevant technical information for auditing;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Notes that Article 11 only safeguards source-code access for public authorities and conformity-assessment bodies; stresses that the Union must retain regulatory space to grant controlled access or audit rights to other public-interest actors, including independent researchers, consumer organisations and workers’ representatives, subject to confidentiality safeguards;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Is concerned that source-code restrictions may undermine platform workers’ rights and the regulation of workplace algorithms; calls on the Commission to ensure that source-code and data-flow provisions do not impede enforcement of Union and national rules on algorithmic management, including the rights established under the Platform Work Directive, or authorities’ access to information needed to investigate discriminatory, unsafe or unlawful automated decisions affecting workers;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Stresses the strategic importance of this agreement, given Korea’s position in East Asia; considers this agreement to be a milestone in the EU’s ambition to shape global rules for digital trade, enabling the EU to advance its vision for the digital economy;</w:t>
            </w:r>
          </w:p>
        </w:tc>
        <w:tc>
          <w:tcPr>
            <w:tcW w:w="4876" w:type="dxa"/>
            <w:tcBorders>
              <w:top w:val="nil"/>
              <w:left w:val="nil"/>
              <w:bottom w:val="nil"/>
              <w:right w:val="nil"/>
            </w:tcBorders>
          </w:tcPr>
          <w:p>
            <w:pPr>
              <w:pStyle w:val="Normal6a"/>
            </w:pPr>
            <w:r>
              <w:t>7.</w:t>
            </w:r>
            <w:r>
              <w:tab/>
            </w:r>
            <w:r>
              <w:t xml:space="preserve">Stresses the strategic importance of this agreement, given Korea’s position </w:t>
            </w:r>
            <w:r>
              <w:rPr>
                <w:b/>
                <w:i/>
              </w:rPr>
              <w:t>as a major technological partner</w:t>
            </w:r>
            <w:r>
              <w:t xml:space="preserve"> in East Asia </w:t>
            </w:r>
            <w:r>
              <w:rPr>
                <w:b/>
                <w:i/>
              </w:rPr>
              <w:t>and its track record in concluding digital trade agreements; considers that this agreement supports the Union's multilateral objectives within the WTO, notably promoting the implementation and incorporation of the WTO Agreement on Electronic Commerce into the WTO legal framework and supporting efforts towards a permanent prohibition of customs duties on electronic transmissions</w:t>
            </w:r>
            <w:r>
              <w:t>; considers this agreement to be a milestone in the EU’s ambition to shape global rules for digital trade, enabling the EU to advance its vision for the digital economy;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Stresses the strategic importance of this agreement, given Korea’s position in East Asia; considers this agreement to be a milestone in the EU’s ambition to shape global rules for digital trade, enabling the EU to advance its vision for the digital economy;</w:t>
            </w:r>
          </w:p>
        </w:tc>
        <w:tc>
          <w:tcPr>
            <w:tcW w:w="4876" w:type="dxa"/>
            <w:tcBorders>
              <w:top w:val="nil"/>
              <w:left w:val="nil"/>
              <w:bottom w:val="nil"/>
              <w:right w:val="nil"/>
            </w:tcBorders>
          </w:tcPr>
          <w:p>
            <w:pPr>
              <w:pStyle w:val="Normal6a"/>
            </w:pPr>
            <w:r>
              <w:t>7.</w:t>
            </w:r>
            <w:r>
              <w:tab/>
            </w:r>
            <w:r>
              <w:t xml:space="preserve">Stresses the strategic importance of this agreement, given Korea’s position in East Asia; considers this agreement to be a milestone in the EU’s ambition to shape global rules for digital trade, enabling the EU to advance its vision for the digital economy; </w:t>
            </w:r>
            <w:r>
              <w:rPr>
                <w:b/>
                <w:i/>
              </w:rPr>
              <w:t>stresses that deepening digital trade with reliable and like-minded partners such as Korea also contributes to the diversification and resilience of the Union's trade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Stresses the strategic importance of this agreement, given Korea’s position in East Asia; considers this agreement to be a milestone in the EU’s ambition to shape global rules for digital trade, </w:t>
            </w:r>
            <w:r>
              <w:rPr>
                <w:b/>
                <w:i/>
              </w:rPr>
              <w:t>enabling</w:t>
            </w:r>
            <w:r>
              <w:t xml:space="preserve"> the EU </w:t>
            </w:r>
            <w:r>
              <w:rPr>
                <w:b/>
                <w:i/>
              </w:rPr>
              <w:t>to advance its vision for the digital economy</w:t>
            </w:r>
            <w:r>
              <w:t>;</w:t>
            </w:r>
          </w:p>
        </w:tc>
        <w:tc>
          <w:tcPr>
            <w:tcW w:w="4876" w:type="dxa"/>
            <w:tcBorders>
              <w:top w:val="nil"/>
              <w:left w:val="nil"/>
              <w:bottom w:val="nil"/>
              <w:right w:val="nil"/>
            </w:tcBorders>
          </w:tcPr>
          <w:p>
            <w:pPr>
              <w:pStyle w:val="Normal6a"/>
            </w:pPr>
            <w:r>
              <w:t>7.</w:t>
            </w:r>
            <w:r>
              <w:tab/>
            </w:r>
            <w:r>
              <w:t xml:space="preserve">Stresses the strategic importance of this agreement, given Korea’s position in East Asia; considers this agreement to be a milestone in the EU’s ambition to shape global rules for digital trade, </w:t>
            </w:r>
            <w:r>
              <w:rPr>
                <w:b/>
                <w:i/>
              </w:rPr>
              <w:t>provided that</w:t>
            </w:r>
            <w:r>
              <w:t xml:space="preserve"> the EU </w:t>
            </w:r>
            <w:r>
              <w:rPr>
                <w:b/>
                <w:i/>
              </w:rPr>
              <w:t>focuses on open markets, legal certainty and eliminating trade barriers, rather than imposing its own regulatory model on third countries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Stresses the strategic importance of this agreement, given Korea’s position in East Asia; considers this agreement to be a milestone in the EU’s ambition to shape global rules for digital trade, enabling the EU to advance </w:t>
            </w:r>
            <w:r>
              <w:rPr>
                <w:b/>
                <w:i/>
              </w:rPr>
              <w:t>its vision for the</w:t>
            </w:r>
            <w:r>
              <w:t xml:space="preserve"> digital </w:t>
            </w:r>
            <w:r>
              <w:rPr>
                <w:b/>
                <w:i/>
              </w:rPr>
              <w:t>economy</w:t>
            </w:r>
            <w:r>
              <w:t>;</w:t>
            </w:r>
          </w:p>
        </w:tc>
        <w:tc>
          <w:tcPr>
            <w:tcW w:w="4876" w:type="dxa"/>
            <w:tcBorders>
              <w:top w:val="nil"/>
              <w:left w:val="nil"/>
              <w:bottom w:val="nil"/>
              <w:right w:val="nil"/>
            </w:tcBorders>
          </w:tcPr>
          <w:p>
            <w:pPr>
              <w:pStyle w:val="Normal6a"/>
            </w:pPr>
            <w:r>
              <w:t>7.</w:t>
            </w:r>
            <w:r>
              <w:tab/>
            </w:r>
            <w:r>
              <w:t xml:space="preserve">Stresses the strategic importance of this agreement, given Korea’s position in East Asia; considers this agreement to be a milestone in the EU’s ambition to shape global rules for digital trade, enabling the EU to advance </w:t>
            </w:r>
            <w:r>
              <w:rPr>
                <w:b/>
                <w:i/>
              </w:rPr>
              <w:t>the protection of fundamental rights and the preservation of the policy space to regulate</w:t>
            </w:r>
            <w:r>
              <w:t xml:space="preserve"> digital </w:t>
            </w:r>
            <w:r>
              <w:rPr>
                <w:b/>
                <w:i/>
              </w:rPr>
              <w:t>trade in the future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Welcomes the ban on customs duties on electronic transmissions set out in Article 7 of the Agreement, which will take on added significance following the expiry of the WTO moratorium on 30 March 2026;</w:t>
            </w:r>
            <w:r>
              <w:t xml:space="preserve"> </w:t>
            </w:r>
            <w:r>
              <w:rPr>
                <w:b/>
                <w:i/>
              </w:rPr>
              <w:t>calls on the Commission to push within the World Trade Organisation for this principle to be permanently reinshrined at multilateral level and, in the meantime, to work towards the swift entry into force of the plurilateral E-Commerce Agreement, which provides for a permanent ban on customs duties amongst its contracting parties;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Welcomes the recently announced cooperation initiatives between the Greek and Korean shipbuilding industries;</w:t>
            </w:r>
            <w:r>
              <w:t xml:space="preserve"> </w:t>
            </w:r>
            <w:r>
              <w:rPr>
                <w:b/>
                <w:i/>
              </w:rPr>
              <w:t>looks forward to their implementation through investment, industrial cooperation and the transfer of know-how, with a view to strengthening European shipbuilding capacities and creating skilled jobs;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Looks forward to further deepening economic and industrial cooperation between Greece and the Republic of Korea and encourages its expansion into strategic areas of mutual interest, in particular digital and emerging technologies, clean energy and resilient supply chains;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Underlines the strategic importance of freedom and security of maritime navigation for international trade and supply chains between the EU and Korea;</w:t>
            </w:r>
            <w:r>
              <w:t xml:space="preserve"> </w:t>
            </w:r>
            <w:r>
              <w:rPr>
                <w:b/>
                <w:i/>
              </w:rPr>
              <w:t>stresses the need to maintain open and safe maritime routes and to uphold international law, including the United Nations Convention on the Law of the Sea (UNCLOS);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Underlines the significance of concluding bilateral agreements in the current geopolitical climate; calls, in this context, on the Commission </w:t>
            </w:r>
            <w:r>
              <w:rPr>
                <w:b/>
                <w:i/>
              </w:rPr>
              <w:t>and the Member States to explore possibilities for</w:t>
            </w:r>
            <w:r>
              <w:t xml:space="preserve"> further digital trade agreements with other partners;</w:t>
            </w:r>
          </w:p>
        </w:tc>
        <w:tc>
          <w:tcPr>
            <w:tcW w:w="4876" w:type="dxa"/>
            <w:tcBorders>
              <w:top w:val="nil"/>
              <w:left w:val="nil"/>
              <w:bottom w:val="nil"/>
              <w:right w:val="nil"/>
            </w:tcBorders>
          </w:tcPr>
          <w:p>
            <w:pPr>
              <w:pStyle w:val="Normal6a"/>
            </w:pPr>
            <w:r>
              <w:t>8.</w:t>
            </w:r>
            <w:r>
              <w:tab/>
            </w:r>
            <w:r>
              <w:t xml:space="preserve">Underlines the significance of concluding bilateral agreements in the current geopolitical climate; calls, in this context, on the Commission </w:t>
            </w:r>
            <w:r>
              <w:rPr>
                <w:b/>
                <w:i/>
              </w:rPr>
              <w:t>to negotiate</w:t>
            </w:r>
            <w:r>
              <w:t xml:space="preserve"> further digital trade agreements with other partners </w:t>
            </w:r>
            <w:r>
              <w:rPr>
                <w:b/>
                <w:i/>
              </w:rPr>
              <w:t>without delay, in particular with like-minded partners in the Indo-Pacific region and the USA, and to focus these agreements on market access and legal certainty</w:t>
            </w:r>
            <w:r>
              <w:t xml:space="preserve">; </w:t>
            </w:r>
            <w:r>
              <w:rPr>
                <w:b/>
                <w:i/>
              </w:rPr>
              <w:t>calls on the Council to conclude such agreements as soon as possible;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Underlines the significance of concluding bilateral agreements in the current geopolitical climate; calls, in this context, on the Commission and the Member States to explore possibilities for further digital trade agreements with other partners;</w:t>
            </w:r>
          </w:p>
        </w:tc>
        <w:tc>
          <w:tcPr>
            <w:tcW w:w="4876" w:type="dxa"/>
            <w:tcBorders>
              <w:top w:val="nil"/>
              <w:left w:val="nil"/>
              <w:bottom w:val="nil"/>
              <w:right w:val="nil"/>
            </w:tcBorders>
          </w:tcPr>
          <w:p>
            <w:pPr>
              <w:pStyle w:val="Normal6a"/>
            </w:pPr>
            <w:r>
              <w:t>8.</w:t>
            </w:r>
            <w:r>
              <w:tab/>
            </w:r>
            <w:r>
              <w:t xml:space="preserve">Underlines the significance of concluding bilateral agreements in the current geopolitical climate; calls, in this context, on the Commission and the Member States to explore possibilities for further digital trade agreements with other partners; </w:t>
            </w:r>
            <w:r>
              <w:rPr>
                <w:b/>
                <w:i/>
              </w:rPr>
              <w:t>with a view to opening new markets for European businesses, diversifying trade relations and promoting high-standard international rules for digital trade;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Underlines the significance of concluding bilateral agreements in the current geopolitical climate</w:t>
            </w:r>
            <w:r>
              <w:rPr>
                <w:b/>
                <w:i/>
              </w:rPr>
              <w:t>; calls, in this context, on the Commission and the Member States to explore possibilities for further digital trade</w:t>
            </w:r>
            <w:r>
              <w:t xml:space="preserve"> agreements </w:t>
            </w:r>
            <w:r>
              <w:rPr>
                <w:b/>
                <w:i/>
              </w:rPr>
              <w:t>with other partners</w:t>
            </w:r>
            <w:r>
              <w:t>;</w:t>
            </w:r>
          </w:p>
        </w:tc>
        <w:tc>
          <w:tcPr>
            <w:tcW w:w="4876" w:type="dxa"/>
            <w:tcBorders>
              <w:top w:val="nil"/>
              <w:left w:val="nil"/>
              <w:bottom w:val="nil"/>
              <w:right w:val="nil"/>
            </w:tcBorders>
          </w:tcPr>
          <w:p>
            <w:pPr>
              <w:pStyle w:val="Normal6a"/>
            </w:pPr>
            <w:r>
              <w:t>8.</w:t>
            </w:r>
            <w:r>
              <w:tab/>
            </w:r>
            <w:r>
              <w:t xml:space="preserve">Underlines the significance of </w:t>
            </w:r>
            <w:r>
              <w:rPr>
                <w:b/>
                <w:i/>
              </w:rPr>
              <w:t>working closely together with the EU trading partners and</w:t>
            </w:r>
            <w:r>
              <w:t xml:space="preserve"> concluding bilateral agreements in the current geopolitical climate</w:t>
            </w:r>
            <w:r>
              <w:rPr>
                <w:b/>
                <w:i/>
              </w:rPr>
              <w:t>, provided that such</w:t>
            </w:r>
            <w:r>
              <w:t xml:space="preserve"> agreements </w:t>
            </w:r>
            <w:r>
              <w:rPr>
                <w:b/>
                <w:i/>
              </w:rPr>
              <w:t>prioritise the enforcement of fundamental rights and preserve sufficient policy space to regulate in the future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Welcomes the cooperation in support of small and medium-sized businesses and start-ups set out in Article 23 of the Agreement ;</w:t>
            </w:r>
            <w:r>
              <w:t xml:space="preserve"> </w:t>
            </w:r>
            <w:r>
              <w:rPr>
                <w:b/>
                <w:i/>
              </w:rPr>
              <w:t>calls on the Commission to provide these businesses with practical information free of charge on the opportunities the Agreement offers, without imposing any new reporting, notification or documentation requirements;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Welcomes Opinion 27/2025 of the European Data Protection Supervisor and calls on the Commission, when implementing the agreement, to integrate its core recommendations to safeguard fundamental rights, preserve public policy space for sensitive data localisation, and ensure effective regulatory oversight;</w:t>
            </w:r>
          </w:p>
        </w:tc>
        <w:tc>
          <w:tcPr>
            <w:tcW w:w="4876" w:type="dxa"/>
            <w:tcBorders>
              <w:top w:val="nil"/>
              <w:left w:val="nil"/>
              <w:bottom w:val="nil"/>
              <w:right w:val="nil"/>
            </w:tcBorders>
          </w:tcPr>
          <w:p>
            <w:pPr>
              <w:pStyle w:val="Normal6a"/>
            </w:pPr>
            <w:r>
              <w:t>9.</w:t>
            </w:r>
            <w:r>
              <w:tab/>
            </w:r>
            <w:r>
              <w:t>Welcomes Opinion 27/2025 of the European Data Protection Supervisor</w:t>
            </w:r>
            <w:r>
              <w:rPr>
                <w:b/>
                <w:i/>
              </w:rPr>
              <w:t>; notes it highlights the fact that the protection of personal data is a fundamental right in the Union and that it cannot be subject to negotiations in the context of EU trade agreements; recalls the Union’s horizontal provisions agreed between Parliament, the Council and the Commission, which allow negotiations on data flows only insofar as they do not compromise the EU’s ability to safeguard privacy and personal data for cross-border data flows and the protection of personal data and privacy; notes, furthermore, the concerns raised by the EDPS regarding the absence of legally binding language equivalent to the horizontal provisions on cross-border data flows and the protection of personal data and privacy adopted by the EU in 2018; calls on the Commission to negotiate with Korea a Joint Interpretative Instrument, integral to the Agreement, ensuring that its interpretation and implementation fully preserve the GDPR, EUDPR, European Health Data Space and any future Union measures safeguarding privacy and personal data;</w:t>
            </w:r>
            <w:r>
              <w:t xml:space="preserve"> and calls on the Commission, when implementing the agreement, to integrate its core recommendations to safeguard fundamental rights, preserve public policy space for sensitive data localisation, and ensure effective regulatory oversight; </w:t>
            </w:r>
            <w:r>
              <w:rPr>
                <w:b/>
                <w:i/>
              </w:rPr>
              <w:t>finally, calls on the Commission to reproduce in full the language of the 2018 Horizontal Provisions in any future trade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Welcomes</w:t>
            </w:r>
            <w:r>
              <w:t xml:space="preserve"> Opinion 27/2025 of the European Data Protection Supervisor </w:t>
            </w:r>
            <w:r>
              <w:rPr>
                <w:b/>
                <w:i/>
              </w:rPr>
              <w:t>and calls on the Commission, when implementing</w:t>
            </w:r>
            <w:r>
              <w:t xml:space="preserve"> the agreement, </w:t>
            </w:r>
            <w:r>
              <w:rPr>
                <w:b/>
                <w:i/>
              </w:rPr>
              <w:t>to integrate its core recommendations to safeguard fundamental rights, preserve public policy space for sensitive</w:t>
            </w:r>
            <w:r>
              <w:t xml:space="preserve"> data localisation</w:t>
            </w:r>
            <w:r>
              <w:rPr>
                <w:b/>
                <w:i/>
              </w:rPr>
              <w:t>, and ensure effective regulatory oversight</w:t>
            </w:r>
            <w:r>
              <w:t>;</w:t>
            </w:r>
          </w:p>
        </w:tc>
        <w:tc>
          <w:tcPr>
            <w:tcW w:w="4876" w:type="dxa"/>
            <w:tcBorders>
              <w:top w:val="nil"/>
              <w:left w:val="nil"/>
              <w:bottom w:val="nil"/>
              <w:right w:val="nil"/>
            </w:tcBorders>
          </w:tcPr>
          <w:p>
            <w:pPr>
              <w:pStyle w:val="Normal6a"/>
            </w:pPr>
            <w:r>
              <w:t>9.</w:t>
            </w:r>
            <w:r>
              <w:tab/>
            </w:r>
            <w:r>
              <w:rPr>
                <w:b/>
                <w:i/>
              </w:rPr>
              <w:t>Takes note of</w:t>
            </w:r>
            <w:r>
              <w:t> Opinion 27/2025 of the European Data Protection Supervisor</w:t>
            </w:r>
            <w:r>
              <w:rPr>
                <w:b/>
                <w:i/>
              </w:rPr>
              <w:t>;</w:t>
            </w:r>
            <w:r>
              <w:t xml:space="preserve"> </w:t>
            </w:r>
            <w:r>
              <w:rPr>
                <w:b/>
                <w:i/>
              </w:rPr>
              <w:t>notes that the protection of personal data is already guaranteed by Article 6 of the Agreement and the adequacy decision of 17 December 2021;</w:t>
            </w:r>
            <w:r>
              <w:t xml:space="preserve"> </w:t>
            </w:r>
            <w:r>
              <w:rPr>
                <w:b/>
                <w:i/>
              </w:rPr>
              <w:t>without prejudice to the security exceptions set out in Article 29 of</w:t>
            </w:r>
            <w:r>
              <w:t xml:space="preserve"> the Agreement, </w:t>
            </w:r>
            <w:r>
              <w:rPr>
                <w:b/>
                <w:i/>
              </w:rPr>
              <w:t>rules out use of the implementation of the Agreement as a pretext for introducing new</w:t>
            </w:r>
            <w:r>
              <w:t xml:space="preserve"> data localisation </w:t>
            </w:r>
            <w:r>
              <w:rPr>
                <w:b/>
                <w:i/>
              </w:rPr>
              <w:t>obligations which would contravene the prohibition laid down in Article 5(2) of the Agreement and place a burden on European companies</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Welcomes Opinion 27/2025 of the European Data Protection Supervisor and calls on the Commission, when implementing the agreement, to integrate its core recommendations to safeguard fundamental rights, preserve public policy space for sensitive data localisation, and ensure effective regulatory oversight;</w:t>
            </w:r>
          </w:p>
        </w:tc>
        <w:tc>
          <w:tcPr>
            <w:tcW w:w="4876" w:type="dxa"/>
            <w:tcBorders>
              <w:top w:val="nil"/>
              <w:left w:val="nil"/>
              <w:bottom w:val="nil"/>
              <w:right w:val="nil"/>
            </w:tcBorders>
          </w:tcPr>
          <w:p>
            <w:pPr>
              <w:pStyle w:val="Normal6a"/>
            </w:pPr>
            <w:r>
              <w:t>9.</w:t>
            </w:r>
            <w:r>
              <w:tab/>
            </w:r>
            <w:r>
              <w:t>Welcomes Opinion 27/2025 of the European Data Protection Supervisor and calls on the Commission, when implementing the agreement</w:t>
            </w:r>
            <w:r>
              <w:rPr>
                <w:b/>
                <w:i/>
              </w:rPr>
              <w:t>, and negotiating future digital trade agreements</w:t>
            </w:r>
            <w:r>
              <w:t>, to integrate its core recommendations to safeguard fundamental rights, preserve public policy space for sensitive data localisation, and ensure effective regulatory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Welcomes Opinion 27/2025 of the European Data Protection Supervisor and calls on the Commission, when implementing the agreement, to integrate its core recommendations to safeguard fundamental rights, preserve </w:t>
            </w:r>
            <w:r>
              <w:rPr>
                <w:b/>
                <w:i/>
              </w:rPr>
              <w:t>public policy space for</w:t>
            </w:r>
            <w:r>
              <w:t xml:space="preserve"> sensitive data </w:t>
            </w:r>
            <w:r>
              <w:rPr>
                <w:b/>
                <w:i/>
              </w:rPr>
              <w:t>localisation</w:t>
            </w:r>
            <w:r>
              <w:t>, and ensure effective regulatory oversight;</w:t>
            </w:r>
          </w:p>
        </w:tc>
        <w:tc>
          <w:tcPr>
            <w:tcW w:w="4876" w:type="dxa"/>
            <w:tcBorders>
              <w:top w:val="nil"/>
              <w:left w:val="nil"/>
              <w:bottom w:val="nil"/>
              <w:right w:val="nil"/>
            </w:tcBorders>
          </w:tcPr>
          <w:p>
            <w:pPr>
              <w:pStyle w:val="Normal6a"/>
            </w:pPr>
            <w:r>
              <w:t>9.</w:t>
            </w:r>
            <w:r>
              <w:tab/>
            </w:r>
            <w:r>
              <w:t xml:space="preserve">Welcomes Opinion 27/2025 of the European Data Protection Supervisor and calls on the Commission, when implementing the agreement, to integrate its core recommendations to safeguard fundamental rights, preserve </w:t>
            </w:r>
            <w:r>
              <w:rPr>
                <w:b/>
                <w:i/>
              </w:rPr>
              <w:t>the Union's regulatory autonomy to protect personal and</w:t>
            </w:r>
            <w:r>
              <w:t xml:space="preserve"> sensitive data, and ensure effective regulatory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Welcomes the fact that the DTA with Korea includes provisions on emerging technologies such as AI and digital technologies;</w:t>
            </w:r>
          </w:p>
        </w:tc>
        <w:tc>
          <w:tcPr>
            <w:tcW w:w="4876" w:type="dxa"/>
            <w:tcBorders>
              <w:top w:val="nil"/>
              <w:left w:val="nil"/>
              <w:bottom w:val="nil"/>
              <w:right w:val="nil"/>
            </w:tcBorders>
          </w:tcPr>
          <w:p>
            <w:pPr>
              <w:pStyle w:val="Normal6a"/>
            </w:pPr>
            <w:r>
              <w:t>10.</w:t>
            </w:r>
            <w:r>
              <w:tab/>
            </w:r>
            <w:r>
              <w:t xml:space="preserve">Welcomes the fact that the DTA with Korea includes provisions on emerging technologies such as AI and digital technologies; </w:t>
            </w:r>
            <w:r>
              <w:rPr>
                <w:b/>
                <w:i/>
              </w:rPr>
              <w:t>stresses that cooperation in this area must be structured in such a way as to foster innovation, and that certification or conformity assessment requirements for information and communication technology products, services and processes, including AI, must not become disguised barriers to market access;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Welcomes the fact that the DTA with Korea includes provisions </w:t>
            </w:r>
            <w:r>
              <w:rPr>
                <w:b/>
                <w:i/>
              </w:rPr>
              <w:t>on</w:t>
            </w:r>
            <w:r>
              <w:t xml:space="preserve"> emerging technologies such as AI and digital technologies;</w:t>
            </w:r>
          </w:p>
        </w:tc>
        <w:tc>
          <w:tcPr>
            <w:tcW w:w="4876" w:type="dxa"/>
            <w:tcBorders>
              <w:top w:val="nil"/>
              <w:left w:val="nil"/>
              <w:bottom w:val="nil"/>
              <w:right w:val="nil"/>
            </w:tcBorders>
          </w:tcPr>
          <w:p>
            <w:pPr>
              <w:pStyle w:val="Normal6a"/>
            </w:pPr>
            <w:r>
              <w:t>10.</w:t>
            </w:r>
            <w:r>
              <w:tab/>
            </w:r>
            <w:r>
              <w:t xml:space="preserve">Welcomes the fact that the DTA with Korea includes provisions </w:t>
            </w:r>
            <w:r>
              <w:rPr>
                <w:b/>
                <w:i/>
              </w:rPr>
              <w:t>that applies to</w:t>
            </w:r>
            <w:r>
              <w:t xml:space="preserve"> emerging technologies such as AI and digital technologies; </w:t>
            </w:r>
            <w:r>
              <w:rPr>
                <w:b/>
                <w:i/>
              </w:rPr>
              <w:t>recalls that the EU aims at promoting the development of global AI governance consistent with EU values and that binding disciplines in trade agreements should not replace or undermine such AI global governance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 indent 1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Calls on the Commission to ensure that European businesses, in particular SMEs, are adequately informed of the opportunities created by the Agreement and are supported in making full use of its provisions; stresses the importance of monitoring the utilisation of the Agreement and identifying any remaining barriers faced by European businesses in the Korean market;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Dan Barna, Svenja Hahn, Benoit Cassart,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Stresses that the provisions on cross-border data flows and source-code protection must not prevent Union authorities from effectively enforcing applicable Union digital legislation, including the Artificial Intelligence Act; recalls that the Agreement preserves the right of regulatory, law-enforcement, judicial and conformity-assessment authorities to require access to source code to secure compliance with laws and regulations pursuing legitimate public policy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Emmanouil Fragkos,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Looks forward to strengthening bilateral cooperation on advanced technologies where Korea has significant industrial and technological know-how, in particular semiconductors, artificial intelligence, energy storage technologies and smart and green shipping;</w:t>
            </w:r>
            <w:r>
              <w:t xml:space="preserve"> </w:t>
            </w:r>
            <w:r>
              <w:rPr>
                <w:b/>
                <w:i/>
              </w:rPr>
              <w:t>encourages, in this context, investment and transfer of know-how that can contribute to strengthening the European technological and industrial base;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Regrets that no legal analysis on the compatibility of the agreement or any other EU digital trade agreement with the EU acquis has been conducted; calls on the Commission to conduct ex post evaluations of the actual impact of digital trade agreements on consumer protection, personal data protection and the risk that they imply on the European Union’s regulatory sovereignty;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Dan Barna, Svenja Hahn, Benoit Cassart, João Cotrim De Figueiredo, Ľubica Karvašová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Underlines, in line with the recommendations of the Draghi Report on Competitiveness, the importance of bilateral industrial cooperation in critical technologies, including semiconductors, high-performance computing, and quantum technologies; considers that the Digital Trade Agreement, alongside the EU-Korea Digital Partnership and other relevant bilateral frameworks, can contribute to facilitating cooperation on research and innovation, investment and resilient supply chains, enabling Union companies to compete effectively in global markets;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Markéta Gregorová, Saskia Bricmont, Majdouline Sbai, Catarina Vieira, Anna Cavazzini</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Calls on the Commission to take into account the recommendations in the present Resolution when drafting negotiating mandates and negotiating with trade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Markus Buchheit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Welcomes the ratification by Korea of two International Labour Organization (ILO) fundamental conventions, namely CO87 Freedom of Association and Protection of the Right to Organise and CO98 Right to Organise and Collective Bargaining, and calls for continued engagement for the ratification of the outstanding ILO convention on the Abolition of Forced Labour;</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Notes that no legal analysis on the compatibility of the Digital Trade Agreement between the EU and Korea or any other such agreement with existing EU regulations has been conducted; calls, in this regard, on the Commission to conduct an ex post evaluation of this agreement and of the impact of its provisions on the regulatory space of the EU; calls on the Commission to report to the European Parliament on the implementation of the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Calls on the Commission to modernise its EU digital trade framework by developing a future-proof digital trade policy that safeguards regulatory autonomy, ensures democratic oversight and adapts to technological change;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Calls on the Commission to remove restrictions on access to source code and algorithms from trade agreements and instead include provisions upholding transparency, auditability and algorithmic accountability as core regulatory principles;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Calls on the Commission to replace ‘free flow of data’ provisions with adequacy-based transfer mechanisms aligned with EU standards, including mutual recognition pathways, regulatory convergence, and compliance monitoring;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Martin Schirdewan, 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11e.</w:t>
            </w:r>
            <w:r>
              <w:tab/>
            </w:r>
            <w:r>
              <w:rPr>
                <w:b/>
                <w:i/>
              </w:rPr>
              <w:t>Calls for an expert-led review of digital trade commitments to ensure consistency with Union law; urges a moratorium on new negotiations pending its conclusion and the establishment of clear criteria and consultation mechanisms for future talks;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796.420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50</w:t>
    </w:r>
    <w:r>
      <w:fldChar w:fldCharType="end"/>
    </w:r>
    <w:r>
      <w:t>/</w:t>
    </w:r>
    <w:r>
      <w:fldChar w:fldCharType="begin"/>
    </w:r>
    <w:r>
      <w:instrText xml:space="preserve"> NUMPAGES </w:instrText>
    </w:r>
    <w:r>
      <w:fldChar w:fldCharType="separate"/>
    </w:r>
    <w:r>
      <w:t>50</w:t>
    </w:r>
    <w:r>
      <w:fldChar w:fldCharType="end"/>
    </w:r>
    <w:r>
      <w:tab/>
    </w:r>
    <w:r>
      <w:rPr>
        <w:rStyle w:val="HideTWBExt"/>
      </w:rPr>
      <w:t>&lt;PathFdR&gt;</w:t>
    </w:r>
    <w:r>
      <w:t>AM\1352353EN.docx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AM\1352353EN.docx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50</w:t>
    </w:r>
    <w:r>
      <w:fldChar w:fldCharType="end"/>
    </w:r>
    <w:r>
      <w:tab/>
    </w:r>
    <w:r>
      <w:t>PE</w:t>
    </w:r>
    <w:r>
      <w:rPr>
        <w:rStyle w:val="HideTWBExt"/>
      </w:rPr>
      <w:t>&lt;NoPE&gt;</w:t>
    </w:r>
    <w:r>
      <w:t>796.420</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AM\1352353EN.docx</w:t>
    </w:r>
    <w:r>
      <w:rPr>
        <w:rStyle w:val="HideTWBExt"/>
      </w:rPr>
      <w:t>&lt;/PathFdR&gt;</w:t>
    </w:r>
    <w:r>
      <w:tab/>
    </w:r>
    <w:r>
      <w:tab/>
    </w:r>
    <w:r>
      <w:t>PE</w:t>
    </w:r>
    <w:r>
      <w:rPr>
        <w:rStyle w:val="HideTWBExt"/>
      </w:rPr>
      <w:t>&lt;NoPE&gt;</w:t>
    </w:r>
    <w:r>
      <w:t>796.420</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50</Pages>
  <Words>10264</Words>
  <Characters>59615</Characters>
  <Application>Microsoft Office Word</Application>
  <DocSecurity>0</DocSecurity>
  <Lines>1</Lines>
  <Paragraphs>825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1352353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653211</vt:lpwstr>
  </property>
  <property fmtid="{D5CDD505-2E9C-101B-9397-08002B2CF9AE}" pid="7" name="dmxml.render.traceId">
    <vt:lpwstr>6acdf8f1a87d4340f2536d69e7a84090</vt:lpwstr>
  </property>
  <property fmtid="{D5CDD505-2E9C-101B-9397-08002B2CF9AE}" pid="8" name="FooterPath">
    <vt:lpwstr>AM\1352353EN.docx</vt:lpwstr>
  </property>
  <property fmtid="{D5CDD505-2E9C-101B-9397-08002B2CF9AE}" pid="9" name="PE Number">
    <vt:lpwstr>796.420</vt:lpwstr>
  </property>
  <property fmtid="{D5CDD505-2E9C-101B-9397-08002B2CF9AE}" pid="10" name="UID">
    <vt:lpwstr>eu.europa.europarl-DIN1-2026-0000278703_01.00-en-01.00_text-xml</vt:lpwstr>
  </property>
</Properties>
</file>