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31516">
        <w:trPr>
          <w:trHeight w:hRule="exact" w:val="1417"/>
          <w:jc w:val="center"/>
        </w:trPr>
        <w:tc>
          <w:tcPr>
            <w:tcW w:w="6804" w:type="dxa"/>
            <w:vAlign w:val="center"/>
          </w:tcPr>
          <w:p w:rsidR="00506018" w:rsidRPr="00DC0657" w:rsidRDefault="00DD1B44">
            <w:pPr>
              <w:pStyle w:val="EPName"/>
            </w:pPr>
            <w:bookmarkStart w:id="0" w:name="_GoBack"/>
            <w:bookmarkEnd w:id="0"/>
            <w:r>
              <w:t>Parlament Europejski</w:t>
            </w:r>
          </w:p>
          <w:p w:rsidR="00506018" w:rsidRPr="00DC0657" w:rsidRDefault="00DD1B44">
            <w:pPr>
              <w:pStyle w:val="EPTerm"/>
            </w:pPr>
            <w:r>
              <w:t>2019-2024</w:t>
            </w:r>
          </w:p>
        </w:tc>
        <w:tc>
          <w:tcPr>
            <w:tcW w:w="2268" w:type="dxa"/>
          </w:tcPr>
          <w:p w:rsidR="00506018" w:rsidRPr="00DC0657" w:rsidRDefault="00C77B3E">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06018" w:rsidRPr="00B13734" w:rsidRDefault="00DD1B44">
      <w:pPr>
        <w:pStyle w:val="LineTop"/>
      </w:pPr>
      <w:r>
        <w:t xml:space="preserve"> </w:t>
      </w:r>
    </w:p>
    <w:p w:rsidR="00506018" w:rsidRPr="00B13734" w:rsidRDefault="00DD1B44">
      <w:pPr>
        <w:pStyle w:val="EPBody"/>
      </w:pPr>
      <w:r w:rsidRPr="00DD1B44">
        <w:rPr>
          <w:rStyle w:val="HideTWBExt"/>
        </w:rPr>
        <w:t>&lt;Commission&gt;</w:t>
      </w:r>
      <w:r w:rsidRPr="00DD1B44">
        <w:rPr>
          <w:rStyle w:val="HideTWBInt"/>
          <w:color w:val="auto"/>
        </w:rPr>
        <w:t>{ITRE}</w:t>
      </w:r>
      <w:r>
        <w:t>Komisja Przemysłu, Badań Naukowych i Energii</w:t>
      </w:r>
      <w:r w:rsidRPr="00DD1B44">
        <w:rPr>
          <w:rStyle w:val="HideTWBExt"/>
        </w:rPr>
        <w:t>&lt;/Commission&gt;</w:t>
      </w:r>
    </w:p>
    <w:p w:rsidR="00506018" w:rsidRPr="00B13734" w:rsidRDefault="00DD1B44">
      <w:pPr>
        <w:pStyle w:val="LineBottom"/>
      </w:pPr>
      <w:r>
        <w:t xml:space="preserve"> </w:t>
      </w:r>
    </w:p>
    <w:p w:rsidR="00506018" w:rsidRPr="00B13734" w:rsidRDefault="00DD1B44">
      <w:pPr>
        <w:pStyle w:val="CoverReference"/>
      </w:pPr>
      <w:r w:rsidRPr="00DD1B44">
        <w:rPr>
          <w:rStyle w:val="HideTWBExt"/>
        </w:rPr>
        <w:t>&lt;RefProc&gt;</w:t>
      </w:r>
      <w:r>
        <w:t>2023/0046</w:t>
      </w:r>
      <w:r w:rsidRPr="00DD1B44">
        <w:rPr>
          <w:rStyle w:val="HideTWBExt"/>
        </w:rPr>
        <w:t>&lt;/RefProc&gt;&lt;RefTypeProc&gt;</w:t>
      </w:r>
      <w:r>
        <w:t>(COD)</w:t>
      </w:r>
      <w:r w:rsidRPr="00DD1B44">
        <w:rPr>
          <w:rStyle w:val="HideTWBExt"/>
        </w:rPr>
        <w:t>&lt;/RefTypeProc&gt;</w:t>
      </w:r>
    </w:p>
    <w:p w:rsidR="00506018" w:rsidRPr="00DD1B44" w:rsidRDefault="00DD1B44">
      <w:pPr>
        <w:pStyle w:val="CoverDate"/>
        <w:rPr>
          <w:lang w:val="en-GB"/>
        </w:rPr>
      </w:pPr>
      <w:r>
        <w:rPr>
          <w:rStyle w:val="HideTWBExt"/>
          <w:lang w:val="en-GB"/>
        </w:rPr>
        <w:t>&lt;Date&gt;</w:t>
      </w:r>
      <w:r>
        <w:rPr>
          <w:rStyle w:val="HideTWBInt"/>
          <w:color w:val="auto"/>
          <w:lang w:val="en-GB"/>
        </w:rPr>
        <w:t>{07/07/2023}</w:t>
      </w:r>
      <w:r w:rsidRPr="00DD1B44">
        <w:rPr>
          <w:lang w:val="en-GB"/>
        </w:rPr>
        <w:t>7.7.2023</w:t>
      </w:r>
      <w:r>
        <w:rPr>
          <w:rStyle w:val="HideTWBExt"/>
          <w:lang w:val="en-GB"/>
        </w:rPr>
        <w:t>&lt;/Date&gt;</w:t>
      </w:r>
    </w:p>
    <w:p w:rsidR="00506018" w:rsidRPr="00C77B3E" w:rsidRDefault="00DD1B44">
      <w:pPr>
        <w:pStyle w:val="CoverDocType"/>
        <w:rPr>
          <w:lang w:val="en-GB"/>
        </w:rPr>
      </w:pPr>
      <w:r w:rsidRPr="00C77B3E">
        <w:rPr>
          <w:rStyle w:val="HideTWBExt"/>
          <w:lang w:val="en-GB"/>
        </w:rPr>
        <w:t>&lt;TypeAM&gt;</w:t>
      </w:r>
      <w:r w:rsidRPr="00C77B3E">
        <w:rPr>
          <w:lang w:val="en-GB"/>
        </w:rPr>
        <w:t>POPRAWKI</w:t>
      </w:r>
      <w:r w:rsidRPr="00C77B3E">
        <w:rPr>
          <w:rStyle w:val="HideTWBExt"/>
          <w:lang w:val="en-GB"/>
        </w:rPr>
        <w:t>&lt;/TypeAM&gt;</w:t>
      </w:r>
    </w:p>
    <w:p w:rsidR="00506018" w:rsidRPr="00C77B3E" w:rsidRDefault="00DD1B44">
      <w:pPr>
        <w:pStyle w:val="CoverDocType24a"/>
        <w:rPr>
          <w:lang w:val="en-GB"/>
        </w:rPr>
      </w:pPr>
      <w:r w:rsidRPr="00C77B3E">
        <w:rPr>
          <w:rStyle w:val="HideTWBExt"/>
          <w:lang w:val="en-GB"/>
        </w:rPr>
        <w:t>&lt;RangeAM&gt;</w:t>
      </w:r>
      <w:r w:rsidRPr="00C77B3E">
        <w:rPr>
          <w:lang w:val="en-GB"/>
        </w:rPr>
        <w:t>63 - 262</w:t>
      </w:r>
      <w:r w:rsidRPr="00C77B3E">
        <w:rPr>
          <w:rStyle w:val="HideTWBExt"/>
          <w:lang w:val="en-GB"/>
        </w:rPr>
        <w:t>&lt;/RangeAM&gt;</w:t>
      </w:r>
    </w:p>
    <w:p w:rsidR="00506018" w:rsidRPr="00DD1B44" w:rsidRDefault="00DD1B44">
      <w:pPr>
        <w:pStyle w:val="CoverBold"/>
        <w:rPr>
          <w:lang w:val="fr-FR"/>
        </w:rPr>
      </w:pPr>
      <w:r w:rsidRPr="00DD1B44">
        <w:rPr>
          <w:rStyle w:val="HideTWBExt"/>
          <w:lang w:val="fr-FR"/>
        </w:rPr>
        <w:t>&lt;TitreType&gt;</w:t>
      </w:r>
      <w:r w:rsidRPr="00DD1B44">
        <w:rPr>
          <w:lang w:val="fr-FR"/>
        </w:rPr>
        <w:t>Projekt sprawozdania</w:t>
      </w:r>
      <w:r w:rsidRPr="00DD1B44">
        <w:rPr>
          <w:rStyle w:val="HideTWBExt"/>
          <w:lang w:val="fr-FR"/>
        </w:rPr>
        <w:t>&lt;/TitreType&gt;</w:t>
      </w:r>
    </w:p>
    <w:p w:rsidR="00506018" w:rsidRPr="00DD1B44" w:rsidRDefault="00DD1B44">
      <w:pPr>
        <w:pStyle w:val="CoverBold"/>
        <w:rPr>
          <w:lang w:val="fr-FR"/>
        </w:rPr>
      </w:pPr>
      <w:r w:rsidRPr="00DD1B44">
        <w:rPr>
          <w:rStyle w:val="HideTWBExt"/>
          <w:lang w:val="fr-FR"/>
        </w:rPr>
        <w:t>&lt;Rapporteur&gt;</w:t>
      </w:r>
      <w:r w:rsidRPr="00DD1B44">
        <w:rPr>
          <w:lang w:val="fr-FR"/>
        </w:rPr>
        <w:t>Alin Mituța</w:t>
      </w:r>
      <w:r w:rsidRPr="00DD1B44">
        <w:rPr>
          <w:rStyle w:val="HideTWBExt"/>
          <w:lang w:val="fr-FR"/>
        </w:rPr>
        <w:t>&lt;/Rapporteur&gt;</w:t>
      </w:r>
    </w:p>
    <w:p w:rsidR="00506018" w:rsidRPr="00B13734" w:rsidRDefault="00DD1B44">
      <w:pPr>
        <w:pStyle w:val="CoverNormal24a"/>
      </w:pPr>
      <w:r w:rsidRPr="00DD1B44">
        <w:rPr>
          <w:rStyle w:val="HideTWBExt"/>
        </w:rPr>
        <w:t>&lt;DocRefPE&gt;</w:t>
      </w:r>
      <w:r>
        <w:t>(PE749.242v01-00)</w:t>
      </w:r>
      <w:r w:rsidRPr="00DD1B44">
        <w:rPr>
          <w:rStyle w:val="HideTWBExt"/>
        </w:rPr>
        <w:t>&lt;/DocRefPE&gt;</w:t>
      </w:r>
    </w:p>
    <w:p w:rsidR="00506018" w:rsidRPr="00B13734" w:rsidRDefault="00DD1B44">
      <w:pPr>
        <w:pStyle w:val="CoverNormal24a"/>
      </w:pPr>
      <w:r w:rsidRPr="00DD1B44">
        <w:rPr>
          <w:rStyle w:val="HideTWBExt"/>
        </w:rPr>
        <w:t>&lt;Titre&gt;</w:t>
      </w:r>
      <w:r>
        <w:t>Środki mające na celu zmniejszenie kosztów wdrażania gigabitowych sieci łączności elektronicznej oraz uchylenie dyrektywy 2014/61/UE (akt w sprawie infrastruktury gigabitowej)</w:t>
      </w:r>
      <w:r w:rsidRPr="00DD1B44">
        <w:rPr>
          <w:rStyle w:val="HideTWBExt"/>
        </w:rPr>
        <w:t>&lt;/Titre&gt;</w:t>
      </w:r>
    </w:p>
    <w:p w:rsidR="00506018" w:rsidRPr="00B13734" w:rsidRDefault="00DD1B44">
      <w:pPr>
        <w:pStyle w:val="CoverNormal"/>
      </w:pPr>
      <w:r w:rsidRPr="00DD1B44">
        <w:rPr>
          <w:rStyle w:val="HideTWBExt"/>
        </w:rPr>
        <w:t>&lt;DocAmend&gt;</w:t>
      </w:r>
      <w:r>
        <w:t>Wniosek dotyczący rozporządzenia</w:t>
      </w:r>
      <w:r w:rsidRPr="00DD1B44">
        <w:rPr>
          <w:rStyle w:val="HideTWBExt"/>
        </w:rPr>
        <w:t>&lt;/DocAmend&gt;</w:t>
      </w:r>
    </w:p>
    <w:p w:rsidR="00506018" w:rsidRPr="00DD1B44" w:rsidRDefault="00DD1B44">
      <w:pPr>
        <w:pStyle w:val="CoverNormal24a"/>
        <w:rPr>
          <w:lang w:val="pt-PT"/>
        </w:rPr>
      </w:pPr>
      <w:r w:rsidRPr="00DD1B44">
        <w:rPr>
          <w:rStyle w:val="HideTWBExt"/>
          <w:lang w:val="pt-PT"/>
        </w:rPr>
        <w:t>&lt;DocRef&gt;</w:t>
      </w:r>
      <w:r w:rsidRPr="00DD1B44">
        <w:rPr>
          <w:lang w:val="pt-PT"/>
        </w:rPr>
        <w:t>(COM(2023)0094 – C9-0028/2023 – 2023/0046(COD))</w:t>
      </w:r>
      <w:r w:rsidRPr="00DD1B44">
        <w:rPr>
          <w:rStyle w:val="HideTWBExt"/>
          <w:lang w:val="pt-PT"/>
        </w:rPr>
        <w:t>&lt;/DocRef&gt;</w:t>
      </w:r>
    </w:p>
    <w:p w:rsidR="00506018" w:rsidRPr="00C77B3E" w:rsidRDefault="00DD1B44">
      <w:pPr>
        <w:rPr>
          <w:lang w:val="pt-PT"/>
        </w:rPr>
      </w:pPr>
      <w:r w:rsidRPr="00DD1B44">
        <w:rPr>
          <w:lang w:val="pt-PT"/>
        </w:rPr>
        <w:br w:type="page"/>
      </w:r>
      <w:r w:rsidRPr="00C77B3E">
        <w:rPr>
          <w:lang w:val="pt-PT"/>
        </w:rPr>
        <w:lastRenderedPageBreak/>
        <w:t>AM_Com_LegReport</w:t>
      </w:r>
    </w:p>
    <w:p w:rsidR="00C77B3E" w:rsidRPr="00C77B3E" w:rsidRDefault="00DD1B44" w:rsidP="00C77B3E">
      <w:pPr>
        <w:pStyle w:val="AmNumberTabs"/>
        <w:rPr>
          <w:lang w:val="pt-PT"/>
        </w:rPr>
      </w:pPr>
      <w:r w:rsidRPr="00C77B3E">
        <w:rPr>
          <w:lang w:val="pt-PT"/>
        </w:rPr>
        <w:br w:type="page"/>
      </w:r>
      <w:r w:rsidR="00C77B3E" w:rsidRPr="00C77B3E">
        <w:rPr>
          <w:rStyle w:val="HideTWBExt"/>
          <w:b w:val="0"/>
          <w:lang w:val="pt-PT"/>
        </w:rPr>
        <w:lastRenderedPageBreak/>
        <w:t>&lt;RepeatBlock-Amend&gt;</w:t>
      </w:r>
      <w:r w:rsidR="00C77B3E" w:rsidRPr="00C77B3E">
        <w:rPr>
          <w:rStyle w:val="HideTWBExt"/>
          <w:lang w:val="pt-PT"/>
        </w:rPr>
        <w:t>&lt;Amend&gt;</w:t>
      </w:r>
      <w:r w:rsidR="00C77B3E" w:rsidRPr="00C77B3E">
        <w:rPr>
          <w:lang w:val="pt-PT"/>
        </w:rPr>
        <w:t>Poprawka</w:t>
      </w:r>
      <w:r w:rsidR="00C77B3E" w:rsidRPr="00C77B3E">
        <w:rPr>
          <w:lang w:val="pt-PT"/>
        </w:rPr>
        <w:tab/>
      </w:r>
      <w:r w:rsidR="00C77B3E" w:rsidRPr="00C77B3E">
        <w:rPr>
          <w:lang w:val="pt-PT"/>
        </w:rPr>
        <w:tab/>
      </w:r>
      <w:r w:rsidR="00C77B3E" w:rsidRPr="00C77B3E">
        <w:rPr>
          <w:rStyle w:val="HideTWBExt"/>
          <w:lang w:val="pt-PT"/>
        </w:rPr>
        <w:t>&lt;NumAm&gt;</w:t>
      </w:r>
      <w:r w:rsidR="00C77B3E" w:rsidRPr="00C77B3E">
        <w:rPr>
          <w:lang w:val="pt-PT"/>
        </w:rPr>
        <w:t>63</w:t>
      </w:r>
      <w:r w:rsidR="00C77B3E" w:rsidRPr="00C77B3E">
        <w:rPr>
          <w:rStyle w:val="HideTWBExt"/>
          <w:lang w:val="pt-PT"/>
        </w:rPr>
        <w:t>&lt;/NumAm&gt;</w:t>
      </w:r>
    </w:p>
    <w:p w:rsidR="00C77B3E" w:rsidRPr="00C77B3E" w:rsidRDefault="00C77B3E" w:rsidP="00C77B3E">
      <w:pPr>
        <w:pStyle w:val="NormalBold"/>
        <w:rPr>
          <w:lang w:val="pt-PT"/>
        </w:rPr>
      </w:pPr>
      <w:r w:rsidRPr="00C77B3E">
        <w:rPr>
          <w:rStyle w:val="HideTWBExt"/>
          <w:lang w:val="pt-PT"/>
        </w:rPr>
        <w:t>&lt;RepeatBlock-By&gt;&lt;Members&gt;</w:t>
      </w:r>
      <w:r w:rsidRPr="00C77B3E">
        <w:rPr>
          <w:lang w:val="pt-PT"/>
        </w:rPr>
        <w:t>Elena Kountoura</w:t>
      </w:r>
      <w:r w:rsidRPr="00C77B3E">
        <w:rPr>
          <w:rStyle w:val="HideTWBExt"/>
          <w:lang w:val="pt-PT"/>
        </w:rPr>
        <w:t>&lt;/Members&gt;</w:t>
      </w:r>
    </w:p>
    <w:p w:rsidR="00C77B3E" w:rsidRPr="00C77B3E" w:rsidRDefault="00C77B3E" w:rsidP="00C77B3E">
      <w:pPr>
        <w:rPr>
          <w:lang w:val="pt-PT"/>
        </w:rPr>
      </w:pPr>
      <w:r w:rsidRPr="00C77B3E">
        <w:rPr>
          <w:rStyle w:val="HideTWBExt"/>
          <w:lang w:val="pt-PT"/>
        </w:rPr>
        <w:t>&lt;AuNomDe&gt;</w:t>
      </w:r>
      <w:r w:rsidRPr="00C77B3E">
        <w:rPr>
          <w:rStyle w:val="HideTWBInt"/>
          <w:lang w:val="pt-PT"/>
        </w:rPr>
        <w:t>{The Left}</w:t>
      </w:r>
      <w:r w:rsidRPr="00C77B3E">
        <w:rPr>
          <w:lang w:val="pt-PT"/>
        </w:rPr>
        <w:t>w imieniu grupy The Left</w:t>
      </w:r>
      <w:r w:rsidRPr="00C77B3E">
        <w:rPr>
          <w:rStyle w:val="HideTWBExt"/>
          <w:lang w:val="pt-PT"/>
        </w:rPr>
        <w:t>&lt;/AuNomDe&gt;</w:t>
      </w:r>
    </w:p>
    <w:p w:rsidR="00C77B3E" w:rsidRPr="004448C8" w:rsidRDefault="00C77B3E" w:rsidP="00C77B3E">
      <w:pPr>
        <w:pStyle w:val="NormalBold"/>
      </w:pPr>
      <w:r w:rsidRPr="00016458">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w:t>
            </w:r>
            <w:r>
              <w:tab/>
              <w:t>W ciągu ostatniego dziesięciolecia gospodarka cyfrowa w znacznym stopniu zmieniła rynek wewnętrzny. Wizją Unii jest gospodarka cyfrowa, która niesie trwałe korzyści natury gospodarczej i społecznej w oparciu o doskonałą</w:t>
            </w:r>
            <w:r>
              <w:rPr>
                <w:b/>
                <w:i/>
              </w:rPr>
              <w:t xml:space="preserve"> i</w:t>
            </w:r>
            <w:r>
              <w:t xml:space="preserve"> bezpieczną łączność dla wszystkich i wszędzie w Europie. Infrastruktura cyfrowa wysokiej jakości oparta na sieciach o bardzo dużej przepustowości </w:t>
            </w:r>
            <w:r>
              <w:rPr>
                <w:b/>
                <w:i/>
              </w:rPr>
              <w:t>stanowi podstawę</w:t>
            </w:r>
            <w:r>
              <w:t xml:space="preserve"> niemal wszystkich sektorów nowoczesnej i innowacyjnej gospodarki. Ma ona strategiczne znaczenie dla spójności społecznej i terytorialnej oraz ogólnie w kontekście konkurencyjności i wiodącej roli Unii w dziedzinie technologii cyfrowych. W związku z tym zarówno osoby fizyczne, jak również sektor prywatny i publiczny powinni mieć możliwość uczestniczenia w gospodarce cyfrowej.</w:t>
            </w:r>
          </w:p>
        </w:tc>
        <w:tc>
          <w:tcPr>
            <w:tcW w:w="4876" w:type="dxa"/>
          </w:tcPr>
          <w:p w:rsidR="00C77B3E" w:rsidRPr="004448C8" w:rsidRDefault="00C77B3E" w:rsidP="009D4E99">
            <w:pPr>
              <w:pStyle w:val="Normal6a"/>
            </w:pPr>
            <w:r>
              <w:t>(1)</w:t>
            </w:r>
            <w:r>
              <w:tab/>
              <w:t>W ciągu ostatniego dziesięciolecia gospodarka cyfrowa w znacznym stopniu zmieniła rynek wewnętrzny. Wizją Unii jest gospodarka cyfrowa, która niesie trwałe korzyści natury gospodarczej i społecznej w oparciu o doskonałą</w:t>
            </w:r>
            <w:r>
              <w:rPr>
                <w:b/>
                <w:i/>
              </w:rPr>
              <w:t>, przystępną cenowo, niezawodną,</w:t>
            </w:r>
            <w:r>
              <w:t xml:space="preserve"> bezpieczną </w:t>
            </w:r>
            <w:r>
              <w:rPr>
                <w:b/>
                <w:i/>
              </w:rPr>
              <w:t xml:space="preserve">i zachowującą aktualność </w:t>
            </w:r>
            <w:r>
              <w:t>łączność dla wszystkich i wszędzie w Europie</w:t>
            </w:r>
            <w:r>
              <w:rPr>
                <w:b/>
                <w:i/>
              </w:rPr>
              <w:t>, w tym na obszarach wiejskich i oddalonych, takich jak wyspy oraz regiony górskie i słabo zaludnione, a także w regionach najbardziej oddalonych i w korytarzach transportowych</w:t>
            </w:r>
            <w:r>
              <w:t xml:space="preserve">. Infrastruktura cyfrowa wysokiej jakości oparta na sieciach o bardzo dużej przepustowości </w:t>
            </w:r>
            <w:r>
              <w:rPr>
                <w:b/>
                <w:i/>
              </w:rPr>
              <w:t>to podstawowy warunek transformacji cyfrowej w Unii o fundamentalnym znaczeniu dla</w:t>
            </w:r>
            <w:r>
              <w:t xml:space="preserve"> niemal wszystkich sektorów nowoczesnej i innowacyjnej gospodarki.</w:t>
            </w:r>
            <w:r>
              <w:rPr>
                <w:b/>
                <w:i/>
              </w:rPr>
              <w:t xml:space="preserve"> Może zapewniać innowacyjne usługi, usprawnić operacje biznesowe oraz stworzyć inteligentne, zrównoważone i cyfrowe społeczeństwa, przyczyniając się jednocześnie do osiągnięcia celów klimatycznych określonych w Europejskim Zielonym Ładzie oraz dwojakiej transformacji – cyfrowej i ekologicznej – co jest głównym priorytetem Unii.</w:t>
            </w:r>
            <w:r>
              <w:t xml:space="preserve"> Ma ona strategiczne znaczenie dla spójności społecznej i terytorialnej oraz ogólnie w kontekście konkurencyjności</w:t>
            </w:r>
            <w:r>
              <w:rPr>
                <w:b/>
                <w:i/>
              </w:rPr>
              <w:t>, odporności, autonomii strategicznej, suwerenności cyfrowej</w:t>
            </w:r>
            <w:r>
              <w:t xml:space="preserve"> i wiodącej roli Unii w dziedzinie technologii cyfrowych. W związku z tym zarówno osoby fizyczne, jak również sektor prywatny i publiczny powinni mieć możliwość uczestniczenia w gospodarce cyfrowej.</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016458" w:rsidRDefault="00C77B3E" w:rsidP="00C77B3E">
      <w:pPr>
        <w:rPr>
          <w:lang w:val="en-GB"/>
        </w:rPr>
      </w:pPr>
      <w:r>
        <w:rPr>
          <w:rStyle w:val="HideTWBExt"/>
          <w:lang w:val="en-GB"/>
        </w:rPr>
        <w:t>&lt;/Amend&gt;</w:t>
      </w:r>
    </w:p>
    <w:p w:rsidR="00C77B3E" w:rsidRPr="00016458" w:rsidRDefault="00C77B3E" w:rsidP="00C77B3E">
      <w:pPr>
        <w:pStyle w:val="AmNumberTabs"/>
        <w:rPr>
          <w:lang w:val="en-GB"/>
        </w:rPr>
      </w:pPr>
      <w:r>
        <w:rPr>
          <w:rStyle w:val="HideTWBExt"/>
          <w:lang w:val="en-GB"/>
        </w:rPr>
        <w:t>&lt;Amend&gt;</w:t>
      </w:r>
      <w:r w:rsidRPr="00016458">
        <w:rPr>
          <w:lang w:val="en-GB"/>
        </w:rPr>
        <w:t>Poprawka</w:t>
      </w:r>
      <w:r w:rsidRPr="00016458">
        <w:rPr>
          <w:lang w:val="en-GB"/>
        </w:rPr>
        <w:tab/>
      </w:r>
      <w:r w:rsidRPr="00016458">
        <w:rPr>
          <w:lang w:val="en-GB"/>
        </w:rPr>
        <w:tab/>
      </w:r>
      <w:r>
        <w:rPr>
          <w:rStyle w:val="HideTWBExt"/>
          <w:lang w:val="en-GB"/>
        </w:rPr>
        <w:t>&lt;NumAm&gt;</w:t>
      </w:r>
      <w:r w:rsidRPr="00016458">
        <w:rPr>
          <w:lang w:val="en-GB"/>
        </w:rPr>
        <w:t>64</w:t>
      </w:r>
      <w:r>
        <w:rPr>
          <w:rStyle w:val="HideTWBExt"/>
          <w:lang w:val="en-GB"/>
        </w:rPr>
        <w:t>&lt;/NumAm&gt;</w:t>
      </w:r>
    </w:p>
    <w:p w:rsidR="00C77B3E" w:rsidRPr="00016458" w:rsidRDefault="00C77B3E" w:rsidP="00C77B3E">
      <w:pPr>
        <w:pStyle w:val="NormalBold"/>
        <w:rPr>
          <w:lang w:val="en-GB"/>
        </w:rPr>
      </w:pPr>
      <w:r>
        <w:rPr>
          <w:rStyle w:val="HideTWBExt"/>
          <w:lang w:val="en-GB"/>
        </w:rPr>
        <w:t>&lt;RepeatBlock-By&gt;&lt;Members&gt;</w:t>
      </w:r>
      <w:r w:rsidRPr="00016458">
        <w:rPr>
          <w:lang w:val="en-GB"/>
        </w:rPr>
        <w:t>Beatrice Covassi, Carlos Zorrinho, Josianne Cutajar, Patrizia Toia, Lina Gálvez Muñoz, Adriana Maldonado López</w:t>
      </w:r>
      <w:r>
        <w:rPr>
          <w:rStyle w:val="HideTWBExt"/>
          <w:lang w:val="en-GB"/>
        </w:rPr>
        <w:t>&lt;/Members&gt;</w:t>
      </w:r>
    </w:p>
    <w:p w:rsidR="00C77B3E" w:rsidRPr="004448C8" w:rsidRDefault="00C77B3E" w:rsidP="00C77B3E">
      <w:pPr>
        <w:pStyle w:val="NormalBold"/>
      </w:pPr>
      <w:r w:rsidRPr="00016458">
        <w:rPr>
          <w:rStyle w:val="HideTWBExt"/>
        </w:rPr>
        <w:t>&lt;/RepeatBlock-By&gt;</w:t>
      </w:r>
    </w:p>
    <w:p w:rsidR="00C77B3E" w:rsidRPr="004448C8" w:rsidRDefault="00C77B3E" w:rsidP="00C77B3E">
      <w:pPr>
        <w:pStyle w:val="NormalBold"/>
      </w:pPr>
      <w:r w:rsidRPr="00016458">
        <w:rPr>
          <w:rStyle w:val="HideTWBExt"/>
        </w:rPr>
        <w:t>&lt;DocAmend&gt;</w:t>
      </w:r>
      <w:r>
        <w:t>Wniosek dotyczący rozporządzenia</w:t>
      </w:r>
      <w:r w:rsidRPr="00016458">
        <w:rPr>
          <w:rStyle w:val="HideTWBExt"/>
        </w:rPr>
        <w:t>&lt;/DocAmend&gt;</w:t>
      </w:r>
    </w:p>
    <w:p w:rsidR="00C77B3E" w:rsidRPr="004448C8" w:rsidRDefault="00C77B3E" w:rsidP="00C77B3E">
      <w:pPr>
        <w:pStyle w:val="NormalBold"/>
      </w:pPr>
      <w:r>
        <w:rPr>
          <w:rStyle w:val="HideTWBExt"/>
          <w:lang w:val="en-GB"/>
        </w:rPr>
        <w:t>&lt;Article&gt;</w:t>
      </w:r>
      <w:r>
        <w:t>Motyw 1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(1a)</w:t>
            </w:r>
            <w:r>
              <w:tab/>
            </w:r>
            <w:r>
              <w:rPr>
                <w:b/>
                <w:i/>
              </w:rPr>
              <w:t>Cyfryzacja ma ogromny wpływ na codzienne życie społeczne, ekonomiczne, polityczne i kulturalne obywateli, pracowników i konsumentów oraz dotyczy wszystkich dziedzin życia społecznego. Z tego powodu ograniczony dostęp do sieci i jej niewystarczająca rozbudowa mogą pogłębić nierówności społeczne, tworząc w ten sposób nową przepaść cyfrową, nie tylko między dobrze połączonymi obszarami miejskimi a obszarami wiejskimi i oddalonymi, ale również między osobami, które mogą w pełni korzystać z wydajnej i bezpiecznej łączności cyfrowej umożliwiającej im dostęp do szerokiego zakresu usług, a osobami, które nie są w stanie tego zrobić. W związku z tym objęcie mieszkalnictwa socjalnego projektem rozwoju sieci o dużej przepustowości powinno być istotnym priorytetem publicznych i prywatnych projektów inwestycyjnych, ponieważ łączność szerokopasmowa to kluczowy aspekt włączenia społecznego.</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016458" w:rsidRDefault="00C77B3E" w:rsidP="00C77B3E">
      <w:pPr>
        <w:rPr>
          <w:lang w:val="en-GB"/>
        </w:rPr>
      </w:pPr>
      <w:r>
        <w:rPr>
          <w:rStyle w:val="HideTWBExt"/>
          <w:lang w:val="en-GB"/>
        </w:rPr>
        <w:t>&lt;/Amend&gt;</w:t>
      </w:r>
    </w:p>
    <w:p w:rsidR="00C77B3E" w:rsidRPr="00016458" w:rsidRDefault="00C77B3E" w:rsidP="00C77B3E">
      <w:pPr>
        <w:pStyle w:val="AmNumberTabs"/>
        <w:rPr>
          <w:lang w:val="en-GB"/>
        </w:rPr>
      </w:pPr>
      <w:r>
        <w:rPr>
          <w:rStyle w:val="HideTWBExt"/>
          <w:lang w:val="en-GB"/>
        </w:rPr>
        <w:t>&lt;Amend&gt;</w:t>
      </w:r>
      <w:r w:rsidRPr="00016458">
        <w:rPr>
          <w:lang w:val="en-GB"/>
        </w:rPr>
        <w:t>Poprawka</w:t>
      </w:r>
      <w:r w:rsidRPr="00016458">
        <w:rPr>
          <w:lang w:val="en-GB"/>
        </w:rPr>
        <w:tab/>
      </w:r>
      <w:r w:rsidRPr="00016458">
        <w:rPr>
          <w:lang w:val="en-GB"/>
        </w:rPr>
        <w:tab/>
      </w:r>
      <w:r>
        <w:rPr>
          <w:rStyle w:val="HideTWBExt"/>
          <w:lang w:val="en-GB"/>
        </w:rPr>
        <w:t>&lt;NumAm&gt;</w:t>
      </w:r>
      <w:r w:rsidRPr="00016458">
        <w:rPr>
          <w:lang w:val="en-GB"/>
        </w:rPr>
        <w:t>65</w:t>
      </w:r>
      <w:r>
        <w:rPr>
          <w:rStyle w:val="HideTWBExt"/>
          <w:lang w:val="en-GB"/>
        </w:rPr>
        <w:t>&lt;/NumAm&gt;</w:t>
      </w:r>
    </w:p>
    <w:p w:rsidR="00C77B3E" w:rsidRPr="00016458" w:rsidRDefault="00C77B3E" w:rsidP="00C77B3E">
      <w:pPr>
        <w:pStyle w:val="NormalBold"/>
        <w:rPr>
          <w:lang w:val="en-GB"/>
        </w:rPr>
      </w:pPr>
      <w:r>
        <w:rPr>
          <w:rStyle w:val="HideTWBExt"/>
          <w:lang w:val="en-GB"/>
        </w:rPr>
        <w:t>&lt;RepeatBlock-By&gt;&lt;Members&gt;</w:t>
      </w:r>
      <w:r w:rsidRPr="00016458">
        <w:rPr>
          <w:lang w:val="en-GB"/>
        </w:rPr>
        <w:t>Beatrice Covassi, Carlos Zorrinho, Matthias Ecke, Josianne Cutajar, Patrizia Toia, Lina Gálvez Muñoz, Adriana Maldonado López</w:t>
      </w:r>
      <w:r>
        <w:rPr>
          <w:rStyle w:val="HideTWBExt"/>
          <w:lang w:val="en-GB"/>
        </w:rPr>
        <w:t>&lt;/Members&gt;</w:t>
      </w:r>
    </w:p>
    <w:p w:rsidR="00C77B3E" w:rsidRPr="004448C8" w:rsidRDefault="00C77B3E" w:rsidP="00C77B3E">
      <w:pPr>
        <w:pStyle w:val="NormalBold"/>
      </w:pPr>
      <w:r w:rsidRPr="00016458">
        <w:rPr>
          <w:rStyle w:val="HideTWBExt"/>
        </w:rPr>
        <w:t>&lt;/RepeatBlock-By&gt;</w:t>
      </w:r>
    </w:p>
    <w:p w:rsidR="00C77B3E" w:rsidRPr="004448C8" w:rsidRDefault="00C77B3E" w:rsidP="00C77B3E">
      <w:pPr>
        <w:pStyle w:val="NormalBold"/>
      </w:pPr>
      <w:r w:rsidRPr="00016458">
        <w:rPr>
          <w:rStyle w:val="HideTWBExt"/>
        </w:rPr>
        <w:t>&lt;DocAmend&gt;</w:t>
      </w:r>
      <w:r>
        <w:t>Wniosek dotyczący rozporządzenia</w:t>
      </w:r>
      <w:r w:rsidRPr="00016458">
        <w:rPr>
          <w:rStyle w:val="HideTWBExt"/>
        </w:rPr>
        <w:t>&lt;/DocAmend&gt;</w:t>
      </w:r>
    </w:p>
    <w:p w:rsidR="00C77B3E" w:rsidRPr="004448C8" w:rsidRDefault="00C77B3E" w:rsidP="00C77B3E">
      <w:pPr>
        <w:pStyle w:val="NormalBold"/>
      </w:pPr>
      <w:r>
        <w:rPr>
          <w:rStyle w:val="HideTWBExt"/>
          <w:lang w:val="en-GB"/>
        </w:rPr>
        <w:t>&lt;Article&gt;</w:t>
      </w:r>
      <w:r>
        <w:t>Motyw 1 b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(1b)</w:t>
            </w:r>
            <w:r>
              <w:tab/>
            </w:r>
            <w:r>
              <w:rPr>
                <w:b/>
                <w:i/>
              </w:rPr>
              <w:t>Aby zlikwidować przepaść cyfrową w całej Unii oraz postępować zgodnie z decyzją UE ustanawiającą program „Droga ku cyfrowej dekadzie” do 2030 r., inwestycje w infrastrukturę cyfrową powinny mieć na celu zapewnienie powszechnie dostępnej i przystępnej cenowo łączności w Unii, z łatwym dostępem do internetu, ze szczególnym naciskiem na różnice między obszarami geograficznymi. Do 2030 r. sieci o gigabitowej przepustowości powinny stać się przede wszystkim dostępne tym, którzy potrzebują lub chcą takiej przepustowości.</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016458" w:rsidRDefault="00C77B3E" w:rsidP="00C77B3E">
      <w:pPr>
        <w:rPr>
          <w:lang w:val="en-GB"/>
        </w:rPr>
      </w:pPr>
      <w:r>
        <w:rPr>
          <w:rStyle w:val="HideTWBExt"/>
          <w:lang w:val="en-GB"/>
        </w:rPr>
        <w:t>&lt;/Amend&gt;</w:t>
      </w:r>
    </w:p>
    <w:p w:rsidR="00C77B3E" w:rsidRPr="00016458" w:rsidRDefault="00C77B3E" w:rsidP="00C77B3E">
      <w:pPr>
        <w:pStyle w:val="AmNumberTabs"/>
        <w:rPr>
          <w:lang w:val="en-GB"/>
        </w:rPr>
      </w:pPr>
      <w:r>
        <w:rPr>
          <w:rStyle w:val="HideTWBExt"/>
          <w:lang w:val="en-GB"/>
        </w:rPr>
        <w:t>&lt;Amend&gt;</w:t>
      </w:r>
      <w:r w:rsidRPr="00016458">
        <w:rPr>
          <w:lang w:val="en-GB"/>
        </w:rPr>
        <w:t>Poprawka</w:t>
      </w:r>
      <w:r w:rsidRPr="00016458">
        <w:rPr>
          <w:lang w:val="en-GB"/>
        </w:rPr>
        <w:tab/>
      </w:r>
      <w:r w:rsidRPr="00016458">
        <w:rPr>
          <w:lang w:val="en-GB"/>
        </w:rPr>
        <w:tab/>
      </w:r>
      <w:r>
        <w:rPr>
          <w:rStyle w:val="HideTWBExt"/>
          <w:lang w:val="en-GB"/>
        </w:rPr>
        <w:t>&lt;NumAm&gt;</w:t>
      </w:r>
      <w:r w:rsidRPr="00016458">
        <w:rPr>
          <w:lang w:val="en-GB"/>
        </w:rPr>
        <w:t>66</w:t>
      </w:r>
      <w:r>
        <w:rPr>
          <w:rStyle w:val="HideTWBExt"/>
          <w:lang w:val="en-GB"/>
        </w:rPr>
        <w:t>&lt;/NumAm&gt;</w:t>
      </w:r>
    </w:p>
    <w:p w:rsidR="00C77B3E" w:rsidRPr="00016458" w:rsidRDefault="00C77B3E" w:rsidP="00C77B3E">
      <w:pPr>
        <w:pStyle w:val="NormalBold"/>
        <w:rPr>
          <w:lang w:val="en-GB"/>
        </w:rPr>
      </w:pPr>
      <w:r>
        <w:rPr>
          <w:rStyle w:val="HideTWBExt"/>
          <w:lang w:val="en-GB"/>
        </w:rPr>
        <w:t>&lt;RepeatBlock-By&gt;&lt;Members&gt;</w:t>
      </w:r>
      <w:r w:rsidRPr="00016458">
        <w:rPr>
          <w:lang w:val="en-GB"/>
        </w:rPr>
        <w:t>Beatrice Covassi, Carlos Zorrinho, Matthias Ecke, Josianne Cutajar, Patrizia Toia, Lina Gálvez Muñoz, Adriana Maldonado López</w:t>
      </w:r>
      <w:r>
        <w:rPr>
          <w:rStyle w:val="HideTWBExt"/>
          <w:lang w:val="en-GB"/>
        </w:rPr>
        <w:t>&lt;/Members&gt;</w:t>
      </w:r>
    </w:p>
    <w:p w:rsidR="00C77B3E" w:rsidRPr="004448C8" w:rsidRDefault="00C77B3E" w:rsidP="00C77B3E">
      <w:pPr>
        <w:pStyle w:val="NormalBold"/>
      </w:pPr>
      <w:r w:rsidRPr="00016458">
        <w:rPr>
          <w:rStyle w:val="HideTWBExt"/>
        </w:rPr>
        <w:t>&lt;/RepeatBlock-By&gt;</w:t>
      </w:r>
    </w:p>
    <w:p w:rsidR="00C77B3E" w:rsidRPr="004448C8" w:rsidRDefault="00C77B3E" w:rsidP="00C77B3E">
      <w:pPr>
        <w:pStyle w:val="NormalBold"/>
      </w:pPr>
      <w:r w:rsidRPr="00016458">
        <w:rPr>
          <w:rStyle w:val="HideTWBExt"/>
        </w:rPr>
        <w:t>&lt;DocAmend&gt;</w:t>
      </w:r>
      <w:r>
        <w:t>Wniosek dotyczący rozporządzenia</w:t>
      </w:r>
      <w:r w:rsidRPr="00016458">
        <w:rPr>
          <w:rStyle w:val="HideTWBExt"/>
        </w:rPr>
        <w:t>&lt;/DocAmend&gt;</w:t>
      </w:r>
    </w:p>
    <w:p w:rsidR="00C77B3E" w:rsidRPr="004448C8" w:rsidRDefault="00C77B3E" w:rsidP="00C77B3E">
      <w:pPr>
        <w:pStyle w:val="NormalBold"/>
      </w:pPr>
      <w:r>
        <w:rPr>
          <w:rStyle w:val="HideTWBExt"/>
          <w:lang w:val="en-GB"/>
        </w:rPr>
        <w:t>&lt;Article&gt;</w:t>
      </w:r>
      <w:r>
        <w:t>Motyw 1 c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(1c)</w:t>
            </w:r>
            <w:r>
              <w:tab/>
            </w:r>
            <w:r>
              <w:rPr>
                <w:b/>
                <w:i/>
              </w:rPr>
              <w:t>Pamiętając, że na obszarach wiejskich w UE mieszka 137 mln osób, 30,6 % ludności UE, i zajmują one około 83 % gruntów w UE, odpowiedni zasięg sieci o przepustowości gigabitowej, budowa zdolności cyfrowych i stworzenie warunków dla innowacji cyfrowych na obszarach wiejskich i oddalonych to kluczowe warunki, dzięki którym obszary te będą mogły skorzystać z nowych możliwości związanych z transformacją cyfrową. Taki zasięg mógłby poprawić warunki życia i złagodzić negatywny wpływ ograniczonej łączności, wyspiarskiego charakteru i oddalenia dzięki możliwości stosowania nowych technologii, takich jak e-zdrowie, administracja elektroniczna i usługi edukacyjne.</w:t>
            </w:r>
          </w:p>
        </w:tc>
      </w:tr>
    </w:tbl>
    <w:p w:rsidR="00C77B3E" w:rsidRPr="00016458" w:rsidRDefault="00C77B3E" w:rsidP="00C77B3E">
      <w:pPr>
        <w:pStyle w:val="AmOrLang"/>
        <w:rPr>
          <w:lang w:val="en-GB"/>
        </w:rPr>
      </w:pPr>
      <w:r w:rsidRPr="00016458">
        <w:rPr>
          <w:lang w:val="en-GB"/>
        </w:rPr>
        <w:t xml:space="preserve">Or. </w:t>
      </w:r>
      <w:r w:rsidRPr="00016458">
        <w:rPr>
          <w:rStyle w:val="HideTWBExt"/>
          <w:lang w:val="en-GB"/>
        </w:rPr>
        <w:t>&lt;Original&gt;</w:t>
      </w:r>
      <w:r w:rsidRPr="00016458">
        <w:rPr>
          <w:rStyle w:val="HideTWBInt"/>
          <w:lang w:val="en-GB"/>
        </w:rPr>
        <w:t>{EN}</w:t>
      </w:r>
      <w:r w:rsidRPr="00016458">
        <w:rPr>
          <w:lang w:val="en-GB"/>
        </w:rPr>
        <w:t>en</w:t>
      </w:r>
      <w:r w:rsidRPr="00016458">
        <w:rPr>
          <w:rStyle w:val="HideTWBExt"/>
          <w:lang w:val="en-GB"/>
        </w:rPr>
        <w:t>&lt;/Original&gt;</w:t>
      </w:r>
    </w:p>
    <w:p w:rsidR="00C77B3E" w:rsidRPr="00016458" w:rsidRDefault="00C77B3E" w:rsidP="00C77B3E">
      <w:pPr>
        <w:rPr>
          <w:lang w:val="en-GB"/>
        </w:rPr>
      </w:pPr>
      <w:r w:rsidRPr="00016458">
        <w:rPr>
          <w:rStyle w:val="HideTWBExt"/>
          <w:lang w:val="en-GB"/>
        </w:rPr>
        <w:t>&lt;/Amend&gt;</w:t>
      </w:r>
    </w:p>
    <w:p w:rsidR="00C77B3E" w:rsidRPr="00016458" w:rsidRDefault="00C77B3E" w:rsidP="00C77B3E">
      <w:pPr>
        <w:pStyle w:val="AmNumberTabs"/>
        <w:rPr>
          <w:lang w:val="en-GB"/>
        </w:rPr>
      </w:pPr>
      <w:r w:rsidRPr="00016458">
        <w:rPr>
          <w:rStyle w:val="HideTWBExt"/>
          <w:lang w:val="en-GB"/>
        </w:rPr>
        <w:t>&lt;Amend&gt;</w:t>
      </w:r>
      <w:r w:rsidRPr="00016458">
        <w:rPr>
          <w:lang w:val="en-GB"/>
        </w:rPr>
        <w:t>Poprawka</w:t>
      </w:r>
      <w:r w:rsidRPr="00016458">
        <w:rPr>
          <w:lang w:val="en-GB"/>
        </w:rPr>
        <w:tab/>
      </w:r>
      <w:r w:rsidRPr="00016458">
        <w:rPr>
          <w:lang w:val="en-GB"/>
        </w:rPr>
        <w:tab/>
      </w:r>
      <w:r w:rsidRPr="00016458">
        <w:rPr>
          <w:rStyle w:val="HideTWBExt"/>
          <w:lang w:val="en-GB"/>
        </w:rPr>
        <w:t>&lt;NumAm&gt;</w:t>
      </w:r>
      <w:r w:rsidRPr="00016458">
        <w:rPr>
          <w:lang w:val="en-GB"/>
        </w:rPr>
        <w:t>67</w:t>
      </w:r>
      <w:r w:rsidRPr="00016458">
        <w:rPr>
          <w:rStyle w:val="HideTWBExt"/>
          <w:lang w:val="en-GB"/>
        </w:rPr>
        <w:t>&lt;/NumAm&gt;</w:t>
      </w:r>
    </w:p>
    <w:p w:rsidR="00C77B3E" w:rsidRPr="00016458" w:rsidRDefault="00C77B3E" w:rsidP="00C77B3E">
      <w:pPr>
        <w:pStyle w:val="NormalBold"/>
        <w:rPr>
          <w:lang w:val="en-GB"/>
        </w:rPr>
      </w:pPr>
      <w:r w:rsidRPr="00016458">
        <w:rPr>
          <w:rStyle w:val="HideTWBExt"/>
          <w:lang w:val="en-GB"/>
        </w:rPr>
        <w:t>&lt;RepeatBlock-By&gt;&lt;Members&gt;</w:t>
      </w:r>
      <w:r w:rsidRPr="00016458">
        <w:rPr>
          <w:lang w:val="en-GB"/>
        </w:rPr>
        <w:t>Elena Kountoura</w:t>
      </w:r>
      <w:r w:rsidRPr="00016458">
        <w:rPr>
          <w:rStyle w:val="HideTWBExt"/>
          <w:lang w:val="en-GB"/>
        </w:rPr>
        <w:t>&lt;/Members&gt;</w:t>
      </w:r>
    </w:p>
    <w:p w:rsidR="00C77B3E" w:rsidRPr="00016458" w:rsidRDefault="00C77B3E" w:rsidP="00C77B3E">
      <w:pPr>
        <w:rPr>
          <w:lang w:val="en-GB"/>
        </w:rPr>
      </w:pPr>
      <w:r>
        <w:rPr>
          <w:rStyle w:val="HideTWBExt"/>
          <w:lang w:val="en-GB"/>
        </w:rPr>
        <w:t>&lt;AuNomDe&gt;</w:t>
      </w:r>
      <w:r>
        <w:rPr>
          <w:rStyle w:val="HideTWBInt"/>
          <w:lang w:val="en-GB"/>
        </w:rPr>
        <w:t>{The Left}</w:t>
      </w:r>
      <w:r w:rsidRPr="00016458">
        <w:rPr>
          <w:lang w:val="en-GB"/>
        </w:rPr>
        <w:t>w imieniu grupy The Left</w:t>
      </w:r>
      <w:r>
        <w:rPr>
          <w:rStyle w:val="HideTWBExt"/>
          <w:lang w:val="en-GB"/>
        </w:rPr>
        <w:t>&lt;/AuNomDe&gt;</w:t>
      </w:r>
    </w:p>
    <w:p w:rsidR="00C77B3E" w:rsidRPr="004448C8" w:rsidRDefault="00C77B3E" w:rsidP="00C77B3E">
      <w:pPr>
        <w:pStyle w:val="NormalBold"/>
      </w:pPr>
      <w:r w:rsidRPr="00016458">
        <w:rPr>
          <w:rStyle w:val="HideTWBExt"/>
        </w:rPr>
        <w:t>&lt;Members&gt;</w:t>
      </w:r>
      <w:r>
        <w:t xml:space="preserve"> </w:t>
      </w:r>
      <w:r w:rsidRPr="00016458">
        <w:rPr>
          <w:rStyle w:val="HideTWBExt"/>
        </w:rPr>
        <w:t>&lt;/Members&gt;</w:t>
      </w:r>
    </w:p>
    <w:p w:rsidR="00C77B3E" w:rsidRPr="004448C8" w:rsidRDefault="00C77B3E" w:rsidP="00C77B3E">
      <w:pPr>
        <w:pStyle w:val="NormalBold"/>
      </w:pPr>
      <w:r w:rsidRPr="00016458">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w:t>
            </w:r>
            <w:r>
              <w:tab/>
              <w:t>Szybki rozwój techniki, wzrost wykładniczy ruchu w internecie i rosnące zapotrzebowanie na zaawansowaną łączność o bardzo dużej przepustowości nabrały jeszcze większego tempa w czasie pandemii COVID-19. W rezultacie cele określone w agendzie cyfrowej w 2010 r.</w:t>
            </w:r>
            <w:r>
              <w:rPr>
                <w:vertAlign w:val="superscript"/>
              </w:rPr>
              <w:t>31</w:t>
            </w:r>
            <w:r>
              <w:t xml:space="preserve"> zostały w dużej mierze osiągnięte, ale też stały się nieaktualne. Odsetek gospodarstw domowych posiadających dostęp do internetu o przepustowości 30 Mb/s wzrósł z 58,1 % w 2013 r. do 90 % w 2022 r. Zapewnienie dostępności łączy o przepustowości tylko 30 Mb/s nie jest już dostosowane do przyszłych wyzwań i nie jest spójne z nowymi celami określonymi w dyrektywie Parlamentu Europejskiego i Rady (UE) 2018/1972</w:t>
            </w:r>
            <w:r>
              <w:rPr>
                <w:vertAlign w:val="superscript"/>
              </w:rPr>
              <w:t>32</w:t>
            </w:r>
            <w:r>
              <w:t xml:space="preserve"> w zakresie zapewnienia łączności i powszechnej dostępności sieci o bardzo dużej przepustowości. W związku z tym w decyzji (UE) 2022/2481 Parlamentu Europejskiego i Rady</w:t>
            </w:r>
            <w:r>
              <w:rPr>
                <w:vertAlign w:val="superscript"/>
              </w:rPr>
              <w:t>33</w:t>
            </w:r>
            <w:r>
              <w:t xml:space="preserve"> UE określiła zaktualizowane cele na 2030 r., które lepiej odpowiadają przewidywanym przyszłym potrzebom w zakresie łączności i w ramach których </w:t>
            </w:r>
            <w:r>
              <w:rPr>
                <w:b/>
                <w:i/>
              </w:rPr>
              <w:t>wszystkie europejskie gospodarstwa domowe</w:t>
            </w:r>
            <w:r>
              <w:t xml:space="preserve"> powinny być objęte siecią </w:t>
            </w:r>
            <w:r>
              <w:rPr>
                <w:b/>
                <w:i/>
              </w:rPr>
              <w:t>gigabitową, a</w:t>
            </w:r>
            <w:r>
              <w:t> </w:t>
            </w:r>
            <w:r>
              <w:rPr>
                <w:b/>
                <w:i/>
              </w:rPr>
              <w:t>wszystkie obszary zaludnione – siecią</w:t>
            </w:r>
            <w:r>
              <w:t xml:space="preserve"> 5G.</w:t>
            </w:r>
          </w:p>
        </w:tc>
        <w:tc>
          <w:tcPr>
            <w:tcW w:w="4876" w:type="dxa"/>
          </w:tcPr>
          <w:p w:rsidR="00C77B3E" w:rsidRPr="004448C8" w:rsidRDefault="00C77B3E" w:rsidP="009D4E99">
            <w:pPr>
              <w:pStyle w:val="Normal6a"/>
            </w:pPr>
            <w:r>
              <w:t>(2)</w:t>
            </w:r>
            <w:r>
              <w:tab/>
            </w:r>
            <w:r>
              <w:rPr>
                <w:b/>
                <w:i/>
              </w:rPr>
              <w:t>Społeczne zapotrzebowanie na jednolitą przepustowość niezbędną do wysyłania i pobierania danych stale rośnie.</w:t>
            </w:r>
            <w:r>
              <w:t xml:space="preserve"> Szybki rozwój techniki, wzrost wykładniczy ruchu w internecie i rosnące zapotrzebowanie na zaawansowaną łączność o bardzo dużej przepustowości nabrały jeszcze większego tempa w czasie pandemii COVID-19. W rezultacie cele określone w agendzie cyfrowej w 2010 r.</w:t>
            </w:r>
            <w:r>
              <w:rPr>
                <w:vertAlign w:val="superscript"/>
              </w:rPr>
              <w:t>31</w:t>
            </w:r>
            <w:r>
              <w:t xml:space="preserve"> zostały w dużej mierze osiągnięte, ale też stały się nieaktualne. Odsetek gospodarstw domowych posiadających dostęp do internetu o przepustowości 30 Mb/s wzrósł z 58,1 % w 2013 r. do 90 % w 2022 r. Zapewnienie dostępności łączy o przepustowości tylko 30 Mb/s nie jest już dostosowane do przyszłych wyzwań i nie jest spójne z nowymi celami określonymi w dyrektywie Parlamentu Europejskiego i Rady (UE) 2018/1972</w:t>
            </w:r>
            <w:r>
              <w:rPr>
                <w:vertAlign w:val="superscript"/>
              </w:rPr>
              <w:t>32</w:t>
            </w:r>
            <w:r>
              <w:t xml:space="preserve"> w zakresie zapewnienia łączności i powszechnej dostępności sieci o bardzo dużej przepustowości. W związku z tym w decyzji (UE) 2022/2481 Parlamentu Europejskiego i Rady</w:t>
            </w:r>
            <w:r>
              <w:rPr>
                <w:vertAlign w:val="superscript"/>
              </w:rPr>
              <w:t>33</w:t>
            </w:r>
            <w:r>
              <w:t xml:space="preserve"> UE określiła zaktualizowane cele na 2030 r., które lepiej odpowiadają przewidywanym przyszłym potrzebom w zakresie łączności i w ramach których </w:t>
            </w:r>
            <w:r>
              <w:rPr>
                <w:b/>
                <w:i/>
              </w:rPr>
              <w:t>wszyscy użytkownicy końcowi powinni mieć dostęp do usług gigabitowych świadczonych przez sieci stacjonarne i aż do punktu krańcowego sieci, a wszystkie obszary zaludnione</w:t>
            </w:r>
            <w:r>
              <w:t xml:space="preserve"> powinny być objęte </w:t>
            </w:r>
            <w:r>
              <w:rPr>
                <w:b/>
                <w:i/>
              </w:rPr>
              <w:t xml:space="preserve">ultraszybką </w:t>
            </w:r>
            <w:r>
              <w:t xml:space="preserve">siecią </w:t>
            </w:r>
            <w:r>
              <w:rPr>
                <w:b/>
                <w:i/>
              </w:rPr>
              <w:t>bezprzewodową nowej generacji o</w:t>
            </w:r>
            <w:r>
              <w:t> </w:t>
            </w:r>
            <w:r>
              <w:rPr>
                <w:b/>
                <w:i/>
              </w:rPr>
              <w:t>wydajności dorównującej co najmniej sieci</w:t>
            </w:r>
            <w:r>
              <w:t xml:space="preserve"> 5G.</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4448C8" w:rsidRDefault="00C77B3E" w:rsidP="009D4E99">
            <w:pPr>
              <w:pStyle w:val="Normal6a"/>
            </w:pPr>
            <w:r>
              <w:rPr>
                <w:vertAlign w:val="superscript"/>
              </w:rPr>
              <w:t>31</w:t>
            </w:r>
            <w:r>
              <w:t xml:space="preserve"> Komunikat Komisji do Parlamentu Europejskiego, Rady, Europejskiego Komitetu Ekonomiczno-Społecznego i Komitetu Regionów, 19.05.2010, COM(2010) 245.</w:t>
            </w:r>
          </w:p>
        </w:tc>
        <w:tc>
          <w:tcPr>
            <w:tcW w:w="4876" w:type="dxa"/>
          </w:tcPr>
          <w:p w:rsidR="00C77B3E" w:rsidRPr="004448C8" w:rsidRDefault="00C77B3E" w:rsidP="009D4E99">
            <w:pPr>
              <w:pStyle w:val="Normal6a"/>
            </w:pPr>
            <w:r>
              <w:rPr>
                <w:vertAlign w:val="superscript"/>
              </w:rPr>
              <w:t>31</w:t>
            </w:r>
            <w:r>
              <w:t xml:space="preserve"> Komunikat Komisji do Parlamentu Europejskiego, Rady, Europejskiego Komitetu Ekonomiczno-Społecznego i Komitetu Regionów, 19.05.2010, COM(2010) 245.</w:t>
            </w:r>
          </w:p>
        </w:tc>
      </w:tr>
      <w:tr w:rsidR="00C77B3E" w:rsidTr="009D4E99">
        <w:trPr>
          <w:jc w:val="center"/>
        </w:trPr>
        <w:tc>
          <w:tcPr>
            <w:tcW w:w="4876" w:type="dxa"/>
          </w:tcPr>
          <w:p w:rsidR="00C77B3E" w:rsidRPr="004448C8" w:rsidRDefault="00C77B3E" w:rsidP="009D4E99">
            <w:pPr>
              <w:pStyle w:val="Normal6a"/>
            </w:pPr>
            <w:r>
              <w:rPr>
                <w:vertAlign w:val="superscript"/>
              </w:rPr>
              <w:t>32</w:t>
            </w:r>
            <w:r>
              <w:t xml:space="preserve"> Dyrektywa Parlamentu Europejskiego i Rady (UE) 2018/1972 z dnia 11 grudnia 2018 r. ustanawiająca Europejski kodeks łączności elektronicznej (Dz.U. L 321 z 17.12.2018, s. 36).</w:t>
            </w:r>
          </w:p>
        </w:tc>
        <w:tc>
          <w:tcPr>
            <w:tcW w:w="4876" w:type="dxa"/>
          </w:tcPr>
          <w:p w:rsidR="00C77B3E" w:rsidRPr="004448C8" w:rsidRDefault="00C77B3E" w:rsidP="009D4E99">
            <w:pPr>
              <w:pStyle w:val="Normal6a"/>
            </w:pPr>
            <w:r>
              <w:rPr>
                <w:vertAlign w:val="superscript"/>
              </w:rPr>
              <w:t>32</w:t>
            </w:r>
            <w:r>
              <w:t xml:space="preserve"> Dyrektywa Parlamentu Europejskiego i Rady (UE) 2018/1972 z dnia 11 grudnia 2018 r. ustanawiająca Europejski kodeks łączności elektronicznej (Dz.U. L 321 z 17.12.2018, s. 36).</w:t>
            </w:r>
          </w:p>
        </w:tc>
      </w:tr>
      <w:tr w:rsidR="00C77B3E" w:rsidTr="009D4E99">
        <w:trPr>
          <w:jc w:val="center"/>
        </w:trPr>
        <w:tc>
          <w:tcPr>
            <w:tcW w:w="4876" w:type="dxa"/>
          </w:tcPr>
          <w:p w:rsidR="00C77B3E" w:rsidRPr="004448C8" w:rsidRDefault="00C77B3E" w:rsidP="009D4E99">
            <w:pPr>
              <w:pStyle w:val="Normal6a"/>
            </w:pPr>
            <w:r>
              <w:rPr>
                <w:vertAlign w:val="superscript"/>
              </w:rPr>
              <w:t>33</w:t>
            </w:r>
            <w:r>
              <w:t xml:space="preserve"> Decyzja Parlamentu Europejskiego i Rady (UE) 2022/2481 z dnia 14 grudnia 2022 r. ustanawiająca program polityki „Droga ku cyfrowej dekadzie” do 2030 r. (Dz.U. L 323 z 19.12.2022, s. 4).</w:t>
            </w:r>
          </w:p>
        </w:tc>
        <w:tc>
          <w:tcPr>
            <w:tcW w:w="4876" w:type="dxa"/>
          </w:tcPr>
          <w:p w:rsidR="00C77B3E" w:rsidRPr="004448C8" w:rsidRDefault="00C77B3E" w:rsidP="009D4E99">
            <w:pPr>
              <w:pStyle w:val="Normal6a"/>
            </w:pPr>
            <w:r>
              <w:rPr>
                <w:vertAlign w:val="superscript"/>
              </w:rPr>
              <w:t>33</w:t>
            </w:r>
            <w:r>
              <w:t xml:space="preserve"> Decyzja Parlamentu Europejskiego i Rady (UE) 2022/2481 z dnia 14 grudnia 2022 r. ustanawiająca program polityki „Droga ku cyfrowej dekadzie” do 2030 r. (Dz.U. L 323 z 19.12.2022, s. 4).</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68</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Dace Melbārde,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w:t>
            </w:r>
            <w:r>
              <w:tab/>
              <w:t>Szybki rozwój techniki, wzrost wykładniczy ruchu w internecie i rosnące zapotrzebowanie na zaawansowaną łączność o bardzo dużej przepustowości nabrały jeszcze większego tempa w czasie pandemii COVID-19. W rezultacie cele określone w agendzie cyfrowej w 2010 r.</w:t>
            </w:r>
            <w:r>
              <w:rPr>
                <w:vertAlign w:val="superscript"/>
              </w:rPr>
              <w:t>31</w:t>
            </w:r>
            <w:r>
              <w:t xml:space="preserve"> zostały w dużej mierze osiągnięte, ale też stały się nieaktualne. Odsetek gospodarstw domowych posiadających dostęp do internetu o przepustowości 30 Mb/s wzrósł z 58,1 % w 2013 r. do 90 % w 2022 r. Zapewnienie dostępności łączy o przepustowości tylko 30 Mb/s nie jest już dostosowane do przyszłych wyzwań i nie jest spójne z nowymi celami określonymi w dyrektywie Parlamentu Europejskiego i Rady (UE) 2018/1972</w:t>
            </w:r>
            <w:r>
              <w:rPr>
                <w:vertAlign w:val="superscript"/>
              </w:rPr>
              <w:t>32</w:t>
            </w:r>
            <w:r>
              <w:t xml:space="preserve"> w zakresie zapewnienia łączności i powszechnej dostępności sieci o bardzo dużej przepustowości. W związku z tym w decyzji (UE) 2022/2481 Parlamentu Europejskiego i Rady</w:t>
            </w:r>
            <w:r>
              <w:rPr>
                <w:vertAlign w:val="superscript"/>
              </w:rPr>
              <w:t>33</w:t>
            </w:r>
            <w:r>
              <w:t xml:space="preserve"> UE określiła zaktualizowane cele na 2030 r., które lepiej odpowiadają przewidywanym przyszłym potrzebom w zakresie łączności i w ramach których wszystkie europejskie gospodarstwa domowe powinny być objęte siecią gigabitową, a wszystkie obszary zaludnione – siecią 5G.</w:t>
            </w:r>
          </w:p>
        </w:tc>
        <w:tc>
          <w:tcPr>
            <w:tcW w:w="4876" w:type="dxa"/>
          </w:tcPr>
          <w:p w:rsidR="00C77B3E" w:rsidRPr="004448C8" w:rsidRDefault="00C77B3E" w:rsidP="009D4E99">
            <w:pPr>
              <w:pStyle w:val="Normal6a"/>
            </w:pPr>
            <w:r>
              <w:t>(2)</w:t>
            </w:r>
            <w:r>
              <w:tab/>
              <w:t>Szybki rozwój techniki, wzrost wykładniczy ruchu w internecie i rosnące zapotrzebowanie na zaawansowaną łączność o bardzo dużej przepustowości nabrały jeszcze większego tempa w czasie pandemii COVID-19. W rezultacie cele określone w agendzie cyfrowej w 2010 r.</w:t>
            </w:r>
            <w:r>
              <w:rPr>
                <w:vertAlign w:val="superscript"/>
              </w:rPr>
              <w:t>31</w:t>
            </w:r>
            <w:r>
              <w:t xml:space="preserve"> zostały w dużej mierze osiągnięte, ale też stały się nieaktualne. Odsetek gospodarstw domowych posiadających dostęp do internetu o przepustowości 30 Mb/s wzrósł z 58,1 % w 2013 r. do 90 % w 2022 r. Zapewnienie dostępności łączy o przepustowości tylko 30 Mb/s nie jest już dostosowane do przyszłych wyzwań i nie jest spójne z nowymi celami określonymi w dyrektywie Parlamentu Europejskiego i Rady (UE) 2018/1972</w:t>
            </w:r>
            <w:r>
              <w:rPr>
                <w:vertAlign w:val="superscript"/>
              </w:rPr>
              <w:t>32</w:t>
            </w:r>
            <w:r>
              <w:t xml:space="preserve"> w zakresie zapewnienia łączności i powszechnej dostępności sieci o bardzo dużej przepustowości. W związku z tym w decyzji (UE) 2022/2481 Parlamentu Europejskiego i Rady</w:t>
            </w:r>
            <w:r>
              <w:rPr>
                <w:vertAlign w:val="superscript"/>
              </w:rPr>
              <w:t>33</w:t>
            </w:r>
            <w:r>
              <w:t xml:space="preserve"> UE określiła zaktualizowane cele na 2030 r., które lepiej odpowiadają przewidywanym przyszłym potrzebom w zakresie łączności i w ramach których wszystkie europejskie gospodarstwa domowe powinny być objęte siecią gigabitową, a wszystkie obszary zaludnione – siecią </w:t>
            </w:r>
            <w:r>
              <w:rPr>
                <w:b/>
                <w:i/>
              </w:rPr>
              <w:t xml:space="preserve">o wydajności dorównującej co najmniej sieci </w:t>
            </w:r>
            <w:r>
              <w:t>5G.</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4448C8" w:rsidRDefault="00C77B3E" w:rsidP="009D4E99">
            <w:pPr>
              <w:pStyle w:val="Normal6a"/>
            </w:pPr>
            <w:r>
              <w:rPr>
                <w:vertAlign w:val="superscript"/>
              </w:rPr>
              <w:t>31</w:t>
            </w:r>
            <w:r>
              <w:t xml:space="preserve"> Komunikat Komisji do Parlamentu Europejskiego, Rady, Europejskiego Komitetu Ekonomiczno-Społecznego i Komitetu Regionów, 19.05.2010, COM(2010) 245.</w:t>
            </w:r>
          </w:p>
        </w:tc>
        <w:tc>
          <w:tcPr>
            <w:tcW w:w="4876" w:type="dxa"/>
          </w:tcPr>
          <w:p w:rsidR="00C77B3E" w:rsidRPr="004448C8" w:rsidRDefault="00C77B3E" w:rsidP="009D4E99">
            <w:pPr>
              <w:pStyle w:val="Normal6a"/>
            </w:pPr>
            <w:r>
              <w:rPr>
                <w:vertAlign w:val="superscript"/>
              </w:rPr>
              <w:t>31</w:t>
            </w:r>
            <w:r>
              <w:t xml:space="preserve"> Komunikat Komisji do Parlamentu Europejskiego, Rady, Europejskiego Komitetu Ekonomiczno-Społecznego i Komitetu Regionów, 19.05.2010, COM(2010) 245.</w:t>
            </w:r>
          </w:p>
        </w:tc>
      </w:tr>
      <w:tr w:rsidR="00C77B3E" w:rsidTr="009D4E99">
        <w:trPr>
          <w:jc w:val="center"/>
        </w:trPr>
        <w:tc>
          <w:tcPr>
            <w:tcW w:w="4876" w:type="dxa"/>
          </w:tcPr>
          <w:p w:rsidR="00C77B3E" w:rsidRPr="004448C8" w:rsidRDefault="00C77B3E" w:rsidP="009D4E99">
            <w:pPr>
              <w:pStyle w:val="Normal6a"/>
            </w:pPr>
            <w:r>
              <w:rPr>
                <w:vertAlign w:val="superscript"/>
              </w:rPr>
              <w:t>32</w:t>
            </w:r>
            <w:r>
              <w:t xml:space="preserve"> Dyrektywa Parlamentu Europejskiego i Rady (UE) 2018/1972 z dnia 11 grudnia 2018 r. ustanawiająca Europejski kodeks łączności elektronicznej (Dz.U. L 321 z 17.12.2018, s. 36).</w:t>
            </w:r>
          </w:p>
        </w:tc>
        <w:tc>
          <w:tcPr>
            <w:tcW w:w="4876" w:type="dxa"/>
          </w:tcPr>
          <w:p w:rsidR="00C77B3E" w:rsidRPr="004448C8" w:rsidRDefault="00C77B3E" w:rsidP="009D4E99">
            <w:pPr>
              <w:pStyle w:val="Normal6a"/>
            </w:pPr>
            <w:r>
              <w:rPr>
                <w:vertAlign w:val="superscript"/>
              </w:rPr>
              <w:t>32</w:t>
            </w:r>
            <w:r>
              <w:t xml:space="preserve"> Dyrektywa Parlamentu Europejskiego i Rady (UE) 2018/1972 z dnia 11 grudnia 2018 r. ustanawiająca Europejski kodeks łączności elektronicznej (Dz.U. L 321 z 17.12.2018, s. 36).</w:t>
            </w:r>
          </w:p>
        </w:tc>
      </w:tr>
      <w:tr w:rsidR="00C77B3E" w:rsidTr="009D4E99">
        <w:trPr>
          <w:jc w:val="center"/>
        </w:trPr>
        <w:tc>
          <w:tcPr>
            <w:tcW w:w="4876" w:type="dxa"/>
          </w:tcPr>
          <w:p w:rsidR="00C77B3E" w:rsidRPr="004448C8" w:rsidRDefault="00C77B3E" w:rsidP="009D4E99">
            <w:pPr>
              <w:pStyle w:val="Normal6a"/>
            </w:pPr>
            <w:r>
              <w:rPr>
                <w:vertAlign w:val="superscript"/>
              </w:rPr>
              <w:t>33</w:t>
            </w:r>
            <w:r>
              <w:t xml:space="preserve"> Decyzja Parlamentu Europejskiego i Rady (UE) 2022/2481 z dnia 14 grudnia 2022 r. ustanawiająca program polityki „Droga ku cyfrowej dekadzie” do 2030 r. (Dz.U. L 323 z 19.12.2022, s. 4).</w:t>
            </w:r>
          </w:p>
        </w:tc>
        <w:tc>
          <w:tcPr>
            <w:tcW w:w="4876" w:type="dxa"/>
          </w:tcPr>
          <w:p w:rsidR="00C77B3E" w:rsidRPr="004448C8" w:rsidRDefault="00C77B3E" w:rsidP="009D4E99">
            <w:pPr>
              <w:pStyle w:val="Normal6a"/>
            </w:pPr>
            <w:r>
              <w:rPr>
                <w:vertAlign w:val="superscript"/>
              </w:rPr>
              <w:t>33</w:t>
            </w:r>
            <w:r>
              <w:t xml:space="preserve"> Decyzja Parlamentu Europejskiego i Rady (UE) 2022/2481 z dnia 14 grudnia 2022 r. ustanawiająca program polityki „Droga ku cyfrowej dekadzie” do 2030 r. (Dz.U. L 323 z 19.12.2022, s. 4).</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69</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w:t>
            </w:r>
            <w:r>
              <w:rPr>
                <w:b/>
                <w:i/>
              </w:rPr>
              <w:t>zmniejszenie obciążeń administracyjnych</w:t>
            </w:r>
            <w:r>
              <w:t>.</w:t>
            </w:r>
          </w:p>
        </w:tc>
        <w:tc>
          <w:tcPr>
            <w:tcW w:w="4876" w:type="dxa"/>
          </w:tcPr>
          <w:p w:rsidR="00C77B3E" w:rsidRPr="004448C8" w:rsidRDefault="00C77B3E" w:rsidP="009D4E99">
            <w:pPr>
              <w:pStyle w:val="Normal6a"/>
            </w:pPr>
            <w:r>
              <w:t>(3)</w:t>
            </w:r>
            <w:r>
              <w:tab/>
              <w:t xml:space="preserve">Aby osiągnąć te cele, prowadzona polityka musi doprowadzić do </w:t>
            </w:r>
            <w:r>
              <w:rPr>
                <w:b/>
                <w:i/>
              </w:rPr>
              <w:t xml:space="preserve">znacznego </w:t>
            </w:r>
            <w:r>
              <w:t xml:space="preserve">przyspieszenia i obniżenia kosztów wdrażania stacjonarnych i bezprzewodowych sieci o bardzo dużej przepustowości na całym terytorium Unii, w tym poprzez stosowne planowanie, </w:t>
            </w:r>
            <w:r>
              <w:rPr>
                <w:b/>
                <w:i/>
              </w:rPr>
              <w:t xml:space="preserve">dobrą </w:t>
            </w:r>
            <w:r>
              <w:t>koordynację i </w:t>
            </w:r>
            <w:r>
              <w:rPr>
                <w:b/>
                <w:i/>
              </w:rPr>
              <w:t>wprowadzenie uproszczonych i sprawnych procedur wydawania pozwoleń, aby zmniejszyć obciążenia administracyjne spoczywające na operatorach i administracji krajowej; aby osiągnąć te cele, obniżenie kosztów wdrożenia sieci stacjonarnych i bezprzewodowych o bardzo dużej przepustowości w całej Unii powinno mieć odpowiedni wpływ na obniżenie kosztów usług dla użytkowników końcowych</w:t>
            </w:r>
            <w:r>
              <w:t>.</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70</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François-Xavier Bellamy,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p>
        </w:tc>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r>
              <w:rPr>
                <w:b/>
                <w:i/>
              </w:rPr>
              <w:t>, oraz konieczność ustanowienia ram politycznych, w których główni generatorzy ruchu w sprawiedliwy sposób wnoszą adekwatny wkład w finansowanie sieci telekomunikacyjnych, nie naruszając neutralności sieci</w:t>
            </w:r>
            <w:r>
              <w:t>.</w:t>
            </w:r>
          </w:p>
        </w:tc>
      </w:tr>
    </w:tbl>
    <w:p w:rsidR="00C77B3E" w:rsidRPr="004448C8" w:rsidRDefault="00C77B3E" w:rsidP="00C77B3E">
      <w:pPr>
        <w:pStyle w:val="AmOrLang"/>
        <w:rPr>
          <w:lang w:val="nl-NL"/>
        </w:rPr>
      </w:pPr>
      <w:r w:rsidRPr="004448C8">
        <w:rPr>
          <w:lang w:val="nl-NL"/>
        </w:rPr>
        <w:t xml:space="preserve">Or. </w:t>
      </w:r>
      <w:r w:rsidRPr="004448C8">
        <w:rPr>
          <w:rStyle w:val="HideTWBExt"/>
          <w:lang w:val="nl-NL"/>
        </w:rPr>
        <w:t>&lt;Original&gt;</w:t>
      </w:r>
      <w:r w:rsidRPr="004448C8">
        <w:rPr>
          <w:rStyle w:val="HideTWBInt"/>
          <w:lang w:val="nl-NL"/>
        </w:rPr>
        <w:t>{EN}</w:t>
      </w:r>
      <w:r w:rsidRPr="004448C8">
        <w:rPr>
          <w:lang w:val="nl-NL"/>
        </w:rPr>
        <w:t>en</w:t>
      </w:r>
      <w:r w:rsidRPr="004448C8">
        <w:rPr>
          <w:rStyle w:val="HideTWBExt"/>
          <w:lang w:val="nl-NL"/>
        </w:rPr>
        <w:t>&lt;/Original&gt;</w:t>
      </w:r>
    </w:p>
    <w:p w:rsidR="00C77B3E" w:rsidRPr="004448C8" w:rsidRDefault="00C77B3E" w:rsidP="00C77B3E">
      <w:r>
        <w:rPr>
          <w:rStyle w:val="HideTWBExt"/>
          <w:lang w:val="nl-NL"/>
        </w:rPr>
        <w:t>&lt;/Amend&gt;</w:t>
      </w:r>
    </w:p>
    <w:p w:rsidR="00C77B3E" w:rsidRPr="004448C8" w:rsidRDefault="00C77B3E" w:rsidP="00C77B3E">
      <w:pPr>
        <w:pStyle w:val="AmNumberTabs"/>
      </w:pPr>
      <w:r>
        <w:rPr>
          <w:rStyle w:val="HideTWBExt"/>
          <w:lang w:val="nl-NL"/>
        </w:rPr>
        <w:t>&lt;Amend&gt;</w:t>
      </w:r>
      <w:r>
        <w:t>Poprawka</w:t>
      </w:r>
      <w:r>
        <w:tab/>
      </w:r>
      <w:r>
        <w:tab/>
      </w:r>
      <w:r>
        <w:rPr>
          <w:rStyle w:val="HideTWBExt"/>
          <w:lang w:val="nl-NL"/>
        </w:rPr>
        <w:t>&lt;NumAm&gt;</w:t>
      </w:r>
      <w:r>
        <w:t>71</w:t>
      </w:r>
      <w:r>
        <w:rPr>
          <w:rStyle w:val="HideTWBExt"/>
          <w:lang w:val="nl-NL"/>
        </w:rPr>
        <w:t>&lt;/NumAm&gt;</w:t>
      </w:r>
    </w:p>
    <w:p w:rsidR="00C77B3E" w:rsidRPr="004448C8" w:rsidRDefault="00C77B3E" w:rsidP="00C77B3E">
      <w:pPr>
        <w:pStyle w:val="NormalBold"/>
      </w:pPr>
      <w:r>
        <w:rPr>
          <w:rStyle w:val="HideTWBExt"/>
          <w:lang w:val="nl-NL"/>
        </w:rPr>
        <w:t>&lt;RepeatBlock-By&gt;&lt;Members&gt;</w:t>
      </w:r>
      <w:r>
        <w:t>Bart Groothuis</w:t>
      </w:r>
      <w:r>
        <w:rPr>
          <w:rStyle w:val="HideTWBExt"/>
          <w:lang w:val="nl-NL"/>
        </w:rPr>
        <w:t>&lt;/Members&gt;</w:t>
      </w:r>
    </w:p>
    <w:p w:rsidR="00C77B3E" w:rsidRPr="004448C8" w:rsidRDefault="00C77B3E" w:rsidP="00C77B3E">
      <w:pPr>
        <w:pStyle w:val="NormalBold"/>
      </w:pPr>
      <w:r>
        <w:rPr>
          <w:rStyle w:val="HideTWBExt"/>
          <w:lang w:val="nl-NL"/>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p>
        </w:tc>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r>
              <w:rPr>
                <w:b/>
                <w:i/>
              </w:rPr>
              <w:t xml:space="preserve"> oraz strategie polityczne, które stymulują popyt na łączność.</w:t>
            </w:r>
            <w:r>
              <w:t xml:space="preserve"> </w:t>
            </w:r>
            <w:r>
              <w:rPr>
                <w:b/>
                <w:i/>
              </w:rPr>
              <w:t>Takie strategie powinny uwzględniać wpływ na konsumentów i nie powodować żadnych zakłóceń na rynku.</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72</w:t>
      </w:r>
      <w:r>
        <w:rPr>
          <w:rStyle w:val="HideTWBExt"/>
          <w:lang w:val="en-GB"/>
        </w:rPr>
        <w:t>&lt;/NumAm&gt;</w:t>
      </w:r>
    </w:p>
    <w:p w:rsidR="00C77B3E" w:rsidRPr="004448C8" w:rsidRDefault="00C77B3E" w:rsidP="00C77B3E">
      <w:pPr>
        <w:pStyle w:val="NormalBold"/>
      </w:pPr>
      <w:r>
        <w:rPr>
          <w:rStyle w:val="HideTWBExt"/>
          <w:lang w:val="en-GB"/>
        </w:rPr>
        <w:t>&lt;RepeatBlock-By&gt;&lt;Members&gt;</w:t>
      </w:r>
      <w:r>
        <w:t xml:space="preserve">Maria Spyraki </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p>
        </w:tc>
        <w:tc>
          <w:tcPr>
            <w:tcW w:w="4876" w:type="dxa"/>
          </w:tcPr>
          <w:p w:rsidR="00C77B3E" w:rsidRPr="004448C8" w:rsidRDefault="00C77B3E" w:rsidP="009D4E99">
            <w:pPr>
              <w:pStyle w:val="Normal6a"/>
            </w:pPr>
            <w:r>
              <w:t>(3)</w:t>
            </w:r>
            <w:r>
              <w:tab/>
              <w:t xml:space="preserve">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 </w:t>
            </w:r>
            <w:r>
              <w:rPr>
                <w:b/>
                <w:i/>
              </w:rPr>
              <w:t>Taka polityka powinna uwzględniać wszelkie bezpośrednie i pośrednie skutki dla konsumentów i nie powinna powodować żadnych zakłóceń na rynku.</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Zakres motywu 3 ma na celu wsparcie aktu w sprawie infrastruktury gigabitowej oraz dążenia UE do osiągnięcia celów w zakresie łączności do 2030 r. Aby jednak osiągnąć jak najlepsze rezultaty w UE dla wszystkich zainteresowanych stron i obywateli UE, konieczne jest położenie nacisku na uwzględnianie wpływu na konsumentów i rynek każdej nowej polityki wprowadzanej zgodnie z motywem 3 – również zgodnie z unijnymi zasadami lepszego stanowienia prawa i kształtowaniem polityki opartym na sprawdzonych rozwiązaniach.</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73</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Adam Jarubas, Tomas Tobé, Markus Pieper, Henna Virkkunen, Angelika Niebler</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p>
        </w:tc>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r>
              <w:rPr>
                <w:b/>
                <w:i/>
              </w:rPr>
              <w:t xml:space="preserve"> oraz kosztów ponoszonych przez administrację publiczną</w:t>
            </w:r>
            <w:r>
              <w:t>.</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74</w:t>
      </w:r>
      <w:r>
        <w:rPr>
          <w:rStyle w:val="HideTWBExt"/>
          <w:lang w:val="fr-FR"/>
        </w:rPr>
        <w:t>&lt;/NumAm&gt;</w:t>
      </w:r>
    </w:p>
    <w:p w:rsidR="00C77B3E" w:rsidRPr="004448C8" w:rsidRDefault="00C77B3E" w:rsidP="00C77B3E">
      <w:pPr>
        <w:pStyle w:val="NormalBold"/>
      </w:pPr>
      <w:r>
        <w:rPr>
          <w:rStyle w:val="HideTWBExt"/>
          <w:lang w:val="fr-FR"/>
        </w:rPr>
        <w:t>&lt;RepeatBlock-By&gt;&lt;Members&gt;</w:t>
      </w:r>
      <w:r>
        <w:t>Dace Melbārde</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(3)</w:t>
            </w:r>
            <w:r>
              <w:tab/>
              <w:t>Aby osiągnąć te cele, prowadzona polityka musi doprowadzić do przyspieszenia i obniżenia kosztów wdrażania stacjonarnych i bezprzewodowych sieci o bardzo dużej przepustowości na całym terytorium Unii, w tym poprzez stosowne planowanie, koordynację i zmniejszenie obciążeń administracyjnych.</w:t>
            </w:r>
          </w:p>
        </w:tc>
        <w:tc>
          <w:tcPr>
            <w:tcW w:w="4876" w:type="dxa"/>
          </w:tcPr>
          <w:p w:rsidR="00C77B3E" w:rsidRPr="004448C8" w:rsidRDefault="00C77B3E" w:rsidP="009D4E99">
            <w:pPr>
              <w:pStyle w:val="Normal6a"/>
            </w:pPr>
            <w:r>
              <w:t>(3)</w:t>
            </w:r>
            <w:r>
              <w:tab/>
              <w:t xml:space="preserve">Aby osiągnąć te cele, prowadzona polityka musi doprowadzić do </w:t>
            </w:r>
            <w:r>
              <w:rPr>
                <w:b/>
                <w:i/>
              </w:rPr>
              <w:t xml:space="preserve">redukcji obciążenia administracyjnego, </w:t>
            </w:r>
            <w:r>
              <w:t>przyspieszenia i obniżenia kosztów wdrażania stacjonarnych i bezprzewodowych sieci o bardzo dużej przepustowości na całym terytorium Unii, w tym poprzez stosowne planowanie, koordynację i zmniejszenie obciążeń administracyjnych.</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75</w:t>
      </w:r>
      <w:r>
        <w:rPr>
          <w:rStyle w:val="HideTWBExt"/>
          <w:lang w:val="fr-FR"/>
        </w:rPr>
        <w:t>&lt;/NumAm&gt;</w:t>
      </w:r>
    </w:p>
    <w:p w:rsidR="00C77B3E" w:rsidRPr="004448C8" w:rsidRDefault="00C77B3E" w:rsidP="00C77B3E">
      <w:pPr>
        <w:pStyle w:val="NormalBold"/>
      </w:pPr>
      <w:r>
        <w:rPr>
          <w:rStyle w:val="HideTWBExt"/>
          <w:lang w:val="fr-FR"/>
        </w:rPr>
        <w:t>&lt;RepeatBlock-By&gt;&lt;Members&gt;</w:t>
      </w:r>
      <w:r>
        <w:t>Johan Nissinen</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3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(3a)</w:t>
            </w:r>
            <w:r>
              <w:tab/>
            </w:r>
            <w:r>
              <w:rPr>
                <w:b/>
                <w:i/>
              </w:rPr>
              <w:t>Jasne ramy prawne i korzystne warunki inwestowania w infrastrukturę cyfrową to podstawa konkurencyjnego i zaawansowanego technologicznie społeczeństwa cyfrowego z nowoczesnymi sieciami, większą innowacyjnością, wysokim poziomem bezpieczeństwa i przystępnymi cenowo usługami.</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76</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3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(3a)</w:t>
            </w:r>
            <w:r>
              <w:tab/>
            </w:r>
            <w:r>
              <w:rPr>
                <w:b/>
                <w:i/>
              </w:rPr>
              <w:t>łączenie instalacji w przestrzeni kosmicznej i naziemnych jest ważne z punktu widzenia rozwoju łączności, aby lepiej przygotować się na kolejną falę infrastruktury cyfrowej umożliwiającej Europie zajęcie pozycji lidera;</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77</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&lt;Members&gt;&lt;/Members&gt;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3 b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(3b)</w:t>
            </w:r>
            <w:r>
              <w:tab/>
            </w:r>
            <w:r>
              <w:rPr>
                <w:b/>
                <w:i/>
              </w:rPr>
              <w:t>należy wziąć pod uwagę satelitarne łącza dosyłowe umożliwiające zmniejszenie kosztów instalacji sieci łączności elektronicznej w szybkiej łączności cyfrowej, co wymaga instalacji sieci 5G na wszystkich obszarach miejskich do 2030 r., a także ultraszybkich sieci szerokopasmowych</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78</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&lt;Members&gt;&lt;/Members&gt;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3 c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(3c)</w:t>
            </w:r>
            <w:r>
              <w:tab/>
            </w:r>
            <w:r>
              <w:rPr>
                <w:b/>
                <w:i/>
              </w:rPr>
              <w:t>Niedawny postęp techniczny umożliwił powstanie konstelacji satelitów komunikacyjnych i stopniowe oferowanie szybkich usług łączności o niskim opóźnieniu. Umożliwił łączność w całej Unii i na całym świecie obywatelom i przedsiębiorstwom, w tym m.in. dostęp do przystępnych cenowo szybkich łączy szerokopasmowych, które mogą pomóc w usunięciu stref bez zasięgu i zwiększyć spójność w całej Unii, w tym w jej regionach najbardziej oddalonych, na obszarach wiejskich, peryferyjnych, oddalonych i odizolowanych oraz wyspach. W tym względzie zasoby przewidziane w rozporządzeniu Parlamentu Europejskiego i Rady (UE) 2023/588 z 15 marca 2023 r. ustanawiającym unijny program bezpiecznej łączności na lata 2023–2027, a w szczególności możliwości dostępu do internetu dzięki konstelacji satelitów, należy uwzględnić w planowaniu i rozbudowie stacjonarnych i bezprzewodowych sieci o bardzo dużej przepustowości w całej Unii.</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Łączenie różnych inicjatyw UE i tworzenie synergii.</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79</w:t>
      </w:r>
      <w:r>
        <w:rPr>
          <w:rStyle w:val="HideTWBExt"/>
          <w:lang w:val="en-GB"/>
        </w:rPr>
        <w:t>&lt;/NumAm&gt;</w:t>
      </w:r>
    </w:p>
    <w:p w:rsidR="00C77B3E" w:rsidRPr="004448C8" w:rsidRDefault="00C77B3E" w:rsidP="00C77B3E">
      <w:pPr>
        <w:pStyle w:val="NormalBold"/>
      </w:pPr>
      <w:r>
        <w:rPr>
          <w:rStyle w:val="HideTWBExt"/>
          <w:lang w:val="en-GB"/>
        </w:rPr>
        <w:t>&lt;RepeatBlock-By&gt;&lt;Members&gt;</w:t>
      </w:r>
      <w:r>
        <w:t xml:space="preserve">Cristian-Silviu Buşoi, Ioan-Rareş Bogdan </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4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(4a)</w:t>
            </w:r>
            <w:r>
              <w:tab/>
            </w:r>
            <w:r>
              <w:rPr>
                <w:b/>
                <w:i/>
              </w:rPr>
              <w:t>Aby osiągnąć cele określone w niniejszym rozporządzeniu, państwa członkowskie wraz z właściwymi podmiotami UE rozważają wykorzystanie łączy satelitarnych do usług dosyłowych. Powinno to zminimalizować wydatki związane z wdrożeniem infrastruktury komunikacyjnej oferującej szybką łączność cyfrową.</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80</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François-Xavier Bellamy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(5)</w:t>
            </w:r>
            <w:r>
              <w:tab/>
              <w:t>Rozbudowa sieci o bardzo dużej przepustowości (zdefiniowanych w dyrektywie (UE) 2018/1972) w całej Unii wymaga znaczących inwestycji, z których dużą część stanowią koszty robót inżynieryjno-budowlanych. Wspólne korzystanie z infrastruktury technicznej ograniczyłoby konieczność wykonywania kosztownych robót inżynieryjno-budowlanych i zwiększyłoby skuteczność rozbudowy zaawansowanych sieci szerokopasmowych.</w:t>
            </w:r>
          </w:p>
        </w:tc>
        <w:tc>
          <w:tcPr>
            <w:tcW w:w="4876" w:type="dxa"/>
          </w:tcPr>
          <w:p w:rsidR="00C77B3E" w:rsidRPr="004448C8" w:rsidRDefault="00C77B3E" w:rsidP="009D4E99">
            <w:pPr>
              <w:pStyle w:val="Normal6a"/>
            </w:pPr>
            <w:r>
              <w:t>(5)</w:t>
            </w:r>
            <w:r>
              <w:tab/>
              <w:t xml:space="preserve">Rozbudowa sieci o bardzo dużej przepustowości (zdefiniowanych w dyrektywie (UE) 2018/1972) w całej Unii wymaga znaczących inwestycji, z których dużą część stanowią koszty robót inżynieryjno-budowlanych. Wspólne korzystanie z infrastruktury technicznej ograniczyłoby konieczność wykonywania kosztownych robót inżynieryjno-budowlanych i zwiększyłoby skuteczność rozbudowy zaawansowanych sieci szerokopasmowych. </w:t>
            </w:r>
            <w:r>
              <w:rPr>
                <w:b/>
                <w:i/>
              </w:rPr>
              <w:t>Obowiązujące przepisy dotyczące konkurencji nie powinny uniemożliwiać współdzielenia infrastruktury sieciowej, zwłaszcza na obszarach o niskim natężeniu ruchu.</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81</w:t>
      </w:r>
      <w:r>
        <w:rPr>
          <w:rStyle w:val="HideTWBExt"/>
          <w:lang w:val="en-GB"/>
        </w:rPr>
        <w:t>&lt;/NumAm&gt;</w:t>
      </w:r>
    </w:p>
    <w:p w:rsidR="00C77B3E" w:rsidRPr="004448C8" w:rsidRDefault="00C77B3E" w:rsidP="00C77B3E">
      <w:pPr>
        <w:pStyle w:val="NormalBold"/>
      </w:pPr>
      <w:r>
        <w:rPr>
          <w:rStyle w:val="HideTWBExt"/>
          <w:lang w:val="en-GB"/>
        </w:rPr>
        <w:t>&lt;RepeatBlock-By&gt;&lt;Members&gt;</w:t>
      </w:r>
      <w:r>
        <w:t xml:space="preserve">Cristian-Silviu Buşoi, Ioan-Rareş Bogdan </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(8)</w:t>
            </w:r>
            <w:r>
              <w:tab/>
              <w:t>Środki przewidziane w dyrektywie 2014/61/UE przyczyniły się do zmniejszenia kosztów wdrażania szybkich sieci łączności elektronicznej. Środki te należy jednak wzmocnić, aby jeszcze bardziej zmniejszyć koszty i przyspieszyć wdrażanie sieci.</w:t>
            </w:r>
          </w:p>
        </w:tc>
        <w:tc>
          <w:tcPr>
            <w:tcW w:w="4876" w:type="dxa"/>
          </w:tcPr>
          <w:p w:rsidR="00C77B3E" w:rsidRPr="004448C8" w:rsidRDefault="00C77B3E" w:rsidP="009D4E99">
            <w:pPr>
              <w:pStyle w:val="Normal6a"/>
            </w:pPr>
            <w:r>
              <w:t>(8)</w:t>
            </w:r>
            <w:r>
              <w:tab/>
              <w:t xml:space="preserve">Środki przewidziane w dyrektywie 2014/61/UE przyczyniły się do zmniejszenia kosztów wdrażania szybkich sieci łączności elektronicznej. Środki te należy jednak wzmocnić, aby jeszcze bardziej zmniejszyć koszty i przyspieszyć wdrażanie sieci. </w:t>
            </w:r>
            <w:r>
              <w:rPr>
                <w:b/>
                <w:i/>
              </w:rPr>
              <w:t>Przyczyni się to do obniżenia cen transmisji danych w ramach usług roamingu oraz do zniesienia ograniczeń ilości danych przesyłanych w roamingu.</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82</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(8)</w:t>
            </w:r>
            <w:r>
              <w:tab/>
              <w:t>Środki przewidziane w dyrektywie 2014/61/UE przyczyniły się do zmniejszenia kosztów wdrażania szybkich sieci łączności elektronicznej. Środki te należy jednak wzmocnić, aby jeszcze bardziej zmniejszyć koszty i przyspieszyć wdrażanie sieci.</w:t>
            </w:r>
          </w:p>
        </w:tc>
        <w:tc>
          <w:tcPr>
            <w:tcW w:w="4876" w:type="dxa"/>
          </w:tcPr>
          <w:p w:rsidR="00C77B3E" w:rsidRPr="004448C8" w:rsidRDefault="00C77B3E" w:rsidP="009D4E99">
            <w:pPr>
              <w:pStyle w:val="Normal6a"/>
            </w:pPr>
            <w:r>
              <w:t>(8)</w:t>
            </w:r>
            <w:r>
              <w:tab/>
              <w:t>Środki przewidziane w dyrektywie 2014/61/UE przyczyniły się do zmniejszenia kosztów wdrażania szybkich sieci łączności elektronicznej. Środki te należy jednak wzmocnić</w:t>
            </w:r>
            <w:r>
              <w:rPr>
                <w:b/>
                <w:i/>
              </w:rPr>
              <w:t xml:space="preserve"> i usprawnić</w:t>
            </w:r>
            <w:r>
              <w:t>, aby jeszcze bardziej zmniejszyć koszty i przyspieszyć wdrażanie sieci</w:t>
            </w:r>
            <w:r>
              <w:rPr>
                <w:b/>
                <w:i/>
              </w:rPr>
              <w:t xml:space="preserve"> zgodnie z zasadą „nie czyń poważnych szkód” (DNSH), tam gdzie to istotne</w:t>
            </w:r>
            <w:r>
              <w:t>.</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83</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&lt;Members&gt;</w:t>
      </w:r>
      <w:r>
        <w:t xml:space="preserve"> </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(9)</w:t>
            </w:r>
            <w:r>
              <w:tab/>
              <w:t>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 Środki te powinny przyczynić się do utrzymania efektywnej konkurencji bez niekorzystnego wpływu na bezpieczeństwo, ochronę i sprawne funkcjonowanie istniejącej infrastruktury.</w:t>
            </w:r>
          </w:p>
        </w:tc>
        <w:tc>
          <w:tcPr>
            <w:tcW w:w="4876" w:type="dxa"/>
          </w:tcPr>
          <w:p w:rsidR="00C77B3E" w:rsidRPr="004448C8" w:rsidRDefault="00C77B3E" w:rsidP="009D4E99">
            <w:pPr>
              <w:pStyle w:val="Normal6a"/>
            </w:pPr>
            <w:r>
              <w:t>(9)</w:t>
            </w:r>
            <w:r>
              <w:tab/>
              <w:t>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w:t>
            </w:r>
            <w:r>
              <w:rPr>
                <w:b/>
                <w:i/>
              </w:rPr>
              <w:t>, w szczególności na obszarach wiejskich, wyspiarskich i obszarach oddalonych, takich jak wyspy oraz regiony górzyste i słabo zaludnione, a także regiony najbardziej oddalone i korytarze transportowe</w:t>
            </w:r>
            <w:r>
              <w:t>. Środki te powinny przyczynić się do utrzymania efektywnej konkurencji bez niekorzystnego wpływu na bezpieczeństwo, ochronę</w:t>
            </w:r>
            <w:r>
              <w:rPr>
                <w:b/>
                <w:i/>
              </w:rPr>
              <w:t>, zdrowie publiczne, środowisko</w:t>
            </w:r>
            <w:r>
              <w:t xml:space="preserve"> i sprawne funkcjonowanie istniejącej infrastruktury.</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84</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Johan Nissinen,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(9)</w:t>
            </w:r>
            <w:r>
              <w:tab/>
              <w:t>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 Środki te powinny przyczynić się do utrzymania efektywnej konkurencji bez niekorzystnego wpływu na bezpieczeństwo, ochronę i sprawne funkcjonowanie istniejącej infrastruktury.</w:t>
            </w:r>
          </w:p>
        </w:tc>
        <w:tc>
          <w:tcPr>
            <w:tcW w:w="4876" w:type="dxa"/>
          </w:tcPr>
          <w:p w:rsidR="00C77B3E" w:rsidRPr="004448C8" w:rsidRDefault="00C77B3E" w:rsidP="009D4E99">
            <w:pPr>
              <w:pStyle w:val="Normal6a"/>
            </w:pPr>
            <w:r>
              <w:t>(9)</w:t>
            </w:r>
            <w:r>
              <w:tab/>
              <w:t xml:space="preserve">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 Środki te powinny przyczynić się do utrzymania </w:t>
            </w:r>
            <w:r>
              <w:rPr>
                <w:b/>
                <w:i/>
              </w:rPr>
              <w:t xml:space="preserve">i promowania </w:t>
            </w:r>
            <w:r>
              <w:t>efektywnej konkurencji</w:t>
            </w:r>
            <w:r>
              <w:rPr>
                <w:b/>
                <w:i/>
              </w:rPr>
              <w:t>, ponieważ bycie pierwszym podmiotem uruchamiającym nową technologię lub usługę na danym obszarze jest jednym z głównych czynników napędzających inwestycje w infrastrukturę cyfrową. Takie promowanie powinno się odbywać</w:t>
            </w:r>
            <w:r>
              <w:t xml:space="preserve"> bez niekorzystnego wpływu na bezpieczeństwo, ochronę i sprawne funkcjonowanie istniejącej infrastruktury.</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85</w:t>
      </w:r>
      <w:r>
        <w:rPr>
          <w:rStyle w:val="HideTWBExt"/>
          <w:lang w:val="en-GB"/>
        </w:rPr>
        <w:t>&lt;/NumAm&gt;</w:t>
      </w:r>
    </w:p>
    <w:p w:rsidR="00C77B3E" w:rsidRPr="004448C8" w:rsidRDefault="00C77B3E" w:rsidP="00C77B3E">
      <w:pPr>
        <w:pStyle w:val="NormalBold"/>
      </w:pPr>
      <w:r>
        <w:rPr>
          <w:rStyle w:val="HideTWBExt"/>
          <w:lang w:val="en-GB"/>
        </w:rPr>
        <w:t>&lt;RepeatBlock-By&gt;&lt;Members&gt;</w:t>
      </w:r>
      <w:r>
        <w:t>Beatrice Covassi, Carlos Zorrinho, Matthias Ecke, Josianne Cutajar, Patrizia Toia, Lina Gálvez Muñoz, Adriana Maldonado López</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(9)</w:t>
            </w:r>
            <w:r>
              <w:tab/>
              <w:t>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 Środki te powinny przyczynić się do utrzymania efektywnej konkurencji bez niekorzystnego wpływu na bezpieczeństwo, ochronę i sprawne funkcjonowanie istniejącej infrastruktury.</w:t>
            </w:r>
          </w:p>
        </w:tc>
        <w:tc>
          <w:tcPr>
            <w:tcW w:w="4876" w:type="dxa"/>
          </w:tcPr>
          <w:p w:rsidR="00C77B3E" w:rsidRPr="004448C8" w:rsidRDefault="00C77B3E" w:rsidP="009D4E99">
            <w:pPr>
              <w:pStyle w:val="Normal6a"/>
            </w:pPr>
            <w:r>
              <w:t>(9)</w:t>
            </w:r>
            <w:r>
              <w:tab/>
              <w:t>Środki mające na celu zwiększenie efektywności wykorzystania istniejącej infrastruktury publicznej i prywatnej oraz zmniejszenie kosztów nowych robót inżynieryjno-budowlanych i przeszkód utrudniających ich wykonywanie powinny w istotny sposób przyczynić się do zapewnienia szybkiego i powszechnego wdrażania sieci o bardzo dużej przepustowości</w:t>
            </w:r>
            <w:r>
              <w:rPr>
                <w:b/>
                <w:i/>
              </w:rPr>
              <w:t xml:space="preserve"> na wszystkich obszarach, w tym wiejskich i oddalonych</w:t>
            </w:r>
            <w:r>
              <w:t>. Środki te powinny przyczynić się do utrzymania efektywnej konkurencji bez niekorzystnego wpływu na bezpieczeństwo, ochronę i sprawne funkcjonowanie istniejącej infrastruktury.</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86</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&lt;Members&gt;&lt;/Members&gt;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9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(9a)</w:t>
            </w:r>
            <w:r>
              <w:tab/>
            </w:r>
            <w:r>
              <w:rPr>
                <w:b/>
                <w:i/>
              </w:rPr>
              <w:t>Biorąc pod uwagę rosnącą liczbę pozwoleń na instalację sieci o bardzo dużej przepustowości oraz ich głównie lokalny charakter, opłaty za pozwolenia na roboty budowlane mogą znacznie różnić się między poszczególnymi państwami członkowskimi i w obrębie samych państw. Mogą one również pochłaniać znaczną część kosztów instalacji, zwłaszcza na obszarach wiejskich, oddalonych, wyspiarskich i na wyspach, gdzie koszt instalacji w przeliczeniu na użytkownika jest najwyższy. Państwa członkowskie powinny dopilnować, aby koszty wydawania pozwoleń pozostawały poziomie, który nie zniechęca do inwestycji, biorąc pod uwagę, że często wymagane jest wiele zezwoleń.</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87</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&lt;Members&gt;&lt;/Members&gt;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9 b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(9b)</w:t>
            </w:r>
            <w:r>
              <w:tab/>
            </w:r>
            <w:r>
              <w:rPr>
                <w:b/>
                <w:i/>
              </w:rPr>
              <w:t>Polityka dotycząca wysokiej jakości infrastruktury cyfrowej i inwestycje w nią powinna mieć na celu zapewnienie powszechnej łączności na całym obszarze Unii, z dostępem do internetu, aby zlikwidować przepaść cyfrową w całej Unii, ze szczególnym naciskiem na przepaść między różnymi obszarami geograficznymi, wsią i obszarami oddalonymi, takimi jak wyspy oraz regiony górzyste i słabo zaludnione, a także najbardziej oddalone i korytarze transportowe.</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88</w:t>
      </w:r>
      <w:r>
        <w:rPr>
          <w:rStyle w:val="HideTWBExt"/>
          <w:lang w:val="en-GB"/>
        </w:rPr>
        <w:t>&lt;/NumAm&gt;</w:t>
      </w:r>
    </w:p>
    <w:p w:rsidR="00C77B3E" w:rsidRPr="004448C8" w:rsidRDefault="00C77B3E" w:rsidP="00C77B3E">
      <w:pPr>
        <w:pStyle w:val="NormalBold"/>
      </w:pPr>
      <w:r>
        <w:rPr>
          <w:rStyle w:val="HideTWBExt"/>
          <w:lang w:val="en-GB"/>
        </w:rPr>
        <w:t>&lt;RepeatBlock-By&gt;&lt;Members&gt;</w:t>
      </w:r>
      <w:r>
        <w:t>Beatrice Covassi, Carlos Zorrinho, Patrizia Toia, Lina Gálvez Muñoz, Adriana Maldonado López</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c>
          <w:tcPr>
            <w:tcW w:w="4876" w:type="dxa"/>
          </w:tcPr>
          <w:p w:rsidR="00C77B3E" w:rsidRPr="004448C8" w:rsidRDefault="00C77B3E" w:rsidP="009D4E99">
            <w:pPr>
              <w:pStyle w:val="Normal6a"/>
            </w:pPr>
            <w:r>
              <w:t>(11)</w:t>
            </w:r>
            <w:r>
              <w:tab/>
              <w:t xml:space="preserve">Celem niniejszego rozporządzenia jest wzmocnienie oraz ujednolicenie praw i obowiązków mających zastosowanie w całej Unii, aby przyspieszyć wdrażanie sieci o bardzo dużej przepustowości oraz koordynację między sektorami.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t>
            </w:r>
            <w:r>
              <w:rPr>
                <w:b/>
                <w:i/>
              </w:rPr>
              <w:t xml:space="preserve">i/lub szybkie </w:t>
            </w:r>
            <w:r>
              <w:t xml:space="preserve">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 </w:t>
            </w:r>
            <w:r>
              <w:rPr>
                <w:b/>
                <w:i/>
              </w:rPr>
              <w:t xml:space="preserve">W związku z tym państwa członkowskie mogłyby wprowadzić bardziej rygorystyczne zobowiązania cenowe oparte na kosztach dotyczące warunków, które wnioski o dostęp powinny spełniać. Państwa członkowskie mogłyby także wprowadzić dodatkowe zwolnienia z wymogu uzyskania zezwolenia lub surowsze wymogi dotyczące terminu rozpatrywania wniosków o zezwolenia, pod warunkiem że nie naruszają one prawa Unii, w tym przepisów niniejszego rozporządzenia. </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89</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w:t>
            </w:r>
            <w:r>
              <w:rPr>
                <w:b/>
                <w:i/>
              </w:rPr>
              <w:t xml:space="preserve">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w:t>
            </w:r>
            <w:r>
              <w:t xml:space="preserve">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w:t>
            </w:r>
            <w:r>
              <w:rPr>
                <w:b/>
                <w:i/>
              </w:rPr>
              <w:t xml:space="preserve"> lub rozszerzeniu</w:t>
            </w:r>
            <w:r>
              <w:t xml:space="preserve">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90</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Adam Jarubas, Tomas Tobé, Henna Virkkunen, Adriana Maldonado López, Angelika Niebler</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w:t>
            </w:r>
            <w:r>
              <w:rPr>
                <w:b/>
                <w:i/>
              </w:rPr>
              <w:t>, przy jednoczesnym poszanowaniu różnych porządków konstytucyjnych państw członkowskich, w tym samorządu regionalnego i lokalnego, oraz zasady autonomii proceduralnej państw członkowskich</w:t>
            </w:r>
            <w:r>
              <w:t>.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91</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Dace Melbārde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(11)</w:t>
            </w:r>
            <w:r>
              <w:tab/>
              <w:t>Celem niniejszego rozporządzenia jest wzmocnienie oraz ujednolicenie praw i obowiązków mających zastosowanie w całej Unii, aby przyspieszyć wdrażanie sieci o bardzo dużej przepustowości oraz koordynację między sektorami.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c>
          <w:tcPr>
            <w:tcW w:w="4876" w:type="dxa"/>
          </w:tcPr>
          <w:p w:rsidR="00C77B3E" w:rsidRPr="004448C8" w:rsidRDefault="00C77B3E" w:rsidP="009D4E99">
            <w:pPr>
              <w:pStyle w:val="Normal6a"/>
            </w:pPr>
            <w:r>
              <w:t>(11)</w:t>
            </w:r>
            <w:r>
              <w:tab/>
              <w:t xml:space="preserve">Celem niniejszego rozporządzenia jest wzmocnienie oraz ujednolicenie praw i obowiązków mających zastosowanie w całej Unii, aby przyspieszyć wdrażanie sieci o bardzo dużej przepustowości oraz koordynację między sektorami. Z powodu utrzymującej się fragmentacji rynków łączności elektronicznej na poszczególnych rynkach krajowych przedsiębiorstwa udostępniające lub upoważnione do dostarczania sieci łączności elektronicznej nie mogą osiągnąć korzyści skali. Może to mieć silny pośredni wpływ na handel transgraniczny i transgraniczne świadczenie usług, ponieważ wiele usług można świadczyć tylko wtedy, gdy w całej Unii istnieje odpowiednio wydajna sieć. Niniejsze rozporządzenie, oprócz zapewnienia równych warunków działania, nie uniemożliwia stosowania środków krajowych zgodnych z prawem Unii, które służą promowaniu wspólnego korzystania z istniejącej infrastruktury technicznej lub umożliwiają bardziej efektywne wdrażanie nowej infrastruktury technicznej dzięki uzupełnieniu praw i obowiązków określonych w niniejszym rozporządzeniu. Przykładowo państwa członkowskie mogłyby </w:t>
            </w:r>
            <w:r>
              <w:rPr>
                <w:b/>
                <w:i/>
              </w:rPr>
              <w:t xml:space="preserve">skrócić terminy wydawania niezbędnych zezwoleń na instalację, </w:t>
            </w:r>
            <w:r>
              <w:t>rozszerzyć przepisy dotyczące koordynacji robót budowlanych również na projekty finansowane ze środków prywatnych lub wprowadzić wymóg, aby więcej informacji na temat infrastruktury technicznej lub planowanych robót budowlanych było przekazywanych do pojedynczego punktu informacyjnego w formie elektronicznej, pod warunkiem że nie naruszają one prawa Unii, w tym przepisów niniejszego rozporządzenia.</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92</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Massimiliano Salini, Adam Jarubas, Tomas Tobé, Seán Kelly, Henna Virkkunen, Angelika Niebler</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(12)</w:t>
            </w:r>
            <w:r>
              <w:tab/>
              <w:t>Aby zapewnić pewność prawa, w tym w odniesieniu do szczegółowych środków regulacyjnych nałożonych na podstawie tytułu II rozdziały II–IV dyrektywy (UE) 2018/1972 oraz dyrektywy 2002/77/WE</w:t>
            </w:r>
            <w:r>
              <w:rPr>
                <w:b/>
                <w:i/>
                <w:vertAlign w:val="superscript"/>
              </w:rPr>
              <w:t>36</w:t>
            </w:r>
            <w:r>
              <w:t>, przepisy tych dyrektyw powinny mieć pierwszeństwo przed przepisami niniejszego rozporządzenia.</w:t>
            </w:r>
          </w:p>
        </w:tc>
        <w:tc>
          <w:tcPr>
            <w:tcW w:w="4876" w:type="dxa"/>
          </w:tcPr>
          <w:p w:rsidR="00C77B3E" w:rsidRPr="004448C8" w:rsidRDefault="00C77B3E" w:rsidP="009D4E99">
            <w:pPr>
              <w:pStyle w:val="Normal6a"/>
            </w:pPr>
            <w:r>
              <w:t>(12)</w:t>
            </w:r>
            <w:r>
              <w:tab/>
              <w:t>Aby zapewnić pewność prawa, w tym w odniesieniu do szczegółowych środków regulacyjnych nałożonych na podstawie tytułu II rozdziały II–IV dyrektywy (UE) 2018/1972 oraz dyrektywy 2002/77/WE, przepisy tych dyrektyw</w:t>
            </w:r>
            <w:r>
              <w:rPr>
                <w:b/>
                <w:i/>
              </w:rPr>
              <w:t xml:space="preserve"> i ich transpozycje krajowe</w:t>
            </w:r>
            <w:r>
              <w:t xml:space="preserve"> powinny mieć pierwszeństwo przed przepisami niniejszego rozporządzenia.</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4448C8" w:rsidRDefault="00C77B3E" w:rsidP="009D4E99">
            <w:pPr>
              <w:pStyle w:val="Normal6a"/>
            </w:pPr>
            <w:r>
              <w:rPr>
                <w:vertAlign w:val="superscript"/>
              </w:rPr>
              <w:t>36</w:t>
            </w:r>
            <w:r>
              <w:t xml:space="preserve"> Dyrektywa Komisji 2002/77/WE z dnia 16 września 2002 r. w sprawie konkurencji na rynkach sieci i usług łączności elektronicznej (Dz.U. L 249 z 17.9.2002, s. 21).</w:t>
            </w:r>
          </w:p>
        </w:tc>
        <w:tc>
          <w:tcPr>
            <w:tcW w:w="4876" w:type="dxa"/>
          </w:tcPr>
          <w:p w:rsidR="00C77B3E" w:rsidRPr="004448C8" w:rsidRDefault="00C77B3E" w:rsidP="009D4E99">
            <w:pPr>
              <w:pStyle w:val="Normal6a"/>
            </w:pPr>
            <w:r>
              <w:rPr>
                <w:vertAlign w:val="superscript"/>
              </w:rPr>
              <w:t>36</w:t>
            </w:r>
            <w:r>
              <w:t xml:space="preserve"> Dyrektywa Komisji 2002/77/WE z dnia 16 września 2002 r. w sprawie konkurencji na rynkach sieci i usług łączności elektronicznej (Dz.U. L 249 z 17.9.2002, s. 21).</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93</w:t>
      </w:r>
      <w:r>
        <w:rPr>
          <w:rStyle w:val="HideTWBExt"/>
          <w:lang w:val="fr-FR"/>
        </w:rPr>
        <w:t>&lt;/NumAm&gt;</w:t>
      </w:r>
    </w:p>
    <w:p w:rsidR="00C77B3E" w:rsidRPr="004448C8" w:rsidRDefault="00C77B3E" w:rsidP="00C77B3E">
      <w:pPr>
        <w:pStyle w:val="NormalBold"/>
      </w:pPr>
      <w:r>
        <w:rPr>
          <w:rStyle w:val="HideTWBExt"/>
          <w:lang w:val="fr-FR"/>
        </w:rPr>
        <w:t>&lt;RepeatBlock-By&gt;&lt;Members&gt;</w:t>
      </w:r>
      <w:r>
        <w:t>Franc Bogovič</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(13)</w:t>
            </w:r>
            <w:r>
              <w:tab/>
              <w:t xml:space="preserve">Dla </w:t>
            </w:r>
            <w:r>
              <w:rPr>
                <w:b/>
                <w:i/>
              </w:rPr>
              <w:t>operatorów</w:t>
            </w:r>
            <w:r>
              <w:t xml:space="preserve"> sieci łączności elektronicznej, w szczególności nowych podmiotów na rynku, o wiele bardziej wydajne może być wykorzystywanie już istniejącej infrastruktury technicznej, w tym należącej do innych przedsiębiorstw użyteczności publicznej, na potrzeby rozbudowy sieci o bardzo dużej przepustowości</w:t>
            </w:r>
            <w:r>
              <w:rPr>
                <w:b/>
                <w:i/>
              </w:rPr>
              <w:t xml:space="preserve"> lub wprowadzania urządzeń towarzyszących</w:t>
            </w:r>
            <w:r>
              <w:t xml:space="preserve">. Dotyczy to w szczególności obszarów, na których nie jest dostępna odpowiednia sieć łączności elektronicznej lub na których budowa nowej infrastruktury technicznej może być nieopłacalna. Ponadto synergie między sektorami mogą znacząco ograniczyć zapotrzebowanie na wykonywanie robót budowlanych związanych z wdrażaniem sieci o bardzo dużej przepustowości. Ponowne wykorzystanie może również przyczynić się do zmniejszenia kosztów społecznych i środowiskowych związanych z takimi robotami, takich jak zanieczyszczenie, uciążliwości i zatory komunikacyjne. Z tego względu niniejsze rozporządzenie powinno mieć zastosowanie nie tylko do </w:t>
            </w:r>
            <w:r>
              <w:rPr>
                <w:b/>
                <w:i/>
              </w:rPr>
              <w:t>operatorów</w:t>
            </w:r>
            <w:r>
              <w:t>, ale również do właścicieli lub podmiotów uprawnionych do użytkowania rozległej i wszechobecnej infrastruktury technicznej, w ramach której można umieścić elementy sieci łączności elektronicznej, takie jak sieci techniczne wykorzystywane do dostarczania usług elektroenergetycznych, gazowych, wodociągowych, kanalizacyjnych i odprowadzania wód opadowych, grzewczych i transportowych. W przypadku podmiotów uprawnionych nie powoduje to zmian jakichkolwiek praw własności osób trzecich.</w:t>
            </w:r>
          </w:p>
        </w:tc>
        <w:tc>
          <w:tcPr>
            <w:tcW w:w="4876" w:type="dxa"/>
          </w:tcPr>
          <w:p w:rsidR="00C77B3E" w:rsidRPr="004448C8" w:rsidRDefault="00C77B3E" w:rsidP="009D4E99">
            <w:pPr>
              <w:pStyle w:val="Normal6a"/>
            </w:pPr>
            <w:r>
              <w:t>(13)</w:t>
            </w:r>
            <w:r>
              <w:tab/>
              <w:t xml:space="preserve">Dla </w:t>
            </w:r>
            <w:r>
              <w:rPr>
                <w:b/>
                <w:i/>
              </w:rPr>
              <w:t>przedsiębiorstw udostępniających publiczne</w:t>
            </w:r>
            <w:r>
              <w:t xml:space="preserve"> sieci łączności elektronicznej</w:t>
            </w:r>
            <w:r>
              <w:rPr>
                <w:b/>
                <w:i/>
              </w:rPr>
              <w:t xml:space="preserve"> lub upoważnionych do ich udostępniania</w:t>
            </w:r>
            <w:r>
              <w:t xml:space="preserve">, w szczególności nowych podmiotów na rynku, o wiele bardziej wydajne może być wykorzystywanie już istniejącej infrastruktury technicznej, w tym należącej do innych przedsiębiorstw użyteczności publicznej, na potrzeby rozbudowy sieci o bardzo dużej przepustowości. Dotyczy to w szczególności obszarów, na których nie jest dostępna odpowiednia sieć łączności elektronicznej lub na których budowa nowej infrastruktury technicznej może być nieopłacalna. Ponadto synergie między sektorami mogą znacząco ograniczyć zapotrzebowanie na wykonywanie robót budowlanych związanych z wdrażaniem sieci o bardzo dużej przepustowości. Ponowne wykorzystanie może również przyczynić się do zmniejszenia kosztów społecznych i środowiskowych związanych z takimi robotami, takich jak zanieczyszczenie, uciążliwości i zatory komunikacyjne. Z tego względu niniejsze rozporządzenie powinno mieć zastosowanie nie tylko do </w:t>
            </w:r>
            <w:r>
              <w:rPr>
                <w:b/>
                <w:i/>
              </w:rPr>
              <w:t>przedsiębiorstw udostępniających publiczne sieci łączności elektronicznej lub upoważnionych do ich udostępniania</w:t>
            </w:r>
            <w:r>
              <w:t>, ale również do właścicieli lub podmiotów uprawnionych do użytkowania rozległej i wszechobecnej infrastruktury technicznej, w ramach której można umieścić elementy sieci łączności elektronicznej, takie jak sieci techniczne wykorzystywane do dostarczania usług elektroenergetycznych, gazowych, wodociągowych, kanalizacyjnych i odprowadzania wód opadowych, grzewczych i transportowych. W przypadku podmiotów uprawnionych nie powoduje to zmian jakichkolwiek praw własności osób trzecich.</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94</w:t>
      </w:r>
      <w:r>
        <w:rPr>
          <w:rStyle w:val="HideTWBExt"/>
          <w:lang w:val="en-GB"/>
        </w:rPr>
        <w:t>&lt;/NumAm&gt;</w:t>
      </w:r>
    </w:p>
    <w:p w:rsidR="00C77B3E" w:rsidRPr="004448C8" w:rsidRDefault="00C77B3E" w:rsidP="00C77B3E">
      <w:pPr>
        <w:pStyle w:val="NormalBold"/>
      </w:pPr>
      <w:r>
        <w:rPr>
          <w:rStyle w:val="HideTWBExt"/>
          <w:lang w:val="en-GB"/>
        </w:rPr>
        <w:t>&lt;RepeatBlock-By&gt;&lt;Members&gt;</w:t>
      </w:r>
      <w:r>
        <w:t>Niklas Nienass</w:t>
      </w:r>
      <w:r>
        <w:rPr>
          <w:rStyle w:val="HideTWBExt"/>
          <w:lang w:val="en-GB"/>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&lt;Members&gt;&lt;/Members&gt;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(13)</w:t>
            </w:r>
            <w:r>
              <w:tab/>
              <w:t>Dla operatorów sieci łączności elektronicznej, w szczególności nowych podmiotów na rynku, o wiele bardziej wydajne może być wykorzystywanie już istniejącej infrastruktury technicznej, w tym należącej do innych przedsiębiorstw użyteczności publicznej, na potrzeby rozbudowy sieci o bardzo dużej przepustowości lub wprowadzania urządzeń towarzyszących. Dotyczy to w szczególności obszarów, na których nie jest dostępna odpowiednia sieć łączności elektronicznej lub na których budowa nowej infrastruktury technicznej może być nieopłacalna. Ponadto synergie między sektorami mogą znacząco ograniczyć zapotrzebowanie na wykonywanie robót budowlanych związanych z wdrażaniem sieci o bardzo dużej przepustowości. Ponowne wykorzystanie może również przyczynić się do zmniejszenia kosztów społecznych i środowiskowych związanych z takimi robotami, takich jak zanieczyszczenie, uciążliwości i zatory komunikacyjne. Z tego względu niniejsze rozporządzenie powinno mieć zastosowanie nie tylko do operatorów, ale również do właścicieli lub podmiotów uprawnionych do użytkowania rozległej i wszechobecnej infrastruktury technicznej, w ramach której można umieścić elementy sieci łączności elektronicznej, takie jak sieci techniczne wykorzystywane do dostarczania usług elektroenergetycznych, gazowych, wodociągowych, kanalizacyjnych i odprowadzania wód opadowych, grzewczych i transportowych. W przypadku podmiotów uprawnionych nie powoduje to zmian jakichkolwiek praw własności osób trzecich.</w:t>
            </w:r>
          </w:p>
        </w:tc>
        <w:tc>
          <w:tcPr>
            <w:tcW w:w="4876" w:type="dxa"/>
          </w:tcPr>
          <w:p w:rsidR="00C77B3E" w:rsidRPr="004448C8" w:rsidRDefault="00C77B3E" w:rsidP="009D4E99">
            <w:pPr>
              <w:pStyle w:val="Normal6a"/>
            </w:pPr>
            <w:r>
              <w:t>(13)</w:t>
            </w:r>
            <w:r>
              <w:tab/>
              <w:t>Dla operatorów sieci łączności elektronicznej, w szczególności nowych podmiotów na rynku, o wiele bardziej wydajne może być wykorzystywanie już istniejącej infrastruktury technicznej, w tym należącej do innych przedsiębiorstw użyteczności publicznej, na potrzeby rozbudowy sieci o bardzo dużej przepustowości lub wprowadzania urządzeń towarzyszących. Dotyczy to w szczególności obszarów, na których nie jest dostępna odpowiednia sieć łączności elektronicznej lub na których budowa nowej infrastruktury technicznej może być nieopłacalna. Ponadto synergie między sektorami mogą znacząco ograniczyć zapotrzebowanie na wykonywanie robót budowlanych związanych z wdrażaniem sieci o bardzo dużej przepustowości. Ponowne wykorzystanie może również przyczynić się do zmniejszenia kosztów społecznych i środowiskowych związanych z takimi robotami, takich jak zanieczyszczenie, uciążliwości i zatory komunikacyjne. Z tego względu niniejsze rozporządzenie powinno mieć zastosowanie nie tylko do operatorów, ale również do właścicieli lub podmiotów uprawnionych do użytkowania rozległej i wszechobecnej infrastruktury technicznej, w ramach której można umieścić elementy sieci łączności elektronicznej, takie jak sieci techniczne wykorzystywane do dostarczania usług elektroenergetycznych, gazowych, wodociągowych, kanalizacyjnych i odprowadzania wód opadowych, grzewczych i transportowych. W przypadku podmiotów uprawnionych nie powoduje to zmian jakichkolwiek praw własności osób trzecich</w:t>
            </w:r>
            <w:r>
              <w:rPr>
                <w:b/>
                <w:i/>
              </w:rPr>
              <w:t xml:space="preserve"> ani nie utrudnia korzystania z nich</w:t>
            </w:r>
            <w:r>
              <w:t>.</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95</w:t>
      </w:r>
      <w:r>
        <w:rPr>
          <w:rStyle w:val="HideTWBExt"/>
          <w:lang w:val="fr-FR"/>
        </w:rPr>
        <w:t>&lt;/NumAm&gt;</w:t>
      </w:r>
    </w:p>
    <w:p w:rsidR="00C77B3E" w:rsidRPr="004448C8" w:rsidRDefault="00C77B3E" w:rsidP="00C77B3E">
      <w:pPr>
        <w:pStyle w:val="NormalBold"/>
      </w:pPr>
      <w:r>
        <w:rPr>
          <w:rStyle w:val="HideTWBExt"/>
          <w:lang w:val="fr-FR"/>
        </w:rPr>
        <w:t>&lt;RepeatBlock-By&gt;&lt;Members&gt;</w:t>
      </w:r>
      <w:r>
        <w:t>Massimiliano Salini</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(14)</w:t>
            </w:r>
            <w:r>
              <w:tab/>
              <w:t>W celu usprawnienia wdrażania sieci o bardzo dużej przepustowości na rynku wewnętrznym w niniejszym rozporządzeniu należy ustanowić prawa na rzecz przedsiębiorstw, które udostępniają publiczne sieci łączności elektronicznej lub urządzenia towarzyszące (w tym przedsiębiorstw o charakterze publicznym), dostępu do infrastruktury technicznej bez względu na jej położenie, na sprawiedliwych i rozsądnych warunkach dających się pogodzić z normalnym wykonywaniem praw własności. Obowiązek udzielenia dostępu do infrastruktury technicznej nie powinien naruszać praw właściciela gruntu lub budynku, w którym znajduje się przedmiotowa infrastruktura.</w:t>
            </w:r>
          </w:p>
        </w:tc>
        <w:tc>
          <w:tcPr>
            <w:tcW w:w="4876" w:type="dxa"/>
          </w:tcPr>
          <w:p w:rsidR="00C77B3E" w:rsidRPr="004448C8" w:rsidRDefault="00C77B3E" w:rsidP="009D4E99">
            <w:pPr>
              <w:pStyle w:val="Normal6a"/>
            </w:pPr>
            <w:r>
              <w:t>(14)</w:t>
            </w:r>
            <w:r>
              <w:tab/>
              <w:t xml:space="preserve">W celu usprawnienia wdrażania sieci o bardzo dużej przepustowości na rynku wewnętrznym w niniejszym rozporządzeniu należy ustanowić prawa na rzecz przedsiębiorstw, które udostępniają publiczne sieci łączności elektronicznej lub urządzenia towarzyszące (w tym przedsiębiorstw o charakterze publicznym), dostępu do infrastruktury technicznej bez względu na jej położenie, na sprawiedliwych i rozsądnych warunkach dających się pogodzić z normalnym wykonywaniem praw własności. </w:t>
            </w:r>
            <w:r>
              <w:rPr>
                <w:b/>
                <w:i/>
              </w:rPr>
              <w:t>Zasadnicze znaczenie ma również zagwarantowanie dostawcom dostępu godziwego zwrotu z inwestycji, który uwzględnia szczególne warunki rynkowe, a w szczególności różne rodzaje modeli biznesowych, w których funkcjonują dostawcy urządzeń towarzyszących. W związku z tym, jeżeli działają w oparciu o model wyłącznie hurtowy, który zapewnia jedynie bierny dostęp wielu publicznym operatorom hostingowym łączności elektronicznej w porównywalnych okolicznościach, dostawcy urządzeń towarzyszących mogą zakładać, że oferowana przez nich cena dostępu jest uczciwa i rozsądna. Nie należy wymagać, aby cena była zgodna z uczciwymi i rozsądnymi warunkami, jeżeli dostęp jest zapewniany na podstawie umowy zawartej przed datą wejścia w życie niniejszego rozporządzenia, a cena została już wynegocjowana i uzgodniona lub zawarta w umowie.</w:t>
            </w:r>
            <w:r>
              <w:t xml:space="preserve"> Obowiązek udzielenia dostępu do infrastruktury technicznej nie powinien naruszać praw właściciela gruntu lub budynku, w którym znajduje się przedmiotowa infrastruktura.</w:t>
            </w:r>
          </w:p>
        </w:tc>
      </w:tr>
    </w:tbl>
    <w:p w:rsidR="00C77B3E" w:rsidRPr="004448C8" w:rsidRDefault="00C77B3E" w:rsidP="00C77B3E">
      <w:pPr>
        <w:pStyle w:val="AmOrLang"/>
        <w:rPr>
          <w:lang w:val="pt-PT"/>
        </w:rPr>
      </w:pPr>
      <w:r w:rsidRPr="004448C8">
        <w:rPr>
          <w:lang w:val="pt-PT"/>
        </w:rPr>
        <w:t xml:space="preserve">Or. </w:t>
      </w:r>
      <w:r w:rsidRPr="004448C8">
        <w:rPr>
          <w:rStyle w:val="HideTWBExt"/>
          <w:lang w:val="pt-PT"/>
        </w:rPr>
        <w:t>&lt;Original&gt;</w:t>
      </w:r>
      <w:r w:rsidRPr="004448C8">
        <w:rPr>
          <w:rStyle w:val="HideTWBInt"/>
          <w:lang w:val="pt-PT"/>
        </w:rPr>
        <w:t>{EN}</w:t>
      </w:r>
      <w:r w:rsidRPr="004448C8">
        <w:rPr>
          <w:lang w:val="pt-PT"/>
        </w:rPr>
        <w:t>en</w:t>
      </w:r>
      <w:r w:rsidRPr="004448C8">
        <w:rPr>
          <w:rStyle w:val="HideTWBExt"/>
          <w:lang w:val="pt-PT"/>
        </w:rPr>
        <w:t>&lt;/Original&gt;</w:t>
      </w:r>
    </w:p>
    <w:p w:rsidR="00C77B3E" w:rsidRPr="004448C8" w:rsidRDefault="00C77B3E" w:rsidP="00C77B3E">
      <w:r>
        <w:rPr>
          <w:rStyle w:val="HideTWBExt"/>
          <w:lang w:val="pt-PT"/>
        </w:rPr>
        <w:t>&lt;/Amend&gt;</w:t>
      </w:r>
    </w:p>
    <w:p w:rsidR="00C77B3E" w:rsidRPr="004448C8" w:rsidRDefault="00C77B3E" w:rsidP="00C77B3E">
      <w:pPr>
        <w:pStyle w:val="AmNumberTabs"/>
      </w:pPr>
      <w:r>
        <w:rPr>
          <w:rStyle w:val="HideTWBExt"/>
          <w:lang w:val="pt-PT"/>
        </w:rPr>
        <w:t>&lt;Amend&gt;</w:t>
      </w:r>
      <w:r>
        <w:t>Poprawka</w:t>
      </w:r>
      <w:r>
        <w:tab/>
      </w:r>
      <w:r>
        <w:tab/>
      </w:r>
      <w:r>
        <w:rPr>
          <w:rStyle w:val="HideTWBExt"/>
          <w:lang w:val="pt-PT"/>
        </w:rPr>
        <w:t>&lt;NumAm&gt;</w:t>
      </w:r>
      <w:r>
        <w:t>96</w:t>
      </w:r>
      <w:r>
        <w:rPr>
          <w:rStyle w:val="HideTWBExt"/>
          <w:lang w:val="pt-PT"/>
        </w:rPr>
        <w:t>&lt;/NumAm&gt;</w:t>
      </w:r>
    </w:p>
    <w:p w:rsidR="00C77B3E" w:rsidRPr="004448C8" w:rsidRDefault="00C77B3E" w:rsidP="00C77B3E">
      <w:pPr>
        <w:pStyle w:val="NormalBold"/>
      </w:pPr>
      <w:r>
        <w:rPr>
          <w:rStyle w:val="HideTWBExt"/>
          <w:lang w:val="pt-PT"/>
        </w:rPr>
        <w:t>&lt;RepeatBlock-By&gt;&lt;Members&gt;</w:t>
      </w:r>
      <w:r>
        <w:t xml:space="preserve">Beatrice Covassi, Carlos Zorrinho, Patrizia Toia </w:t>
      </w:r>
      <w:r>
        <w:rPr>
          <w:rStyle w:val="HideTWBExt"/>
          <w:lang w:val="pt-PT"/>
        </w:rPr>
        <w:t>&lt;/Members&gt;</w:t>
      </w:r>
    </w:p>
    <w:p w:rsidR="00C77B3E" w:rsidRPr="004448C8" w:rsidRDefault="00C77B3E" w:rsidP="00C77B3E">
      <w:pPr>
        <w:pStyle w:val="NormalBold"/>
      </w:pPr>
      <w:r>
        <w:rPr>
          <w:rStyle w:val="HideTWBExt"/>
          <w:lang w:val="pt-P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(14)</w:t>
            </w:r>
            <w:r>
              <w:tab/>
              <w:t>W celu usprawnienia wdrażania sieci o bardzo dużej przepustowości na rynku wewnętrznym w niniejszym rozporządzeniu należy ustanowić prawa na rzecz przedsiębiorstw, które udostępniają publiczne sieci łączności elektronicznej lub urządzenia towarzyszące (w tym przedsiębiorstw o charakterze publicznym), dostępu do infrastruktury technicznej bez względu na jej położenie, na sprawiedliwych i rozsądnych warunkach dających się pogodzić z normalnym wykonywaniem praw własności. Obowiązek udzielenia dostępu do infrastruktury technicznej nie powinien naruszać praw właściciela gruntu lub budynku, w którym znajduje się przedmiotowa infrastruktura.</w:t>
            </w:r>
          </w:p>
        </w:tc>
        <w:tc>
          <w:tcPr>
            <w:tcW w:w="4876" w:type="dxa"/>
          </w:tcPr>
          <w:p w:rsidR="00C77B3E" w:rsidRPr="004448C8" w:rsidRDefault="00C77B3E" w:rsidP="009D4E99">
            <w:pPr>
              <w:pStyle w:val="Normal6a"/>
            </w:pPr>
            <w:r>
              <w:t>(14)</w:t>
            </w:r>
            <w:r>
              <w:tab/>
              <w:t xml:space="preserve">W celu usprawnienia wdrażania sieci o bardzo dużej przepustowości na rynku wewnętrznym w niniejszym rozporządzeniu należy ustanowić prawa na rzecz przedsiębiorstw, które udostępniają publiczne sieci łączności elektronicznej lub urządzenia towarzyszące (w tym przedsiębiorstw o charakterze publicznym), dostępu do infrastruktury technicznej bez względu na jej położenie, na sprawiedliwych i rozsądnych warunkach dających się pogodzić z normalnym wykonywaniem praw własności. </w:t>
            </w:r>
            <w:r>
              <w:rPr>
                <w:b/>
                <w:i/>
              </w:rPr>
              <w:t>Dostawcom dostępu należy przyznać godziwy zwrot z inwestycji, a taki zwrot powinien odzwierciedlać odpowiednie warunki rynkowe i różne modele biznesowe, takie jak te stosowane przez dostawców urządzeń towarzyszących. Oferowaną cenę dostępu można uznać za sprawiedliwą i rozsądną, jeżeli dostawcy oferują jedynie bierny dostęp więcej niż jednemu operatorowi łączności elektronicznej na porównywalnych warunkach.</w:t>
            </w:r>
            <w:r>
              <w:t xml:space="preserve"> Obowiązek udzielenia dostępu do infrastruktury technicznej nie powinien naruszać praw właściciela gruntu lub budynku, w którym znajduje się przedmiotowa infrastruktura.</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97</w:t>
      </w:r>
      <w:r>
        <w:rPr>
          <w:rStyle w:val="HideTWBExt"/>
          <w:lang w:val="fr-FR"/>
        </w:rPr>
        <w:t>&lt;/NumAm&gt;</w:t>
      </w:r>
    </w:p>
    <w:p w:rsidR="00C77B3E" w:rsidRPr="004448C8" w:rsidRDefault="00C77B3E" w:rsidP="00C77B3E">
      <w:pPr>
        <w:pStyle w:val="NormalBold"/>
      </w:pPr>
      <w:r>
        <w:rPr>
          <w:rStyle w:val="HideTWBExt"/>
          <w:lang w:val="fr-FR"/>
        </w:rPr>
        <w:t>&lt;RepeatBlock-By&gt;&lt;Members&gt;</w:t>
      </w:r>
      <w:r>
        <w:t xml:space="preserve">Franc Bogovič </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rPr>
                <w:b/>
                <w:i/>
              </w:rPr>
              <w:t>(15)</w:t>
            </w:r>
            <w:r>
              <w:tab/>
            </w:r>
            <w:r>
              <w:rPr>
                <w:b/>
                <w:i/>
              </w:rPr>
              <w:t>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zostają w ten sposób objęte wszystkimi obowiązkami i korzyściami określonymi w niniejszym rozporządzeniu, z wyjątkiem przepisów dotyczących wewnątrzbudynkowej infrastruktury technicznej i dostępu.</w:t>
            </w:r>
          </w:p>
        </w:tc>
        <w:tc>
          <w:tcPr>
            <w:tcW w:w="4876" w:type="dxa"/>
          </w:tcPr>
          <w:p w:rsidR="00C77B3E" w:rsidRPr="00DC0657" w:rsidRDefault="00C77B3E" w:rsidP="009D4E99">
            <w:pPr>
              <w:pStyle w:val="Normal6a"/>
            </w:pPr>
            <w:r>
              <w:rPr>
                <w:b/>
                <w:i/>
              </w:rPr>
              <w:t>skreśla się</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4448C8" w:rsidRDefault="00C77B3E" w:rsidP="00C77B3E">
      <w:pPr>
        <w:pStyle w:val="AmJustText"/>
      </w:pPr>
      <w:r>
        <w:t>Motyw ten został skreślony, aby uwzględnić proponowane zmiany w odpowiednich artykułach wniosku, polegające na wyłączeniu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4448C8" w:rsidRDefault="00C77B3E" w:rsidP="00C77B3E">
      <w:r>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98</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(15)</w:t>
            </w:r>
            <w:r>
              <w:tab/>
              <w:t>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zostają w ten sposób objęte wszystkimi obowiązkami i korzyściami określonymi w niniejszym rozporządzeniu, z wyjątkiem przepisów dotyczących wewnątrzbudynkowej infrastruktury technicznej i dostępu.</w:t>
            </w:r>
          </w:p>
        </w:tc>
        <w:tc>
          <w:tcPr>
            <w:tcW w:w="4876" w:type="dxa"/>
          </w:tcPr>
          <w:p w:rsidR="00C77B3E" w:rsidRPr="004448C8" w:rsidRDefault="00C77B3E" w:rsidP="009D4E99">
            <w:pPr>
              <w:pStyle w:val="Normal6a"/>
            </w:pPr>
            <w:r>
              <w:t>(15)</w:t>
            </w:r>
            <w:r>
              <w:tab/>
              <w:t xml:space="preserve">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zostają w ten sposób objęte wszystkimi obowiązkami i korzyściami określonymi w niniejszym rozporządzeniu, z wyjątkiem przepisów dotyczących wewnątrzbudynkowej infrastruktury technicznej i dostępu. </w:t>
            </w:r>
            <w:r>
              <w:rPr>
                <w:b/>
                <w:i/>
              </w:rPr>
              <w:t>Właściciele gruntów, na których zainstalowano lub zostaną zainstalowane urządzenia towarzyszące, powinni być zobowiązani do negocjowania dostępu do gruntów z przedsiębiorstwami zapewniającymi lub upoważnionymi do udostępniania tych urządzeń na uczciwych i rozsądnych warunkach, w tym dotyczących cen, zgodnie z krajowym prawem umów, aby zapewnić ciągłość obsługi i przewidywalność planowanych instalacji urządzeń towarzyszących.</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99</w:t>
      </w:r>
      <w:r>
        <w:rPr>
          <w:rStyle w:val="HideTWBExt"/>
          <w:lang w:val="sv-SE"/>
        </w:rPr>
        <w:t>&lt;/NumAm&gt;</w:t>
      </w:r>
    </w:p>
    <w:p w:rsidR="00C77B3E" w:rsidRPr="004448C8" w:rsidRDefault="00C77B3E" w:rsidP="00C77B3E">
      <w:pPr>
        <w:pStyle w:val="NormalBold"/>
      </w:pPr>
      <w:r>
        <w:rPr>
          <w:rStyle w:val="HideTWBExt"/>
          <w:lang w:val="sv-SE"/>
        </w:rPr>
        <w:t>&lt;RepeatBlock-By&gt;&lt;Members&gt;</w:t>
      </w:r>
      <w:r>
        <w:t xml:space="preserve">Angelika Niebler </w:t>
      </w:r>
      <w:r>
        <w:rPr>
          <w:rStyle w:val="HideTWBExt"/>
          <w:lang w:val="sv-SE"/>
        </w:rPr>
        <w:t>&lt;/Members&gt;</w:t>
      </w:r>
    </w:p>
    <w:p w:rsidR="00C77B3E" w:rsidRPr="004448C8" w:rsidRDefault="00C77B3E" w:rsidP="00C77B3E">
      <w:pPr>
        <w:pStyle w:val="NormalBold"/>
      </w:pPr>
      <w:r>
        <w:rPr>
          <w:rStyle w:val="HideTWBExt"/>
          <w:lang w:val="sv-SE"/>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(15)</w:t>
            </w:r>
            <w:r>
              <w:tab/>
              <w:t>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zostają w ten sposób objęte wszystkimi obowiązkami i korzyściami określonymi w niniejszym rozporządzeniu, z wyjątkiem przepisów dotyczących wewnątrzbudynkowej infrastruktury technicznej i dostępu.</w:t>
            </w:r>
          </w:p>
        </w:tc>
        <w:tc>
          <w:tcPr>
            <w:tcW w:w="4876" w:type="dxa"/>
          </w:tcPr>
          <w:p w:rsidR="00C77B3E" w:rsidRPr="004448C8" w:rsidRDefault="00C77B3E" w:rsidP="009D4E99">
            <w:pPr>
              <w:pStyle w:val="Normal6a"/>
            </w:pPr>
            <w:r>
              <w:t>(15)</w:t>
            </w:r>
            <w:r>
              <w:tab/>
              <w:t xml:space="preserve">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zostają w ten sposób objęte wszystkimi obowiązkami i korzyściami określonymi w niniejszym rozporządzeniu, z wyjątkiem przepisów dotyczących </w:t>
            </w:r>
            <w:r>
              <w:rPr>
                <w:b/>
                <w:i/>
              </w:rPr>
              <w:t xml:space="preserve">regulacji cenowych dotyczących dostępu do istniejącej infrastruktury technicznej i </w:t>
            </w:r>
            <w:r>
              <w:t>wewnątrzbudynkowej infrastruktury technicznej i dostępu.</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100</w:t>
      </w:r>
      <w:r>
        <w:rPr>
          <w:rStyle w:val="HideTWBExt"/>
          <w:lang w:val="fr-FR"/>
        </w:rPr>
        <w:t>&lt;/NumAm&gt;</w:t>
      </w:r>
    </w:p>
    <w:p w:rsidR="00C77B3E" w:rsidRPr="004448C8" w:rsidRDefault="00C77B3E" w:rsidP="00C77B3E">
      <w:pPr>
        <w:pStyle w:val="NormalBold"/>
      </w:pPr>
      <w:r>
        <w:rPr>
          <w:rStyle w:val="HideTWBExt"/>
          <w:lang w:val="fr-FR"/>
        </w:rPr>
        <w:t>&lt;RepeatBlock-By&gt;&lt;Members&gt;</w:t>
      </w:r>
      <w:r>
        <w:t>Adam Jarubas, Janusz Lewandowski</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(15)</w:t>
            </w:r>
            <w:r>
              <w:tab/>
              <w:t xml:space="preserve">W szczególności, biorąc pod uwagę </w:t>
            </w:r>
            <w:r>
              <w:rPr>
                <w:b/>
                <w:i/>
              </w:rPr>
              <w:t xml:space="preserve">szybki </w:t>
            </w:r>
            <w:r>
              <w:t xml:space="preserve">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w:t>
            </w:r>
            <w:r>
              <w:rPr>
                <w:b/>
                <w:i/>
              </w:rPr>
              <w:t>definicję „operatora sieci” należy rozszerzyć poza przedsiębiorstwa udostępniające lub upoważnione do dostarczania sieci łączności elektronicznej oraz operatorów innych rodzajów sieci</w:t>
            </w:r>
            <w:r>
              <w:t xml:space="preserve">, </w:t>
            </w:r>
            <w:r>
              <w:rPr>
                <w:b/>
                <w:i/>
              </w:rPr>
              <w:t>takich jak sieci transportowe</w:t>
            </w:r>
            <w:r>
              <w:t xml:space="preserve">, </w:t>
            </w:r>
            <w:r>
              <w:rPr>
                <w:b/>
                <w:i/>
              </w:rPr>
              <w:t>gazowe lub elektroenergetyczne, w celu uwzględnienia przedsiębiorstw dostarczających urządzenia towarzyszące, które to przedsiębiorstwa zostają w ten sposób objęte wszystkimi obowiązkami i korzyściami określonymi w niniejszym rozporządzeniu,</w:t>
            </w:r>
            <w:r>
              <w:t xml:space="preserve"> z</w:t>
            </w:r>
            <w:r>
              <w:rPr>
                <w:b/>
                <w:i/>
              </w:rPr>
              <w:t> wyjątkiem</w:t>
            </w:r>
            <w:r>
              <w:t xml:space="preserve"> przepisów dotyczących wewnątrzbudynkowej infrastruktury technicznej i dostępu.</w:t>
            </w:r>
          </w:p>
        </w:tc>
        <w:tc>
          <w:tcPr>
            <w:tcW w:w="4876" w:type="dxa"/>
          </w:tcPr>
          <w:p w:rsidR="00C77B3E" w:rsidRPr="004448C8" w:rsidRDefault="00C77B3E" w:rsidP="009D4E99">
            <w:pPr>
              <w:pStyle w:val="Normal6a"/>
            </w:pPr>
            <w:r>
              <w:t>(15)</w:t>
            </w:r>
            <w:r>
              <w:tab/>
              <w:t xml:space="preserve">W szczególności, biorąc pod uwagę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w:t>
            </w:r>
            <w:r>
              <w:rPr>
                <w:b/>
                <w:i/>
              </w:rPr>
              <w:t>rozporządzenie powinno przyspieszyć tempo rozwoju takiej bezprzewodowej infrastruktury technicznej</w:t>
            </w:r>
            <w:r>
              <w:t xml:space="preserve">, </w:t>
            </w:r>
            <w:r>
              <w:rPr>
                <w:b/>
                <w:i/>
              </w:rPr>
              <w:t>w tym instalacji masztów</w:t>
            </w:r>
            <w:r>
              <w:t xml:space="preserve">, </w:t>
            </w:r>
            <w:r>
              <w:rPr>
                <w:b/>
                <w:i/>
              </w:rPr>
              <w:t>zwłaszcza na obszarach mniej zurbanizowanych o ograniczonej lub nienadającej się infrastrukturze technicznej;</w:t>
            </w:r>
            <w:r>
              <w:t xml:space="preserve"> </w:t>
            </w:r>
            <w:r>
              <w:rPr>
                <w:b/>
                <w:i/>
              </w:rPr>
              <w:t>Przedsiębiorstwa dostarczające takie urządzenia towarzyszące powinny być wyłączone</w:t>
            </w:r>
            <w:r>
              <w:t xml:space="preserve"> z przepisów</w:t>
            </w:r>
            <w:r>
              <w:rPr>
                <w:b/>
                <w:i/>
              </w:rPr>
              <w:t xml:space="preserve"> niniejszego rozporządzenia</w:t>
            </w:r>
            <w:r>
              <w:t xml:space="preserve"> dotyczących wewnątrzbudynkowej infrastruktury technicznej i dostępu.</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101</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Tomas Tobé, Seán Kelly, Henna Virkkunen</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(15)</w:t>
            </w:r>
            <w:r>
              <w:tab/>
              <w:t xml:space="preserve">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w:t>
            </w:r>
            <w:r>
              <w:rPr>
                <w:b/>
                <w:i/>
              </w:rPr>
              <w:t>zostają w ten sposób objęte wszystkimi obowiązkami i korzyściami określonymi w niniejszym rozporządzeniu</w:t>
            </w:r>
            <w:r>
              <w:t>, z wyjątkiem przepisów dotyczących wewnątrzbudynkowej infrastruktury technicznej i dostępu.</w:t>
            </w:r>
          </w:p>
        </w:tc>
        <w:tc>
          <w:tcPr>
            <w:tcW w:w="4876" w:type="dxa"/>
          </w:tcPr>
          <w:p w:rsidR="00C77B3E" w:rsidRPr="004448C8" w:rsidRDefault="00C77B3E" w:rsidP="009D4E99">
            <w:pPr>
              <w:pStyle w:val="Normal6a"/>
            </w:pPr>
            <w:r>
              <w:t>(15)</w:t>
            </w:r>
            <w:r>
              <w:tab/>
              <w:t xml:space="preserve">W szczególności, biorąc pod uwagę szybki rozwój dostawców bezprzewodowej infrastruktury technicznej, takich jak „przedsiębiorstwa stawiające maszty antenowe”, oraz ich coraz bardziej znaczącą rolę jako dostawców usług dostępu do infrastruktury technicznej odpowiedniej do instalacji elementów bezprzewodowych sieci łączności elektronicznej, takich jak sieć 5G, definicję „operatora sieci” należy rozszerzyć poza przedsiębiorstwa udostępniające lub upoważnione do dostarczania sieci łączności elektronicznej oraz operatorów innych rodzajów sieci, takich jak sieci transportowe, gazowe lub elektroenergetyczne, w celu uwzględnienia przedsiębiorstw dostarczających urządzenia towarzyszące, które to przedsiębiorstwa </w:t>
            </w:r>
            <w:r>
              <w:rPr>
                <w:b/>
                <w:i/>
              </w:rPr>
              <w:t>także wchodzą w zakres niniejszego rozporządzenia</w:t>
            </w:r>
            <w:r>
              <w:t>, z wyjątkiem przepisów dotyczących wewnątrzbudynkowej infrastruktury technicznej i dostępu.</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102</w:t>
      </w:r>
      <w:r>
        <w:rPr>
          <w:rStyle w:val="HideTWBExt"/>
          <w:lang w:val="en-GB"/>
        </w:rPr>
        <w:t>&lt;/NumAm&gt;</w:t>
      </w:r>
    </w:p>
    <w:p w:rsidR="00C77B3E" w:rsidRPr="004448C8" w:rsidRDefault="00C77B3E" w:rsidP="00C77B3E">
      <w:pPr>
        <w:pStyle w:val="NormalBold"/>
      </w:pPr>
      <w:r>
        <w:rPr>
          <w:rStyle w:val="HideTWBExt"/>
          <w:lang w:val="en-GB"/>
        </w:rPr>
        <w:t>&lt;RepeatBlock-By&gt;&lt;Members&gt;</w:t>
      </w:r>
      <w:r>
        <w:t xml:space="preserve">Angelika Winzig, Sara Skyttedal, Massimiliano Salini, Tomas Tobé </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4448C8" w:rsidRDefault="00C77B3E" w:rsidP="00C77B3E">
      <w:pPr>
        <w:pStyle w:val="NormalBold"/>
      </w:pPr>
      <w:r>
        <w:rPr>
          <w:rStyle w:val="HideTWBExt"/>
          <w:lang w:val="en-GB"/>
        </w:rPr>
        <w:t>&lt;Article&gt;</w:t>
      </w:r>
      <w:r>
        <w:t>Motyw 15 a (nowy)</w:t>
      </w:r>
      <w:r>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4448C8" w:rsidRDefault="00C77B3E" w:rsidP="009D4E99">
            <w:pPr>
              <w:rPr>
                <w:lang w:val="en-GB"/>
              </w:rPr>
            </w:pPr>
          </w:p>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(15a)</w:t>
            </w:r>
            <w:r>
              <w:tab/>
            </w:r>
            <w:r>
              <w:rPr>
                <w:b/>
                <w:i/>
              </w:rPr>
              <w:t>Zgodnie z podstawową zasadą gospodarki rynkowej interwencja regulacyjna jest konieczna jedynie w przypadku niedoskonałości rynku. Od czasu pojawienia się dostawców bezprzewodowej infrastruktury technicznej, takiej jak „przedsiębiorstwa stawiające maszty antenowe”, oraz od czasu upowszechnienia się ich coraz istotniejszej roli jako dostawców dostępu do infrastruktury technicznej nadającej się do instalacji elementów bezprzewodowych sieci łączności elektronicznej, takich jak 5G, nie wystąpiły żadne znaczące zjawiska, które wskazywałyby na niedoskonałość rynku. Ich model biznesowy, opłaty pobierane za udostępnienie infrastruktury oraz modele ustalania cen nie podlegały dotychczas żadnym regulacjom. W związku z tym Komisja, wspierana przez BEREC i krajowe organy regulacyjne, powinna przeprowadzić analizę rynku, aby ustalić, czy występuje niedoskonałość rynku w przypadku dostawców bezprzewodowej infrastruktury technicznej, takich jak „przedsiębiorstwa stawiające maszty antenowe”. Wówczas Komisja – w drodze aktu delegowanego – nakłada na dostawców bezprzewodowej infrastruktury technicznej, takich jak „przedsiębiorstwa stawiające maszty antenowe”, wszystkie obowiązki i korzyści określone w rozporządzeniu, z wyjątkiem przepisów dotyczących wewnątrzbudynkowej infrastruktury technicznej i dostępu. Do tego czasu ich model biznesowy powinien pozostać nieuregulowany.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103</w:t>
      </w:r>
      <w:r>
        <w:rPr>
          <w:rStyle w:val="HideTWBExt"/>
        </w:rPr>
        <w:t>&lt;/NumAm&gt;</w:t>
      </w:r>
    </w:p>
    <w:p w:rsidR="00C77B3E" w:rsidRPr="00DC0657" w:rsidRDefault="00C77B3E" w:rsidP="00C77B3E">
      <w:pPr>
        <w:pStyle w:val="NormalBold"/>
      </w:pPr>
      <w:r>
        <w:rPr>
          <w:rStyle w:val="HideTWBExt"/>
        </w:rPr>
        <w:t>&lt;RepeatBlock-By&gt;&lt;Members&gt;</w:t>
      </w:r>
      <w:r>
        <w:t>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15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4448C8" w:rsidRDefault="00C77B3E" w:rsidP="009D4E99">
            <w:pPr>
              <w:pStyle w:val="Normal6a"/>
            </w:pPr>
            <w:r>
              <w:rPr>
                <w:b/>
                <w:i/>
              </w:rPr>
              <w:t>(15a)</w:t>
            </w:r>
            <w:r>
              <w:tab/>
            </w:r>
            <w:r>
              <w:rPr>
                <w:b/>
                <w:i/>
              </w:rPr>
              <w:t>(15 a) Zgodnie z podstawową zasadą gospodarki rynkowej interwencja regulacyjna jest konieczna jedynie w przypadku niedoskonałości rynku. Od czasu pojawienia się dostawców bezprzewodowej infrastruktury technicznej, takich jak „przedsiębiorstwa stawiające maszty antenowe”, oraz od czasu upowszechnienia się ich coraz istotniejszej roli jako dostawców dostępu do infrastruktury technicznej nadającej się do instalacji elementów bezprzewodowych sieci łączności elektronicznej, takich jak 5G, nie wystąpiły żadne znaczące zjawiska, które wskazywałyby na niedoskonałość rynku. W związku z tym Komisja, wspierana przez BEREC i krajowe organy regulacyjne, powinna przeprowadzić analizę rynku, aby ustalić, czy występuje niedoskonałość rynku w przypadku dostawców bezprzewodowej infrastruktury technicznej, takich jak „przedsiębiorstwa stawiające maszty antenowe”. Wówczas Komisja przedstawia Parlamentowi Europejskiemu i Radzie wniosek ustawodawczy w celu usunięcia stwierdzonych niedoskonałości rynku.</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104</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(17)</w:t>
            </w:r>
            <w:r>
              <w:tab/>
              <w:t xml:space="preserve">W przypadku braku uzasadnionego wyjątku elementy infrastruktury technicznej, które są własnością podmiotów sektora publicznego lub są przez nie kontrolowane, nawet jeżeli nie stanowią części sieci, mogą również obejmować elementy sieci łączności elektronicznej i powinny być udostępniane w celu ułatwienia instalacji elementów sieci o bardzo dużej przepustowości, w szczególności sieci bezprzewodowych. Przykładami elementów infrastruktury technicznej są budynki, wejścia do budynków oraz wszelkie inne składniki mienia, w tym wyposażenie ulic, np. latarnie, znaki uliczne, sygnalizacja świetlna, billboardy, przystanki autobusowe i tramwajowe oraz stacje metra. Obowiązkiem państw członkowskich jest wskazanie konkretnych budynków będących własnością podmiotów sektora publicznego lub kontrolowanych przez nie na ich terytorium, w przypadku których nie można stosować obowiązków w zakresie dostępu, na przykład ze względu na ich wartość architektoniczną, </w:t>
            </w:r>
            <w:r>
              <w:rPr>
                <w:b/>
                <w:i/>
              </w:rPr>
              <w:t>historyczną</w:t>
            </w:r>
            <w:r>
              <w:t xml:space="preserve">, </w:t>
            </w:r>
            <w:r>
              <w:rPr>
                <w:b/>
                <w:i/>
              </w:rPr>
              <w:t>religijną</w:t>
            </w:r>
            <w:r>
              <w:t xml:space="preserve"> lub </w:t>
            </w:r>
            <w:r>
              <w:rPr>
                <w:b/>
                <w:i/>
              </w:rPr>
              <w:t>przyrodniczą</w:t>
            </w:r>
            <w:r>
              <w:t>.</w:t>
            </w:r>
          </w:p>
        </w:tc>
        <w:tc>
          <w:tcPr>
            <w:tcW w:w="4876" w:type="dxa"/>
          </w:tcPr>
          <w:p w:rsidR="00C77B3E" w:rsidRPr="004448C8" w:rsidRDefault="00C77B3E" w:rsidP="009D4E99">
            <w:pPr>
              <w:pStyle w:val="Normal6a"/>
            </w:pPr>
            <w:r>
              <w:t>(17)</w:t>
            </w:r>
            <w:r>
              <w:tab/>
              <w:t xml:space="preserve">W przypadku braku uzasadnionego wyjątku elementy infrastruktury technicznej, które są własnością podmiotów sektora publicznego lub są przez nie kontrolowane, nawet jeżeli nie stanowią części sieci, mogą również obejmować elementy sieci łączności elektronicznej i powinny być udostępniane w celu ułatwienia instalacji elementów sieci o bardzo dużej przepustowości, w szczególności sieci bezprzewodowych. Przykładami elementów infrastruktury technicznej są budynki, wejścia do budynków oraz wszelkie inne składniki mienia, w tym wyposażenie ulic, np. latarnie, znaki uliczne, sygnalizacja świetlna, billboardy, przystanki autobusowe i tramwajowe oraz stacje metra. Obowiązkiem państw członkowskich jest wskazanie konkretnych budynków będących własnością podmiotów sektora publicznego lub kontrolowanych przez nie na ich terytorium, w przypadku których nie można stosować obowiązków w zakresie dostępu, na przykład ze względu na ich wartość architektoniczną, </w:t>
            </w:r>
            <w:r>
              <w:rPr>
                <w:b/>
                <w:i/>
              </w:rPr>
              <w:t>względy bezpieczeństwa i ochrony</w:t>
            </w:r>
            <w:r>
              <w:t xml:space="preserve">, </w:t>
            </w:r>
            <w:r>
              <w:rPr>
                <w:b/>
                <w:i/>
              </w:rPr>
              <w:t>w tym bezpieczeństwa ruchu drogowego, walory historyczne, religijne</w:t>
            </w:r>
            <w:r>
              <w:t xml:space="preserve"> lub </w:t>
            </w:r>
            <w:r>
              <w:rPr>
                <w:b/>
                <w:i/>
              </w:rPr>
              <w:t>przyrodnicze.</w:t>
            </w:r>
            <w:r>
              <w:t xml:space="preserve"> </w:t>
            </w:r>
            <w:r>
              <w:rPr>
                <w:b/>
                <w:i/>
              </w:rPr>
              <w:t>Aby zapewnić akceptację społeczną i trwałe wdrożenie, elementy sieci o bardzo dużej przepustowości, w szczególności sieci bezprzewodowe, powinny być jak najmniej widoczne.</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105</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Adam Jarubas, Tomas Tobé, Seán Kelly, Markus Pieper, Pilar del Castillo Vera, Othmar Karas, Angelika Niebler</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(17)</w:t>
            </w:r>
            <w:r>
              <w:tab/>
              <w:t>W przypadku braku uzasadnionego wyjątku elementy infrastruktury technicznej, które są własnością podmiotów sektora publicznego lub są przez nie kontrolowane, nawet jeżeli nie stanowią części sieci, mogą również obejmować elementy sieci łączności elektronicznej i powinny być udostępniane w celu ułatwienia instalacji elementów sieci o bardzo dużej przepustowości, w szczególności sieci bezprzewodowych. Przykładami elementów infrastruktury technicznej są budynki, wejścia do budynków oraz wszelkie inne składniki mienia, w tym wyposażenie ulic, np. latarnie, znaki uliczne, sygnalizacja świetlna, billboardy, przystanki autobusowe i tramwajowe oraz stacje metra. Obowiązkiem państw członkowskich jest wskazanie konkretnych budynków będących własnością podmiotów sektora publicznego lub kontrolowanych przez nie na ich terytorium, w przypadku których nie można stosować obowiązków w zakresie dostępu, na przykład ze względu na ich wartość architektoniczną, historyczną, religijną lub przyrodniczą.</w:t>
            </w:r>
          </w:p>
        </w:tc>
        <w:tc>
          <w:tcPr>
            <w:tcW w:w="4876" w:type="dxa"/>
          </w:tcPr>
          <w:p w:rsidR="00C77B3E" w:rsidRPr="004448C8" w:rsidRDefault="00C77B3E" w:rsidP="009D4E99">
            <w:pPr>
              <w:pStyle w:val="Normal6a"/>
            </w:pPr>
            <w:r>
              <w:t>(17)</w:t>
            </w:r>
            <w:r>
              <w:tab/>
              <w:t xml:space="preserve">W przypadku braku uzasadnionego wyjątku elementy infrastruktury technicznej, które są własnością podmiotów sektora publicznego lub są przez nie kontrolowane, nawet jeżeli nie stanowią części sieci, mogą również obejmować elementy sieci łączności elektronicznej i powinny być udostępniane w celu ułatwienia instalacji elementów sieci o bardzo dużej przepustowości, w szczególności sieci bezprzewodowych. Przykładami elementów infrastruktury technicznej są budynki, </w:t>
            </w:r>
            <w:r>
              <w:rPr>
                <w:b/>
                <w:i/>
              </w:rPr>
              <w:t xml:space="preserve">w tym dachy, </w:t>
            </w:r>
            <w:r>
              <w:t>wejścia do budynków oraz wszelkie inne składniki mienia, w tym wyposażenie ulic, np. latarnie, znaki uliczne, sygnalizacja świetlna, billboardy, przystanki autobusowe i tramwajowe oraz stacje metra. Obowiązkiem państw członkowskich jest wskazanie konkretnych budynków będących własnością podmiotów sektora publicznego lub kontrolowanych przez nie na ich terytorium, w przypadku których nie można stosować obowiązków w zakresie dostępu, na przykład ze względu na ich wartość architektoniczną, historyczną, religijną lub przyrodniczą.</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106</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pPr>
        <w:pStyle w:val="NormalBold"/>
      </w:pPr>
      <w:r>
        <w:rPr>
          <w:rStyle w:val="HideTWBExt"/>
          <w:lang w:val="sv-SE"/>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(18)</w:t>
            </w:r>
            <w:r>
              <w:tab/>
              <w:t xml:space="preserve">Niniejsze rozporządzenie nie powinno powodować uszczerbku dla wszelkich szczegółowych zabezpieczeń niezbędnych do zapewnienia bezpieczeństwa i zdrowia publicznego, ochrony i integralności sieci, w szczególności infrastruktury krytycznej – jak określono w prawie krajowym – oraz do zapewnienia, aby główna usługa świadczona przez operatora sieci nie została zakłócona, w szczególności w sieciach wykorzystywanych do dostarczania wody przeznaczonej do spożycia przez ludzi . </w:t>
            </w:r>
            <w:r>
              <w:rPr>
                <w:b/>
                <w:i/>
              </w:rPr>
              <w:t>Przepisy ogólne w prawie krajowym zakazujące operatorom sieci prowadzenia negocjacji dotyczących dostępu do infrastruktury technicznej dla przedsiębiorstw udostępniających sieci łączności elektronicznej lub urządzenia towarzyszące lub upoważnionych do dostarczania takich sieci lub urządzeń mogłyby jednak uniemożliwić stworzenie rynku dostępu do infrastruktury technicznej. Dlatego takie przepisy ogólne należy znieść. Jednocześnie środki określone w niniejszym rozporządzeniu nie powinny uniemożliwiać państwom członkowskim zachęcania operatorów infrastruktury użyteczności publicznej do udzielania dostępu do infrastruktury poprzez wyłączenie dochodów uzyskiwanych z tytułu udostępniania ich infrastruktury technicznej przy obliczaniu taryf dla użytkowników końcowych z tytułu działalności głównej takiego operatora, zgodnie z obowiązującym prawem Unii.</w:t>
            </w:r>
          </w:p>
        </w:tc>
        <w:tc>
          <w:tcPr>
            <w:tcW w:w="4876" w:type="dxa"/>
          </w:tcPr>
          <w:p w:rsidR="00C77B3E" w:rsidRPr="004448C8" w:rsidRDefault="00C77B3E" w:rsidP="009D4E99">
            <w:pPr>
              <w:pStyle w:val="Normal6a"/>
            </w:pPr>
            <w:r>
              <w:t>(18)</w:t>
            </w:r>
            <w:r>
              <w:tab/>
              <w:t>Niniejsze rozporządzenie nie powinno powodować uszczerbku dla wszelkich szczegółowych zabezpieczeń niezbędnych do zapewnienia bezpieczeństwa i zdrowia publicznego, ochrony i integralności sieci, w szczególności infrastruktury krytycznej – jak określono w prawie krajowym – oraz do zapewnienia, aby główna usługa świadczona przez operatora sieci nie została zakłócona, w szczególności w sieciach wykorzystywanych do dostarczania wody przeznaczonej do spożycia przez ludzi .</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107</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(18)</w:t>
            </w:r>
            <w:r>
              <w:tab/>
              <w:t>Niniejsze rozporządzenie nie powinno powodować uszczerbku dla wszelkich szczegółowych zabezpieczeń niezbędnych do zapewnienia bezpieczeństwa i zdrowia publicznego, ochrony i integralności sieci, w szczególności infrastruktury krytycznej – jak określono w prawie krajowym – oraz do zapewnienia, aby główna usługa świadczona przez operatora sieci nie została zakłócona, w szczególności w sieciach wykorzystywanych do dostarczania wody przeznaczonej do spożycia przez ludzi . Przepisy ogólne w prawie krajowym zakazujące operatorom sieci prowadzenia negocjacji dotyczących dostępu do infrastruktury technicznej dla przedsiębiorstw udostępniających sieci łączności elektronicznej lub urządzenia towarzyszące lub upoważnionych do dostarczania takich sieci lub urządzeń mogłyby jednak uniemożliwić stworzenie rynku dostępu do infrastruktury technicznej. Dlatego takie przepisy ogólne należy znieść. Jednocześnie środki określone w niniejszym rozporządzeniu nie powinny uniemożliwiać państwom członkowskim zachęcania operatorów infrastruktury użyteczności publicznej do udzielania dostępu do infrastruktury poprzez wyłączenie dochodów uzyskiwanych z tytułu udostępniania ich infrastruktury technicznej przy obliczaniu taryf dla użytkowników końcowych z tytułu działalności głównej takiego operatora, zgodnie z obowiązującym prawem Unii.</w:t>
            </w:r>
          </w:p>
        </w:tc>
        <w:tc>
          <w:tcPr>
            <w:tcW w:w="4876" w:type="dxa"/>
          </w:tcPr>
          <w:p w:rsidR="00C77B3E" w:rsidRPr="004448C8" w:rsidRDefault="00C77B3E" w:rsidP="009D4E99">
            <w:pPr>
              <w:pStyle w:val="Normal6a"/>
            </w:pPr>
            <w:r>
              <w:t>(18)</w:t>
            </w:r>
            <w:r>
              <w:tab/>
              <w:t xml:space="preserve">Niniejsze rozporządzenie nie powinno powodować uszczerbku dla wszelkich szczegółowych </w:t>
            </w:r>
            <w:r>
              <w:rPr>
                <w:b/>
                <w:i/>
              </w:rPr>
              <w:t xml:space="preserve">krajowych, regionalnych lub lokalnych </w:t>
            </w:r>
            <w:r>
              <w:t>zabezpieczeń niezbędnych do zapewnienia bezpieczeństwa i zdrowia publicznego, ochrony i integralności sieci, w szczególności infrastruktury krytycznej – jak określono w prawie krajowym – oraz do zapewnienia, aby główna usługa świadczona przez operatora sieci nie została zakłócona, w szczególności w sieciach wykorzystywanych do dostarczania wody przeznaczonej do spożycia przez ludzi. Przepisy ogólne w prawie krajowym zakazujące operatorom sieci prowadzenia negocjacji dotyczących dostępu do infrastruktury technicznej dla przedsiębiorstw udostępniających sieci łączności elektronicznej lub urządzenia towarzyszące lub upoważnionych do dostarczania takich sieci lub urządzeń mogłyby jednak uniemożliwić stworzenie rynku dostępu do infrastruktury technicznej. Dlatego takie przepisy ogólne należy znieść. Jednocześnie środki określone w niniejszym rozporządzeniu nie powinny uniemożliwiać państwom członkowskim zachęcania operatorów infrastruktury użyteczności publicznej do udzielania dostępu do infrastruktury poprzez wyłączenie dochodów uzyskiwanych z tytułu udostępniania ich infrastruktury technicznej przy obliczaniu taryf dla użytkowników końcowych z tytułu działalności głównej takiego operatora, zgodnie z obowiązującym prawem Unii.</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Zakaz negocjacji jest rzadki i zasadniczo jest pośrednim skutkiem zakazu dostępu. W związku z tym należy skreślić tę część, aby uniknąć nieporozumień tam gdzie negocjacje byłyby wymagane, ale nie można udzielić dostępu.</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108</w:t>
      </w:r>
      <w:r>
        <w:rPr>
          <w:rStyle w:val="HideTWBExt"/>
          <w:lang w:val="en-GB"/>
        </w:rPr>
        <w:t>&lt;/NumAm&gt;</w:t>
      </w:r>
    </w:p>
    <w:p w:rsidR="00C77B3E" w:rsidRPr="004448C8" w:rsidRDefault="00C77B3E" w:rsidP="00C77B3E">
      <w:pPr>
        <w:pStyle w:val="NormalBold"/>
      </w:pPr>
      <w:r>
        <w:rPr>
          <w:rStyle w:val="HideTWBExt"/>
          <w:lang w:val="en-GB"/>
        </w:rPr>
        <w:t>&lt;RepeatBlock-By&gt;&lt;Members&gt;</w:t>
      </w:r>
      <w:r>
        <w:t>Elena Kountoura</w:t>
      </w:r>
      <w:r>
        <w:rPr>
          <w:rStyle w:val="HideTWBExt"/>
          <w:lang w:val="en-GB"/>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(18)</w:t>
            </w:r>
            <w:r>
              <w:tab/>
              <w:t>Niniejsze rozporządzenie nie powinno powodować uszczerbku dla wszelkich szczegółowych zabezpieczeń niezbędnych do zapewnienia bezpieczeństwa i zdrowia publicznego, ochrony i integralności sieci, w szczególności infrastruktury krytycznej – jak określono w prawie krajowym – oraz do zapewnienia, aby główna usługa świadczona przez operatora sieci nie została zakłócona, w szczególności w sieciach wykorzystywanych do dostarczania wody przeznaczonej do spożycia przez ludzi . Przepisy ogólne w prawie krajowym zakazujące operatorom sieci prowadzenia negocjacji dotyczących dostępu do infrastruktury technicznej dla przedsiębiorstw udostępniających sieci łączności elektronicznej lub urządzenia towarzyszące lub upoważnionych do dostarczania takich sieci lub urządzeń mogłyby jednak uniemożliwić stworzenie rynku dostępu do infrastruktury technicznej. Dlatego takie przepisy ogólne należy znieść. Jednocześnie środki określone w niniejszym rozporządzeniu nie powinny uniemożliwiać państwom członkowskim zachęcania operatorów infrastruktury użyteczności publicznej do udzielania dostępu do infrastruktury poprzez wyłączenie dochodów uzyskiwanych z tytułu udostępniania ich infrastruktury technicznej przy obliczaniu taryf dla użytkowników końcowych z tytułu działalności głównej takiego operatora, zgodnie z obowiązującym prawem Unii.</w:t>
            </w:r>
          </w:p>
        </w:tc>
        <w:tc>
          <w:tcPr>
            <w:tcW w:w="4876" w:type="dxa"/>
          </w:tcPr>
          <w:p w:rsidR="00C77B3E" w:rsidRPr="004448C8" w:rsidRDefault="00C77B3E" w:rsidP="009D4E99">
            <w:pPr>
              <w:pStyle w:val="Normal6a"/>
            </w:pPr>
            <w:r>
              <w:t>(18)</w:t>
            </w:r>
            <w:r>
              <w:tab/>
              <w:t xml:space="preserve">Niniejsze rozporządzenie nie powinno powodować uszczerbku dla wszelkich szczegółowych zabezpieczeń niezbędnych do zapewnienia bezpieczeństwa i zdrowia publicznego, ochrony i integralności sieci, w szczególności infrastruktury krytycznej – jak określono w prawie krajowym – oraz do zapewnienia, aby główna usługa świadczona przez operatora sieci </w:t>
            </w:r>
            <w:r>
              <w:rPr>
                <w:b/>
                <w:i/>
              </w:rPr>
              <w:t xml:space="preserve">lub podmiot sektora publicznego </w:t>
            </w:r>
            <w:r>
              <w:t>nie została zakłócona, w szczególności w sieciach wykorzystywanych do dostarczania wody przeznaczonej do spożycia przez ludzi. Przepisy ogólne w prawie krajowym zakazujące operatorom sieci prowadzenia negocjacji dotyczących dostępu do infrastruktury technicznej dla przedsiębiorstw udostępniających sieci łączności elektronicznej lub urządzenia towarzyszące lub upoważnionych do dostarczania takich sieci lub urządzeń mogłyby jednak uniemożliwić stworzenie rynku dostępu do infrastruktury technicznej. Dlatego takie przepisy ogólne należy znieść. Jednocześnie środki określone w niniejszym rozporządzeniu nie powinny uniemożliwiać państwom członkowskim zachęcania operatorów infrastruktury użyteczności publicznej do udzielania dostępu do infrastruktury poprzez wyłączenie dochodów uzyskiwanych z tytułu udostępniania ich infrastruktury technicznej przy obliczaniu taryf dla użytkowników końcowych z tytułu działalności głównej takiego operatora, zgodnie z obowiązującym prawem Unii.</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109</w:t>
      </w:r>
      <w:r>
        <w:rPr>
          <w:rStyle w:val="HideTWBExt"/>
          <w:lang w:val="fr-FR"/>
        </w:rPr>
        <w:t>&lt;/NumAm&gt;</w:t>
      </w:r>
    </w:p>
    <w:p w:rsidR="00C77B3E" w:rsidRPr="004448C8" w:rsidRDefault="00C77B3E" w:rsidP="00C77B3E">
      <w:pPr>
        <w:pStyle w:val="NormalBold"/>
      </w:pPr>
      <w:r>
        <w:rPr>
          <w:rStyle w:val="HideTWBExt"/>
          <w:lang w:val="fr-FR"/>
        </w:rPr>
        <w:t>&lt;RepeatBlock-By&gt;&lt;Members&gt;</w:t>
      </w:r>
      <w:r>
        <w:t>Franc Bogovič</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(19)</w:t>
            </w:r>
            <w:r>
              <w:tab/>
              <w:t xml:space="preserve">W celu zapewnienia pewności prawa i uniknięcia nieproporcjonalnych obciążeń dla operatorów sieci wynikających z jednoczesnego stosowania dwóch odrębnych systemów dostępu do tej samej infrastruktury technicznej infrastruktura techniczna podlegająca obowiązkom w zakresie dostępu nałożonym przez krajowe organy regulacyjne na podstawie dyrektywy (UE) 2018/1972 lub obowiązkom w zakresie dostępu wynikającym ze stosowania unijnych zasad pomocy państwa nie powinna podlegać obowiązkom w zakresie dostępu określonym w niniejszym rozporządzeniu, dopóki obowiązują wcześniej wspomniane obowiązki w zakresie dostępu. Niniejsze rozporządzenie powinno mieć jednak zastosowanie w przypadku gdy krajowy organ regulacyjny nałożył obowiązek w zakresie dostępu na podstawie dyrektywy (UE) 2018/1972, który ogranicza możliwość korzystania z danej infrastruktury technicznej. Może to mieć miejsce na przykład w sytuacji, gdy </w:t>
            </w:r>
            <w:r>
              <w:rPr>
                <w:b/>
                <w:i/>
              </w:rPr>
              <w:t>operator planujący podłączenie stacji bazowych</w:t>
            </w:r>
            <w:r>
              <w:t xml:space="preserve"> wnioskuje o dostęp do istniejącej infrastruktury technicznej, w odniesieniu do której nałożono obowiązki w zakresie dostępu na hurtowym rynku dostępu do usługi dedykowanej przepustowości</w:t>
            </w:r>
            <w:r>
              <w:rPr>
                <w:b/>
                <w:i/>
                <w:vertAlign w:val="superscript"/>
              </w:rPr>
              <w:t>37</w:t>
            </w:r>
            <w:r>
              <w:t>.</w:t>
            </w:r>
          </w:p>
        </w:tc>
        <w:tc>
          <w:tcPr>
            <w:tcW w:w="4876" w:type="dxa"/>
          </w:tcPr>
          <w:p w:rsidR="00C77B3E" w:rsidRPr="004448C8" w:rsidRDefault="00C77B3E" w:rsidP="009D4E99">
            <w:pPr>
              <w:pStyle w:val="Normal6a"/>
            </w:pPr>
            <w:r>
              <w:t>(19)</w:t>
            </w:r>
            <w:r>
              <w:tab/>
              <w:t xml:space="preserve">W celu zapewnienia pewności prawa i uniknięcia nieproporcjonalnych obciążeń dla operatorów sieci wynikających z jednoczesnego stosowania dwóch odrębnych systemów dostępu do tej samej infrastruktury technicznej infrastruktura techniczna podlegająca obowiązkom w zakresie dostępu nałożonym przez krajowe organy regulacyjne na podstawie dyrektywy (UE) 2018/1972 lub obowiązkom w zakresie dostępu wynikającym ze stosowania unijnych zasad pomocy państwa nie powinna podlegać obowiązkom w zakresie dostępu określonym w niniejszym rozporządzeniu, dopóki obowiązują wcześniej wspomniane obowiązki w zakresie dostępu. Niniejsze rozporządzenie powinno mieć jednak zastosowanie w przypadku gdy krajowy organ regulacyjny nałożył obowiązek w zakresie dostępu na podstawie dyrektywy (UE) 2018/1972, który ogranicza możliwość korzystania z danej infrastruktury technicznej. Może to mieć miejsce na przykład w sytuacji, gdy </w:t>
            </w:r>
            <w:r>
              <w:rPr>
                <w:b/>
                <w:i/>
              </w:rPr>
              <w:t>przedsiębiorstwo udostępniające publiczne sieci łączności elektronicznej lub upoważnione do ich udostępniania</w:t>
            </w:r>
            <w:r>
              <w:t xml:space="preserve"> wnioskuje o dostęp do istniejącej infrastruktury technicznej, w odniesieniu do której nałożono obowiązki w zakresie dostępu na hurtowym rynku dostępu do usługi dedykowanej przepustowości</w:t>
            </w:r>
            <w:r>
              <w:rPr>
                <w:vertAlign w:val="superscript"/>
              </w:rPr>
              <w:t>37</w:t>
            </w:r>
            <w:r>
              <w:t>.</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4448C8" w:rsidRDefault="00C77B3E" w:rsidP="009D4E99">
            <w:pPr>
              <w:pStyle w:val="Normal6a"/>
            </w:pPr>
            <w:r>
              <w:rPr>
                <w:vertAlign w:val="superscript"/>
              </w:rPr>
              <w:t>37</w:t>
            </w:r>
            <w:r>
              <w:t xml:space="preserve"> Zalecenie Komisji (UE) 2020/2245 z dnia 18 grudnia 2020 r. w sprawie rynków właściwych w zakresie produktów i usług telekomunikacyjnych w sektorze łączności elektronicznej podlegających regulacji ex ante zgodnie z dyrektywą Parlamentu Europejskiego i Rady (UE) 2018/1972 ustanawiającą Europejski kodeks łączności elektronicznej, 18 grudnia 2020 r., C(2020) 8750, Dz.U. L 439 z 29.12.2020, s. 23.</w:t>
            </w:r>
          </w:p>
        </w:tc>
        <w:tc>
          <w:tcPr>
            <w:tcW w:w="4876" w:type="dxa"/>
          </w:tcPr>
          <w:p w:rsidR="00C77B3E" w:rsidRPr="004448C8" w:rsidRDefault="00C77B3E" w:rsidP="009D4E99">
            <w:pPr>
              <w:pStyle w:val="Normal6a"/>
            </w:pPr>
            <w:r>
              <w:rPr>
                <w:vertAlign w:val="superscript"/>
              </w:rPr>
              <w:t>37</w:t>
            </w:r>
            <w:r>
              <w:t xml:space="preserve"> Zalecenie Komisji (UE) 2020/2245 z dnia 18 grudnia 2020 r. w sprawie rynków właściwych w zakresie produktów i usług telekomunikacyjnych w sektorze łączności elektronicznej podlegających regulacji ex ante zgodnie z dyrektywą Parlamentu Europejskiego i Rady (UE) 2018/1972 ustanawiającą Europejski kodeks łączności elektronicznej, 18 grudnia 2020 r., C(2020) 8750, Dz.U. L 439 z 29.12.2020, s. 23.</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110</w:t>
      </w:r>
      <w:r>
        <w:rPr>
          <w:rStyle w:val="HideTWBExt"/>
          <w:lang w:val="en-GB"/>
        </w:rPr>
        <w:t>&lt;/NumAm&gt;</w:t>
      </w:r>
    </w:p>
    <w:p w:rsidR="00C77B3E" w:rsidRPr="004448C8" w:rsidRDefault="00C77B3E" w:rsidP="00C77B3E">
      <w:pPr>
        <w:pStyle w:val="NormalBold"/>
      </w:pPr>
      <w:r>
        <w:rPr>
          <w:rStyle w:val="HideTWBExt"/>
          <w:lang w:val="en-GB"/>
        </w:rPr>
        <w:t>&lt;RepeatBlock-By&gt;&lt;Members&gt;</w:t>
      </w:r>
      <w:r>
        <w:t>Elena Kountoura</w:t>
      </w:r>
      <w:r>
        <w:rPr>
          <w:rStyle w:val="HideTWBExt"/>
          <w:lang w:val="en-GB"/>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(19)</w:t>
            </w:r>
            <w:r>
              <w:tab/>
              <w:t xml:space="preserve">W celu zapewnienia pewności prawa i uniknięcia nieproporcjonalnych obciążeń dla operatorów sieci wynikających z jednoczesnego stosowania dwóch odrębnych systemów dostępu do tej samej infrastruktury technicznej infrastruktura techniczna podlegająca obowiązkom w zakresie dostępu nałożonym przez krajowe organy regulacyjne na podstawie dyrektywy (UE) 2018/1972 lub obowiązkom w zakresie dostępu wynikającym ze stosowania unijnych zasad pomocy państwa nie powinna podlegać obowiązkom w zakresie dostępu określonym w niniejszym rozporządzeniu, dopóki obowiązują wcześniej wspomniane obowiązki w zakresie dostępu. Niniejsze rozporządzenie powinno mieć jednak zastosowanie w przypadku gdy krajowy organ regulacyjny </w:t>
            </w:r>
            <w:r>
              <w:rPr>
                <w:b/>
                <w:i/>
              </w:rPr>
              <w:t>nałożył</w:t>
            </w:r>
            <w:r>
              <w:t xml:space="preserve"> obowiązek w zakresie dostępu na podstawie dyrektywy (UE) 2018/1972, który ogranicza możliwość korzystania z danej infrastruktury technicznej. Może to mieć miejsce na przykład w sytuacji, gdy operator planujący podłączenie stacji bazowych wnioskuje o dostęp do istniejącej infrastruktury technicznej, w odniesieniu do której nałożono obowiązki w zakresie dostępu na hurtowym rynku dostępu do usługi dedykowanej przepustowości</w:t>
            </w:r>
            <w:r>
              <w:rPr>
                <w:vertAlign w:val="superscript"/>
              </w:rPr>
              <w:t>37</w:t>
            </w:r>
            <w:r>
              <w:t>.</w:t>
            </w:r>
          </w:p>
        </w:tc>
        <w:tc>
          <w:tcPr>
            <w:tcW w:w="4876" w:type="dxa"/>
          </w:tcPr>
          <w:p w:rsidR="00C77B3E" w:rsidRPr="004448C8" w:rsidRDefault="00C77B3E" w:rsidP="009D4E99">
            <w:pPr>
              <w:pStyle w:val="Normal6a"/>
            </w:pPr>
            <w:r>
              <w:t>(19)</w:t>
            </w:r>
            <w:r>
              <w:tab/>
              <w:t xml:space="preserve">W celu zapewnienia pewności prawa i uniknięcia nieproporcjonalnych obciążeń dla operatorów sieci wynikających z jednoczesnego stosowania dwóch odrębnych systemów dostępu do tej samej infrastruktury technicznej infrastruktura techniczna podlegająca obowiązkom w zakresie dostępu nałożonym przez krajowe organy regulacyjne </w:t>
            </w:r>
            <w:r>
              <w:rPr>
                <w:b/>
                <w:i/>
              </w:rPr>
              <w:t xml:space="preserve">lub inne właściwe organy </w:t>
            </w:r>
            <w:r>
              <w:t xml:space="preserve">na podstawie dyrektywy (UE) 2018/1972 lub obowiązkom w zakresie dostępu wynikającym ze stosowania unijnych zasad pomocy państwa nie powinna podlegać obowiązkom w zakresie dostępu określonym w niniejszym rozporządzeniu, dopóki obowiązują wcześniej wspomniane obowiązki w zakresie dostępu. Niniejsze rozporządzenie powinno mieć jednak zastosowanie w przypadku gdy krajowy organ regulacyjny </w:t>
            </w:r>
            <w:r>
              <w:rPr>
                <w:b/>
                <w:i/>
              </w:rPr>
              <w:t>lub inne właściwe organy nałożyły</w:t>
            </w:r>
            <w:r>
              <w:t xml:space="preserve"> obowiązek w zakresie dostępu na podstawie dyrektywy (UE) 2018/1972, który ogranicza możliwość korzystania z danej infrastruktury technicznej. Może to mieć miejsce na przykład w sytuacji, gdy operator planujący podłączenie stacji bazowych wnioskuje o dostęp do istniejącej infrastruktury technicznej, w odniesieniu do której nałożono obowiązki w zakresie dostępu na hurtowym rynku dostępu do usługi dedykowanej przepustowości</w:t>
            </w:r>
            <w:r>
              <w:rPr>
                <w:vertAlign w:val="superscript"/>
              </w:rPr>
              <w:t>37</w:t>
            </w:r>
            <w:r>
              <w:t>.</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4448C8" w:rsidRDefault="00C77B3E" w:rsidP="009D4E99">
            <w:pPr>
              <w:pStyle w:val="Normal6a"/>
            </w:pPr>
            <w:r>
              <w:rPr>
                <w:vertAlign w:val="superscript"/>
              </w:rPr>
              <w:t>37</w:t>
            </w:r>
            <w:r>
              <w:t xml:space="preserve"> Zalecenie Komisji (UE) 2020/2245 z dnia 18 grudnia 2020 r. w sprawie rynków właściwych w zakresie produktów i usług telekomunikacyjnych w sektorze łączności elektronicznej podlegających regulacji ex ante zgodnie z dyrektywą Parlamentu Europejskiego i Rady (UE) 2018/1972 ustanawiającą Europejski kodeks łączności elektronicznej, 18 grudnia 2020 r., C(2020) 8750, Dz.U. L 439 z 29.12.2020, s. 23.</w:t>
            </w:r>
          </w:p>
        </w:tc>
        <w:tc>
          <w:tcPr>
            <w:tcW w:w="4876" w:type="dxa"/>
          </w:tcPr>
          <w:p w:rsidR="00C77B3E" w:rsidRPr="004448C8" w:rsidRDefault="00C77B3E" w:rsidP="009D4E99">
            <w:pPr>
              <w:pStyle w:val="Normal6a"/>
            </w:pPr>
            <w:r>
              <w:rPr>
                <w:vertAlign w:val="superscript"/>
              </w:rPr>
              <w:t>37</w:t>
            </w:r>
            <w:r>
              <w:t xml:space="preserve"> Zalecenie Komisji (UE) 2020/2245 z dnia 18 grudnia 2020 r. w sprawie rynków właściwych w zakresie produktów i usług telekomunikacyjnych w sektorze łączności elektronicznej podlegających regulacji ex ante zgodnie z dyrektywą Parlamentu Europejskiego i Rady (UE) 2018/1972 ustanawiającą Europejski kodeks łączności elektronicznej, 18 grudnia 2020 r., C(2020) 8750, Dz.U. L 439 z 29.12.2020, s. 23.</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111</w:t>
      </w:r>
      <w:r>
        <w:rPr>
          <w:rStyle w:val="HideTWBExt"/>
          <w:lang w:val="en-GB"/>
        </w:rPr>
        <w:t>&lt;/NumAm&gt;</w:t>
      </w:r>
    </w:p>
    <w:p w:rsidR="00C77B3E" w:rsidRPr="004448C8" w:rsidRDefault="00C77B3E" w:rsidP="00C77B3E">
      <w:pPr>
        <w:pStyle w:val="NormalBold"/>
      </w:pPr>
      <w:r>
        <w:rPr>
          <w:rStyle w:val="HideTWBExt"/>
          <w:lang w:val="en-GB"/>
        </w:rPr>
        <w:t>&lt;RepeatBlock-By&gt;&lt;Members&gt;</w:t>
      </w:r>
      <w:r>
        <w:t>Angelika Winzig, Sara Skyttedal, Adam Jarubas, Seán Kelly, Markus Pieper, Henna Virkkunen, Pilar del Castillo Vera, Angelika Niebler</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(20)</w:t>
            </w:r>
            <w:r>
              <w:tab/>
              <w:t>Aby zapewnić proporcjonalność</w:t>
            </w:r>
            <w:r>
              <w:rPr>
                <w:b/>
                <w:i/>
              </w:rPr>
              <w:t xml:space="preserve"> i</w:t>
            </w:r>
            <w:r>
              <w:t>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fizycznego powinna uwzględniać, między innymi, model biznesowy przedsiębiorstwa udostępniającego publiczne sieci łączności elektronicznej lub upoważnionego do dostarczania takich sieci oraz konieczność uniknięcia jakiegokolwiek wzmocnienia znaczącej pozycji rynkowej – jeżeli taka istnieje – którejkolwiek ze stron.</w:t>
            </w:r>
          </w:p>
        </w:tc>
        <w:tc>
          <w:tcPr>
            <w:tcW w:w="4876" w:type="dxa"/>
          </w:tcPr>
          <w:p w:rsidR="00C77B3E" w:rsidRPr="004448C8" w:rsidRDefault="00C77B3E" w:rsidP="009D4E99">
            <w:pPr>
              <w:pStyle w:val="Normal6a"/>
            </w:pPr>
            <w:r>
              <w:t>(20)</w:t>
            </w:r>
            <w:r>
              <w:tab/>
              <w:t>Aby zapewnić proporcjonalność</w:t>
            </w:r>
            <w:r>
              <w:rPr>
                <w:b/>
                <w:i/>
              </w:rPr>
              <w:t>,</w:t>
            </w:r>
            <w:r>
              <w:t> zachować zachęty inwestycyjne</w:t>
            </w:r>
            <w:r>
              <w:rPr>
                <w:b/>
                <w:i/>
              </w:rPr>
              <w:t>, zwłaszcza dla pionierów bardzo dużej przepustowości, a jednocześnie stworzyć zachęty do szybkiego budowania sieci o bardzo dużej przepustowości na wsi</w:t>
            </w:r>
            <w:r>
              <w:t xml:space="preserv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w:t>
            </w:r>
            <w:r>
              <w:rPr>
                <w:b/>
                <w:i/>
              </w:rPr>
              <w:t xml:space="preserve">lub do równoległej infrastruktury technicznej </w:t>
            </w:r>
            <w:r>
              <w:t>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w:t>
            </w:r>
            <w:r>
              <w:rPr>
                <w:b/>
                <w:i/>
              </w:rPr>
              <w:t>, czego należy unikać w szczególności do czasu osiągnięcia wystarczającego zasięgu sieci o bardzo dużej przepustowości na obszarach wiejskich</w:t>
            </w:r>
            <w:r>
              <w:t>. Ocena sprawiedliwego i rozsądnego charakteru warunków dotyczących takich alternatywnych środków hurtowego dostępu fizycznego powinna uwzględniać, między innymi, model biznesowy przedsiębiorstwa udostępniającego publiczne sieci łączności elektronicznej lub upoważnionego do dostarczania takich sieci oraz konieczność uniknięcia jakiegokolwiek wzmocnienia znaczącej pozycji rynkowej – jeżeli taka istnieje – którejkolwiek ze stron.</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112</w:t>
      </w:r>
      <w:r>
        <w:rPr>
          <w:rStyle w:val="HideTWBExt"/>
          <w:lang w:val="fr-FR"/>
        </w:rPr>
        <w:t>&lt;/NumAm&gt;</w:t>
      </w:r>
    </w:p>
    <w:p w:rsidR="00C77B3E" w:rsidRPr="004448C8" w:rsidRDefault="00C77B3E" w:rsidP="00C77B3E">
      <w:pPr>
        <w:pStyle w:val="NormalBold"/>
      </w:pPr>
      <w:r>
        <w:rPr>
          <w:rStyle w:val="HideTWBExt"/>
          <w:lang w:val="fr-FR"/>
        </w:rPr>
        <w:t>&lt;RepeatBlock-By&gt;&lt;Members&gt;</w:t>
      </w:r>
      <w:r>
        <w:t>Massimiliano Salini</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(20)</w:t>
            </w:r>
            <w:r>
              <w:tab/>
              <w:t>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fizycznego powinna uwzględniać, między innymi, model biznesowy przedsiębiorstwa udostępniającego publiczne sieci łączności elektronicznej lub upoważnionego do dostarczania takich sieci</w:t>
            </w:r>
            <w:r>
              <w:rPr>
                <w:b/>
                <w:i/>
              </w:rPr>
              <w:t xml:space="preserve"> oraz</w:t>
            </w:r>
            <w:r>
              <w:t xml:space="preserve"> konieczność uniknięcia jakiegokolwiek wzmocnienia znaczącej pozycji rynkowej – jeżeli taka istnieje – którejkolwiek ze stron.</w:t>
            </w:r>
          </w:p>
        </w:tc>
        <w:tc>
          <w:tcPr>
            <w:tcW w:w="4876" w:type="dxa"/>
          </w:tcPr>
          <w:p w:rsidR="00C77B3E" w:rsidRPr="004448C8" w:rsidRDefault="00C77B3E" w:rsidP="009D4E99">
            <w:pPr>
              <w:pStyle w:val="Normal6a"/>
            </w:pPr>
            <w:r>
              <w:t>(20)</w:t>
            </w:r>
            <w:r>
              <w:tab/>
              <w:t>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fizycznego powinna uwzględniać, między innymi, model biznesowy przedsiębiorstwa udostępniającego publiczne sieci łączności elektronicznej lub upoważnionego do dostarczania takich sieci</w:t>
            </w:r>
            <w:r>
              <w:rPr>
                <w:b/>
                <w:i/>
              </w:rPr>
              <w:t>,</w:t>
            </w:r>
            <w:r>
              <w:t xml:space="preserve"> konieczność uniknięcia jakiegokolwiek wzmocnienia znaczącej pozycji rynkowej – jeżeli taka istnieje – którejkolwiek ze stron</w:t>
            </w:r>
            <w:r>
              <w:rPr>
                <w:b/>
                <w:i/>
              </w:rPr>
              <w:t xml:space="preserve"> oraz, w przypadku dostawców urządzeń towarzyszących, konieczność zapewnienia sprawiedliwego zwrotu z inwestycji odzwierciedlającego istotne warunki rynkowe i model biznesowy</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113</w:t>
      </w:r>
      <w:r>
        <w:rPr>
          <w:rStyle w:val="HideTWBExt"/>
          <w:lang w:val="en-GB"/>
        </w:rPr>
        <w:t>&lt;/NumAm&gt;</w:t>
      </w:r>
    </w:p>
    <w:p w:rsidR="00C77B3E" w:rsidRPr="004448C8" w:rsidRDefault="00C77B3E" w:rsidP="00C77B3E">
      <w:pPr>
        <w:pStyle w:val="NormalBold"/>
      </w:pPr>
      <w:r>
        <w:rPr>
          <w:rStyle w:val="HideTWBExt"/>
          <w:lang w:val="en-GB"/>
        </w:rPr>
        <w:t>&lt;RepeatBlock-By&gt;&lt;Members&gt;</w:t>
      </w:r>
      <w:r>
        <w:t>Niklas Nienass</w:t>
      </w:r>
      <w:r>
        <w:rPr>
          <w:rStyle w:val="HideTWBExt"/>
          <w:lang w:val="en-GB"/>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(20)</w:t>
            </w:r>
            <w:r>
              <w:tab/>
              <w:t xml:space="preserve">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fizycznego powinna uwzględniać, między innymi, </w:t>
            </w:r>
            <w:r>
              <w:rPr>
                <w:b/>
                <w:i/>
              </w:rPr>
              <w:t xml:space="preserve">model biznesowy przedsiębiorstwa udostępniającego publiczne sieci łączności elektronicznej lub upoważnionego do dostarczania takich sieci oraz </w:t>
            </w:r>
            <w:r>
              <w:t>konieczność uniknięcia jakiegokolwiek wzmocnienia znaczącej pozycji rynkowej – jeżeli taka istnieje – którejkolwiek ze stron.</w:t>
            </w:r>
          </w:p>
        </w:tc>
        <w:tc>
          <w:tcPr>
            <w:tcW w:w="4876" w:type="dxa"/>
          </w:tcPr>
          <w:p w:rsidR="00C77B3E" w:rsidRPr="004448C8" w:rsidRDefault="00C77B3E" w:rsidP="009D4E99">
            <w:pPr>
              <w:pStyle w:val="Normal6a"/>
            </w:pPr>
            <w:r>
              <w:t>(20)</w:t>
            </w:r>
            <w:r>
              <w:tab/>
              <w:t>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fizycznego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fizycznego powinna uwzględniać, między innymi, konieczność uniknięcia jakiegokolwiek wzmocnienia znaczącej pozycji rynkowej – jeżeli taka istnieje – którejkolwiek ze stron.</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Zmiana odpowiada zmianom w art. 7 ust. 1.</w:t>
      </w:r>
    </w:p>
    <w:p w:rsidR="00C77B3E" w:rsidRPr="004448C8" w:rsidRDefault="00C77B3E" w:rsidP="00C77B3E">
      <w:r>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114</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(20)</w:t>
            </w:r>
            <w:r>
              <w:tab/>
              <w:t xml:space="preserve">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w:t>
            </w:r>
            <w:r>
              <w:rPr>
                <w:b/>
                <w:i/>
              </w:rPr>
              <w:t xml:space="preserve">fizycznego </w:t>
            </w:r>
            <w:r>
              <w:t>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w:t>
            </w:r>
            <w:r>
              <w:rPr>
                <w:b/>
                <w:i/>
              </w:rPr>
              <w:t xml:space="preserve"> fizycznego</w:t>
            </w:r>
            <w:r>
              <w:t xml:space="preserve"> powinna uwzględniać, między innymi, model biznesowy przedsiębiorstwa udostępniającego publiczne sieci łączności elektronicznej lub upoważnionego do dostarczania takich sieci oraz konieczność uniknięcia jakiegokolwiek wzmocnienia znaczącej pozycji rynkowej – jeżeli taka istnieje – którejkolwiek ze stron.</w:t>
            </w:r>
          </w:p>
        </w:tc>
        <w:tc>
          <w:tcPr>
            <w:tcW w:w="4876" w:type="dxa"/>
          </w:tcPr>
          <w:p w:rsidR="00C77B3E" w:rsidRPr="004448C8" w:rsidRDefault="00C77B3E" w:rsidP="009D4E99">
            <w:pPr>
              <w:pStyle w:val="Normal6a"/>
            </w:pPr>
            <w:r>
              <w:t>(20)</w:t>
            </w:r>
            <w:r>
              <w:tab/>
              <w:t>Aby zapewnić proporcjonalność i zachować zachęty inwestycyjne, operator sieci lub podmiot sektora publicznego powinien mieć prawo do odmowy dostępu do określonej infrastruktury technicznej z obiektywnych i uzasadnionych przyczyn. W szczególności dana infrastruktura techniczna będącą przedmiotem wniosku o udzielenie dostępu może nie być odpowiednia pod względem technicznym ze względu na szczególne okoliczności lub z powodu braku w danym momencie wolnego miejsca, lub też ze względu na odpowiednio wykazane – na przykład w publicznie dostępnych planach inwestycyjnych – zapotrzebowanie na miejsce w przyszłości. Aby zapewnić proporcjonalność i zachować zachęty inwestycyjne, operator sieci lub podmiot sektora publicznego może odmówić dostępu do określonej infrastruktury technicznej. Aby uniknąć potencjalnego zakłócenia konkurencji lub jakiegokolwiek możliwego nadużycia warunków odmowy dostępu, każda taka odmowa powinna być należycie uzasadniona i oparta na obiektywnych i szczegółowych powodach. Przykładowo takie powody nie zostałyby uznane za obiektywne, gdyby przedsiębiorstwo udostępniające lub upoważnione do dostarczania sieci łączności elektronicznej wdrożyło infrastrukturę techniczną dzięki koordynacji robót budowlanych we współpracy z operatorem sieci innym niż operator sieci łączności elektronicznej i odmówiło udzielenia dostępu na podstawie domniemanego braku miejsca na ulokowanie elementów sieci o bardzo dużej przepustowości, wynikającego z decyzji podjętych przez kontrolowane przez niego przedsiębiorstwo. W takim przypadku może dojść do zakłócenia konkurencji, jeżeli na obszarze, którego dotyczy wniosek o udzielenie dostępu, nie ma innej sieci o bardzo dużej przepustowości. Podobnie, w konkretnych okolicznościach wspólne korzystanie z infrastruktury mogłoby zagrozić bezpieczeństwu lub zdrowiu publicznemu, ochronie i integralności sieci – w tym infrastruktury krytycznej – lub zagrozić świadczeniu usług, które są świadczone za pośrednictwem danej infrastruktury w pierwszej kolejności. Ponadto, jeżeli operator sieci oferuje już realne alternatywne środki hurtowego dostępu do sieci łączności elektronicznej, które spełniają potrzeby podmiotu ubiegającego się o dostęp, takie jak światłowód ciemny lub rozdzielenie światłowodu, to udzielenie dostępu do bazowej infrastruktury technicznej mogłoby mieć niekorzystne skutki ekonomiczne dla jego modelu biznesowego, w szczególności dla modelu biznesowego operatorów oferujących wyłącznie usługi hurtowego dostępu, a także na zachęty inwestycyjne. Może to również stwarzać ryzyko nieefektywnego dublowania elementów sieci. Ocena sprawiedliwego i rozsądnego charakteru warunków dotyczących takich alternatywnych środków hurtowego dostępu powinna uwzględniać, między innymi, model biznesowy przedsiębiorstwa udostępniającego publiczne sieci łączności elektronicznej lub upoważnionego do dostarczania takich sieci oraz konieczność uniknięcia jakiegokolwiek wzmocnienia znaczącej pozycji rynkowej – jeżeli taka istnieje – którejkolwiek ze stron.</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Możliwe jest świadczenie „hurtowego dostępu fizycznego” za pomocą Software Defined Access Networks (SDAN), które umożliwiają podział zasobów sieciowych. Podmioty ubiegające się o dostęp mogą stać się w pełni wirtualnymi operatorami sieci (VNOS), a zasoby fizyczne są wyodrębniane i dostarczane jako usługa podmiotom ubiegającym się o dostęp. Ponadto niektórzy dostawcy hurtowi opierali swoją działalność na dostarczaniu produktów wirtualnego dostępu. Dla tych dostawców obowiązek zapewnienia dostępu do usług takich jak światłowód ciemny lub rozdzielenie światłowodu miałby negatywny wpływ na ich motywację do inwestowania. W związku z tym należy użyć bardziej ogólnego terminu, takiego jak „hurtowy dostęp”, zamiast terminu „hurtowy dostęp fizyczny”.</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115</w:t>
      </w:r>
      <w:r>
        <w:rPr>
          <w:rStyle w:val="HideTWBExt"/>
          <w:lang w:val="en-GB"/>
        </w:rPr>
        <w:t>&lt;/NumAm&gt;</w:t>
      </w:r>
    </w:p>
    <w:p w:rsidR="00C77B3E" w:rsidRPr="004448C8" w:rsidRDefault="00C77B3E" w:rsidP="00C77B3E">
      <w:pPr>
        <w:pStyle w:val="NormalBold"/>
      </w:pPr>
      <w:r>
        <w:rPr>
          <w:rStyle w:val="HideTWBExt"/>
          <w:lang w:val="en-GB"/>
        </w:rPr>
        <w:t>&lt;RepeatBlock-By&gt;&lt;Members&gt;</w:t>
      </w:r>
      <w:r>
        <w:t>Franc Bogovič</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4448C8" w:rsidRDefault="00C77B3E" w:rsidP="00C77B3E">
      <w:pPr>
        <w:pStyle w:val="NormalBold"/>
      </w:pPr>
      <w:r>
        <w:rPr>
          <w:rStyle w:val="HideTWBExt"/>
          <w:lang w:val="en-GB"/>
        </w:rPr>
        <w:t>&lt;DocAmend&gt;</w:t>
      </w:r>
      <w:r>
        <w:t>Wniosek dotyczący rozporządzenia</w:t>
      </w:r>
      <w:r>
        <w:rPr>
          <w:rStyle w:val="HideTWBExt"/>
          <w:lang w:val="en-GB"/>
        </w:rPr>
        <w:t>&lt;/DocAmend&gt;</w:t>
      </w:r>
    </w:p>
    <w:p w:rsidR="00C77B3E" w:rsidRPr="00DC0657" w:rsidRDefault="00C77B3E" w:rsidP="00C77B3E">
      <w:pPr>
        <w:pStyle w:val="NormalBold"/>
      </w:pPr>
      <w:r>
        <w:rPr>
          <w:rStyle w:val="HideTWBExt"/>
        </w:rPr>
        <w:t>&lt;Article&gt;</w:t>
      </w:r>
      <w:r>
        <w:t>Motyw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(21)</w:t>
            </w:r>
            <w:r>
              <w:tab/>
              <w:t xml:space="preserve">Aby ułatwić ponowne wykorzystanie istniejącej infrastruktury technicznej, w przypadku gdy </w:t>
            </w:r>
            <w:r>
              <w:rPr>
                <w:b/>
                <w:i/>
              </w:rPr>
              <w:t>operatorzy</w:t>
            </w:r>
            <w:r>
              <w:t xml:space="preserve">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zobowiązane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w celu ograniczenia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 ograniczenia wynikające z przepisów krajowych mające na celu ochronę środowiska, zdrowia publicznego i bezpieczeństwa publicznego lub wynikające z lokalnych lub krajowych celów zakresie Zagospodarowania przestrzennego.</w:t>
            </w:r>
          </w:p>
        </w:tc>
        <w:tc>
          <w:tcPr>
            <w:tcW w:w="4876" w:type="dxa"/>
          </w:tcPr>
          <w:p w:rsidR="00C77B3E" w:rsidRPr="004448C8" w:rsidRDefault="00C77B3E" w:rsidP="009D4E99">
            <w:pPr>
              <w:pStyle w:val="Normal6a"/>
            </w:pPr>
            <w:r>
              <w:t>(21)</w:t>
            </w:r>
            <w:r>
              <w:tab/>
              <w:t xml:space="preserve">Aby ułatwić ponowne wykorzystanie istniejącej infrastruktury technicznej, w przypadku gdy </w:t>
            </w:r>
            <w:r>
              <w:rPr>
                <w:b/>
                <w:i/>
              </w:rPr>
              <w:t>przedsiębiorstwa udostępniające publiczne sieci łączności elektronicznej lub upoważnione do ich udostępniania</w:t>
            </w:r>
            <w:r>
              <w:t xml:space="preserve">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zobowiązane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w celu ograniczenia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 ograniczenia wynikające z przepisów krajowych mające na celu ochronę środowiska, zdrowia publicznego i bezpieczeństwa publicznego lub wynikające z lokalnych lub krajowych celów zakresie Zagospodarowania przestrzennego.</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116</w:t>
      </w:r>
      <w:r>
        <w:rPr>
          <w:rStyle w:val="HideTWBExt"/>
          <w:lang w:val="en-GB"/>
        </w:rPr>
        <w:t>&lt;/NumAm&gt;</w:t>
      </w:r>
    </w:p>
    <w:p w:rsidR="00C77B3E" w:rsidRPr="004448C8" w:rsidRDefault="00C77B3E" w:rsidP="00C77B3E">
      <w:pPr>
        <w:pStyle w:val="NormalBold"/>
      </w:pPr>
      <w:r>
        <w:rPr>
          <w:rStyle w:val="HideTWBExt"/>
          <w:lang w:val="en-GB"/>
        </w:rPr>
        <w:t>&lt;RepeatBlock-By&gt;&lt;Members&gt;</w:t>
      </w:r>
      <w:r>
        <w:t>Elena Kountoura</w:t>
      </w:r>
      <w:r>
        <w:rPr>
          <w:rStyle w:val="HideTWBExt"/>
          <w:lang w:val="en-GB"/>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(21)</w:t>
            </w:r>
            <w:r>
              <w:tab/>
              <w:t xml:space="preserve">Aby ułatwić ponowne wykorzystanie istniejącej infrastruktury technicznej, w przypadku gdy operatorzy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zobowiązane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w celu </w:t>
            </w:r>
            <w:r>
              <w:rPr>
                <w:b/>
                <w:i/>
              </w:rPr>
              <w:t>ograniczenia</w:t>
            </w:r>
            <w:r>
              <w:t xml:space="preserve">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 ograniczenia wynikające z przepisów krajowych mające na celu ochronę środowiska, zdrowia publicznego i bezpieczeństwa publicznego lub wynikające z lokalnych lub krajowych celów zakresie Zagospodarowania przestrzennego.</w:t>
            </w:r>
          </w:p>
        </w:tc>
        <w:tc>
          <w:tcPr>
            <w:tcW w:w="4876" w:type="dxa"/>
          </w:tcPr>
          <w:p w:rsidR="00C77B3E" w:rsidRPr="004448C8" w:rsidRDefault="00C77B3E" w:rsidP="009D4E99">
            <w:pPr>
              <w:pStyle w:val="Normal6a"/>
            </w:pPr>
            <w:r>
              <w:t>(21)</w:t>
            </w:r>
            <w:r>
              <w:tab/>
              <w:t xml:space="preserve">Aby ułatwić ponowne wykorzystanie istniejącej infrastruktury technicznej, w przypadku gdy operatorzy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zobowiązane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aby </w:t>
            </w:r>
            <w:r>
              <w:rPr>
                <w:b/>
                <w:i/>
              </w:rPr>
              <w:t>uniknąć</w:t>
            </w:r>
            <w:r>
              <w:t xml:space="preserve">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w:t>
            </w:r>
            <w:r>
              <w:rPr>
                <w:b/>
                <w:i/>
              </w:rPr>
              <w:t xml:space="preserve"> wymogi i</w:t>
            </w:r>
            <w:r>
              <w:t xml:space="preserve"> ograniczenia wynikające z przepisów krajowych mające na celu ochronę środowiska, zdrowia publicznego i bezpieczeństwa publicznego lub wynikające z lokalnych lub krajowych celów zakresie Zagospodarowania przestrzennego.</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117</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(21)</w:t>
            </w:r>
            <w:r>
              <w:tab/>
              <w:t xml:space="preserve">Aby ułatwić ponowne wykorzystanie istniejącej infrastruktury technicznej, w przypadku gdy operatorzy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w:t>
            </w:r>
            <w:r>
              <w:rPr>
                <w:b/>
                <w:i/>
              </w:rPr>
              <w:t>zobowiązane</w:t>
            </w:r>
            <w:r>
              <w:t xml:space="preserv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w celu ograniczenia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 ograniczenia wynikające z przepisów krajowych mające na celu ochronę środowiska, zdrowia publicznego i bezpieczeństwa publicznego lub wynikające z lokalnych lub krajowych celów zakresie Zagospodarowania przestrzennego.</w:t>
            </w:r>
          </w:p>
        </w:tc>
        <w:tc>
          <w:tcPr>
            <w:tcW w:w="4876" w:type="dxa"/>
          </w:tcPr>
          <w:p w:rsidR="00C77B3E" w:rsidRPr="004448C8" w:rsidRDefault="00C77B3E" w:rsidP="009D4E99">
            <w:pPr>
              <w:pStyle w:val="Normal6a"/>
            </w:pPr>
            <w:r>
              <w:t>(21)</w:t>
            </w:r>
            <w:r>
              <w:tab/>
              <w:t xml:space="preserve">Aby ułatwić ponowne wykorzystanie istniejącej infrastruktury technicznej, w przypadku gdy operatorzy zwracają się z wnioskiem o udzielenie dostępu na danym obszarze, operatorzy sieci i podmioty sektora publicznego będący właścicielami infrastruktury technicznej lub ją kontrolujący powinni przedstawić ofertę wspólnego korzystania z ich obiektów na sprawiedliwych i rozsądnych warunkach i zasadach, również cenowych, chyba że odmówiono dostępu z obiektywnych i uzasadnionych przyczyn. Podmioty sektora publicznego powinny być również </w:t>
            </w:r>
            <w:r>
              <w:rPr>
                <w:b/>
                <w:i/>
              </w:rPr>
              <w:t>zachęcane</w:t>
            </w:r>
            <w:r>
              <w:t xml:space="preserve"> do oferowania dostępu na niedyskryminujących warunkach. W zależności od okoliczności istnieje kilka czynników, które mogą mieć wpływ na warunki, na jakich udzielany jest dostęp. Obejmują one: (i) dodatkowe koszty utrzymania i adaptacji; (ii) zapobiegawcze środki ochronne, jakie należy podjąć w celu ograniczenia niekorzystnego wpływu na bezpieczeństwo, ochronę i integralność sieci; (iii) ustalenia dotyczące odpowiedzialności w przypadku uszkodzeń; (iv) korzystanie z dotacji publicznych na budowę infrastruktury, w tym szczególne warunki i zasady związane z takimi dotacjami lub przewidziane w prawie krajowym zgodnie z prawem unijnym; (v) zdolność realizacji lub udostępnienia infrastruktury o przepustowości wystarczającej do wypełniania obowiązku świadczenia usługi publicznej oraz (vi) ograniczenia wynikające z przepisów krajowych mające na celu ochronę środowiska, zdrowia publicznego i bezpieczeństwa publicznego lub wynikające z lokalnych lub krajowych celów zakresie Zagospodarowania przestrzennego.</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118</w:t>
      </w:r>
      <w:r>
        <w:rPr>
          <w:rStyle w:val="HideTWBExt"/>
          <w:lang w:val="fr-FR"/>
        </w:rPr>
        <w:t>&lt;/NumAm&gt;</w:t>
      </w:r>
    </w:p>
    <w:p w:rsidR="00C77B3E" w:rsidRPr="004448C8" w:rsidRDefault="00C77B3E" w:rsidP="00C77B3E">
      <w:pPr>
        <w:pStyle w:val="NormalBold"/>
      </w:pPr>
      <w:r>
        <w:rPr>
          <w:rStyle w:val="HideTWBExt"/>
          <w:lang w:val="fr-FR"/>
        </w:rPr>
        <w:t>&lt;RepeatBlock-By&gt;&lt;Members&gt;</w:t>
      </w:r>
      <w:r>
        <w:t>Franc Bogovič</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(23)</w:t>
            </w:r>
            <w:r>
              <w:tab/>
              <w:t>Podmioty sektora publicznego będący właścicielami infrastruktury technicznej lub ją kontrolujący mogą nie posiadać wystarczających zasobów, doświadczenia lub niezbędnej wiedzy technicznej, aby prowadzić negocjacje z </w:t>
            </w:r>
            <w:r>
              <w:rPr>
                <w:b/>
                <w:i/>
              </w:rPr>
              <w:t>operatorami</w:t>
            </w:r>
            <w:r>
              <w:t xml:space="preserve"> w sprawie dostępu. Aby ułatwić podmiotom sektora publicznego dostęp do infrastruktury technicznej, można by wyznaczyć organ, który koordynowałby wnioski o udzielenie dostępu, zapewniałby porady prawne i techniczne na potrzeby negocjowania warunków dostępu oraz udostępniałby istotne informacje na temat takiej infrastruktury technicznej za pośrednictwem pojedynczego punktu informacyjnego. Podmiot koordynujący mógłby również wspierać podmioty sektora publicznego w przygotowywaniu wzorów umów oraz monitorować wyniki i czas trwania procesu składania wniosków o udzielenie dostępu. Podmiot ten mógłby również ułatwić rozstrzyganie sporów dotyczących dostępu do infrastruktury technicznej, która jest własnością podmiotów sektora publicznego lub jest przez nie kontrolowana.</w:t>
            </w:r>
          </w:p>
        </w:tc>
        <w:tc>
          <w:tcPr>
            <w:tcW w:w="4876" w:type="dxa"/>
          </w:tcPr>
          <w:p w:rsidR="00C77B3E" w:rsidRPr="004448C8" w:rsidRDefault="00C77B3E" w:rsidP="009D4E99">
            <w:pPr>
              <w:pStyle w:val="Normal6a"/>
            </w:pPr>
            <w:r>
              <w:t>(23)</w:t>
            </w:r>
            <w:r>
              <w:tab/>
              <w:t>Podmioty sektora publicznego będący właścicielami infrastruktury technicznej lub ją kontrolujący mogą nie posiadać wystarczających zasobów, doświadczenia lub niezbędnej wiedzy technicznej, aby prowadzić negocjacje z </w:t>
            </w:r>
            <w:r>
              <w:rPr>
                <w:b/>
                <w:i/>
              </w:rPr>
              <w:t>przedsiębiorstwami udostępniającymi publiczne sieci łączności elektronicznej lub upoważnione do ich udostępniania</w:t>
            </w:r>
            <w:r>
              <w:t xml:space="preserve"> w sprawie dostępu. Aby ułatwić podmiotom sektora publicznego dostęp do infrastruktury technicznej, można by wyznaczyć organ, który koordynowałby wnioski o udzielenie dostępu, zapewniałby porady prawne i techniczne na potrzeby negocjowania warunków dostępu oraz udostępniałby istotne informacje na temat takiej infrastruktury technicznej za pośrednictwem pojedynczego punktu informacyjnego. Podmiot koordynujący mógłby również wspierać podmioty sektora publicznego w przygotowywaniu wzorów umów oraz monitorować wyniki i czas trwania procesu składania wniosków o udzielenie dostępu. Podmiot ten mógłby również ułatwić rozstrzyganie sporów dotyczących dostępu do infrastruktury technicznej, która jest własnością podmiotów sektora publicznego lub jest przez nie kontrolowana.</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pt-PT"/>
        </w:rPr>
        <w:t>&lt;Amend&gt;</w:t>
      </w:r>
      <w:r>
        <w:t>Poprawka</w:t>
      </w:r>
      <w:r>
        <w:tab/>
      </w:r>
      <w:r>
        <w:tab/>
      </w:r>
      <w:r>
        <w:rPr>
          <w:rStyle w:val="HideTWBExt"/>
          <w:lang w:val="pt-PT"/>
        </w:rPr>
        <w:t>&lt;NumAm&gt;</w:t>
      </w:r>
      <w:r>
        <w:t>119</w:t>
      </w:r>
      <w:r>
        <w:rPr>
          <w:rStyle w:val="HideTWBExt"/>
          <w:lang w:val="pt-PT"/>
        </w:rPr>
        <w:t>&lt;/NumAm&gt;</w:t>
      </w:r>
    </w:p>
    <w:p w:rsidR="00C77B3E" w:rsidRPr="004448C8" w:rsidRDefault="00C77B3E" w:rsidP="00C77B3E">
      <w:pPr>
        <w:pStyle w:val="NormalBold"/>
      </w:pPr>
      <w:r>
        <w:rPr>
          <w:rStyle w:val="HideTWBExt"/>
          <w:lang w:val="pt-PT"/>
        </w:rPr>
        <w:t>&lt;RepeatBlock-By&gt;&lt;Members&gt;</w:t>
      </w:r>
      <w:r>
        <w:t>Beatrice Covassi, Carlos Zorrinho, Patrizia Toia, Lina Gálvez Muñoz, Adriana Maldonado López</w:t>
      </w:r>
      <w:r>
        <w:rPr>
          <w:rStyle w:val="HideTWBExt"/>
          <w:lang w:val="pt-PT"/>
        </w:rPr>
        <w:t>&lt;/Members&gt;</w:t>
      </w:r>
    </w:p>
    <w:p w:rsidR="00C77B3E" w:rsidRPr="004448C8" w:rsidRDefault="00C77B3E" w:rsidP="00C77B3E">
      <w:pPr>
        <w:pStyle w:val="NormalBold"/>
      </w:pPr>
      <w:r>
        <w:rPr>
          <w:rStyle w:val="HideTWBExt"/>
          <w:lang w:val="pt-P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(23)</w:t>
            </w:r>
            <w:r>
              <w:tab/>
              <w:t xml:space="preserve">Podmioty sektora publicznego będący właścicielami infrastruktury technicznej lub ją kontrolujący mogą nie posiadać wystarczających zasobów, doświadczenia lub niezbędnej wiedzy technicznej, aby prowadzić negocjacje z operatorami w sprawie dostępu. Aby ułatwić podmiotom sektora publicznego dostęp do infrastruktury technicznej, </w:t>
            </w:r>
            <w:r>
              <w:rPr>
                <w:b/>
                <w:i/>
              </w:rPr>
              <w:t>można by</w:t>
            </w:r>
            <w:r>
              <w:t xml:space="preserve"> wyznaczyć organ, który koordynowałby wnioski o udzielenie dostępu, zapewniałby porady prawne i techniczne na potrzeby negocjowania warunków dostępu oraz udostępniałby istotne informacje na temat takiej infrastruktury technicznej za pośrednictwem pojedynczego punktu informacyjnego. Podmiot koordynujący mógłby również wspierać podmioty sektora publicznego w przygotowywaniu wzorów umów oraz monitorować wyniki i czas trwania procesu składania wniosków o udzielenie dostępu. Podmiot ten mógłby również ułatwić rozstrzyganie sporów dotyczących dostępu do infrastruktury technicznej, która jest własnością podmiotów sektora publicznego lub jest przez nie kontrolowana.</w:t>
            </w:r>
          </w:p>
        </w:tc>
        <w:tc>
          <w:tcPr>
            <w:tcW w:w="4876" w:type="dxa"/>
          </w:tcPr>
          <w:p w:rsidR="00C77B3E" w:rsidRPr="004448C8" w:rsidRDefault="00C77B3E" w:rsidP="009D4E99">
            <w:pPr>
              <w:pStyle w:val="Normal6a"/>
            </w:pPr>
            <w:r>
              <w:t>(23)</w:t>
            </w:r>
            <w:r>
              <w:tab/>
              <w:t xml:space="preserve">Podmioty sektora publicznego będący właścicielami infrastruktury technicznej lub ją kontrolujący mogą nie posiadać wystarczających zasobów, doświadczenia lub niezbędnej wiedzy technicznej, aby prowadzić negocjacje z operatorami w sprawie dostępu. </w:t>
            </w:r>
            <w:r>
              <w:rPr>
                <w:b/>
                <w:i/>
              </w:rPr>
              <w:t xml:space="preserve">W takim przypadku, </w:t>
            </w:r>
            <w:r>
              <w:t xml:space="preserve">aby ułatwić podmiotom sektora publicznego dostęp do infrastruktury technicznej, </w:t>
            </w:r>
            <w:r>
              <w:rPr>
                <w:b/>
                <w:i/>
              </w:rPr>
              <w:t>należy</w:t>
            </w:r>
            <w:r>
              <w:t xml:space="preserve"> wyznaczyć organ, który koordynowałby wnioski o udzielenie dostępu, zapewniałby porady prawne i techniczne na potrzeby negocjowania warunków dostępu oraz udostępniałby istotne informacje na temat takiej infrastruktury technicznej za pośrednictwem pojedynczego punktu informacyjnego. Podmiot koordynujący mógłby również wspierać podmioty sektora publicznego w przygotowywaniu wzorów umów oraz monitorować wyniki i czas trwania procesu składania wniosków o udzielenie dostępu. Podmiot ten mógłby również ułatwić rozstrzyganie sporów dotyczących dostępu do infrastruktury technicznej, która jest własnością podmiotów sektora publicznego lub jest przez nie kontrolowana.</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120</w:t>
      </w:r>
      <w:r>
        <w:rPr>
          <w:rStyle w:val="HideTWBExt"/>
          <w:lang w:val="en-GB"/>
        </w:rPr>
        <w:t>&lt;/NumAm&gt;</w:t>
      </w:r>
    </w:p>
    <w:p w:rsidR="00C77B3E" w:rsidRPr="004448C8" w:rsidRDefault="00C77B3E" w:rsidP="00C77B3E">
      <w:pPr>
        <w:pStyle w:val="NormalBold"/>
      </w:pPr>
      <w:r>
        <w:rPr>
          <w:rStyle w:val="HideTWBExt"/>
          <w:lang w:val="en-GB"/>
        </w:rPr>
        <w:t>&lt;RepeatBlock-By&gt;&lt;Members&gt;</w:t>
      </w:r>
      <w:r>
        <w:t>Beatrice Covassi, Carlos Zorrinho, Patrizia Toia, Lina Gálvez Muñoz, Adriana Maldonado López</w:t>
      </w:r>
      <w:r>
        <w:rPr>
          <w:rStyle w:val="HideTWBExt"/>
          <w:lang w:val="en-GB"/>
        </w:rPr>
        <w:t>&lt;/Members&gt;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(24)</w:t>
            </w:r>
            <w:r>
              <w:tab/>
              <w:t xml:space="preserve">Aby zapewnić spójność podejść wśród państw członkowskich, Komisja – w ścisłej współpracy z Organem Europejskich Regulatorów Łączności Elektronicznej (BEREC) – </w:t>
            </w:r>
            <w:r>
              <w:rPr>
                <w:b/>
                <w:i/>
              </w:rPr>
              <w:t>mogłaby</w:t>
            </w:r>
            <w:r>
              <w:t xml:space="preserve"> przedstawić wytyczne w sprawie stosowania przepisów dotyczących dostępu do infrastruktury technicznej, w tym między innymi wytyczne dotyczące stosowania sprawiedliwych i rozsądnych warunków. Przy opracowywaniu wytycznych należy odpowiednio uwzględnić opinie zainteresowanych stron i krajowych organów ds. rozstrzygania sporów.</w:t>
            </w:r>
          </w:p>
        </w:tc>
        <w:tc>
          <w:tcPr>
            <w:tcW w:w="4876" w:type="dxa"/>
          </w:tcPr>
          <w:p w:rsidR="00C77B3E" w:rsidRPr="004448C8" w:rsidRDefault="00C77B3E" w:rsidP="009D4E99">
            <w:pPr>
              <w:pStyle w:val="Normal6a"/>
            </w:pPr>
            <w:r>
              <w:t>(24)</w:t>
            </w:r>
            <w:r>
              <w:tab/>
              <w:t xml:space="preserve">Aby zapewnić spójność podejść wśród państw członkowskich, Komisja – w ścisłej współpracy z Organem Europejskich Regulatorów Łączności Elektronicznej (BEREC) – </w:t>
            </w:r>
            <w:r>
              <w:rPr>
                <w:b/>
                <w:i/>
              </w:rPr>
              <w:t>powinna</w:t>
            </w:r>
            <w:r>
              <w:t xml:space="preserve"> przedstawić wytyczne</w:t>
            </w:r>
            <w:r>
              <w:rPr>
                <w:b/>
                <w:i/>
              </w:rPr>
              <w:t xml:space="preserve"> co najmniej sześć miesięcy przed datą zastosowania rozporządzenia</w:t>
            </w:r>
            <w:r>
              <w:t xml:space="preserve"> w sprawie stosowania przepisów dotyczących dostępu do infrastruktury technicznej, w tym między innymi wytyczne dotyczące stosowania sprawiedliwych i rozsądnych warunków. Przy opracowywaniu wytycznych należy odpowiednio uwzględnić opinie zainteresowanych stron</w:t>
            </w:r>
            <w:r>
              <w:rPr>
                <w:b/>
                <w:i/>
              </w:rPr>
              <w:t>, podmiotów krajowych</w:t>
            </w:r>
            <w:r>
              <w:t xml:space="preserve"> i krajowych organów ds. rozstrzygania sporów. </w:t>
            </w:r>
            <w:r>
              <w:rPr>
                <w:b/>
                <w:i/>
              </w:rPr>
              <w:t>Aby uniknąć zakłóceń na rynku i niezamierzonej redukcji potencjalnych inwestycji, opracowując wytyczne dotyczące uczciwej i rozsądnej ceny, Komisja powinna wziąć pod uwagę cechy operatorów sieci i ich model biznesowy, takich jak dostawcy urządzeń towarzyszących. Biorąc pod uwagę poziom elastyczności w stosowaniu tych przepisów przyznany państwom członkowskim oraz aby wytyczne Komisji Europejskiej były skuteczne, powinny być one odpowiednio szczegółowe.</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121</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(24)</w:t>
            </w:r>
            <w:r>
              <w:tab/>
              <w:t>Aby zapewnić spójność podejść wśród państw członkowskich, Komisja – w ścisłej współpracy z Organem Europejskich Regulatorów Łączności Elektronicznej (BEREC) – mogłaby przedstawić wytyczne w sprawie stosowania przepisów dotyczących dostępu do infrastruktury technicznej, w tym między innymi wytyczne dotyczące stosowania sprawiedliwych i rozsądnych warunków. Przy opracowywaniu wytycznych należy odpowiednio uwzględnić opinie zainteresowanych stron</w:t>
            </w:r>
            <w:r>
              <w:rPr>
                <w:b/>
                <w:i/>
              </w:rPr>
              <w:t xml:space="preserve"> i </w:t>
            </w:r>
            <w:r>
              <w:t>krajowych organów ds. rozstrzygania sporów.</w:t>
            </w:r>
          </w:p>
        </w:tc>
        <w:tc>
          <w:tcPr>
            <w:tcW w:w="4876" w:type="dxa"/>
          </w:tcPr>
          <w:p w:rsidR="00C77B3E" w:rsidRPr="00DC0657" w:rsidRDefault="00C77B3E" w:rsidP="009D4E99">
            <w:pPr>
              <w:pStyle w:val="Normal6a"/>
            </w:pPr>
            <w:r>
              <w:t>(24)</w:t>
            </w:r>
            <w:r>
              <w:tab/>
              <w:t xml:space="preserve">Aby zapewnić spójność podejść wśród państw członkowskich, </w:t>
            </w:r>
            <w:r>
              <w:rPr>
                <w:b/>
                <w:i/>
              </w:rPr>
              <w:t xml:space="preserve">ale biorąc także pod uwagę różnice między nimi, </w:t>
            </w:r>
            <w:r>
              <w:t>Komisja – w ścisłej współpracy z Organem Europejskich Regulatorów Łączności Elektronicznej (BEREC) – mogłaby przedstawić wytyczne w sprawie stosowania przepisów dotyczących dostępu do infrastruktury technicznej, w tym między innymi wytyczne dotyczące stosowania sprawiedliwych i rozsądnych warunków. Przy opracowywaniu wytycznych należy odpowiednio uwzględnić opinie zainteresowanych stron</w:t>
            </w:r>
            <w:r>
              <w:rPr>
                <w:b/>
                <w:i/>
              </w:rPr>
              <w:t xml:space="preserve">, a w szczególności </w:t>
            </w:r>
            <w:r>
              <w:t>krajowych organów ds. rozstrzygania sporów</w:t>
            </w:r>
            <w:r>
              <w:rPr>
                <w:b/>
                <w:i/>
              </w:rPr>
              <w:t>, aby jak najlepiej zagwarantować, że takie wytyczne nie będą zakłócać dobrze ugruntowanych zasad, nie będą naruszać przepisów proceduralnych krajowych organów ds. rozstrzygania sporów i nie wpłyną negatywnie na dalszy rozwój sieci o bardzo dużej przepustowości</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122</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(24)</w:t>
            </w:r>
            <w:r>
              <w:tab/>
              <w:t>Aby zapewnić spójność podejść wśród państw członkowskich, Komisja – w ścisłej współpracy z Organem Europejskich Regulatorów Łączności Elektronicznej (BEREC) – mogłaby przedstawić wytyczne w sprawie stosowania przepisów dotyczących dostępu do infrastruktury technicznej, w tym między innymi wytyczne dotyczące stosowania sprawiedliwych i rozsądnych warunków. Przy opracowywaniu wytycznych należy odpowiednio uwzględnić opinie zainteresowanych stron i krajowych organów ds. rozstrzygania sporów.</w:t>
            </w:r>
          </w:p>
        </w:tc>
        <w:tc>
          <w:tcPr>
            <w:tcW w:w="4876" w:type="dxa"/>
          </w:tcPr>
          <w:p w:rsidR="00C77B3E" w:rsidRPr="00DC0657" w:rsidRDefault="00C77B3E" w:rsidP="009D4E99">
            <w:pPr>
              <w:pStyle w:val="Normal6a"/>
            </w:pPr>
            <w:r>
              <w:t>(24)</w:t>
            </w:r>
            <w:r>
              <w:tab/>
              <w:t xml:space="preserve">Aby zapewnić spójność podejść wśród państw członkowskich, Komisja – w ścisłej współpracy z Organem Europejskich Regulatorów Łączności Elektronicznej (BEREC) – mogłaby przedstawić wytyczne w sprawie stosowania przepisów dotyczących dostępu do infrastruktury technicznej, w tym między innymi wytyczne dotyczące stosowania sprawiedliwych i rozsądnych warunków. Przy opracowywaniu wytycznych należy odpowiednio uwzględnić opinie zainteresowanych stron i krajowych organów ds. rozstrzygania sporów. </w:t>
            </w:r>
            <w:r>
              <w:rPr>
                <w:b/>
                <w:i/>
              </w:rPr>
              <w:t>Ustalając kryteria uczciwej i rozsądnej ceny, Komisja powinna wziąć pod uwagę cechy operatorów sieci i ich model biznesowy, takich jak przedsiębiorstwa stawiające maszty antenowe lub operatorzy oferujący wyłącznie usługi hurtowego dostępu, zwłaszcza w przypadku wynajmu infrastruktury osobom trzecim, aby uniknąć zakłóceń na rynku i negatywnego wpływu na inwestycje.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123</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(25)</w:t>
            </w:r>
            <w:r>
              <w:tab/>
            </w:r>
            <w:r>
              <w:rPr>
                <w:b/>
                <w:i/>
              </w:rPr>
              <w:t>Operatorzy powinni</w:t>
            </w:r>
            <w:r>
              <w:t xml:space="preserve"> mieć dostęp do minimalnych informacji dotyczących infrastruktury technicznej i planowanych robót budowlanych na obszarze wdrażania. Dzięki temu będą </w:t>
            </w:r>
            <w:r>
              <w:rPr>
                <w:b/>
                <w:i/>
              </w:rPr>
              <w:t>mogli</w:t>
            </w:r>
            <w:r>
              <w:t xml:space="preserve">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 przekazywać i przechowywać takie minimalne informacje w sposób proaktywny (a nie na wniosek) za pośrednictwem pojedynczego punktu informacyjnego. Pozwoli to uprościć zarządzanie wnioskami o udzielenie dostępu do takich informacji i umożliwi </w:t>
            </w:r>
            <w:r>
              <w:rPr>
                <w:b/>
                <w:i/>
              </w:rPr>
              <w:t>operatorom</w:t>
            </w:r>
            <w:r>
              <w:t xml:space="preserve">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c>
          <w:tcPr>
            <w:tcW w:w="4876" w:type="dxa"/>
          </w:tcPr>
          <w:p w:rsidR="00C77B3E" w:rsidRPr="00DC0657" w:rsidRDefault="00C77B3E" w:rsidP="009D4E99">
            <w:pPr>
              <w:pStyle w:val="Normal6a"/>
            </w:pPr>
            <w:r>
              <w:t>(25)</w:t>
            </w:r>
            <w:r>
              <w:tab/>
            </w:r>
            <w:r>
              <w:rPr>
                <w:b/>
                <w:i/>
              </w:rPr>
              <w:t>Przedsiębiorstwa udostępniające publiczne sieci łączności elektronicznej lub upoważnione do ich udostępniania powinny</w:t>
            </w:r>
            <w:r>
              <w:t xml:space="preserve"> mieć dostęp do minimalnych informacji dotyczących infrastruktury technicznej i planowanych robót budowlanych na obszarze wdrażania. Dzięki temu będą </w:t>
            </w:r>
            <w:r>
              <w:rPr>
                <w:b/>
                <w:i/>
              </w:rPr>
              <w:t>mogły</w:t>
            </w:r>
            <w:r>
              <w:t xml:space="preserve">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 przekazywać i przechowywać takie minimalne informacje w sposób proaktywny (a nie na wniosek) za pośrednictwem pojedynczego punktu informacyjnego. Pozwoli to uprościć zarządzanie wnioskami o udzielenie dostępu do takich informacji i umożliwi </w:t>
            </w:r>
            <w:r>
              <w:rPr>
                <w:b/>
                <w:i/>
              </w:rPr>
              <w:t>przedsiębiorstwom udostępniającym publiczne sieci łączności elektronicznej lub upoważnionym do ich udostępniania</w:t>
            </w:r>
            <w:r>
              <w:t xml:space="preserve">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124</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(25)</w:t>
            </w:r>
            <w:r>
              <w:tab/>
              <w:t xml:space="preserve">Operatorzy powinni mieć dostęp do minimalnych informacji dotyczących infrastruktury technicznej i planowanych robót budowlanych na obszarze wdrażania. Dzięki temu będą mogli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 przekazywać i przechowywać takie minimalne informacje </w:t>
            </w:r>
            <w:r>
              <w:rPr>
                <w:b/>
                <w:i/>
              </w:rPr>
              <w:t>w sposób proaktywny (a nie na wniosek)</w:t>
            </w:r>
            <w:r>
              <w:t xml:space="preserve"> za pośrednictwem pojedynczego punktu informacyjnego. Pozwoli to uprościć zarządzanie wnioskami o udzielenie dostępu do takich informacji i umożliwi operatorom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c>
          <w:tcPr>
            <w:tcW w:w="4876" w:type="dxa"/>
          </w:tcPr>
          <w:p w:rsidR="00C77B3E" w:rsidRPr="00DC0657" w:rsidRDefault="00C77B3E" w:rsidP="009D4E99">
            <w:pPr>
              <w:pStyle w:val="Normal6a"/>
            </w:pPr>
            <w:r>
              <w:t>(25)</w:t>
            </w:r>
            <w:r>
              <w:tab/>
              <w:t xml:space="preserve">Operatorzy powinni mieć dostęp do minimalnych informacji dotyczących infrastruktury technicznej i planowanych robót budowlanych na obszarze wdrażania. Dzięki temu będą mogli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 przekazywać i przechowywać takie minimalne informacje </w:t>
            </w:r>
            <w:r>
              <w:rPr>
                <w:b/>
                <w:i/>
              </w:rPr>
              <w:t>za pośrednictwem pojedynczego punktu informacyjnego oraz proaktywnie dopilnować, aby minimalne informacje, które udostępniają</w:t>
            </w:r>
            <w:r>
              <w:t xml:space="preserve"> za pośrednictwem pojedynczego punktu informacyjnego</w:t>
            </w:r>
            <w:r>
              <w:rPr>
                <w:b/>
                <w:i/>
              </w:rPr>
              <w:t>, były prawidłowe i aktualne</w:t>
            </w:r>
            <w:r>
              <w:t>. Pozwoli to uprościć zarządzanie wnioskami o udzielenie dostępu do takich informacji i umożliwi operatorom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125</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Tomas Tobé, Seán Kelly, Markus Pieper, Henna Virkkunen, Othmar Karas,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(25)</w:t>
            </w:r>
            <w:r>
              <w:tab/>
              <w:t>Operatorzy powinni mieć dostęp do minimalnych informacji dotyczących infrastruktury technicznej i planowanych robót budowlanych na obszarze wdrażania. Dzięki temu będą mogli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 przekazywać i przechowywać takie minimalne informacje w sposób proaktywny (a nie na wniosek) za pośrednictwem pojedynczego punktu informacyjnego. Pozwoli to uprościć zarządzanie wnioskami o udzielenie dostępu do takich informacji i umożliwi operatorom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c>
          <w:tcPr>
            <w:tcW w:w="4876" w:type="dxa"/>
          </w:tcPr>
          <w:p w:rsidR="00C77B3E" w:rsidRPr="00DC0657" w:rsidRDefault="00C77B3E" w:rsidP="009D4E99">
            <w:pPr>
              <w:pStyle w:val="Normal6a"/>
            </w:pPr>
            <w:r>
              <w:t>(25)</w:t>
            </w:r>
            <w:r>
              <w:tab/>
              <w:t>Operatorzy powinni mieć dostęp do minimalnych informacji dotyczących infrastruktury technicznej i planowanych robót budowlanych na obszarze wdrażania. Dzięki temu będą mogli skutecznie zaplanować wdrożenie sieci o bardzo dużej przepustowości i zapewnić najskuteczniejsze wykorzystanie istniejącej infrastruktury technicznej, odpowiedniej do celu wdrażania takich sieci, oraz planowanych robót budowlanych. Takie określone minimalne informacje stanowią warunek konieczny do przeprowadzenia oceny możliwości wykorzystania istniejącej infrastruktury technicznej lub koordynacji planowanych robót budowlanych na danym obszarze, a także do ograniczenia uszkodzeń istniejącej infrastruktury technicznej. Z uwagi na liczbę zainteresowanych stron (z uwzględnieniem robót budowlanych finansowanych ze środków publicznych i prywatnych, jak również istniejącej lub planowanej infrastruktury technicznej) oraz w celu ułatwienia dostępu do takich informacji (pomiędzy sektorami i państwami) operatorzy sieci i podmioty sektora publicznego podlegający obowiązkom w zakresie przejrzystości powinni</w:t>
            </w:r>
            <w:r>
              <w:rPr>
                <w:b/>
                <w:i/>
              </w:rPr>
              <w:t>, w miarę możliwości,</w:t>
            </w:r>
            <w:r>
              <w:t xml:space="preserve"> przekazywać i przechowywać takie minimalne informacje w sposób proaktywny (a nie na wniosek) za pośrednictwem pojedynczego punktu informacyjnego. Pozwoli to uprościć zarządzanie wnioskami o udzielenie dostępu do takich informacji i umożliwi operatorom wyrażenie zainteresowania uzyskaniem dostępu do infrastruktury technicznej lub koordynowaniem robót budowlanych, w przypadku których terminy mają decydujące znaczenie. Określone minimalne informacje na temat planowanych robót budowlanych należy przekazywać za pośrednictwem pojedynczego punktu informacyjnego, niezwłocznie po uzyskaniu przez operatora sieci dostępu do tych informacji, a w każdym razie, jeżeli wymagane są zezwolenia, nie później niż 3 miesiące przed pierwszym złożeniem wniosku o udzielenie zezwolenia do właściwych organów.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126</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(26)</w:t>
            </w:r>
            <w:r>
              <w:tab/>
              <w:t xml:space="preserve">Określone minimalne informacje powinny zostać udostępnione za pośrednictwem pojedynczego punktu informacyjnego na proporcjonalnych, niedyskryminujących i przejrzystych warunkach, tak aby </w:t>
            </w:r>
            <w:r>
              <w:rPr>
                <w:b/>
                <w:i/>
              </w:rPr>
              <w:t>operatorzy mogli</w:t>
            </w:r>
            <w:r>
              <w:t xml:space="preserve"> składać wnioski o udzielenie dostępu do informacji. Pojedynczy punkt informacyjny powinien obejmować repozytorium informacji w formacie elektronicznym, umożliwiające uzyskanie dostępu do informacji i składanie wniosków internetowych przy użyciu narzędzi cyfrowych, takich jak strony internetowe oraz aplikacje i platformy cyfrowe. Udostępniane informacje mogą być ograniczone w celu zapewnienia bezpieczeństwa i integralności sieci, w szczególności infrastruktury krytycznej, bezpieczeństwa narodowego lub ochrony uzasadnionych tajemnic operacyjnych i handlowych. Informacje nie muszą być umieszczane w pojedynczym punkcie informacyjnym, o ile zapewnia on dostępność linków do innych narzędzi cyfrowych, takich jak portale internetowe, platformy cyfrowe lub aplikacje cyfrowe, w których informacje te są przechowywane. Pojedynczy punkt informacyjny może oferować dodatkowe funkcje, takie jak dostęp do dodatkowych informacji lub wsparcie procesu składania wniosków o udzielenie dostępu do istniejącej infrastruktury technicznej lub koordynację robót budowlanych.</w:t>
            </w:r>
          </w:p>
        </w:tc>
        <w:tc>
          <w:tcPr>
            <w:tcW w:w="4876" w:type="dxa"/>
          </w:tcPr>
          <w:p w:rsidR="00C77B3E" w:rsidRPr="00DC0657" w:rsidRDefault="00C77B3E" w:rsidP="009D4E99">
            <w:pPr>
              <w:pStyle w:val="Normal6a"/>
            </w:pPr>
            <w:r>
              <w:t>(26)</w:t>
            </w:r>
            <w:r>
              <w:tab/>
              <w:t xml:space="preserve">Określone minimalne informacje powinny zostać udostępnione za pośrednictwem pojedynczego punktu informacyjnego na proporcjonalnych, niedyskryminujących i przejrzystych warunkach, tak aby </w:t>
            </w:r>
            <w:r>
              <w:rPr>
                <w:b/>
                <w:i/>
              </w:rPr>
              <w:t>przedsiębiorstwa udostępniające publiczne sieci łączności elektronicznej lub upoważnione do ich udostępniania mogły</w:t>
            </w:r>
            <w:r>
              <w:t xml:space="preserve"> składać wnioski o udzielenie dostępu do informacji. Pojedynczy punkt informacyjny powinien obejmować repozytorium informacji w formacie elektronicznym, umożliwiające uzyskanie dostępu do informacji i składanie wniosków internetowych przy użyciu narzędzi cyfrowych, takich jak strony internetowe oraz aplikacje i platformy cyfrowe. Udostępniane informacje mogą być ograniczone w celu zapewnienia bezpieczeństwa i integralności sieci, w szczególności infrastruktury krytycznej, bezpieczeństwa narodowego lub ochrony uzasadnionych tajemnic operacyjnych i handlowych. Informacje nie muszą być umieszczane w pojedynczym punkcie informacyjnym, o ile zapewnia on dostępność linków do innych narzędzi cyfrowych, takich jak portale internetowe, platformy cyfrowe lub aplikacje cyfrowe, w których informacje te są przechowywane. Pojedynczy punkt informacyjny może oferować dodatkowe funkcje, takie jak dostęp do dodatkowych informacji lub wsparcie procesu składania wniosków o udzielenie dostępu do istniejącej infrastruktury technicznej lub koordynację robót budowlanych.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127</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(27)</w:t>
            </w:r>
            <w:r>
              <w:tab/>
              <w:t xml:space="preserve">Ponadto, jeżeli wniosek jest uzasadniony, w szczególności z uwagi na potrzebę współdzielenia istniejącej infrastruktury technicznej lub koordynacji robót budowlanych, </w:t>
            </w:r>
            <w:r>
              <w:rPr>
                <w:b/>
                <w:i/>
              </w:rPr>
              <w:t>operatorzy powinni</w:t>
            </w:r>
            <w:r>
              <w:t xml:space="preserve"> mieć możliwość przeprowadzenia inspekcji na miejscu i zażądania informacji na temat planowanych robót budowlanych na przejrzystych, proporcjonalnych i niedyskryminujących warunkach i bez uszczerbku dla zabezpieczeń przyjętych w celu zapewnienia bezpieczeństwa i integralności sieci oraz ochrony poufności i tajemnic operacyjnych i handlowych.</w:t>
            </w:r>
          </w:p>
        </w:tc>
        <w:tc>
          <w:tcPr>
            <w:tcW w:w="4876" w:type="dxa"/>
          </w:tcPr>
          <w:p w:rsidR="00C77B3E" w:rsidRPr="00DC0657" w:rsidRDefault="00C77B3E" w:rsidP="009D4E99">
            <w:pPr>
              <w:pStyle w:val="Normal6a"/>
            </w:pPr>
            <w:r>
              <w:t>(27)</w:t>
            </w:r>
            <w:r>
              <w:tab/>
              <w:t xml:space="preserve">Ponadto, jeżeli wniosek jest uzasadniony, w szczególności z uwagi na potrzebę współdzielenia istniejącej infrastruktury technicznej lub koordynacji robót budowlanych, </w:t>
            </w:r>
            <w:r>
              <w:rPr>
                <w:b/>
                <w:i/>
              </w:rPr>
              <w:t>przedsiębiorstwa udostępniające publiczne sieci łączności elektronicznej lub upoważnione do ich udostępniania powinny</w:t>
            </w:r>
            <w:r>
              <w:t xml:space="preserve"> mieć możliwość przeprowadzenia inspekcji na miejscu i zażądania informacji na temat planowanych robót budowlanych na przejrzystych, proporcjonalnych i niedyskryminujących warunkach i bez uszczerbku dla zabezpieczeń przyjętych w celu zapewnienia bezpieczeństwa i integralności sieci oraz ochrony poufności i tajemnic operacyjnych i handlowych.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128</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(28)</w:t>
            </w:r>
            <w:r>
              <w:tab/>
              <w:t xml:space="preserve">Należy zachęcać do większej przejrzystości w odniesieniu do planowanych robót budowlanych za pośrednictwem pojedynczych punktów informacyjnych. W tym celu można łatwo przekierować </w:t>
            </w:r>
            <w:r>
              <w:rPr>
                <w:b/>
                <w:i/>
              </w:rPr>
              <w:t>upoważnionych operatorów</w:t>
            </w:r>
            <w:r>
              <w:t xml:space="preserve"> do takich informacji, jeżeli są dostępne. W celu zapewnienia przejrzystości należy również wprowadzić wymóg, aby wnioski o udzielenie zezwolenia były uzależnione od uprzedniej publikacji informacji dotyczących planowanych robót budowlanych za pośrednictwem pojedynczego punktu informacyjnego.</w:t>
            </w:r>
          </w:p>
        </w:tc>
        <w:tc>
          <w:tcPr>
            <w:tcW w:w="4876" w:type="dxa"/>
          </w:tcPr>
          <w:p w:rsidR="00C77B3E" w:rsidRPr="00DC0657" w:rsidRDefault="00C77B3E" w:rsidP="009D4E99">
            <w:pPr>
              <w:pStyle w:val="Normal6a"/>
            </w:pPr>
            <w:r>
              <w:t>(28)</w:t>
            </w:r>
            <w:r>
              <w:tab/>
              <w:t xml:space="preserve">Należy zachęcać do większej przejrzystości w odniesieniu do planowanych robót budowlanych za pośrednictwem pojedynczych punktów informacyjnych. W tym celu można łatwo przekierować </w:t>
            </w:r>
            <w:r>
              <w:rPr>
                <w:b/>
                <w:i/>
              </w:rPr>
              <w:t>przedsiębiorstwa udostępniające publiczne sieci łączności elektronicznej lub upoważnione do ich udostępniania</w:t>
            </w:r>
            <w:r>
              <w:t xml:space="preserve"> do takich informacji, jeżeli są dostępne. W celu zapewnienia przejrzystości należy również wprowadzić wymóg, aby wnioski o udzielenie zezwolenia były uzależnione od uprzedniej publikacji informacji dotyczących planowanych robót budowlanych za pośrednictwem pojedynczego punktu informacyjnego.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129</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(30)</w:t>
            </w:r>
            <w:r>
              <w:tab/>
              <w:t>W celu zapewnienia proporcjonalności i bezpieczeństwa wymóg przekazywania informacji dotyczących istniejącej infrastruktury technicznej za pośrednictwem pojedynczego punktu informacyjnego nie musi być stosowany z tych samych powodów, które uzasadniają odrzucenie wniosku o udzielenie dostępu. Przekazywanie informacji dotyczących istniejącej infrastruktury technicznej za pośrednictwem pojedynczego punktu informacyjnego mogłoby, w bardzo szczególnych przypadkach, ponadto powodować obciążenia lub być nieproporcjonalne dla operatorów sieci i podmiotów sektora publicznego. Taka sytuacja może mieć miejsce na przykład w przypadku, gdy nie są jeszcze dostępne mapy odpowiednich składników mienia, a ich sporządzenie byłoby bardzo kosztowne, lub gdy oczekuje się, że liczba wniosków o udzielenie dostępu na niektórych obszarach państwa członkowskiego lub w odniesieniu do pewnej konkretnej infrastruktury technicznej będzie bardzo niska. Jeżeli na podstawie szczegółowej analizy kosztów i korzyści można stwierdzić, że przekazywanie informacji jest nieproporcjonalne, operatorzy sieci i podmioty sektora publicznego nie powinni być zobowiązani do przekazywania takich informacji. Państwa członkowskie powinny przeprowadzić szczegółową ocenę kosztów i korzyści w oparciu o konsultacje z zainteresowanymi stronami na temat zapotrzebowania na dostęp do istniejącej infrastruktury technicznej, przy czym ocena ta powinna być regularnie aktualizowana. Proces konsultacji i jego wyniki należy podać do wiadomości publicznej, a </w:t>
            </w:r>
            <w:r>
              <w:rPr>
                <w:b/>
                <w:i/>
              </w:rPr>
              <w:t>konkretną infrastrukturę techniczną</w:t>
            </w:r>
            <w:r>
              <w:t xml:space="preserve">, </w:t>
            </w:r>
            <w:r>
              <w:rPr>
                <w:b/>
                <w:i/>
              </w:rPr>
              <w:t>która ma podlegać zwolnieniu</w:t>
            </w:r>
            <w:r>
              <w:t xml:space="preserve"> z tego obowiązku, należy zgłosić Komisji.</w:t>
            </w:r>
          </w:p>
        </w:tc>
        <w:tc>
          <w:tcPr>
            <w:tcW w:w="4876" w:type="dxa"/>
          </w:tcPr>
          <w:p w:rsidR="00C77B3E" w:rsidRPr="00DC0657" w:rsidRDefault="00C77B3E" w:rsidP="009D4E99">
            <w:pPr>
              <w:pStyle w:val="Normal6a"/>
            </w:pPr>
            <w:r>
              <w:t>(30)</w:t>
            </w:r>
            <w:r>
              <w:tab/>
              <w:t>W celu zapewnienia proporcjonalności i bezpieczeństwa wymóg przekazywania informacji dotyczących istniejącej infrastruktury technicznej za pośrednictwem pojedynczego punktu informacyjnego nie musi być stosowany z tych samych powodów, które uzasadniają odrzucenie wniosku o udzielenie dostępu. Przekazywanie informacji dotyczących istniejącej infrastruktury technicznej za pośrednictwem pojedynczego punktu informacyjnego mogłoby, w bardzo szczególnych przypadkach, ponadto powodować obciążenia lub być nieproporcjonalne dla operatorów sieci i podmiotów sektora publicznego. Taka sytuacja może mieć miejsce na przykład w przypadku, gdy nie są jeszcze dostępne mapy odpowiednich składników mienia, a ich sporządzenie byłoby bardzo kosztowne, lub gdy oczekuje się, że liczba wniosków o udzielenie dostępu na niektórych obszarach państwa członkowskiego lub w odniesieniu do pewnej konkretnej infrastruktury technicznej będzie bardzo niska. Jeżeli na podstawie szczegółowej analizy kosztów i korzyści można stwierdzić, że przekazywanie informacji jest nieproporcjonalne, operatorzy sieci i podmioty sektora publicznego nie powinni być zobowiązani do przekazywania takich informacji. Państwa członkowskie powinny przeprowadzić szczegółową ocenę kosztów i korzyści w oparciu o konsultacje z zainteresowanymi stronami na temat zapotrzebowania na dostęp do istniejącej infrastruktury technicznej, przy czym ocena ta powinna być regularnie aktualizowana. Proces konsultacji i jego wyniki należy podać do wiadomości publicznej, a </w:t>
            </w:r>
            <w:r>
              <w:rPr>
                <w:b/>
                <w:i/>
              </w:rPr>
              <w:t>kryteria i warunki zastosowane</w:t>
            </w:r>
            <w:r>
              <w:t xml:space="preserve">, </w:t>
            </w:r>
            <w:r>
              <w:rPr>
                <w:b/>
                <w:i/>
              </w:rPr>
              <w:t>aby zwolnić konkretną infrastrukturę techniczną</w:t>
            </w:r>
            <w:r>
              <w:t xml:space="preserve"> z tego obowiązku, należy zgłosić Komisji.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130</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(31)</w:t>
            </w:r>
            <w:r>
              <w:tab/>
              <w:t>Aby zapewnić spójność, właściwe podmioty pełniące funkcje pojedynczego punktu informacyjnego, krajowe organy regulacyjne realizujące zadania wynikające z dyrektywy (UE) 2018/1972 lub inne właściwe organy, takie jak organy krajowe, regionalne lub lokalne zarządzające katastrem lub wykonujące dyrektywę 2007/2/WE (INSPIRE), powinny w stosownych przypadkach konsultować się i współpracować ze sobą. Celem takiej współpracy powinno być ograniczenie do minimum działań służących wypełnianiu obowiązków w zakresie przejrzystości nałożonych na operatorów sieci i podmioty sektora publicznego, w tym na przedsiębiorstwa posiadające znaczącą pozycję rynkową, aby zapewnić dostępność informacji na temat ich infrastruktury technicznej. W przypadku gdy wymagany jest inny zbiór danych dotyczących infrastruktury technicznej operatora o znaczącej pozycji rynkowej, taka współpraca powinna prowadzić do utworzenia użytecznych powiązań i synergii między bazą danych dotyczącą znaczącej pozycji rynkowej a pojedynczym punktem informacyjnym oraz do wypracowania proporcjonalnych wspólnych praktyk w zakresie gromadzenia i dostarczania danych, które to praktyki pozwolą uzyskać łatwo porównywalne wyniki. Współpraca powinna również służyć ułatwieniu dostępu do informacji dotyczących infrastruktury technicznej w świetle warunków krajowych. Jeżeli obowiązki regulacyjne zostaną zmienione lub wycofane, strony, których to dotyczy, powinny mieć możliwość uzgodnienia najlepszych rozwiązań w celu dostosowania procesów gromadzenia i dostarczania danych dotyczących infrastruktury technicznej do nowo wprowadzonych wymogów regulacyjnych.</w:t>
            </w:r>
          </w:p>
        </w:tc>
        <w:tc>
          <w:tcPr>
            <w:tcW w:w="4876" w:type="dxa"/>
          </w:tcPr>
          <w:p w:rsidR="00C77B3E" w:rsidRPr="00DC0657" w:rsidRDefault="00C77B3E" w:rsidP="009D4E99">
            <w:pPr>
              <w:pStyle w:val="Normal6a"/>
            </w:pPr>
            <w:r>
              <w:t>(31)</w:t>
            </w:r>
            <w:r>
              <w:tab/>
              <w:t xml:space="preserve">Aby zapewnić spójność, właściwe podmioty pełniące funkcje pojedynczego punktu informacyjnego, krajowe organy regulacyjne </w:t>
            </w:r>
            <w:r>
              <w:rPr>
                <w:b/>
                <w:i/>
              </w:rPr>
              <w:t xml:space="preserve">lub inne właściwe organy </w:t>
            </w:r>
            <w:r>
              <w:t>realizujące zadania wynikające z dyrektywy (UE) 2018/1972 lub inne właściwe organy, takie jak organy krajowe, regionalne lub lokalne zarządzające katastrem lub wykonujące dyrektywę 2007/2/WE (INSPIRE), powinny w stosownych przypadkach konsultować się i współpracować ze sobą. Celem takiej współpracy powinno być ograniczenie do minimum działań służących wypełnianiu obowiązków w zakresie przejrzystości nałożonych na operatorów sieci i podmioty sektora publicznego, w tym na przedsiębiorstwa posiadające znaczącą pozycję rynkową, aby zapewnić dostępność informacji na temat ich infrastruktury technicznej. W przypadku gdy wymagany jest inny zbiór danych dotyczących infrastruktury technicznej operatora o znaczącej pozycji rynkowej, taka współpraca powinna prowadzić do utworzenia użytecznych powiązań i synergii między bazą danych dotyczącą znaczącej pozycji rynkowej a pojedynczym punktem informacyjnym oraz do wypracowania proporcjonalnych wspólnych praktyk w zakresie gromadzenia i dostarczania danych, które to praktyki pozwolą uzyskać łatwo porównywalne wyniki. Współpraca powinna również służyć ułatwieniu dostępu do informacji dotyczących infrastruktury technicznej w świetle warunków krajowych. Jeżeli obowiązki regulacyjne zostaną zmienione lub wycofane, strony, których to dotyczy, powinny mieć możliwość uzgodnienia najlepszych rozwiązań w celu dostosowania procesów gromadzenia i dostarczania danych dotyczących infrastruktury technicznej do nowo wprowadzonych wymogów regulacyjnych.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131</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(32)</w:t>
            </w:r>
            <w:r>
              <w:tab/>
              <w:t xml:space="preserve">Obowiązek w zakresie przejrzystości w odniesieniu do koordynacji robót budowlanych nie musi mieć zastosowania do robót budowlanych prowadzonych z przyczyn związanych z bezpieczeństwem narodowym lub w sytuacjach nadzwyczajnych. Może to dotyczyć robót budowlanych realizowanych gdy w odniesieniu do robót inżynieryjno-budowlanych i powiązanych z nimi instalacji występuje ryzyko zagrożenia publicznego wynikającego z procesów degradacji, które są spowodowane przez niszczycielskie czynniki naturalne lub ludzkie; w takiej sytuacji konieczne jest zapewnienie bezpieczeństwa odpowiednich obiektów lub ich rozbiórki. </w:t>
            </w:r>
            <w:r>
              <w:rPr>
                <w:b/>
                <w:i/>
              </w:rPr>
              <w:t>W celu zapewnienia przejrzystości państwa członkowskie powinny powiadomić Komisję o rodzajach robót budowlanych objętych takimi okolicznościami i powinny opublikować informacje o tych robotach za pośrednictwem pojedynczego punktu informacyjnego.</w:t>
            </w:r>
          </w:p>
        </w:tc>
        <w:tc>
          <w:tcPr>
            <w:tcW w:w="4876" w:type="dxa"/>
          </w:tcPr>
          <w:p w:rsidR="00C77B3E" w:rsidRPr="00DC0657" w:rsidRDefault="00C77B3E" w:rsidP="009D4E99">
            <w:pPr>
              <w:pStyle w:val="Normal6a"/>
            </w:pPr>
            <w:r>
              <w:t>(32)</w:t>
            </w:r>
            <w:r>
              <w:tab/>
              <w:t>Obowiązek w zakresie przejrzystości w odniesieniu do koordynacji robót budowlanych nie musi mieć zastosowania do robót budowlanych prowadzonych z przyczyn związanych z bezpieczeństwem narodowym lub w sytuacjach nadzwyczajnych. Może to dotyczyć robót budowlanych realizowanych gdy w odniesieniu do robót inżynieryjno-budowlanych i powiązanych z nimi instalacji występuje ryzyko zagrożenia publicznego wynikającego z procesów degradacji, które są spowodowane przez niszczycielskie czynniki naturalne lub ludzkie; w takiej sytuacji konieczne jest zapewnienie bezpieczeństwa odpowiednich obiektów lub ich rozbiórki.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132</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(34)</w:t>
            </w:r>
            <w:r>
              <w:tab/>
              <w:t xml:space="preserve">Państwa członkowskie powinny zmaksymalizować skutki robót budowlanych finansowanych w całości lub w części ze środków publicznych przez wykorzystywanie pozytywnych efektów zewnętrznych tych robót w różnych sektorach i zapewnienie równych szans w odniesieniu do współdzielenia dostępnej i planowanej infrastruktury technicznej w związku z wdrażaniem sieci o bardzo dużej przepustowości. Nie powinno to mieć negatywnego wpływu na główny cel robót budowlanych finansowanych ze środków publicznych. Złożone w odpowiednim czasie i uzasadnione wnioski dotyczące koordynacji wdrażania elementów sieci o bardzo dużej przepustowości powinny być jednak uwzględniane, na proporcjonalnych, niedyskryminujących i przejrzystych warunkach, przez operatora sieci wykonującego bezpośrednio lub pośrednio (np. poprzez podwykonawców) dane roboty budowlane. Na przykład </w:t>
            </w:r>
            <w:r>
              <w:rPr>
                <w:b/>
                <w:i/>
              </w:rPr>
              <w:t>operator składający</w:t>
            </w:r>
            <w:r>
              <w:t xml:space="preserve"> wniosek </w:t>
            </w:r>
            <w:r>
              <w:rPr>
                <w:b/>
                <w:i/>
              </w:rPr>
              <w:t>powinien</w:t>
            </w:r>
            <w:r>
              <w:t xml:space="preserve"> pokryć wszelkie dodatkowe koszty, w tym koszty spowodowane opóźnieniami, i ograniczyć do minimum zmiany w pierwotnych planach. Takie przepisy nie powinny mieć wpływu na prawo państw członkowskich do rezerwowania przepustowości w przypadku sieci łączności elektronicznej nawet w przypadku braku konkretnych wniosków. Dzięki temu państwa członkowskie będą mogły zaspokoić zapotrzebowanie na infrastrukturę techniczną w przyszłości w celu osiągnięcia maksymalnej wartości robót budowlanych lub przyjęcia środków przyznających podobne prawa do koordynacji robót budowlanych operatorom innych rodzajów sieci, takich jak sieci transportowe, gazowe lub elektroenergetyczne.</w:t>
            </w:r>
          </w:p>
        </w:tc>
        <w:tc>
          <w:tcPr>
            <w:tcW w:w="4876" w:type="dxa"/>
          </w:tcPr>
          <w:p w:rsidR="00C77B3E" w:rsidRPr="00DC0657" w:rsidRDefault="00C77B3E" w:rsidP="009D4E99">
            <w:pPr>
              <w:pStyle w:val="Normal6a"/>
            </w:pPr>
            <w:r>
              <w:t>(34)</w:t>
            </w:r>
            <w:r>
              <w:tab/>
              <w:t xml:space="preserve">Państwa członkowskie powinny zmaksymalizować skutki robót budowlanych finansowanych w całości lub w części ze środków publicznych przez wykorzystywanie pozytywnych efektów zewnętrznych tych robót w różnych sektorach i zapewnienie równych szans w odniesieniu do współdzielenia dostępnej i planowanej infrastruktury technicznej w związku z wdrażaniem sieci o bardzo dużej przepustowości. Nie powinno to mieć negatywnego wpływu na główny cel robót budowlanych finansowanych ze środków publicznych. Złożone w odpowiednim czasie i uzasadnione wnioski dotyczące koordynacji wdrażania elementów sieci o bardzo dużej przepustowości powinny być jednak uwzględniane, na proporcjonalnych, niedyskryminujących i przejrzystych warunkach, przez operatora sieci wykonującego bezpośrednio lub pośrednio (np. poprzez podwykonawców) dane roboty budowlane. Na przykład </w:t>
            </w:r>
            <w:r>
              <w:rPr>
                <w:b/>
                <w:i/>
              </w:rPr>
              <w:t>przedsiębiorstwo udostępniające publiczne sieci łączności elektronicznej lub upoważnione do ich udostępniania składające</w:t>
            </w:r>
            <w:r>
              <w:t xml:space="preserve"> wniosek </w:t>
            </w:r>
            <w:r>
              <w:rPr>
                <w:b/>
                <w:i/>
              </w:rPr>
              <w:t>powinno</w:t>
            </w:r>
            <w:r>
              <w:t xml:space="preserve"> pokryć wszelkie dodatkowe koszty, w tym koszty spowodowane opóźnieniami, i ograniczyć do minimum zmiany w pierwotnych planach. Takie przepisy nie powinny mieć wpływu na prawo państw członkowskich do rezerwowania przepustowości w przypadku sieci łączności elektronicznej nawet w przypadku braku konkretnych wniosków. Dzięki temu państwa członkowskie będą mogły zaspokoić zapotrzebowanie na infrastrukturę techniczną w przyszłości w celu osiągnięcia maksymalnej wartości robót budowlanych lub przyjęcia środków przyznających podobne prawa do koordynacji robót budowlanych operatorom innych rodzajów sieci, takich jak sieci transportowe, gazowe lub elektroenergetyczne.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133</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(36)</w:t>
            </w:r>
            <w:r>
              <w:tab/>
              <w:t>Aby zapewnić spójność podejść, Komisja – w ścisłej współpracy z Organem Europejskich Regulatorów Łączności Elektronicznej (BEREC) – może przedstawić wytyczne w sprawie stosowania przepisów dotyczących koordynacji robót budowlanych, w tym między innymi wytyczne dotyczące podziału kosztów. Przy opracowywaniu wytycznych należy odpowiednio uwzględnić opinie zainteresowanych stron</w:t>
            </w:r>
            <w:r>
              <w:rPr>
                <w:b/>
                <w:i/>
              </w:rPr>
              <w:t xml:space="preserve"> i </w:t>
            </w:r>
            <w:r>
              <w:t>krajowych organów ds. rozstrzygania sporów.</w:t>
            </w:r>
          </w:p>
        </w:tc>
        <w:tc>
          <w:tcPr>
            <w:tcW w:w="4876" w:type="dxa"/>
          </w:tcPr>
          <w:p w:rsidR="00C77B3E" w:rsidRPr="00DC0657" w:rsidRDefault="00C77B3E" w:rsidP="009D4E99">
            <w:pPr>
              <w:pStyle w:val="Normal6a"/>
            </w:pPr>
            <w:r>
              <w:t>(36)</w:t>
            </w:r>
            <w:r>
              <w:tab/>
              <w:t xml:space="preserve">Aby zapewnić spójność podejść, </w:t>
            </w:r>
            <w:r>
              <w:rPr>
                <w:b/>
                <w:i/>
              </w:rPr>
              <w:t xml:space="preserve">ale biorąc pod uwagę różnice między państwami członkowskimi, </w:t>
            </w:r>
            <w:r>
              <w:t>Komisja – w ścisłej współpracy z Organem Europejskich Regulatorów Łączności Elektronicznej (BEREC) – może przedstawić wytyczne w sprawie stosowania przepisów dotyczących koordynacji robót budowlanych, w tym między innymi wytyczne dotyczące podziału kosztów. Przy opracowywaniu wytycznych należy odpowiednio uwzględnić opinie zainteresowanych stron</w:t>
            </w:r>
            <w:r>
              <w:rPr>
                <w:b/>
                <w:i/>
              </w:rPr>
              <w:t xml:space="preserve">, a w szczególności </w:t>
            </w:r>
            <w:r>
              <w:t>krajowych organów ds. rozstrzygania sporów</w:t>
            </w:r>
            <w:r>
              <w:rPr>
                <w:b/>
                <w:i/>
              </w:rPr>
              <w:t>, aby jak najlepiej zagwarantować, że takie wytyczne nie będą zakłócać dobrze ugruntowanych zasad, nie będą naruszać przepisów proceduralnych krajowych organów ds. rozstrzygania sporów i nie wpłyną negatywnie na dalszy rozwój sieci o bardzo dużej przepustowości</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134</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(36)</w:t>
            </w:r>
            <w:r>
              <w:tab/>
              <w:t xml:space="preserve">Aby zapewnić spójność podejść, Komisja – w ścisłej współpracy z Organem Europejskich Regulatorów Łączności Elektronicznej (BEREC) – </w:t>
            </w:r>
            <w:r>
              <w:rPr>
                <w:b/>
                <w:i/>
              </w:rPr>
              <w:t>może</w:t>
            </w:r>
            <w:r>
              <w:t xml:space="preserve"> przedstawić wytyczne w sprawie stosowania przepisów dotyczących koordynacji robót budowlanych, w tym między innymi wytyczne dotyczące podziału kosztów. Przy opracowywaniu wytycznych należy odpowiednio uwzględnić opinie zainteresowanych stron i krajowych organów ds. rozstrzygania sporów.</w:t>
            </w:r>
          </w:p>
        </w:tc>
        <w:tc>
          <w:tcPr>
            <w:tcW w:w="4876" w:type="dxa"/>
          </w:tcPr>
          <w:p w:rsidR="00C77B3E" w:rsidRPr="00DC0657" w:rsidRDefault="00C77B3E" w:rsidP="009D4E99">
            <w:pPr>
              <w:pStyle w:val="Normal6a"/>
            </w:pPr>
            <w:r>
              <w:t>(36)</w:t>
            </w:r>
            <w:r>
              <w:tab/>
              <w:t xml:space="preserve">Aby zapewnić spójność podejść, Komisja – w ścisłej współpracy z Organem Europejskich Regulatorów Łączności Elektronicznej (BEREC) – </w:t>
            </w:r>
            <w:r>
              <w:rPr>
                <w:b/>
                <w:i/>
              </w:rPr>
              <w:t>powinna</w:t>
            </w:r>
            <w:r>
              <w:t xml:space="preserve"> przedstawić wytyczne</w:t>
            </w:r>
            <w:r>
              <w:rPr>
                <w:b/>
                <w:i/>
              </w:rPr>
              <w:t xml:space="preserve"> co najmniej sześć miesięcy przed datą zastosowania niniejszego rozporządzenia</w:t>
            </w:r>
            <w:r>
              <w:t xml:space="preserve"> w sprawie stosowania przepisów dotyczących koordynacji robót budowlanych, w tym między innymi wytyczne dotyczące podziału kosztów. Przy opracowywaniu wytycznych należy odpowiednio uwzględnić opinie zainteresowanych stron i krajowych organów ds. rozstrzygania sporów. </w:t>
            </w:r>
            <w:r>
              <w:rPr>
                <w:b/>
                <w:i/>
              </w:rPr>
              <w:t>Biorąc pod uwagę poziom elastyczności w stosowaniu tych przepisów przyznany państwom członkowskim oraz aby wytyczne te były skuteczne, powinny być one odpowiednio szczegółowe.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135</w:t>
      </w:r>
      <w:r>
        <w:rPr>
          <w:rStyle w:val="HideTWBExt"/>
        </w:rPr>
        <w:t>&lt;/NumAm&gt;</w:t>
      </w:r>
    </w:p>
    <w:p w:rsidR="00C77B3E" w:rsidRPr="00DC0657" w:rsidRDefault="00C77B3E" w:rsidP="00C77B3E">
      <w:pPr>
        <w:pStyle w:val="NormalBold"/>
      </w:pPr>
      <w:r>
        <w:rPr>
          <w:rStyle w:val="HideTWBExt"/>
        </w:rPr>
        <w:t>&lt;RepeatBlock-By&gt;&lt;Members&gt;</w:t>
      </w:r>
      <w:r>
        <w:t>Pilar del Castillo Vera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37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(37a)</w:t>
            </w:r>
            <w:r>
              <w:tab/>
            </w:r>
            <w:r>
              <w:rPr>
                <w:b/>
                <w:i/>
              </w:rPr>
              <w:t>Wdrożenie korytarzy transgranicznych wzdłuż szlaków transportowych przyczyni się do stworzenia wzajemnie połączonego, interoperacyjnego i suwerennego jednolitego rynku cyfrowego. Aby zwiększyć liczbę korytarzy 5G w Europie oraz wykorzystanie już dostępnych funduszy (w szczególności instrumentu „Łącząc Europę” - technologie cyfrowe), konieczne jest uczestnictwo wszystkich odpowiednich zainteresowanych stron, w tym operatorów sieci drogowej i kolejowej, a także przedsiębiorstw udostępniających publiczne sieci łączności elektronicznej lub upoważnionych do ich udostępniania jako właścicieli krajowego widma radiowego. Do końca 2025 r. wszystkie przedsiębiorstwa udostępniające publiczne sieci łączności elektronicznej lub upoważnione do ich udostępniania w Unii powinny zapewnić użytkownikom końcowym sprawną transmisję sygnału na wewnętrznych granicach europejskich jako warunek wstępny skuteczności korytarzy 5G, co przyczyni się do realizacji cyfrowej dekady. Sprawna łączność, a także prawdziwie zharmonizowane wykorzystanie widma radiowego, będzie sprzyjać transgranicznej konsolidacji, do której dąży branża operatorów sieci komórkowej. Pogłębi również integrację jednolitego rynku i wzmocni europejskich liderów, którzy stoją na czele światowego wyścigu technologicznego.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136</w:t>
      </w:r>
      <w:r>
        <w:rPr>
          <w:rStyle w:val="HideTWBExt"/>
        </w:rPr>
        <w:t>&lt;/NumAm&gt;</w:t>
      </w:r>
    </w:p>
    <w:p w:rsidR="00C77B3E" w:rsidRPr="00DC0657" w:rsidRDefault="00C77B3E" w:rsidP="00C77B3E">
      <w:pPr>
        <w:pStyle w:val="NormalBold"/>
      </w:pPr>
      <w:r>
        <w:rPr>
          <w:rStyle w:val="HideTWBExt"/>
        </w:rPr>
        <w:t>&lt;RepeatBlock-By&gt;&lt;Members&gt;</w:t>
      </w:r>
      <w:r>
        <w:t>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37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(37a)</w:t>
            </w:r>
            <w:r>
              <w:tab/>
            </w:r>
            <w:r>
              <w:rPr>
                <w:b/>
                <w:i/>
              </w:rPr>
              <w:t>Jednym z fundamentów dobrze funkcjonującego, wzajemnie połączonego i interoperacyjnego jednolitego rynku cyfrowego jest wdrożenie korytarzy transgranicznych wzdłuż szlaków transportowych. Będzie to również wymagało aktualizacji rozmieszczenia korytarzy 5G w państwach członkowskich i ponad granicami. Aby to osiągnąć i wykorzystać dostępne fundusze, wszystkie zainteresowane strony, takie jak operatorzy sieci drogowej i kolejowej oraz przedsiębiorstwa udostępniające publiczne sieci łączności elektronicznej lub upoważnione do ich udostępniania, powinny aktywnie uczestniczyć we wdrażaniu korytarzy transgranicznych. Do końca 2025 r. użytkownicy końcowi powinni mieć możliwość sprawnego korzystania z sygnału na granicach wewnętrznych Europy. </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137</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(38)</w:t>
            </w:r>
            <w:r>
              <w:tab/>
              <w:t xml:space="preserve">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uprościć wszystkie przepisy dotyczące warunków i procedur mających zastosowanie do udzielania zezwoleń i praw drogi oraz uspójnić je na szczeblu krajowym.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w:t>
            </w:r>
            <w:r>
              <w:rPr>
                <w:b/>
                <w:i/>
              </w:rPr>
              <w:t>operatorów</w:t>
            </w:r>
            <w:r>
              <w:t xml:space="preserve">, a w szczególności nowych podmiotów na rynku i mniejszych </w:t>
            </w:r>
            <w:r>
              <w:rPr>
                <w:b/>
                <w:i/>
              </w:rPr>
              <w:t>operatorów</w:t>
            </w:r>
            <w:r>
              <w:t xml:space="preserve">, </w:t>
            </w:r>
            <w:r>
              <w:rPr>
                <w:b/>
                <w:i/>
              </w:rPr>
              <w:t>którzy</w:t>
            </w:r>
            <w:r>
              <w:t xml:space="preserve"> nie są </w:t>
            </w:r>
            <w:r>
              <w:rPr>
                <w:b/>
                <w:i/>
              </w:rPr>
              <w:t>aktywni</w:t>
            </w:r>
            <w:r>
              <w:t xml:space="preserve"> na danym terenie. Ponadto </w:t>
            </w:r>
            <w:r>
              <w:rPr>
                <w:b/>
                <w:i/>
              </w:rPr>
              <w:t>operatorzy powinni</w:t>
            </w:r>
            <w:r>
              <w:t xml:space="preserve"> móc składać swoje wnioski o udzielenie zezwoleń i praw drogi w formacie elektronicznym za pośrednictwem pojedynczego punktu informacyjnego. </w:t>
            </w:r>
            <w:r>
              <w:rPr>
                <w:b/>
                <w:i/>
              </w:rPr>
              <w:t>Operatorzy ci powinni</w:t>
            </w:r>
            <w:r>
              <w:t xml:space="preserve"> również mieć możliwość wyszukiwania w formacie elektronicznym informacji na temat statusu ich wniosków i tego, czy wnioski zostały rozpatrzone pozytywnie czy odrzucone.</w:t>
            </w:r>
          </w:p>
        </w:tc>
        <w:tc>
          <w:tcPr>
            <w:tcW w:w="4876" w:type="dxa"/>
          </w:tcPr>
          <w:p w:rsidR="00C77B3E" w:rsidRPr="00DC0657" w:rsidRDefault="00C77B3E" w:rsidP="009D4E99">
            <w:pPr>
              <w:pStyle w:val="Normal6a"/>
            </w:pPr>
            <w:r>
              <w:t>(38)</w:t>
            </w:r>
            <w:r>
              <w:tab/>
              <w:t xml:space="preserve">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uprościć wszystkie przepisy dotyczące warunków i procedur mających zastosowanie do udzielania zezwoleń i praw drogi oraz uspójnić je na szczeblu krajowym.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w:t>
            </w:r>
            <w:r>
              <w:rPr>
                <w:b/>
                <w:i/>
              </w:rPr>
              <w:t>przedsiębiorstw udostępniających publiczne sieci łączności elektronicznej lub upoważnionych do ich udostępniania</w:t>
            </w:r>
            <w:r>
              <w:t xml:space="preserve">, a w szczególności nowych podmiotów na rynku i mniejszych </w:t>
            </w:r>
            <w:r>
              <w:rPr>
                <w:b/>
                <w:i/>
              </w:rPr>
              <w:t>przedsiębiorstw</w:t>
            </w:r>
            <w:r>
              <w:t xml:space="preserve">, </w:t>
            </w:r>
            <w:r>
              <w:rPr>
                <w:b/>
                <w:i/>
              </w:rPr>
              <w:t>które</w:t>
            </w:r>
            <w:r>
              <w:t xml:space="preserve"> nie są </w:t>
            </w:r>
            <w:r>
              <w:rPr>
                <w:b/>
                <w:i/>
              </w:rPr>
              <w:t>aktywne</w:t>
            </w:r>
            <w:r>
              <w:t xml:space="preserve"> na danym terenie. Ponadto </w:t>
            </w:r>
            <w:r>
              <w:rPr>
                <w:b/>
                <w:i/>
              </w:rPr>
              <w:t>przedsiębiorstwa udostępniające publiczne sieci łączności elektronicznej lub upoważnione do ich udostępniania powinny</w:t>
            </w:r>
            <w:r>
              <w:t xml:space="preserve"> móc składać swoje wnioski o udzielenie zezwoleń i praw drogi w formacie elektronicznym za pośrednictwem pojedynczego punktu informacyjnego. </w:t>
            </w:r>
            <w:r>
              <w:rPr>
                <w:b/>
                <w:i/>
              </w:rPr>
              <w:t>Powinny</w:t>
            </w:r>
            <w:r>
              <w:t xml:space="preserve"> również mieć możliwość wyszukiwania w formacie elektronicznym informacji na temat statusu ich wniosków i tego, czy wnioski zostały rozpatrzone pozytywnie czy odrzucone.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138</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Tomas Tobé, Henna Virkkunen,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(38)</w:t>
            </w:r>
            <w:r>
              <w:tab/>
              <w:t>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uprościć wszystkie przepisy dotyczące warunków i procedur mających zastosowanie do udzielania zezwoleń i praw drogi oraz uspójnić je na szczeblu krajowym.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operatorów, a w szczególności nowych podmiotów na rynku i mniejszych operatorów, którzy nie są aktywni na danym terenie. Ponadto operatorzy powinni móc składać swoje wnioski o udzielenie zezwoleń i praw drogi w formacie elektronicznym za pośrednictwem pojedynczego punktu informacyjnego. Operatorzy ci powinni również mieć możliwość wyszukiwania w formacie elektronicznym informacji na temat statusu ich wniosków i tego, czy wnioski zostały rozpatrzone pozytywnie czy odrzucone.</w:t>
            </w:r>
          </w:p>
        </w:tc>
        <w:tc>
          <w:tcPr>
            <w:tcW w:w="4876" w:type="dxa"/>
          </w:tcPr>
          <w:p w:rsidR="00C77B3E" w:rsidRPr="00DC0657" w:rsidRDefault="00C77B3E" w:rsidP="009D4E99">
            <w:pPr>
              <w:pStyle w:val="Normal6a"/>
            </w:pPr>
            <w:r>
              <w:t>(38)</w:t>
            </w:r>
            <w:r>
              <w:tab/>
              <w:t>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uprościć wszystkie przepisy dotyczące warunków i procedur mających zastosowanie do udzielania zezwoleń i praw drogi oraz uspójnić je na szczeblu krajowym</w:t>
            </w:r>
            <w:r>
              <w:rPr>
                <w:b/>
                <w:i/>
              </w:rPr>
              <w:t xml:space="preserve"> z poszanowaniem porządku konstytucyjnego każdego państwa członkowskiego</w:t>
            </w:r>
            <w:r>
              <w:t>.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operatorów, a w szczególności nowych podmiotów na rynku i mniejszych operatorów, którzy nie są aktywni na danym terenie. Ponadto operatorzy powinni móc składać swoje wnioski o udzielenie zezwoleń i praw drogi w formacie elektronicznym za pośrednictwem pojedynczego punktu informacyjnego. Operatorzy ci powinni również mieć możliwość wyszukiwania w formacie elektronicznym informacji na temat statusu ich wniosków i tego, czy wnioski zostały rozpatrzone pozytywnie czy odrzucone.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139</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(38)</w:t>
            </w:r>
            <w:r>
              <w:tab/>
              <w:t>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uprościć wszystkie przepisy dotyczące warunków i procedur mających zastosowanie do udzielania zezwoleń i praw drogi oraz uspójnić je na szczeblu krajowym.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operatorów, a w szczególności nowych podmiotów na rynku i mniejszych operatorów, którzy nie są aktywni na danym terenie. Ponadto operatorzy powinni móc składać swoje wnioski o udzielenie zezwoleń i praw drogi w formacie elektronicznym za pośrednictwem pojedynczego punktu informacyjnego. Operatorzy ci powinni również mieć możliwość wyszukiwania w formacie elektronicznym informacji na temat statusu ich wniosków i tego, czy wnioski zostały rozpatrzone pozytywnie czy odrzucone.</w:t>
            </w:r>
          </w:p>
        </w:tc>
        <w:tc>
          <w:tcPr>
            <w:tcW w:w="4876" w:type="dxa"/>
          </w:tcPr>
          <w:p w:rsidR="00C77B3E" w:rsidRPr="00DC0657" w:rsidRDefault="00C77B3E" w:rsidP="009D4E99">
            <w:pPr>
              <w:pStyle w:val="Normal6a"/>
            </w:pPr>
            <w:r>
              <w:t>(38)</w:t>
            </w:r>
            <w:r>
              <w:tab/>
              <w:t xml:space="preserve">W celu ochrony ogólnych interesów krajowych i unijnych może być konieczne uzyskanie wielu różnych zezwoleń na wprowadzenie elementów sieci łączności elektronicznej lub urządzeń towarzyszących. Zezwolenia te mogą obejmować pozwolenia na roboty ziemne, pozwolenia budowlane, pozwolenia w zakresie miejskiego planowania przestrzennego, środowiskowe i inne, jak również prawa drogi. Liczba zezwoleń i praw drogi wymaganych do wdrożenia różnych rodzajów sieci łączności elektronicznej lub urządzeń towarzyszących oraz lokalny charakter wdrożenia mogą oznaczać konieczność stosowania różnych procedur i warunków, co z kolei może powodować trudności przy wdrażaniu sieci. W związku z tym, aby ułatwić wdrażanie, należy </w:t>
            </w:r>
            <w:r>
              <w:rPr>
                <w:b/>
                <w:i/>
              </w:rPr>
              <w:t xml:space="preserve">w miarę możliwości </w:t>
            </w:r>
            <w:r>
              <w:t>uprościć</w:t>
            </w:r>
            <w:r>
              <w:rPr>
                <w:b/>
                <w:i/>
              </w:rPr>
              <w:t xml:space="preserve"> i ujednolicić</w:t>
            </w:r>
            <w:r>
              <w:t xml:space="preserve"> wszystkie przepisy dotyczące warunków i procedur mających zastosowanie do udzielania zezwoleń i praw drogi oraz uspójnić je na szczeblu krajowym. Należy zachować prawa każdego właściwego organu do uczestnictwa w procedurach i do utrzymania swoich uprawnień w zakresie podejmowania decyzji zgodnie z zasadą pomocniczości, ale jednocześnie w pojedynczych punktach informacyjnych powinny być dostępne wszystkie informacje na temat procedur i warunków ogólnych mających zastosowanie do udzielania zezwoleń na roboty budowlane i praw drogi. W ten sposób można osiągnąć uproszczenie oraz zwiększyć wydajność i przejrzystość w odniesieniu do wszystkich operatorów, a w szczególności nowych podmiotów na rynku i mniejszych operatorów, którzy nie są aktywni na danym terenie. Ponadto operatorzy powinni móc składać swoje wnioski o udzielenie zezwoleń i praw drogi w formacie elektronicznym za pośrednictwem pojedynczego punktu informacyjnego. Operatorzy ci powinni również mieć możliwość wyszukiwania w formacie elektronicznym informacji na temat statusu ich wniosków i tego, czy wnioski zostały rozpatrzone pozytywnie czy odrzucone.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140</w:t>
      </w:r>
      <w:r>
        <w:rPr>
          <w:rStyle w:val="HideTWBExt"/>
        </w:rPr>
        <w:t>&lt;/NumAm&gt;</w:t>
      </w:r>
    </w:p>
    <w:p w:rsidR="00C77B3E" w:rsidRPr="00DC0657" w:rsidRDefault="00C77B3E" w:rsidP="00C77B3E">
      <w:pPr>
        <w:pStyle w:val="NormalBold"/>
      </w:pPr>
      <w:r>
        <w:rPr>
          <w:rStyle w:val="HideTWBExt"/>
        </w:rPr>
        <w:t>&lt;RepeatBlock-By&gt;&lt;Members&gt;</w:t>
      </w:r>
      <w:r>
        <w:t>Angelika Winzig, Sara Skyttedal, Massimiliano Salini, Tomas Tobé, 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czterech miesięcy od daty otrzymania pełnego wniosku o udzielenie zezwolenia</w:t>
            </w:r>
            <w:r>
              <w:t>.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określonym w prawie krajowym</w:t>
            </w:r>
            <w:r>
              <w:t xml:space="preserve">.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 </w:t>
            </w:r>
            <w:r>
              <w:rPr>
                <w:b/>
                <w:i/>
              </w:rPr>
              <w:t>Jeżeli właściwy organ nie udzieli odpowiedzi w terminie wyznaczonym w procedurze udzielania zezwoleń, powinien z własnej inicjatywy poinformować wnioskodawcę o opóźnieniu i jego przyczynach. Państwa członkowskie powinny wprowadzić w swoich przepisach krajowych zachęty dla właściwych organów do wydawania zezwoleń szybciej niż wymaga tego prawo.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141</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 xml:space="preserve">Procedury udzielania zezwoleń nie powinny </w:t>
            </w:r>
            <w:r>
              <w:rPr>
                <w:b/>
                <w:i/>
              </w:rPr>
              <w:t>stanowić</w:t>
            </w:r>
            <w:r>
              <w:t xml:space="preserve">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w:t>
            </w:r>
            <w:r>
              <w:rPr>
                <w:b/>
                <w:i/>
              </w:rPr>
              <w:t xml:space="preserve">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w:t>
            </w:r>
            <w:r>
              <w:t>.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 xml:space="preserve">Procedury udzielania zezwoleń nie powinny </w:t>
            </w:r>
            <w:r>
              <w:rPr>
                <w:b/>
                <w:i/>
              </w:rPr>
              <w:t>tworzyć nieuzasadnionych</w:t>
            </w:r>
            <w:r>
              <w:t xml:space="preserve">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Chociaż tekst oryginalny umożliwiał równoległe wydawanie zezwoleń, czasami analiza niepełnych wniosków o zezwolenie, które byłyby nieskuteczne ze względu na niespełnienie innych warunków dotyczących innych części procedury udzielania zezwoleń. Wystarczyłby pojedynczy punkt kontaktowy, ale zmiana procedur udzielania zezwoleń wyłącznie w odniesieniu do instalacji sieci mogłaby spowodować nieuzasadnione obciążenie.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142</w:t>
      </w:r>
      <w:r>
        <w:rPr>
          <w:rStyle w:val="HideTWBExt"/>
        </w:rPr>
        <w:t>&lt;/NumAm&gt;</w:t>
      </w:r>
    </w:p>
    <w:p w:rsidR="00C77B3E" w:rsidRPr="00DC0657" w:rsidRDefault="00C77B3E" w:rsidP="00C77B3E">
      <w:pPr>
        <w:pStyle w:val="NormalBold"/>
      </w:pPr>
      <w:r>
        <w:rPr>
          <w:rStyle w:val="HideTWBExt"/>
        </w:rPr>
        <w:t>&lt;RepeatBlock-By&gt;&lt;Members&gt;</w:t>
      </w:r>
      <w:r>
        <w:t>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Procedury udzielania zezwoleń nie powinny stanowić przeszkód na drodze do inwestycji ani niekorzystnie wpływać na rynek wewnętrzny. W</w:t>
            </w:r>
            <w:r>
              <w:rPr>
                <w:b/>
                <w:i/>
              </w:rPr>
              <w:t> </w:t>
            </w:r>
            <w:r>
              <w:t>związku z</w:t>
            </w:r>
            <w:r>
              <w:rPr>
                <w:b/>
                <w:i/>
              </w:rPr>
              <w:t> </w:t>
            </w:r>
            <w:r>
              <w:t>tym państwa członkowskie powinny zapewnić, aby decyzja w</w:t>
            </w:r>
            <w:r>
              <w:rPr>
                <w:b/>
                <w:i/>
              </w:rPr>
              <w:t> </w:t>
            </w:r>
            <w:r>
              <w:t>sprawie wniosku o</w:t>
            </w:r>
            <w:r>
              <w:rPr>
                <w:b/>
                <w:i/>
              </w:rPr>
              <w:t> </w:t>
            </w:r>
            <w:r>
              <w:t>udzielenie zezwolenia w</w:t>
            </w:r>
            <w:r>
              <w:rPr>
                <w:b/>
                <w:i/>
              </w:rPr>
              <w:t> </w:t>
            </w:r>
            <w:r>
              <w:t>sprawach dotyczących wprowadzenia elementów sieci o</w:t>
            </w:r>
            <w:r>
              <w:rPr>
                <w:b/>
                <w:i/>
              </w:rPr>
              <w:t> </w:t>
            </w:r>
            <w:r>
              <w:t>bardzo dużej przepustowości lub urządzeń towarzyszących została wydana w</w:t>
            </w:r>
            <w:r>
              <w:rPr>
                <w:b/>
                <w:i/>
              </w:rPr>
              <w:t> </w:t>
            </w:r>
            <w:r>
              <w:t>terminie czterech miesięcy</w:t>
            </w:r>
            <w:r>
              <w:rPr>
                <w:b/>
                <w:i/>
              </w:rPr>
              <w:t xml:space="preserve"> </w:t>
            </w:r>
            <w:r>
              <w:t>od daty otrzymania pełnego wniosku o</w:t>
            </w:r>
            <w:r>
              <w:rPr>
                <w:b/>
                <w:i/>
              </w:rPr>
              <w:t> </w:t>
            </w:r>
            <w:r>
              <w:t>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Procedury udzielania zezwoleń nie powinny stanowić przeszkód na drodze do inwestycji ani niekorzystnie wpływać na rynek wewnętrzny. W</w:t>
            </w:r>
            <w:r>
              <w:rPr>
                <w:b/>
                <w:i/>
              </w:rPr>
              <w:t xml:space="preserve"> </w:t>
            </w:r>
            <w:r>
              <w:t>związku z</w:t>
            </w:r>
            <w:r>
              <w:rPr>
                <w:b/>
                <w:i/>
              </w:rPr>
              <w:t xml:space="preserve"> </w:t>
            </w:r>
            <w:r>
              <w:t>tym państwa członkowskie powinny zapewnić, aby decyzja w</w:t>
            </w:r>
            <w:r>
              <w:rPr>
                <w:b/>
                <w:i/>
              </w:rPr>
              <w:t xml:space="preserve"> </w:t>
            </w:r>
            <w:r>
              <w:t>sprawie wniosku o</w:t>
            </w:r>
            <w:r>
              <w:rPr>
                <w:b/>
                <w:i/>
              </w:rPr>
              <w:t xml:space="preserve"> </w:t>
            </w:r>
            <w:r>
              <w:t>udzielenie zezwolenia w</w:t>
            </w:r>
            <w:r>
              <w:rPr>
                <w:b/>
                <w:i/>
              </w:rPr>
              <w:t xml:space="preserve"> </w:t>
            </w:r>
            <w:r>
              <w:t>sprawach dotyczących wprowadzenia elementów sieci o</w:t>
            </w:r>
            <w:r>
              <w:rPr>
                <w:b/>
                <w:i/>
              </w:rPr>
              <w:t xml:space="preserve"> </w:t>
            </w:r>
            <w:r>
              <w:t>bardzo dużej przepustowości lub urządzeń towarzyszących została wydana w</w:t>
            </w:r>
            <w:r>
              <w:rPr>
                <w:b/>
                <w:i/>
              </w:rPr>
              <w:t xml:space="preserve"> </w:t>
            </w:r>
            <w:r>
              <w:t>terminie czterech miesięcy</w:t>
            </w:r>
            <w:r>
              <w:rPr>
                <w:b/>
                <w:i/>
              </w:rPr>
              <w:t> </w:t>
            </w:r>
            <w:r>
              <w:t>od daty otrzymania pełnego wniosku o</w:t>
            </w:r>
            <w:r>
              <w:rPr>
                <w:b/>
                <w:i/>
              </w:rPr>
              <w:t xml:space="preserve"> </w:t>
            </w:r>
            <w:r>
              <w:t>udzielenie zezwolenia</w:t>
            </w:r>
            <w:r>
              <w:rPr>
                <w:b/>
                <w:i/>
              </w:rPr>
              <w:t xml:space="preserve"> lub w terminie określonym w prawie krajowym, w zależności od tego, który z tych terminów jest krótszy</w:t>
            </w:r>
            <w:r>
              <w:t>.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{DE}</w:t>
      </w:r>
      <w:r w:rsidRPr="00DC0657">
        <w:t>de</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143</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w:t>
            </w:r>
            <w:r>
              <w:rPr>
                <w:b/>
                <w:i/>
              </w:rPr>
              <w:t>operatorów</w:t>
            </w:r>
            <w:r>
              <w:t xml:space="preserve"> uzyskania jednego rodzaju zezwolenia, zanim będą </w:t>
            </w:r>
            <w:r>
              <w:rPr>
                <w:b/>
                <w:i/>
              </w:rPr>
              <w:t>mogli</w:t>
            </w:r>
            <w:r>
              <w:t xml:space="preserve">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w:t>
            </w:r>
            <w:r>
              <w:rPr>
                <w:b/>
                <w:i/>
              </w:rPr>
              <w:t>przedsiębiorstw udostępniających publiczne sieci łączności elektronicznej lub upoważnionych do ich udostępniania</w:t>
            </w:r>
            <w:r>
              <w:t xml:space="preserve"> uzyskania jednego rodzaju zezwolenia, zanim będą </w:t>
            </w:r>
            <w:r>
              <w:rPr>
                <w:b/>
                <w:i/>
              </w:rPr>
              <w:t>mogły</w:t>
            </w:r>
            <w:r>
              <w:t xml:space="preserve"> ubiegać się o inne rodzaje zezwoleń.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144</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czterech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w:t>
            </w:r>
            <w:r>
              <w:rPr>
                <w:b/>
                <w:i/>
              </w:rPr>
              <w:t>, takimi jak przepisy art. 57 dyrektywy (UE) 2018/1972</w:t>
            </w:r>
            <w:r>
              <w:t>.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145</w:t>
      </w:r>
      <w:r>
        <w:rPr>
          <w:rStyle w:val="HideTWBExt"/>
        </w:rPr>
        <w:t>&lt;/NumAm&gt;</w:t>
      </w:r>
    </w:p>
    <w:p w:rsidR="00C77B3E" w:rsidRPr="00DC0657" w:rsidRDefault="00C77B3E" w:rsidP="00C77B3E">
      <w:pPr>
        <w:pStyle w:val="NormalBold"/>
      </w:pPr>
      <w:r>
        <w:rPr>
          <w:rStyle w:val="HideTWBExt"/>
        </w:rPr>
        <w:t>&lt;RepeatBlock-By&gt;&lt;Members&gt;</w:t>
      </w:r>
      <w:r>
        <w:t>Johan Nissinen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czterech</w:t>
            </w:r>
            <w:r>
              <w:t xml:space="preserve">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3</w:t>
            </w:r>
            <w:r>
              <w:t xml:space="preserve">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146</w:t>
      </w:r>
      <w:r>
        <w:rPr>
          <w:rStyle w:val="HideTWBExt"/>
        </w:rPr>
        <w:t>&lt;/NumAm&gt;</w:t>
      </w:r>
    </w:p>
    <w:p w:rsidR="00C77B3E" w:rsidRPr="00DC0657" w:rsidRDefault="00C77B3E" w:rsidP="00C77B3E">
      <w:pPr>
        <w:pStyle w:val="NormalBold"/>
      </w:pPr>
      <w:r>
        <w:rPr>
          <w:rStyle w:val="HideTWBExt"/>
        </w:rPr>
        <w:t>&lt;RepeatBlock-By&gt;&lt;Members&gt;</w:t>
      </w:r>
      <w:r>
        <w:t>Pilar del Castillo Vera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39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czterech</w:t>
            </w:r>
            <w:r>
              <w:t xml:space="preserve">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c>
          <w:tcPr>
            <w:tcW w:w="4876" w:type="dxa"/>
          </w:tcPr>
          <w:p w:rsidR="00C77B3E" w:rsidRPr="00DC0657" w:rsidRDefault="00C77B3E" w:rsidP="009D4E99">
            <w:pPr>
              <w:pStyle w:val="Normal6a"/>
            </w:pPr>
            <w:r>
              <w:t>(39)</w:t>
            </w:r>
            <w:r>
              <w:tab/>
              <w:t xml:space="preserve">Procedury udzielania zezwoleń nie powinny stanowić przeszkód na drodze do inwestycji ani niekorzystnie wpływać na rynek wewnętrzny. W związku z tym państwa członkowskie powinny zapewnić, aby decyzja w sprawie wniosku o udzielenie zezwolenia w sprawach dotyczących wprowadzenia elementów sieci o bardzo dużej przepustowości lub urządzeń towarzyszących została wydana w terminie </w:t>
            </w:r>
            <w:r>
              <w:rPr>
                <w:b/>
                <w:i/>
              </w:rPr>
              <w:t>3</w:t>
            </w:r>
            <w:r>
              <w:t xml:space="preserve"> miesięcy od daty otrzymania pełnego wniosku o udzielenie zezwolenia. Pozostaje to bez uszczerbku dla innych konkretnych terminów lub obowiązków określonych w celu odpowiedniego przeprowadzenia procedury, które mają zastosowanie w odniesieniu do procedury udzielania zezwoleń zgodnie z przepisami krajowymi lub unijnymi. Właściwe organy nie powinny ograniczać ani utrudniać wdrażania sieci o bardzo dużej przepustowości lub urządzeń towarzyszących, ani też sprawiać, że ich wdrażanie będzie mniej atrakcyjne pod względem ekonomicznym. W szczególności nie powinny one, w miarę możliwości, stawać na przeszkodzie równoległemu prowadzeniu procedur udzielania zezwoleń i praw dostępu ani wymagać od operatorów uzyskania jednego rodzaju zezwolenia, zanim będą mogli ubiegać się o inne rodzaje zezwoleń. Właściwe organy powinny uzasadnić wszelkie odmowy udzielenia zezwoleń lub praw drogi w zakresie swoich kompetencji na podstawie obiektywnych, przejrzystych, niedyskryminujących i proporcjonalnych warunków.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Szybsze wydawanie zezwoleń i zmniejszanie biurokracji ma kluczowe znaczenie dla pobudzenia inwestycji w instalację sieci o bardzo dużej przepustowości.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147</w:t>
      </w:r>
      <w:r>
        <w:rPr>
          <w:rStyle w:val="HideTWBExt"/>
        </w:rPr>
        <w:t>&lt;/NumAm&gt;</w:t>
      </w:r>
    </w:p>
    <w:p w:rsidR="00C77B3E" w:rsidRPr="00DC0657" w:rsidRDefault="00C77B3E" w:rsidP="00C77B3E">
      <w:pPr>
        <w:pStyle w:val="NormalBold"/>
      </w:pPr>
      <w:r>
        <w:rPr>
          <w:rStyle w:val="HideTWBExt"/>
        </w:rPr>
        <w:t>&lt;RepeatBlock-By&gt;&lt;Members&gt;</w:t>
      </w:r>
      <w:r>
        <w:t>Angelika Winzig, Sara Skyttedal, Tomas Tobé, 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w:t>
            </w:r>
            <w:r>
              <w:rPr>
                <w:b/>
                <w:i/>
              </w:rPr>
              <w:t>zezwolenia w terminie 15 dni od jego otrzymania</w:t>
            </w:r>
            <w:r>
              <w:t xml:space="preserve">. Wniosek o udzielenie zezwolenia należy uznać za kompletny, chyba że właściwy organ zwróci się do wnioskodawcy o dostarczenie </w:t>
            </w:r>
            <w:r>
              <w:rPr>
                <w:b/>
                <w:i/>
              </w:rPr>
              <w:t xml:space="preserve">wszelkich </w:t>
            </w:r>
            <w:r>
              <w:t>brakujących informacji</w:t>
            </w:r>
            <w:r>
              <w:rPr>
                <w:b/>
                <w:i/>
              </w:rPr>
              <w:t xml:space="preserve"> w tym terminie</w:t>
            </w:r>
            <w:r>
              <w:t xml:space="preserv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t>
            </w:r>
            <w:r>
              <w:rPr>
                <w:b/>
                <w:i/>
              </w:rPr>
              <w:t>w terminie 4 miesięcy od otrzymania wniosku</w:t>
            </w:r>
            <w:r>
              <w:t xml:space="preserve">. Innych praw drogi, które nie są konieczne w połączeniu z zezwoleniami na roboty budowlane, należy udzielić w terminie 6 miesięcy zgodnie z art. 43 dyrektywy (UE) 2018/1972. </w:t>
            </w:r>
            <w:r>
              <w:rPr>
                <w:b/>
                <w:i/>
              </w:rPr>
              <w:t>Operatorzy, którzy ponoszą szkody w wyniku niedotrzymania przez właściwy organ terminów udzielenia zezwoleń lub praw drogi, powinni mieć prawo do odszkodowania.</w:t>
            </w:r>
          </w:p>
        </w:tc>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w:t>
            </w:r>
            <w:r>
              <w:rPr>
                <w:b/>
                <w:i/>
              </w:rPr>
              <w:t>bez zbędnej zwłoki</w:t>
            </w:r>
            <w:r>
              <w:t>. Wniosek o udzielenie zezwolenia należy</w:t>
            </w:r>
            <w:r>
              <w:rPr>
                <w:b/>
                <w:i/>
              </w:rPr>
              <w:t xml:space="preserve"> jak najszybciej</w:t>
            </w:r>
            <w:r>
              <w:t xml:space="preserve"> uznać za kompletny, chyba że właściwy organ zwróci się do wnioskodawcy o dostarczenie brakujących informacji.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t>
            </w:r>
            <w:r>
              <w:rPr>
                <w:b/>
                <w:i/>
              </w:rPr>
              <w:t>bez zbędnej zwłoki</w:t>
            </w:r>
            <w:r>
              <w:t>. Innych praw drogi, które nie są konieczne w połączeniu z zezwoleniami na roboty budowlane, należy udzielić w terminie 6 miesięcy zgodnie z art. 43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148</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4 miesięcy od otrzymania wniosku. Innych praw drogi, które nie są konieczne w połączeniu z zezwoleniami na roboty budowlane, należy udzielić w terminie 6 miesięcy zgodnie z art. 43 dyrektywy (UE) 2018/1972. </w:t>
            </w:r>
            <w:r>
              <w:rPr>
                <w:b/>
                <w:i/>
              </w:rPr>
              <w:t>Operatorzy</w:t>
            </w:r>
            <w:r>
              <w:t xml:space="preserve">, </w:t>
            </w:r>
            <w:r>
              <w:rPr>
                <w:b/>
                <w:i/>
              </w:rPr>
              <w:t>którzy</w:t>
            </w:r>
            <w:r>
              <w:t xml:space="preserve"> ponoszą szkody w wyniku niedotrzymania przez właściwy organ terminów udzielenia zezwoleń lub praw drogi, </w:t>
            </w:r>
            <w:r>
              <w:rPr>
                <w:b/>
                <w:i/>
              </w:rPr>
              <w:t>powinni</w:t>
            </w:r>
            <w:r>
              <w:t xml:space="preserve"> mieć prawo do odszkodowania.</w:t>
            </w:r>
          </w:p>
        </w:tc>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4 miesięcy od otrzymania wniosku. Innych praw drogi, które nie są konieczne w połączeniu z zezwoleniami na roboty budowlane, należy udzielić w terminie 6 miesięcy zgodnie z art. 43 dyrektywy (UE) 2018/1972. </w:t>
            </w:r>
            <w:r>
              <w:rPr>
                <w:b/>
                <w:i/>
              </w:rPr>
              <w:t>Przedsiębiorstwa udostępniające publiczne sieci łączności elektronicznej lub upoważnione do ich udostępniania</w:t>
            </w:r>
            <w:r>
              <w:t xml:space="preserve">, </w:t>
            </w:r>
            <w:r>
              <w:rPr>
                <w:b/>
                <w:i/>
              </w:rPr>
              <w:t>które</w:t>
            </w:r>
            <w:r>
              <w:t xml:space="preserve"> ponoszą szkody w wyniku niedotrzymania przez właściwy organ terminów udzielenia zezwoleń lub praw drogi, </w:t>
            </w:r>
            <w:r>
              <w:rPr>
                <w:b/>
                <w:i/>
              </w:rPr>
              <w:t>powinny</w:t>
            </w:r>
            <w:r>
              <w:t xml:space="preserve"> mieć prawo do odszkodowania.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ten został zmieniony tak, aby odpowiadał proponowanym zmianom w odpowiednich artykułach wniosku w celu wyłączenia przedsiębiorstw udostępniających wyłącznie urządzenia towarzyszące z obowiązków spoczywających na operatorach sieci. Aby umożliwić wolną konkurencję i zachęcić do większych inwestycji, nie powinni oni korzystać ze szczególnych przepisów niniejszego rozporządzenia dotyczących regulowanych operatorów sieci. Wyłączenie przedsiębiorstw udostępniających jedynie urządzenia towarzyszące z wykazu operatorów sieci uwzględnia nieproporcjonalną nierównowagę między korzyściami i obowiązkami nałożonymi na te przedsiębiorstwa w niniejszym wniosku oraz fakt, że wspomniane przedsiębiorstwa i tak mają silną motywację do współdzielenia infrastruktury i zapewnienia dostępu do swoich urządzeń jak największej liczbie stron.</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149</w:t>
      </w:r>
      <w:r>
        <w:rPr>
          <w:rStyle w:val="HideTWBExt"/>
        </w:rPr>
        <w:t>&lt;/NumAm&gt;</w:t>
      </w:r>
    </w:p>
    <w:p w:rsidR="00C77B3E" w:rsidRPr="00DC0657" w:rsidRDefault="00C77B3E" w:rsidP="00C77B3E">
      <w:pPr>
        <w:pStyle w:val="NormalBold"/>
      </w:pPr>
      <w:r>
        <w:rPr>
          <w:rStyle w:val="HideTWBExt"/>
        </w:rPr>
        <w:t>&lt;RepeatBlock-By&gt;&lt;Members&gt;</w:t>
      </w:r>
      <w:r>
        <w:t>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Ustęp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(40)</w:t>
            </w:r>
            <w:r>
              <w:tab/>
              <w:t>Aby uniknąć</w:t>
            </w:r>
            <w:r>
              <w:rPr>
                <w:b/>
                <w:i/>
              </w:rPr>
              <w:t xml:space="preserve"> </w:t>
            </w:r>
            <w:r>
              <w:t>zbędnych</w:t>
            </w:r>
            <w:r>
              <w:rPr>
                <w:b/>
                <w:i/>
              </w:rPr>
              <w:t xml:space="preserve"> </w:t>
            </w:r>
            <w:r>
              <w:t>opóźnień, właściwe organy</w:t>
            </w:r>
            <w:r>
              <w:rPr>
                <w:b/>
                <w:i/>
              </w:rPr>
              <w:t xml:space="preserve"> </w:t>
            </w:r>
            <w:r>
              <w:t>muszą stwierdzić</w:t>
            </w:r>
            <w:r>
              <w:rPr>
                <w:b/>
                <w:i/>
              </w:rPr>
              <w:t xml:space="preserve"> </w:t>
            </w:r>
            <w:r>
              <w:t>kompletność wniosku o udzielenie zezwolenia</w:t>
            </w:r>
            <w:r>
              <w:rPr>
                <w:b/>
                <w:i/>
              </w:rPr>
              <w:t xml:space="preserve"> </w:t>
            </w:r>
            <w:r>
              <w:t>w</w:t>
            </w:r>
            <w:r>
              <w:rPr>
                <w:b/>
                <w:i/>
              </w:rPr>
              <w:t> </w:t>
            </w:r>
            <w:r>
              <w:t>terminie</w:t>
            </w:r>
            <w:r>
              <w:rPr>
                <w:b/>
                <w:i/>
              </w:rPr>
              <w:t xml:space="preserve"> 15 dni</w:t>
            </w:r>
            <w:r>
              <w:t xml:space="preserve">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4 miesięcy od otrzymania wniosku. Innych praw drogi, które nie są konieczne w połączeniu z zezwoleniami na roboty budowlane, należy udzielić w terminie 6 miesięcy zgodnie z art. 43 dyrektywy (UE) 2018/1972. </w:t>
            </w:r>
            <w:r>
              <w:rPr>
                <w:b/>
                <w:i/>
              </w:rPr>
              <w:t>Operatorzy, którzy ponoszą szkody w wyniku niedotrzymania przez właściwy organ terminów udzielenia zezwoleń lub praw drogi, powinni mieć prawo do odszkodowania.</w:t>
            </w:r>
          </w:p>
        </w:tc>
        <w:tc>
          <w:tcPr>
            <w:tcW w:w="4876" w:type="dxa"/>
          </w:tcPr>
          <w:p w:rsidR="00C77B3E" w:rsidRPr="00DC0657" w:rsidRDefault="00C77B3E" w:rsidP="009D4E99">
            <w:pPr>
              <w:pStyle w:val="Normal6a"/>
            </w:pPr>
            <w:r>
              <w:t>(40)</w:t>
            </w:r>
            <w:r>
              <w:tab/>
              <w:t>Aby uniknąć</w:t>
            </w:r>
            <w:r>
              <w:rPr>
                <w:b/>
                <w:i/>
              </w:rPr>
              <w:t> </w:t>
            </w:r>
            <w:r>
              <w:t>zbędnych</w:t>
            </w:r>
            <w:r>
              <w:rPr>
                <w:b/>
                <w:i/>
              </w:rPr>
              <w:t> </w:t>
            </w:r>
            <w:r>
              <w:t>opóźnień, właściwe organy</w:t>
            </w:r>
            <w:r>
              <w:rPr>
                <w:b/>
                <w:i/>
              </w:rPr>
              <w:t> </w:t>
            </w:r>
            <w:r>
              <w:t>muszą stwierdzić</w:t>
            </w:r>
            <w:r>
              <w:rPr>
                <w:b/>
                <w:i/>
              </w:rPr>
              <w:t> </w:t>
            </w:r>
            <w:r>
              <w:t>kompletność wniosku o udzielenie zezwolenia</w:t>
            </w:r>
            <w:r>
              <w:rPr>
                <w:b/>
                <w:i/>
              </w:rPr>
              <w:t> </w:t>
            </w:r>
            <w:r>
              <w:t>w</w:t>
            </w:r>
            <w:r>
              <w:rPr>
                <w:b/>
                <w:i/>
              </w:rPr>
              <w:t xml:space="preserve"> </w:t>
            </w:r>
            <w:r>
              <w:t>terminie</w:t>
            </w:r>
            <w:r>
              <w:rPr>
                <w:b/>
                <w:i/>
              </w:rPr>
              <w:t> jednego miesiąca</w:t>
            </w:r>
            <w:r>
              <w:t xml:space="preserve"> od jego otrzymania</w:t>
            </w:r>
            <w:r>
              <w:rPr>
                <w:b/>
                <w:i/>
              </w:rPr>
              <w:t> lub w terminie określonym w prawie krajowym, w zależności od tego, który z tych terminów jest krótszy</w:t>
            </w:r>
            <w:r>
              <w:t>.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4 miesięcy od otrzymania wniosku. Innych praw drogi, które nie są konieczne w połączeniu z zezwoleniami na roboty budowlane, należy udzielić w terminie 6 miesięcy zgodnie z art. 43 dyrektywy (UE) 2018/1972.</w:t>
            </w:r>
          </w:p>
        </w:tc>
      </w:tr>
    </w:tbl>
    <w:p w:rsidR="00C77B3E" w:rsidRPr="00844152" w:rsidRDefault="00C77B3E" w:rsidP="00C77B3E">
      <w:pPr>
        <w:pStyle w:val="AmOrLang"/>
        <w:rPr>
          <w:lang w:val="en-GB"/>
        </w:rPr>
      </w:pPr>
      <w:r w:rsidRPr="00844152">
        <w:rPr>
          <w:lang w:val="en-GB"/>
        </w:rPr>
        <w:t xml:space="preserve">Or. </w:t>
      </w:r>
      <w:r w:rsidRPr="00844152">
        <w:rPr>
          <w:rStyle w:val="HideTWBExt"/>
          <w:lang w:val="en-GB"/>
        </w:rPr>
        <w:t>&lt;Original&gt;</w:t>
      </w:r>
      <w:r w:rsidRPr="00844152">
        <w:rPr>
          <w:rStyle w:val="HideTWBInt"/>
          <w:lang w:val="en-GB"/>
        </w:rPr>
        <w:t>{DE}</w:t>
      </w:r>
      <w:r w:rsidRPr="00844152">
        <w:rPr>
          <w:lang w:val="en-GB"/>
        </w:rPr>
        <w:t>de</w:t>
      </w:r>
      <w:r w:rsidRPr="00844152">
        <w:rPr>
          <w:rStyle w:val="HideTWBExt"/>
          <w:lang w:val="en-GB"/>
        </w:rPr>
        <w:t>&lt;/Original&gt;</w:t>
      </w:r>
    </w:p>
    <w:p w:rsidR="00C77B3E" w:rsidRPr="00844152" w:rsidRDefault="00C77B3E" w:rsidP="00C77B3E">
      <w:pPr>
        <w:rPr>
          <w:lang w:val="en-GB"/>
        </w:rPr>
      </w:pPr>
      <w:r w:rsidRPr="00844152">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150</w:t>
      </w:r>
      <w:r>
        <w:rPr>
          <w:rStyle w:val="HideTWBExt"/>
        </w:rPr>
        <w:t>&lt;/NumAm&gt;</w:t>
      </w:r>
    </w:p>
    <w:p w:rsidR="00C77B3E" w:rsidRPr="00DC0657" w:rsidRDefault="00C77B3E" w:rsidP="00C77B3E">
      <w:pPr>
        <w:pStyle w:val="NormalBold"/>
      </w:pPr>
      <w:r>
        <w:rPr>
          <w:rStyle w:val="HideTWBExt"/>
        </w:rPr>
        <w:t>&lt;RepeatBlock-By&gt;&lt;Members&gt;</w:t>
      </w:r>
      <w:r>
        <w:t>Pilar del Castillo Vera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w:t>
            </w:r>
            <w:r>
              <w:rPr>
                <w:b/>
                <w:i/>
              </w:rPr>
              <w:t>4</w:t>
            </w:r>
            <w:r>
              <w:t xml:space="preserve"> miesięcy od otrzymania wniosku. Innych praw drogi, które nie są konieczne w połączeniu z zezwoleniami na roboty budowlane, należy udzielić w terminie 6 miesięcy zgodnie z art. 43 dyrektywy (UE) 2018/1972. Operatorzy, którzy ponoszą szkody w wyniku niedotrzymania przez właściwy organ terminów udzielenia zezwoleń lub praw drogi, powinni mieć prawo do odszkodowania.</w:t>
            </w:r>
          </w:p>
        </w:tc>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w:t>
            </w:r>
            <w:r>
              <w:rPr>
                <w:b/>
                <w:i/>
              </w:rPr>
              <w:t>3</w:t>
            </w:r>
            <w:r>
              <w:t xml:space="preserve"> miesięcy od otrzymania wniosku. Innych praw drogi, które nie są konieczne w połączeniu z zezwoleniami na roboty budowlane, należy udzielić w terminie 6 miesięcy zgodnie z art. 43 dyrektywy (UE) 2018/1972. Operatorzy, którzy ponoszą szkody w wyniku niedotrzymania przez właściwy organ terminów udzielenia zezwoleń lub praw drogi, powinni mieć prawo do odszkodowania.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Szybsze wydawanie zezwoleń i zmniejszanie biurokracji ma kluczowe znaczenie dla pobudzenia inwestycji w instalację sieci o bardzo dużej przepustowości.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151</w:t>
      </w:r>
      <w:r>
        <w:rPr>
          <w:rStyle w:val="HideTWBExt"/>
        </w:rPr>
        <w:t>&lt;/NumAm&gt;</w:t>
      </w:r>
    </w:p>
    <w:p w:rsidR="00C77B3E" w:rsidRPr="00DC0657" w:rsidRDefault="00C77B3E" w:rsidP="00C77B3E">
      <w:pPr>
        <w:pStyle w:val="NormalBold"/>
      </w:pPr>
      <w:r>
        <w:rPr>
          <w:rStyle w:val="HideTWBExt"/>
        </w:rPr>
        <w:t>&lt;RepeatBlock-By&gt;&lt;Members&gt;</w:t>
      </w:r>
      <w:r>
        <w:t>Johan Nissinen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w:t>
            </w:r>
            <w:r>
              <w:rPr>
                <w:b/>
                <w:i/>
              </w:rPr>
              <w:t>4</w:t>
            </w:r>
            <w:r>
              <w:t xml:space="preserve"> miesięcy od otrzymania wniosku. Innych praw drogi, które nie są konieczne w połączeniu z zezwoleniami na roboty budowlane, należy udzielić w terminie 6 miesięcy zgodnie z art. 43 dyrektywy (UE) 2018/1972. Operatorzy, którzy ponoszą szkody w wyniku niedotrzymania przez właściwy organ terminów udzielenia zezwoleń lub praw drogi, powinni mieć prawo do odszkodowania.</w:t>
            </w:r>
          </w:p>
        </w:tc>
        <w:tc>
          <w:tcPr>
            <w:tcW w:w="4876" w:type="dxa"/>
          </w:tcPr>
          <w:p w:rsidR="00C77B3E" w:rsidRPr="00DC0657" w:rsidRDefault="00C77B3E" w:rsidP="009D4E99">
            <w:pPr>
              <w:pStyle w:val="Normal6a"/>
            </w:pPr>
            <w:r>
              <w:t>(40)</w:t>
            </w:r>
            <w:r>
              <w:tab/>
              <w:t xml:space="preserve">Aby uniknąć zbędnych opóźnień, właściwe organy muszą stwierdzić kompletność wniosku o udzielenie zezwolenia w terminie 15 dni od jego otrzymania. Wniosek o udzielenie zezwolenia należy uznać za kompletny, chyba że właściwy organ zwróci się do wnioskodawcy o dostarczenie wszelkich brakujących informacji w tym terminie. Ze względu na zasadę równego traktowania i przejrzystości właściwe organy nie powinny uznawać wniosków o udzielenie zezwolenia na roboty budowlane za dopuszczalne, jeżeli minimalne informacje wymagane na podstawie niniejszego rozporządzenia nie zostały udostępnione za pośrednictwem pojedynczego punktu informacyjnego w terminie 3 miesięcy przed złożeniem pierwszego wniosku o udzielenie zezwolenia do właściwych organów. Jeżeli oprócz zezwoleń wymagane są prawa drogi w celu wprowadzenia elementów sieci o bardzo dużej przepustowości, właściwe organy powinny – na zasadzie odstępstwa od art. 43 dyrektywy (UE) 2018/1972 – udzielić takich praw drogi w terminie </w:t>
            </w:r>
            <w:r>
              <w:rPr>
                <w:b/>
                <w:i/>
              </w:rPr>
              <w:t>3</w:t>
            </w:r>
            <w:r>
              <w:t xml:space="preserve"> miesięcy od otrzymania wniosku. Innych praw drogi, które nie są konieczne w połączeniu z zezwoleniami na roboty budowlane, należy udzielić w terminie 6 miesięcy zgodnie z art. 43 dyrektywy (UE) 2018/1972. Operatorzy, którzy ponoszą szkody w wyniku niedotrzymania przez właściwy organ terminów udzielenia zezwoleń lub praw drogi, powinni mieć prawo do odszkodowania.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152</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(41)</w:t>
            </w:r>
            <w:r>
              <w:tab/>
              <w:t>W celu zapewnienia jednolitych warunków wykonywania art. 7 niniejszego rozporządzenia należy powierzyć Komisji uprawnienia wykonawcze. Uprawnienia te powinny być wykonywane zgodnie z rozporządzeniem Parlamentu Europejskiego i Rady (UE) nr 182/2011</w:t>
            </w:r>
            <w:r>
              <w:rPr>
                <w:vertAlign w:val="superscript"/>
              </w:rPr>
              <w:t>39</w:t>
            </w:r>
            <w:r>
              <w:t>. Zwolnienia z wymogu uzyskania zezwolenia określone na poziomie Unii w drodze aktu wykonawczego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w:t>
            </w:r>
          </w:p>
        </w:tc>
        <w:tc>
          <w:tcPr>
            <w:tcW w:w="4876" w:type="dxa"/>
          </w:tcPr>
          <w:p w:rsidR="00C77B3E" w:rsidRPr="00DC0657" w:rsidRDefault="00C77B3E" w:rsidP="009D4E99">
            <w:pPr>
              <w:pStyle w:val="Normal6a"/>
            </w:pPr>
            <w:r>
              <w:t>(41)</w:t>
            </w:r>
            <w:r>
              <w:tab/>
              <w:t>W celu zapewnienia jednolitych warunków wykonywania art. 7 niniejszego rozporządzenia należy powierzyć Komisji uprawnienia wykonawcze. Uprawnienia te powinny być wykonywane zgodnie z rozporządzeniem Parlamentu Europejskiego i Rady (UE) nr 182/2011</w:t>
            </w:r>
            <w:r>
              <w:rPr>
                <w:vertAlign w:val="superscript"/>
              </w:rPr>
              <w:t>39</w:t>
            </w:r>
            <w:r>
              <w:t>. Zwolnienia z wymogu uzyskania zezwolenia określone na poziomie Unii w drodze aktu wykonawczego</w:t>
            </w:r>
            <w:r>
              <w:rPr>
                <w:b/>
                <w:i/>
              </w:rPr>
              <w:t>, które</w:t>
            </w:r>
            <w:r>
              <w:t xml:space="preserve">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 </w:t>
            </w:r>
            <w:r>
              <w:rPr>
                <w:b/>
                <w:i/>
              </w:rPr>
              <w:t>W czasie prac przygotowawczych Komisja powinna prowadzić stosowne konsultacje, w tym na poziomie ekspertów.</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DC0657" w:rsidRDefault="00C77B3E" w:rsidP="009D4E99">
            <w:pPr>
              <w:pStyle w:val="Normal6a"/>
            </w:pPr>
            <w:r>
              <w:rPr>
                <w:vertAlign w:val="superscript"/>
              </w:rPr>
              <w:t>39</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C77B3E" w:rsidRPr="00DC0657" w:rsidRDefault="00C77B3E" w:rsidP="009D4E99">
            <w:pPr>
              <w:pStyle w:val="Normal6a"/>
            </w:pPr>
            <w:r>
              <w:rPr>
                <w:vertAlign w:val="superscript"/>
              </w:rPr>
              <w:t>39</w:t>
            </w:r>
            <w:r>
              <w:t xml:space="preserve"> Rozporządzenie Parlamentu Europejskiego i Rady (UE) nr 182/2011 z dnia 16 lutego 2011 r. ustanawiające przepisy i zasady ogólne dotyczące trybu kontroli przez państwa członkowskie wykonywania uprawnień wykonawczych przez Komisję (Dz.U. L 55 z 28.2.2011, s. 13).</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153</w:t>
      </w:r>
      <w:r>
        <w:rPr>
          <w:rStyle w:val="HideTWBExt"/>
        </w:rPr>
        <w:t>&lt;/NumAm&gt;</w:t>
      </w:r>
    </w:p>
    <w:p w:rsidR="00C77B3E" w:rsidRPr="00DC0657" w:rsidRDefault="00C77B3E" w:rsidP="00C77B3E">
      <w:pPr>
        <w:pStyle w:val="NormalBold"/>
      </w:pPr>
      <w:r>
        <w:rPr>
          <w:rStyle w:val="HideTWBExt"/>
        </w:rPr>
        <w:t>&lt;RepeatBlock-By&gt;&lt;Members&gt;</w:t>
      </w:r>
      <w:r>
        <w:t>Angelika Winzig, Sara Skyttedal, Massimiliano Salini, Seán Kelly, Henna Virkkunen,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(41)</w:t>
            </w:r>
            <w:r>
              <w:tab/>
            </w:r>
            <w:r>
              <w:rPr>
                <w:b/>
                <w:i/>
              </w:rPr>
              <w:t>W celu zapewnienia jednolitych warunków wykonywania art. 7 niniejszego rozporządzenia należy powierzyć Komisji uprawnienia wykonawcze. Uprawnienia te powinny być wykonywane zgodnie z rozporządzeniem Parlamentu Europejskiego i Rady (UE) nr 182/2011</w:t>
            </w:r>
            <w:r>
              <w:rPr>
                <w:b/>
                <w:i/>
                <w:vertAlign w:val="superscript"/>
              </w:rPr>
              <w:t>39</w:t>
            </w:r>
            <w:r>
              <w:t>. Zwolnienia z wymogu uzyskania zezwolenia</w:t>
            </w:r>
            <w:r>
              <w:rPr>
                <w:b/>
                <w:i/>
              </w:rPr>
              <w:t xml:space="preserve"> określone na poziomie Unii w drodze aktu wykonawczego</w:t>
            </w:r>
            <w:r>
              <w:t xml:space="preserve">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w:t>
            </w:r>
          </w:p>
        </w:tc>
        <w:tc>
          <w:tcPr>
            <w:tcW w:w="4876" w:type="dxa"/>
          </w:tcPr>
          <w:p w:rsidR="00C77B3E" w:rsidRPr="00DC0657" w:rsidRDefault="00C77B3E" w:rsidP="009D4E99">
            <w:pPr>
              <w:pStyle w:val="Normal6a"/>
            </w:pPr>
            <w:r>
              <w:t>(41)</w:t>
            </w:r>
            <w:r>
              <w:tab/>
            </w:r>
            <w:r>
              <w:rPr>
                <w:b/>
                <w:i/>
              </w:rPr>
              <w:t>Komisja, po konsultacjach z odpowiednimi zainteresowanymi stronami, powinna określić kategorie wprowadzania elementów sieci o bardzo dużej przepustowości lub urządzeń towarzyszących, które państwa członkowskie powinny zwolnić z procedury udzielania zezwoleń</w:t>
            </w:r>
            <w:r>
              <w:t>. Zwolnienia z wymogu uzyskania zezwolenia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tc>
      </w:tr>
      <w:tr w:rsidR="00C77B3E" w:rsidTr="009D4E99">
        <w:trPr>
          <w:jc w:val="center"/>
        </w:trPr>
        <w:tc>
          <w:tcPr>
            <w:tcW w:w="4876" w:type="dxa"/>
          </w:tcPr>
          <w:p w:rsidR="00C77B3E" w:rsidRPr="00DC0657" w:rsidRDefault="00C77B3E" w:rsidP="009D4E99">
            <w:pPr>
              <w:pStyle w:val="Normal6a"/>
            </w:pPr>
            <w:r>
              <w:rPr>
                <w:b/>
                <w:i/>
              </w:rPr>
              <w:t>39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C77B3E" w:rsidRPr="00DC0657" w:rsidRDefault="00C77B3E" w:rsidP="009D4E99"/>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154</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(41)</w:t>
            </w:r>
            <w:r>
              <w:tab/>
              <w:t xml:space="preserve">W celu zapewnienia jednolitych warunków wykonywania art. 7 niniejszego rozporządzenia należy powierzyć Komisji uprawnienia </w:t>
            </w:r>
            <w:r>
              <w:rPr>
                <w:b/>
                <w:i/>
              </w:rPr>
              <w:t>wykonawcze</w:t>
            </w:r>
            <w:r>
              <w:t xml:space="preserve">. </w:t>
            </w:r>
            <w:r>
              <w:rPr>
                <w:b/>
                <w:i/>
              </w:rPr>
              <w:t>Uprawnienia te powinny być wykonywane zgodnie z rozporządzeniem Parlamentu Europejskiego i Rady (UE) nr 182/2011</w:t>
            </w:r>
            <w:r>
              <w:rPr>
                <w:b/>
                <w:i/>
                <w:vertAlign w:val="superscript"/>
              </w:rPr>
              <w:t>39</w:t>
            </w:r>
            <w:r>
              <w:rPr>
                <w:b/>
                <w:i/>
              </w:rPr>
              <w:t>. Zwolnienia</w:t>
            </w:r>
            <w:r>
              <w:t xml:space="preserve"> z wymogu uzyskania zezwolenia </w:t>
            </w:r>
            <w:r>
              <w:rPr>
                <w:b/>
                <w:i/>
              </w:rPr>
              <w:t>określone</w:t>
            </w:r>
            <w:r>
              <w:t xml:space="preserve"> na poziomie Unii w drodze aktu </w:t>
            </w:r>
            <w:r>
              <w:rPr>
                <w:b/>
                <w:i/>
              </w:rPr>
              <w:t>wykonawczego</w:t>
            </w:r>
            <w:r>
              <w:t xml:space="preserve">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w:t>
            </w:r>
          </w:p>
        </w:tc>
        <w:tc>
          <w:tcPr>
            <w:tcW w:w="4876" w:type="dxa"/>
          </w:tcPr>
          <w:p w:rsidR="00C77B3E" w:rsidRPr="00DC0657" w:rsidRDefault="00C77B3E" w:rsidP="009D4E99">
            <w:pPr>
              <w:pStyle w:val="Normal6a"/>
            </w:pPr>
            <w:r>
              <w:t>(41)</w:t>
            </w:r>
            <w:r>
              <w:tab/>
              <w:t xml:space="preserve">W celu zapewnienia jednolitych warunków wykonywania art. 7 niniejszego rozporządzenia należy powierzyć Komisji uprawnienia </w:t>
            </w:r>
            <w:r>
              <w:rPr>
                <w:b/>
                <w:i/>
              </w:rPr>
              <w:t>do delegowania</w:t>
            </w:r>
            <w:r>
              <w:t xml:space="preserve">. </w:t>
            </w:r>
            <w:r>
              <w:rPr>
                <w:b/>
                <w:i/>
              </w:rPr>
              <w:t>Minimalny wykaz zwolnień</w:t>
            </w:r>
            <w:r>
              <w:t xml:space="preserve"> z wymogu uzyskania zezwolenia </w:t>
            </w:r>
            <w:r>
              <w:rPr>
                <w:b/>
                <w:i/>
              </w:rPr>
              <w:t>określony</w:t>
            </w:r>
            <w:r>
              <w:t xml:space="preserve"> na poziomie Unii w drodze aktu </w:t>
            </w:r>
            <w:r>
              <w:rPr>
                <w:b/>
                <w:i/>
              </w:rPr>
              <w:t>delegowanego, nie naruszając możliwości wydawania dodatkowych zwolnień przez państwa członkowskie, który</w:t>
            </w:r>
            <w:r>
              <w:t xml:space="preserve"> można stosować w odniesieniu do różnych kategorii infrastruktury (takich jak maszty, anteny, słupy i przewody podziemne) na pewnych określonych warunkach, w przypadku których początkowo mogą być wymagane pozwolenia na budowę, zezwolenia na roboty ziemne lub inne rodzaje zezwoleń. Zwolnienia te można by również stosować w odniesieniu do ulepszeń technicznych prowadzonych prac konserwacyjnych lub instalacyjnych, robót budowlanych na małą skalę, takich jak prace wykopowe, oraz odnawiania zezwoleń.</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tc>
      </w:tr>
      <w:tr w:rsidR="00C77B3E" w:rsidTr="009D4E99">
        <w:trPr>
          <w:jc w:val="center"/>
        </w:trPr>
        <w:tc>
          <w:tcPr>
            <w:tcW w:w="4876" w:type="dxa"/>
          </w:tcPr>
          <w:p w:rsidR="00C77B3E" w:rsidRPr="00DC0657" w:rsidRDefault="00C77B3E" w:rsidP="009D4E99">
            <w:pPr>
              <w:pStyle w:val="Normal6a"/>
            </w:pPr>
            <w:r>
              <w:rPr>
                <w:b/>
                <w:i/>
              </w:rPr>
              <w:t>39 Rozporządzenie Parlamentu Europejskiego i Rady (UE) nr 182/2011 z dnia 16 lutego 2011 r. ustanawiające przepisy i zasady ogólne dotyczące trybu kontroli przez państwa członkowskie wykonywania uprawnień wykonawczych przez Komisję (Dz.U. L 55 z 28.2.2011, s. 13).</w:t>
            </w:r>
          </w:p>
        </w:tc>
        <w:tc>
          <w:tcPr>
            <w:tcW w:w="4876" w:type="dxa"/>
          </w:tcPr>
          <w:p w:rsidR="00C77B3E" w:rsidRPr="00DC0657" w:rsidRDefault="00C77B3E" w:rsidP="009D4E99"/>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155</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Tomas Tobé, 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(42)</w:t>
            </w:r>
            <w:r>
              <w:tab/>
              <w:t>Aby zapewnić przeprowadzanie takich procedur udzielania zezwoleń i praw drogi w rozsądnych terminach, idąc za przykładem pewnych inicjatyw podejmowanych na poziomie krajowym, mających na celu modernizację oraz wprowadzenie dobrych praktyk administracyjnych, należy określić zasady upraszczania procedur administracyjnych. Zasady te powinny obejmować między innymi ograniczenie obowiązku uprzedniego uzyskania zezwolenia do przypadków, w których jest to konieczne</w:t>
            </w:r>
            <w:r>
              <w:rPr>
                <w:b/>
                <w:i/>
              </w:rPr>
              <w:t>, oraz wprowadzenie zasady dorozumianego udzielenia zezwolenia właściwych organów po upływie określonego czasu.</w:t>
            </w:r>
            <w:r>
              <w:t xml:space="preserve"> </w:t>
            </w:r>
            <w:r>
              <w:rPr>
                <w:b/>
                <w:i/>
              </w:rPr>
              <w:t>Ponadto kategorie wdrożeń wyłączonych z konieczności uzyskania zezwolenia na podstawie prawa Unii nie powinny dłużej podlegać obowiązkowi uzyskania zezwolenia na podstawie prawa krajowego.</w:t>
            </w:r>
          </w:p>
        </w:tc>
        <w:tc>
          <w:tcPr>
            <w:tcW w:w="4876" w:type="dxa"/>
          </w:tcPr>
          <w:p w:rsidR="00C77B3E" w:rsidRPr="00DC0657" w:rsidRDefault="00C77B3E" w:rsidP="009D4E99">
            <w:pPr>
              <w:pStyle w:val="Normal6a"/>
            </w:pPr>
            <w:r>
              <w:t>(42)</w:t>
            </w:r>
            <w:r>
              <w:tab/>
              <w:t>Aby zapewnić przeprowadzanie takich procedur udzielania zezwoleń i praw drogi w rozsądnych terminach, idąc za przykładem pewnych inicjatyw podejmowanych na poziomie krajowym, mających na celu modernizację oraz wprowadzenie dobrych praktyk administracyjnych, należy określić zasady upraszczania procedur administracyjnych. Zasady te powinny obejmować między innymi ograniczenie obowiązku uprzedniego uzyskania zezwolenia do przypadków, w których jest to konieczne.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156</w:t>
      </w:r>
      <w:r>
        <w:rPr>
          <w:rStyle w:val="HideTWBExt"/>
        </w:rPr>
        <w:t>&lt;/NumAm&gt;</w:t>
      </w:r>
    </w:p>
    <w:p w:rsidR="00C77B3E" w:rsidRPr="00DC0657" w:rsidRDefault="00C77B3E" w:rsidP="00C77B3E">
      <w:pPr>
        <w:pStyle w:val="NormalBold"/>
      </w:pPr>
      <w:r>
        <w:rPr>
          <w:rStyle w:val="HideTWBExt"/>
        </w:rPr>
        <w:t>&lt;RepeatBlock-By&gt;&lt;Members&gt;</w:t>
      </w:r>
      <w:r>
        <w:t>Beatrice Covassi, Carlos Zorrinho</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(42)</w:t>
            </w:r>
            <w:r>
              <w:tab/>
              <w:t xml:space="preserve">Aby zapewnić przeprowadzanie takich procedur udzielania zezwoleń i praw drogi w rozsądnych terminach, idąc za przykładem pewnych inicjatyw podejmowanych na poziomie krajowym, mających na celu modernizację oraz wprowadzenie dobrych praktyk administracyjnych, należy określić zasady upraszczania procedur administracyjnych. Zasady te powinny obejmować między innymi ograniczenie obowiązku uprzedniego uzyskania zezwolenia do przypadków, w których jest to konieczne, </w:t>
            </w:r>
            <w:r>
              <w:rPr>
                <w:b/>
                <w:i/>
              </w:rPr>
              <w:t>oraz wprowadzenie zasady dorozumianego udzielenia zezwolenia właściwych organów po upływie określonego czasu</w:t>
            </w:r>
            <w:r>
              <w:t>. Ponadto kategorie wdrożeń wyłączonych z konieczności uzyskania zezwolenia na podstawie prawa Unii nie powinny dłużej podlegać obowiązkowi uzyskania zezwolenia na podstawie prawa krajowego.</w:t>
            </w:r>
          </w:p>
        </w:tc>
        <w:tc>
          <w:tcPr>
            <w:tcW w:w="4876" w:type="dxa"/>
          </w:tcPr>
          <w:p w:rsidR="00C77B3E" w:rsidRPr="00DC0657" w:rsidRDefault="00C77B3E" w:rsidP="009D4E99">
            <w:pPr>
              <w:pStyle w:val="Normal6a"/>
            </w:pPr>
            <w:r>
              <w:t>(42)</w:t>
            </w:r>
            <w:r>
              <w:tab/>
              <w:t>Aby zapewnić przeprowadzanie takich procedur udzielania zezwoleń i praw drogi w rozsądnych terminach, idąc za przykładem pewnych inicjatyw podejmowanych na poziomie krajowym, mających na celu modernizację oraz wprowadzenie dobrych praktyk administracyjnych, należy określić zasady upraszczania procedur administracyjnych. Zasady te powinny obejmować między innymi ograniczenie obowiązku uprzedniego uzyskania zezwolenia do przypadków, w których jest to konieczne</w:t>
            </w:r>
            <w:r>
              <w:rPr>
                <w:b/>
                <w:i/>
              </w:rPr>
              <w:t>. Ponadto państwa członkowskie powinny mieć możliwość utrzymania lub wprowadzenia uproszczonej procedury udzielania zezwoleń lub procedur uprzedniej komunikacji</w:t>
            </w:r>
            <w:r>
              <w:t xml:space="preserve">, </w:t>
            </w:r>
            <w:r>
              <w:rPr>
                <w:b/>
                <w:i/>
              </w:rPr>
              <w:t>które mogą istnieć w prawie krajowym, mających zastosowanie do wdrażania dowolnego elementu sieci o bardzo dużej przepustowości lub urządzeń towarzyszących</w:t>
            </w:r>
            <w:r>
              <w:t>. Ponadto kategorie wdrożeń wyłączonych z konieczności uzyskania zezwolenia na podstawie prawa Unii nie powinny dłużej podlegać obowiązkowi uzyskania zezwolenia na podstawie prawa krajowego.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157</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(43)</w:t>
            </w:r>
            <w:r>
              <w:tab/>
              <w:t>Aby ułatwić wprowadzanie elementów sieci o bardzo dużej przepustowości, wszelkie opłaty związane z uzyskaniem zezwolenia innego niż prawa drogi powinny być ograniczone do wysokości kosztów administracyjnych związanych z rozpatrzeniem wniosku o udzielenie zezwolenia zgodnie z zasadami określonymi w art. 16 dyrektywy (UE) 2018/1972. W przypadku praw drogi zastosowanie mają przepisy określone w art. 42 i 43 dyrektywy (UE) 2018/1972.</w:t>
            </w:r>
          </w:p>
        </w:tc>
        <w:tc>
          <w:tcPr>
            <w:tcW w:w="4876" w:type="dxa"/>
          </w:tcPr>
          <w:p w:rsidR="00C77B3E" w:rsidRPr="00DC0657" w:rsidRDefault="00C77B3E" w:rsidP="009D4E99">
            <w:pPr>
              <w:pStyle w:val="Normal6a"/>
            </w:pPr>
            <w:r>
              <w:t>(43)</w:t>
            </w:r>
            <w:r>
              <w:tab/>
              <w:t>Aby ułatwić wprowadzanie elementów sieci o bardzo dużej przepustowości, wszelkie opłaty związane z uzyskaniem zezwolenia innego niż prawa drogi powinny być ograniczone do wysokości kosztów administracyjnych związanych z rozpatrzeniem wniosku o udzielenie zezwolenia zgodnie z zasadami określonymi w art. 16 dyrektywy (UE) 2018/1972</w:t>
            </w:r>
            <w:r>
              <w:rPr>
                <w:b/>
                <w:i/>
              </w:rPr>
              <w:t xml:space="preserve"> oraz uwzględniać te koszty</w:t>
            </w:r>
            <w:r>
              <w:t>. W przypadku praw drogi zastosowanie mają przepisy określone w art. 42 i 43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Zgodnie ze zmianami proponowanymi w artykule władze lokalne mogłyby nadal korzystać z pewnej elastyczności.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158</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(44)</w:t>
            </w:r>
            <w:r>
              <w:tab/>
              <w:t xml:space="preserve">Aby osiągnąć cele określone w decyzji (UE) 2022/2481, wszyscy użytkownicy końcowi przebywający w stałych lokalizacjach muszą zostać objęci do 2030 r. siecią gigabitową aż do punktu zakończenia sieci, a wszystkie obszary zaludnione – ultraszybką siecią bezprzewodową nowej generacji o wydajności dorównującej co najmniej sieci 5G, zgodnie z zasadą neutralności technologicznej. Należy ułatwić doprowadzenie sieci gigabitowych aż do użytkownika końcowego, w szczególności za pomocą wewnątrzbudynkowej infrastruktury technicznej przystosowanej do technologii światłowodowej. Wykonanie minikanałów podczas budowy budynku wiąże się jedynie z niewielkim dodatkowym kosztem, podczas gdy wyposażanie budynków w infrastrukturę gigabitową może stanowić znaczącą część kosztów wdrożenia sieci gigabitowej. W związku z tym wszystkie nowe budynki lub budynki poddawane </w:t>
            </w:r>
            <w:r>
              <w:rPr>
                <w:b/>
                <w:i/>
              </w:rPr>
              <w:t>ważniejszej renowacji</w:t>
            </w:r>
            <w:r>
              <w:t xml:space="preserve"> powinny być wyposażane w infrastrukturę techniczną i wewnątrzbudynkowe okablowanie światłowodowe umożliwiające podłączenie użytkowników końcowych do sieci o gigabitowej przepustowości. Nowe budynki wielorodzinne oraz budynki wielorodzinne poddawane ważniejszej renowacji również powinny być wyposażane w punkt dostępu, do którego dostęp ma co najmniej jedno przedsiębiorstwo udostępniające publiczne sieci łączności elektronicznej lub upoważnione do dostarczania takich sieci. Przedsiębiorcy budowlani powinni wykonać ponadto puste kanały prowadzące od każdego lokalu mieszkalnego do punktu dostępu położonego wewnątrz lub na zewnątrz budynku wielorodzinnego. Ważniejsze renowacje istniejących budynków w lokalizacji użytkownika końcowego służące poprawie charakterystyki energetycznej (zgodnie z dyrektywą Parlamentu Europejskiego i Rady 2010/31/UE</w:t>
            </w:r>
            <w:r>
              <w:rPr>
                <w:vertAlign w:val="superscript"/>
              </w:rPr>
              <w:t>40</w:t>
            </w:r>
            <w:r>
              <w:t>) umożliwiają również wyposażenie tych budynków w wewnątrzbudynkową infrastrukturę techniczną przystosowaną do technologii światłowodowej, wewnątrzbudynkowe okablowanie światłowodowe i – w przypadku budynków wielorodzinnych – punkt dostępu.</w:t>
            </w:r>
          </w:p>
        </w:tc>
        <w:tc>
          <w:tcPr>
            <w:tcW w:w="4876" w:type="dxa"/>
          </w:tcPr>
          <w:p w:rsidR="00C77B3E" w:rsidRPr="00DC0657" w:rsidRDefault="00C77B3E" w:rsidP="009D4E99">
            <w:pPr>
              <w:pStyle w:val="Normal6a"/>
            </w:pPr>
            <w:r>
              <w:t>(44)</w:t>
            </w:r>
            <w:r>
              <w:tab/>
              <w:t xml:space="preserve">Aby osiągnąć cele określone w decyzji (UE) 2022/2481, wszyscy użytkownicy końcowi przebywający w stałych lokalizacjach muszą zostać objęci do 2030 r. siecią gigabitową aż do punktu zakończenia sieci, a wszystkie obszary zaludnione – ultraszybką siecią bezprzewodową nowej generacji o wydajności dorównującej co najmniej sieci 5G, zgodnie z zasadą neutralności technologicznej. Należy ułatwić doprowadzenie sieci gigabitowych aż do użytkownika końcowego, w szczególności za pomocą wewnątrzbudynkowej infrastruktury technicznej przystosowanej do technologii światłowodowej. Wykonanie minikanałów podczas budowy budynku wiąże się jedynie z niewielkim dodatkowym kosztem, podczas gdy wyposażanie budynków w infrastrukturę gigabitową może stanowić znaczącą część kosztów wdrożenia sieci gigabitowej. W związku z tym wszystkie nowe budynki lub budynki poddawane </w:t>
            </w:r>
            <w:r>
              <w:rPr>
                <w:b/>
                <w:i/>
              </w:rPr>
              <w:t>przebudowie lub generalnym pracom remontowym</w:t>
            </w:r>
            <w:r>
              <w:t xml:space="preserve"> powinny być wyposażane w infrastrukturę techniczną i wewnątrzbudynkowe okablowanie światłowodowe umożliwiające podłączenie użytkowników końcowych do sieci o gigabitowej przepustowości. Nowe budynki wielorodzinne oraz budynki wielorodzinne poddawane ważniejszej renowacji również powinny być wyposażane w punkt dostępu, do którego dostęp ma co najmniej jedno przedsiębiorstwo udostępniające publiczne sieci łączności elektronicznej lub upoważnione do dostarczania takich sieci. Przedsiębiorcy budowlani powinni wykonać ponadto puste kanały prowadzące od każdego lokalu mieszkalnego do punktu dostępu położonego wewnątrz lub na zewnątrz budynku wielorodzinnego. Ważniejsze renowacje istniejących budynków w lokalizacji użytkownika końcowego służące poprawie charakterystyki energetycznej (zgodnie z dyrektywą Parlamentu Europejskiego i Rady 2010/31/UE</w:t>
            </w:r>
            <w:r>
              <w:rPr>
                <w:vertAlign w:val="superscript"/>
              </w:rPr>
              <w:t>40</w:t>
            </w:r>
            <w:r>
              <w:t>) umożliwiają również wyposażenie tych budynków w wewnątrzbudynkową infrastrukturę techniczną przystosowaną do technologii światłowodowej, wewnątrzbudynkowe okablowanie światłowodowe i – w przypadku budynków wielorodzinnych – punkt dostępu.</w:t>
            </w:r>
          </w:p>
        </w:tc>
      </w:tr>
      <w:tr w:rsidR="00C77B3E" w:rsidTr="009D4E99">
        <w:trPr>
          <w:jc w:val="center"/>
        </w:trPr>
        <w:tc>
          <w:tcPr>
            <w:tcW w:w="4876" w:type="dxa"/>
          </w:tcPr>
          <w:p w:rsidR="00C77B3E" w:rsidRPr="00DC0657" w:rsidRDefault="00C77B3E" w:rsidP="009D4E99">
            <w:pPr>
              <w:pStyle w:val="Normal6a"/>
            </w:pPr>
            <w:r>
              <w:rPr>
                <w:b/>
                <w:i/>
              </w:rPr>
              <w:t>_________________</w:t>
            </w:r>
          </w:p>
        </w:tc>
        <w:tc>
          <w:tcPr>
            <w:tcW w:w="4876" w:type="dxa"/>
          </w:tcPr>
          <w:p w:rsidR="00C77B3E" w:rsidRPr="00DC0657" w:rsidRDefault="00C77B3E" w:rsidP="009D4E99">
            <w:pPr>
              <w:pStyle w:val="Normal6a"/>
            </w:pPr>
            <w:r>
              <w:rPr>
                <w:b/>
                <w:i/>
              </w:rPr>
              <w:t>_________________</w:t>
            </w:r>
          </w:p>
        </w:tc>
      </w:tr>
      <w:tr w:rsidR="00C77B3E" w:rsidTr="009D4E99">
        <w:trPr>
          <w:jc w:val="center"/>
        </w:trPr>
        <w:tc>
          <w:tcPr>
            <w:tcW w:w="4876" w:type="dxa"/>
          </w:tcPr>
          <w:p w:rsidR="00C77B3E" w:rsidRPr="00DC0657" w:rsidRDefault="00C77B3E" w:rsidP="009D4E99">
            <w:pPr>
              <w:pStyle w:val="Normal6a"/>
            </w:pPr>
            <w:r>
              <w:rPr>
                <w:vertAlign w:val="superscript"/>
              </w:rPr>
              <w:t>40</w:t>
            </w:r>
            <w:r>
              <w:t xml:space="preserve"> Dyrektywa Parlamentu Europejskiego i Rady 2010/31/UE z dnia 19 maja 2010 r. w sprawie charakterystyki energetycznej budynków (Dz.U. L 153 z 18.6.2010, s. 13).</w:t>
            </w:r>
          </w:p>
        </w:tc>
        <w:tc>
          <w:tcPr>
            <w:tcW w:w="4876" w:type="dxa"/>
          </w:tcPr>
          <w:p w:rsidR="00C77B3E" w:rsidRPr="00DC0657" w:rsidRDefault="00C77B3E" w:rsidP="009D4E99">
            <w:pPr>
              <w:pStyle w:val="Normal6a"/>
            </w:pPr>
            <w:r>
              <w:rPr>
                <w:vertAlign w:val="superscript"/>
              </w:rPr>
              <w:t>40</w:t>
            </w:r>
            <w:r>
              <w:t xml:space="preserve"> Dyrektywa Parlamentu Europejskiego i Rady 2010/31/UE z dnia 19 maja 2010 r. w sprawie charakterystyki energetycznej budynków (Dz.U. L 153 z 18.6.2010, s. 13).</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159</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(45)</w:t>
            </w:r>
            <w:r>
              <w:tab/>
              <w:t xml:space="preserve">Możliwość wyposażenia budynku w wewnątrzbudynkową infrastrukturę techniczną przystosowaną do technologii </w:t>
            </w:r>
            <w:r>
              <w:rPr>
                <w:b/>
                <w:i/>
              </w:rPr>
              <w:t>światłowodowej</w:t>
            </w:r>
            <w:r>
              <w:t>, punkt dostępu lub wewnątrzbudynkowe okablowanie światłowodowe może zostać uznana za nieproporcjonalną pod względem kosztów, konkretnie w przypadku nowych budynków jednorodzinnych lub budynków poddawanych generalnym pracom remontowym. Podstawą do tego mogą być obiektywne przesłanki, takie jak indywidualne szacunki kosztów, względy ekonomiczne związane z lokalizacją lub względy konserwatorskie lub środowiskowe (np. w przypadku pewnych kategorii zabytków).</w:t>
            </w:r>
          </w:p>
        </w:tc>
        <w:tc>
          <w:tcPr>
            <w:tcW w:w="4876" w:type="dxa"/>
          </w:tcPr>
          <w:p w:rsidR="00C77B3E" w:rsidRPr="00DC0657" w:rsidRDefault="00C77B3E" w:rsidP="009D4E99">
            <w:pPr>
              <w:pStyle w:val="Normal6a"/>
            </w:pPr>
            <w:r>
              <w:t>(45)</w:t>
            </w:r>
            <w:r>
              <w:tab/>
              <w:t xml:space="preserve">Możliwość wyposażenia budynku w wewnątrzbudynkową infrastrukturę techniczną przystosowaną do technologii </w:t>
            </w:r>
            <w:r>
              <w:rPr>
                <w:b/>
                <w:i/>
              </w:rPr>
              <w:t>gigabitowej</w:t>
            </w:r>
            <w:r>
              <w:t>, punkt dostępu lub wewnątrzbudynkowe okablowanie światłowodowe może zostać uznana za nieproporcjonalną pod względem kosztów, konkretnie w przypadku nowych budynków jednorodzinnych lub budynków poddawanych generalnym pracom remontowym. Podstawą do tego mogą być obiektywne przesłanki, takie jak indywidualne szacunki kosztów, względy ekonomiczne związane z lokalizacją lub względy konserwatorskie lub środowiskowe (np. w przypadku pewnych kategorii zabytków).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160</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(46)</w:t>
            </w:r>
            <w:r>
              <w:tab/>
              <w:t xml:space="preserve">Potencjalni nabywcy i najemcy powinny być w stanie rozpoznać budynki, które są wyposażone w wewnątrzbudynkową infrastrukturę techniczną przystosowaną do technologii </w:t>
            </w:r>
            <w:r>
              <w:rPr>
                <w:b/>
                <w:i/>
              </w:rPr>
              <w:t>światłowodowej</w:t>
            </w:r>
            <w:r>
              <w:t xml:space="preserve">, punkt dostępu oraz wewnątrzbudynkowe okablowanie światłowodowe i które w związku z tym oferują znaczny potencjał ograniczenia kosztów. Należy również promować przystosowanie budynków do technologii światłowodowej. W związku z tym państwa członkowskie powinny opracować obowiązkowe oznaczenie „infrastruktura przystosowana do technologii </w:t>
            </w:r>
            <w:r>
              <w:rPr>
                <w:b/>
                <w:i/>
              </w:rPr>
              <w:t>światłowodowej”</w:t>
            </w:r>
            <w:r>
              <w:t xml:space="preserve"> dla budynków wyposażonych w taką infrastrukturę, punkt dostępu i wewnątrzbudynkowe okablowanie światłowodowe zgodnie z niniejszym rozporządzeniem.</w:t>
            </w:r>
          </w:p>
        </w:tc>
        <w:tc>
          <w:tcPr>
            <w:tcW w:w="4876" w:type="dxa"/>
          </w:tcPr>
          <w:p w:rsidR="00C77B3E" w:rsidRPr="00DC0657" w:rsidRDefault="00C77B3E" w:rsidP="009D4E99">
            <w:pPr>
              <w:pStyle w:val="Normal6a"/>
            </w:pPr>
            <w:r>
              <w:t>(46)</w:t>
            </w:r>
            <w:r>
              <w:tab/>
              <w:t xml:space="preserve">Potencjalni nabywcy i najemcy powinny być w stanie rozpoznać budynki, które są wyposażone w wewnątrzbudynkową infrastrukturę techniczną przystosowaną do technologii </w:t>
            </w:r>
            <w:r>
              <w:rPr>
                <w:b/>
                <w:i/>
              </w:rPr>
              <w:t>gigabitowej</w:t>
            </w:r>
            <w:r>
              <w:t xml:space="preserve">, punkt dostępu oraz wewnątrzbudynkowe okablowanie światłowodowe i które w związku z tym oferują znaczny potencjał ograniczenia kosztów. Należy również promować przystosowanie budynków do technologii światłowodowej. W związku z tym państwa członkowskie powinny opracować obowiązkowe oznaczenie „infrastruktura przystosowana do technologii </w:t>
            </w:r>
            <w:r>
              <w:rPr>
                <w:b/>
                <w:i/>
              </w:rPr>
              <w:t>gigabitowej”</w:t>
            </w:r>
            <w:r>
              <w:t xml:space="preserve"> dla budynków wyposażonych w taką infrastrukturę, punkt dostępu i wewnątrzbudynkowe okablowanie światłowodowe zgodnie z niniejszym rozporządzeniem.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161</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(47)</w:t>
            </w:r>
            <w:r>
              <w:tab/>
              <w:t>Przedsiębiorstwa udostępniające publiczne sieci łączności elektronicznej lub upoważnione do dostarczania takich sieci, które wdrażają sieci gigabitowe na danym obszarze, mogą odnieść znaczące korzyści skali, jeżeli mają możliwość zakończenia swojej sieci w punkcie dostępu budynku poprzez wykorzystanie istniejącej infrastruktury technicznej i przywrócenie naruszonego obszaru do pierwotnego stanu. Taka możliwość powinna istnieć niezależnie od tego, czy w danej chwili abonent wyraża wyraźne zainteresowanie usługą, i pod warunkiem zminimalizowania oddziaływania na własność prywatną. Jeżeli sieć została doprowadzona do punktu dostępu, to koszt podłączenia dodatkowych klientów jest znacznie niższy, w</w:t>
            </w:r>
            <w:r>
              <w:rPr>
                <w:b/>
                <w:i/>
              </w:rPr>
              <w:t> </w:t>
            </w:r>
            <w:r>
              <w:t>szczególności w</w:t>
            </w:r>
            <w:r>
              <w:rPr>
                <w:b/>
                <w:i/>
              </w:rPr>
              <w:t> </w:t>
            </w:r>
            <w:r>
              <w:t>przypadku dostępu do znajdującego się w budynku pionowego segmentu przystosowanego do technologii światłowodowej, jeżeli taki segment już istnieje. Cel ten można osiągnąć również wtedy, gdy sam budynek jest wyposażony w sieć gigabitową, a dowolny dostawca publicznych sieci łączności, który ma w tym budynku aktywnego abonenta, ma dostęp do tej sieci wewnątrzbudynkowej na przejrzystych, proporcjonalnych i niedyskryminujących warunkach i zasadach. Może tak być w szczególności w przypadku państw członkowskich, które przyjęły środki określone w art. 44 dyrektywy (UE) 2018/1972.</w:t>
            </w:r>
          </w:p>
        </w:tc>
        <w:tc>
          <w:tcPr>
            <w:tcW w:w="4876" w:type="dxa"/>
          </w:tcPr>
          <w:p w:rsidR="00C77B3E" w:rsidRPr="00DC0657" w:rsidRDefault="00C77B3E" w:rsidP="009D4E99">
            <w:pPr>
              <w:pStyle w:val="Normal6a"/>
            </w:pPr>
            <w:r>
              <w:t>(47)</w:t>
            </w:r>
            <w:r>
              <w:tab/>
              <w:t>Przedsiębiorstwa udostępniające publiczne sieci łączności elektronicznej lub upoważnione do dostarczania takich sieci, które wdrażają sieci gigabitowe na danym obszarze, mogą odnieść znaczące korzyści skali, jeżeli mają możliwość zakończenia swojej sieci w punkcie dostępu budynku poprzez wykorzystanie istniejącej infrastruktury technicznej i przywrócenie naruszonego obszaru do pierwotnego stanu. Taka możliwość powinna istnieć niezależnie od tego, czy w danej chwili abonent wyraża wyraźne zainteresowanie usługą, i pod warunkiem zminimalizowania oddziaływania na własność prywatną</w:t>
            </w:r>
            <w:r>
              <w:rPr>
                <w:b/>
                <w:i/>
              </w:rPr>
              <w:t>, a prawo własności jest w pełni respektowane</w:t>
            </w:r>
            <w:r>
              <w:t>. Jeżeli sieć została doprowadzona do punktu dostępu, to koszt podłączenia dodatkowych klientów jest znacznie niższy, w</w:t>
            </w:r>
            <w:r>
              <w:rPr>
                <w:b/>
                <w:i/>
              </w:rPr>
              <w:t xml:space="preserve"> </w:t>
            </w:r>
            <w:r>
              <w:t>szczególności w</w:t>
            </w:r>
            <w:r>
              <w:rPr>
                <w:b/>
                <w:i/>
              </w:rPr>
              <w:t xml:space="preserve"> </w:t>
            </w:r>
            <w:r>
              <w:t>przypadku dostępu do znajdującego się w budynku pionowego segmentu przystosowanego do technologii światłowodowej, jeżeli taki segment już istnieje. Cel ten można osiągnąć również wtedy, gdy sam budynek jest wyposażony w sieć gigabitową, a dowolny dostawca publicznych sieci łączności, który ma w tym budynku aktywnego abonenta, ma dostęp do tej sieci wewnątrzbudynkowej na przejrzystych, proporcjonalnych i niedyskryminujących warunkach i zasadach. Może tak być w szczególności w przypadku państw członkowskich, które przyjęły środki określone w art. 44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162</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(48)</w:t>
            </w:r>
            <w:r>
              <w:tab/>
              <w:t xml:space="preserve">Aby przyczynić się do zapewnienia dostępności sieci gigabitowych dla użytkowników końcowych, nowe budynki i budynki poddawane ważniejszej renowacji powinny być wyposażone w wewnątrzbudynkową infrastrukturę techniczną przystosowaną do technologii </w:t>
            </w:r>
            <w:r>
              <w:rPr>
                <w:b/>
                <w:i/>
              </w:rPr>
              <w:t>światłowodowej</w:t>
            </w:r>
            <w:r>
              <w:t xml:space="preserve"> i wewnątrzbudynkowe okablowanie światłowodowe, a budynki wielorodzinne – w punkt dostępu. Państwa członkowskie powinny mieć pewną elastyczność, jeżeli chodzi o osiąganie tego celu. W związku z tym celem niniejszego rozporządzenia nie jest harmonizacja przepisów dotyczących odnośnych kosztów, w tym odzyskiwania kosztów wyposażania budynków w wewnątrzbudynkową infrastrukturę techniczną przystosowaną do technologii </w:t>
            </w:r>
            <w:r>
              <w:rPr>
                <w:b/>
                <w:i/>
              </w:rPr>
              <w:t>światłowodowej</w:t>
            </w:r>
            <w:r>
              <w:t>, wewnątrzbudynkowe okablowanie światłowodowe i punkt dostępu.</w:t>
            </w:r>
          </w:p>
        </w:tc>
        <w:tc>
          <w:tcPr>
            <w:tcW w:w="4876" w:type="dxa"/>
          </w:tcPr>
          <w:p w:rsidR="00C77B3E" w:rsidRPr="00DC0657" w:rsidRDefault="00C77B3E" w:rsidP="009D4E99">
            <w:pPr>
              <w:pStyle w:val="Normal6a"/>
            </w:pPr>
            <w:r>
              <w:t>(48)</w:t>
            </w:r>
            <w:r>
              <w:tab/>
              <w:t xml:space="preserve">Aby przyczynić się do zapewnienia dostępności sieci gigabitowych dla użytkowników końcowych, nowe budynki i budynki poddawane ważniejszej renowacji powinny być wyposażone w wewnątrzbudynkową infrastrukturę techniczną przystosowaną do technologii </w:t>
            </w:r>
            <w:r>
              <w:rPr>
                <w:b/>
                <w:i/>
              </w:rPr>
              <w:t>gigabitowej</w:t>
            </w:r>
            <w:r>
              <w:t xml:space="preserve"> i wewnątrzbudynkowe okablowanie światłowodowe, a budynki wielorodzinne – w punkt dostępu. Państwa członkowskie powinny mieć pewną elastyczność, jeżeli chodzi o osiąganie tego celu. W związku z tym celem niniejszego rozporządzenia nie jest harmonizacja przepisów dotyczących odnośnych kosztów, w tym odzyskiwania kosztów wyposażania budynków w wewnątrzbudynkową infrastrukturę techniczną przystosowaną do technologii </w:t>
            </w:r>
            <w:r>
              <w:rPr>
                <w:b/>
                <w:i/>
              </w:rPr>
              <w:t>gigabitowej</w:t>
            </w:r>
            <w:r>
              <w:t>, wewnątrzbudynkowe okablowanie światłowodowe i punkt dostępu.</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163</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Elena Kountoura</w:t>
      </w:r>
      <w:r w:rsidRPr="00EE1DCA">
        <w:rPr>
          <w:rStyle w:val="HideTWBExt"/>
          <w:lang w:val="en-GB"/>
        </w:rPr>
        <w:t>&lt;/Members&gt;</w:t>
      </w:r>
    </w:p>
    <w:p w:rsidR="00C77B3E" w:rsidRPr="00EE1DCA" w:rsidRDefault="00C77B3E" w:rsidP="00C77B3E">
      <w:pPr>
        <w:rPr>
          <w:lang w:val="en-GB"/>
        </w:rPr>
      </w:pPr>
      <w:r w:rsidRPr="00EE1DCA">
        <w:rPr>
          <w:rStyle w:val="HideTWBExt"/>
          <w:lang w:val="en-GB"/>
        </w:rPr>
        <w:t>&lt;AuNomDe&gt;</w:t>
      </w:r>
      <w:r w:rsidRPr="00EE1DCA">
        <w:rPr>
          <w:rStyle w:val="HideTWBInt"/>
          <w:lang w:val="en-GB"/>
        </w:rPr>
        <w:t>{The Left}</w:t>
      </w:r>
      <w:r w:rsidRPr="00EE1DCA">
        <w:rPr>
          <w:lang w:val="en-GB"/>
        </w:rPr>
        <w:t>w imieniu grupy The Left</w:t>
      </w:r>
      <w:r w:rsidRPr="00EE1DCA">
        <w:rPr>
          <w:rStyle w:val="HideTWBExt"/>
          <w:lang w:val="en-GB"/>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49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(49)</w:t>
            </w:r>
            <w:r>
              <w:tab/>
              <w:t xml:space="preserve">Zgodnie z zasadą pomocniczości i w celu uwzględnienia uwarunkowań krajowych państwa członkowskie powinny przyjąć normy lub specyfikacje techniczne niezbędne na potrzeby wyposażenia nowych lub poddanych ważniejszej renowacji budynków w wewnątrzbudynkową infrastrukturę techniczną przystosowaną do technologii </w:t>
            </w:r>
            <w:r>
              <w:rPr>
                <w:b/>
                <w:i/>
              </w:rPr>
              <w:t>światłowodowej</w:t>
            </w:r>
            <w:r>
              <w:t xml:space="preserve"> i wewnątrzbudynkowe okablowanie światłowodowe, a nowych lub poddanych ważniejszej renowacji budynków wielorodzinnych – w punkt dostępu. W tych normach lub specyfikacjach technicznych należy określić co najmniej: specyfikacje punktu dostępu budynku; specyfikacje interfejsu światłowodowego; specyfikacje przewodów; specyfikacje gniazd; specyfikacje rur lub mikrokanałów; specyfikacje techniczne niezbędne do zapobiegania ingerencjom w przewody elektryczne, a także minimalny promień zgięcia. Państwa członkowskie powinny uzależnić wydanie zezwoleń na budowę od zgodności danego nowego budynku lub budynku poddawanego generalnym pracom remontowym, wymagającej pozwolenia na budowę, z normami lub specyfikacjami technicznymi, która to zgodność musi zostać stwierdzona na podstawie poświadczonego sprawozdania z badań. Państwa członkowskie powinny również ustanowić systemy certyfikacji do celów stwierdzenia zgodności z normami lub specyfikacjami technicznymi oraz kwalifikacji do uzyskania oznaczenia „infrastruktura przystosowana do technologii </w:t>
            </w:r>
            <w:r>
              <w:rPr>
                <w:b/>
                <w:i/>
              </w:rPr>
              <w:t>światłowodowej</w:t>
            </w:r>
            <w:r>
              <w:t>”. Aby uniknąć zwiększenia obciążeń administracyjnych związanych z system certyfikacji ustanowionym na podstawie niniejszego rozporządzenia, państwa członkowskie powinny ponadto uwzględnić wymogi proceduralne mające zastosowanie do systemów certyfikacji zgodnie z dyrektywą 2010/31/UE oraz rozważyć możliwość wspólnego uruchomienia obu procedur składania wniosków.</w:t>
            </w:r>
          </w:p>
        </w:tc>
        <w:tc>
          <w:tcPr>
            <w:tcW w:w="4876" w:type="dxa"/>
          </w:tcPr>
          <w:p w:rsidR="00C77B3E" w:rsidRPr="00DC0657" w:rsidRDefault="00C77B3E" w:rsidP="009D4E99">
            <w:pPr>
              <w:pStyle w:val="Normal6a"/>
            </w:pPr>
            <w:r>
              <w:t>(49)</w:t>
            </w:r>
            <w:r>
              <w:tab/>
              <w:t xml:space="preserve">Zgodnie z zasadą pomocniczości i w celu uwzględnienia uwarunkowań krajowych państwa członkowskie powinny przyjąć normy lub specyfikacje techniczne niezbędne na potrzeby wyposażenia nowych lub poddanych ważniejszej renowacji budynków w wewnątrzbudynkową infrastrukturę techniczną przystosowaną do technologii </w:t>
            </w:r>
            <w:r>
              <w:rPr>
                <w:b/>
                <w:i/>
              </w:rPr>
              <w:t>gigabitowej</w:t>
            </w:r>
            <w:r>
              <w:t xml:space="preserve"> i wewnątrzbudynkowe okablowanie światłowodowe, a nowych lub poddanych ważniejszej renowacji budynków wielorodzinnych – w punkt dostępu. W tych normach lub specyfikacjach technicznych należy określić co najmniej: specyfikacje punktu dostępu budynku; specyfikacje interfejsu światłowodowego; specyfikacje przewodów; specyfikacje gniazd; specyfikacje rur lub mikrokanałów; specyfikacje techniczne niezbędne do zapobiegania ingerencjom w przewody elektryczne, a także minimalny promień zgięcia. Państwa członkowskie powinny uzależnić wydanie zezwoleń na budowę od zgodności danego nowego budynku lub budynku poddawanego generalnym pracom remontowym, wymagającej pozwolenia na budowę, z normami lub specyfikacjami technicznymi, która to zgodność musi zostać stwierdzona na podstawie poświadczonego sprawozdania z badań. Państwa członkowskie powinny również ustanowić systemy certyfikacji do celów stwierdzenia zgodności z normami lub specyfikacjami technicznymi oraz kwalifikacji do uzyskania oznaczenia „infrastruktura przystosowana do technologii </w:t>
            </w:r>
            <w:r>
              <w:rPr>
                <w:b/>
                <w:i/>
              </w:rPr>
              <w:t>gigabitowej</w:t>
            </w:r>
            <w:r>
              <w:t>”. Aby uniknąć zwiększenia obciążeń administracyjnych związanych z system certyfikacji ustanowionym na podstawie niniejszego rozporządzenia, państwa członkowskie powinny ponadto uwzględnić wymogi proceduralne mające zastosowanie do systemów certyfikacji zgodnie z dyrektywą 2010/31/UE oraz rozważyć możliwość wspólnego uruchomienia obu procedur składania wniosków.</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164</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Niklas Nienass</w:t>
      </w:r>
      <w:r w:rsidRPr="00EE1DCA">
        <w:rPr>
          <w:rStyle w:val="HideTWBExt"/>
          <w:lang w:val="en-GB"/>
        </w:rPr>
        <w:t>&lt;/Members&gt;</w:t>
      </w:r>
    </w:p>
    <w:p w:rsidR="00C77B3E" w:rsidRPr="00EE1DCA" w:rsidRDefault="00C77B3E" w:rsidP="00C77B3E">
      <w:pPr>
        <w:rPr>
          <w:lang w:val="en-GB"/>
        </w:rPr>
      </w:pPr>
      <w:r w:rsidRPr="00EE1DCA">
        <w:rPr>
          <w:rStyle w:val="HideTWBExt"/>
          <w:lang w:val="en-GB"/>
        </w:rPr>
        <w:t>&lt;AuNomDe&gt;</w:t>
      </w:r>
      <w:r w:rsidRPr="00EE1DCA">
        <w:rPr>
          <w:rStyle w:val="HideTWBInt"/>
          <w:lang w:val="en-GB"/>
        </w:rPr>
        <w:t>{Verts/ALE}</w:t>
      </w:r>
      <w:r w:rsidRPr="00EE1DCA">
        <w:rPr>
          <w:lang w:val="en-GB"/>
        </w:rPr>
        <w:t>w imieniu grupy Verts/ALE</w:t>
      </w:r>
      <w:r w:rsidRPr="00EE1DCA">
        <w:rPr>
          <w:rStyle w:val="HideTWBExt"/>
          <w:lang w:val="en-GB"/>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(50)</w:t>
            </w:r>
            <w:r>
              <w:tab/>
              <w:t>Biorąc pod uwagę korzyści społeczne wynikające z cyfrowego włączenia społecznego i ekonomikę wdrażania sieci o bardzo dużej przepustowości, w sytuacji gdy nie ma istniejącej pasywnej ani aktywnej infrastruktury przystosowanej do technologii światłowodowej obsługującej lokale użytkowników końcowych ani rozwiązań alternatywnych pozwalających na doprowadzenie sieci o bardzo dużej przepustowości do abonenta, każdy dostawca publicznych sieci łączności powinien mieć prawo do doprowadzenia swojej sieci do prywatnego lokalu na własny koszt pod warunkiem zminimalizowania wpływu na własność prywatną, na przykład, jeżeli jest to możliwe, przez ponowne wykorzystanie istniejącej infrastruktury technicznej dostępnej w budynku lub pełne przywrócenie odnośnych miejsc do poprzedniego stanu.</w:t>
            </w:r>
          </w:p>
        </w:tc>
        <w:tc>
          <w:tcPr>
            <w:tcW w:w="4876" w:type="dxa"/>
          </w:tcPr>
          <w:p w:rsidR="00C77B3E" w:rsidRPr="00DC0657" w:rsidRDefault="00C77B3E" w:rsidP="009D4E99">
            <w:pPr>
              <w:pStyle w:val="Normal6a"/>
            </w:pPr>
            <w:r>
              <w:t>(50)</w:t>
            </w:r>
            <w:r>
              <w:tab/>
              <w:t>Biorąc pod uwagę korzyści społeczne wynikające z cyfrowego włączenia społecznego i ekonomikę wdrażania sieci o bardzo dużej przepustowości, w sytuacji gdy nie ma istniejącej pasywnej ani aktywnej infrastruktury przystosowanej do technologii światłowodowej obsługującej lokale użytkowników końcowych ani rozwiązań alternatywnych pozwalających na doprowadzenie sieci o bardzo dużej przepustowości do abonenta, każdy dostawca publicznych sieci łączności powinien mieć prawo do doprowadzenia swojej sieci do prywatnego lokalu na własny koszt pod warunkiem zminimalizowania wpływu na własność prywatną</w:t>
            </w:r>
            <w:r>
              <w:rPr>
                <w:b/>
                <w:i/>
              </w:rPr>
              <w:t xml:space="preserve"> i przestrzegania w pełni praw własności</w:t>
            </w:r>
            <w:r>
              <w:t>, na przykład, jeżeli jest to możliwe, przez ponowne wykorzystanie istniejącej infrastruktury technicznej dostępnej w budynku lub pełne przywrócenie odnośnych miejsc do poprzedniego stanu.</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165</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Elena Kountoura</w:t>
      </w:r>
      <w:r w:rsidRPr="00EE1DCA">
        <w:rPr>
          <w:rStyle w:val="HideTWBExt"/>
          <w:lang w:val="en-GB"/>
        </w:rPr>
        <w:t>&lt;/Members&gt;</w:t>
      </w:r>
    </w:p>
    <w:p w:rsidR="00C77B3E" w:rsidRPr="00EE1DCA" w:rsidRDefault="00C77B3E" w:rsidP="00C77B3E">
      <w:pPr>
        <w:rPr>
          <w:lang w:val="en-GB"/>
        </w:rPr>
      </w:pPr>
      <w:r w:rsidRPr="00EE1DCA">
        <w:rPr>
          <w:rStyle w:val="HideTWBExt"/>
          <w:lang w:val="en-GB"/>
        </w:rPr>
        <w:t>&lt;AuNomDe&gt;</w:t>
      </w:r>
      <w:r w:rsidRPr="00EE1DCA">
        <w:rPr>
          <w:rStyle w:val="HideTWBInt"/>
          <w:lang w:val="en-GB"/>
        </w:rPr>
        <w:t>{The Left}</w:t>
      </w:r>
      <w:r w:rsidRPr="00EE1DCA">
        <w:rPr>
          <w:lang w:val="en-GB"/>
        </w:rPr>
        <w:t>w imieniu grupy The Left</w:t>
      </w:r>
      <w:r w:rsidRPr="00EE1DCA">
        <w:rPr>
          <w:rStyle w:val="HideTWBExt"/>
          <w:lang w:val="en-GB"/>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(50)</w:t>
            </w:r>
            <w:r>
              <w:tab/>
              <w:t xml:space="preserve">Biorąc pod uwagę korzyści społeczne wynikające z cyfrowego włączenia społecznego i ekonomikę wdrażania sieci o bardzo dużej przepustowości, w sytuacji gdy nie ma istniejącej pasywnej ani aktywnej infrastruktury przystosowanej do technologii </w:t>
            </w:r>
            <w:r>
              <w:rPr>
                <w:b/>
                <w:i/>
              </w:rPr>
              <w:t>światłowodowej</w:t>
            </w:r>
            <w:r>
              <w:t xml:space="preserve"> obsługującej lokale użytkowników końcowych ani rozwiązań alternatywnych pozwalających na doprowadzenie sieci o bardzo dużej przepustowości do abonenta, każdy dostawca publicznych sieci łączności powinien mieć prawo do doprowadzenia swojej sieci do prywatnego lokalu na własny koszt pod warunkiem zminimalizowania wpływu na własność prywatną, na przykład, jeżeli jest to możliwe, przez ponowne wykorzystanie istniejącej infrastruktury technicznej dostępnej w budynku lub pełne przywrócenie odnośnych miejsc do poprzedniego stanu.</w:t>
            </w:r>
          </w:p>
        </w:tc>
        <w:tc>
          <w:tcPr>
            <w:tcW w:w="4876" w:type="dxa"/>
          </w:tcPr>
          <w:p w:rsidR="00C77B3E" w:rsidRPr="00DC0657" w:rsidRDefault="00C77B3E" w:rsidP="009D4E99">
            <w:pPr>
              <w:pStyle w:val="Normal6a"/>
            </w:pPr>
            <w:r>
              <w:t>(50)</w:t>
            </w:r>
            <w:r>
              <w:tab/>
              <w:t xml:space="preserve">Biorąc pod uwagę korzyści społeczne wynikające z cyfrowego włączenia społecznego i ekonomikę wdrażania sieci o bardzo dużej przepustowości, w sytuacji gdy nie ma istniejącej pasywnej ani aktywnej infrastruktury przystosowanej do technologii </w:t>
            </w:r>
            <w:r>
              <w:rPr>
                <w:b/>
                <w:i/>
              </w:rPr>
              <w:t>gigabitowej</w:t>
            </w:r>
            <w:r>
              <w:t xml:space="preserve"> obsługującej lokale użytkowników końcowych ani rozwiązań alternatywnych pozwalających na doprowadzenie sieci o bardzo dużej przepustowości do abonenta, każdy dostawca publicznych sieci łączności powinien mieć prawo do doprowadzenia swojej sieci do prywatnego lokalu na własny koszt pod warunkiem zminimalizowania wpływu na własność prywatną, na przykład, jeżeli jest to możliwe, przez ponowne wykorzystanie istniejącej infrastruktury technicznej dostępnej w budynku lub pełne przywrócenie odnośnych miejsc do poprzedniego stanu.</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166</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Elena Kountoura</w:t>
      </w:r>
      <w:r w:rsidRPr="00EE1DCA">
        <w:rPr>
          <w:rStyle w:val="HideTWBExt"/>
          <w:lang w:val="en-GB"/>
        </w:rPr>
        <w:t>&lt;/Members&gt;</w:t>
      </w:r>
    </w:p>
    <w:p w:rsidR="00C77B3E" w:rsidRPr="00EE1DCA" w:rsidRDefault="00C77B3E" w:rsidP="00C77B3E">
      <w:pPr>
        <w:rPr>
          <w:lang w:val="en-GB"/>
        </w:rPr>
      </w:pPr>
      <w:r w:rsidRPr="00EE1DCA">
        <w:rPr>
          <w:rStyle w:val="HideTWBExt"/>
          <w:lang w:val="en-GB"/>
        </w:rPr>
        <w:t>&lt;AuNomDe&gt;</w:t>
      </w:r>
      <w:r w:rsidRPr="00EE1DCA">
        <w:rPr>
          <w:rStyle w:val="HideTWBInt"/>
          <w:lang w:val="en-GB"/>
        </w:rPr>
        <w:t>{The Left}</w:t>
      </w:r>
      <w:r w:rsidRPr="00EE1DCA">
        <w:rPr>
          <w:lang w:val="en-GB"/>
        </w:rPr>
        <w:t>w imieniu grupy The Left</w:t>
      </w:r>
      <w:r w:rsidRPr="00EE1DCA">
        <w:rPr>
          <w:rStyle w:val="HideTWBExt"/>
          <w:lang w:val="en-GB"/>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(52)</w:t>
            </w:r>
            <w:r>
              <w:tab/>
              <w:t>Aby zapewnić spójność podejść, Komisja – w ścisłej współpracy z BEREC – może przedstawić wytyczne w sprawie stosowania przepisów dotyczących dostępu do wewnątrzbudynkowej infrastruktury technicznej, w tym między innymi wytyczne dotyczące warunków takiego dostępu. Przy opracowywaniu wytycznych należy odpowiednio uwzględnić opinie zainteresowanych stron</w:t>
            </w:r>
            <w:r>
              <w:rPr>
                <w:b/>
                <w:i/>
              </w:rPr>
              <w:t xml:space="preserve"> i </w:t>
            </w:r>
            <w:r>
              <w:t>krajowych organów ds. rozstrzygania sporów.</w:t>
            </w:r>
          </w:p>
        </w:tc>
        <w:tc>
          <w:tcPr>
            <w:tcW w:w="4876" w:type="dxa"/>
          </w:tcPr>
          <w:p w:rsidR="00C77B3E" w:rsidRPr="00DC0657" w:rsidRDefault="00C77B3E" w:rsidP="009D4E99">
            <w:pPr>
              <w:pStyle w:val="Normal6a"/>
            </w:pPr>
            <w:r>
              <w:t>(52)</w:t>
            </w:r>
            <w:r>
              <w:tab/>
              <w:t>Aby zapewnić spójność podejść</w:t>
            </w:r>
            <w:r>
              <w:rPr>
                <w:b/>
                <w:i/>
              </w:rPr>
              <w:t xml:space="preserve"> przy uwzględnieniu zróżnicowanych warunków w poszczególnych państwach członkowskich</w:t>
            </w:r>
            <w:r>
              <w:t>, Komisja – w ścisłej współpracy z BEREC – może przedstawić wytyczne w sprawie stosowania przepisów dotyczących dostępu do wewnątrzbudynkowej infrastruktury technicznej, w tym między innymi wytyczne dotyczące warunków takiego dostępu. Przy opracowywaniu wytycznych należy odpowiednio uwzględnić opinie zainteresowanych stron</w:t>
            </w:r>
            <w:r>
              <w:rPr>
                <w:b/>
                <w:i/>
              </w:rPr>
              <w:t xml:space="preserve">, a w szczególności krajowych organów ds. rozstrzygania sporów, aby jak najlepiej zagwarantować, że takie wytyczne nie będą zakłócać dobrze ugruntowanych zasad, nie będą naruszać przepisów proceduralnych </w:t>
            </w:r>
            <w:r>
              <w:t>krajowych organów ds. rozstrzygania sporów</w:t>
            </w:r>
            <w:r>
              <w:rPr>
                <w:b/>
                <w:i/>
              </w:rPr>
              <w:t xml:space="preserve"> i nie wpłyną ujemnie na dalszy rozwój sieci o bardzo dużej przepustowości</w:t>
            </w:r>
            <w:r>
              <w:t>.</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167</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Beatrice Covassi, Carlos Zorrinho, Patrizia Toia, Lina Gálvez Muñoz, Adriana Maldonado López</w:t>
      </w:r>
      <w:r w:rsidRPr="00EE1DCA">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(52)</w:t>
            </w:r>
            <w:r>
              <w:tab/>
              <w:t xml:space="preserve">Aby zapewnić spójność podejść, Komisja – w ścisłej współpracy z BEREC – </w:t>
            </w:r>
            <w:r>
              <w:rPr>
                <w:b/>
                <w:i/>
              </w:rPr>
              <w:t>może</w:t>
            </w:r>
            <w:r>
              <w:t xml:space="preserve"> przedstawić wytyczne w sprawie stosowania przepisów dotyczących dostępu do wewnątrzbudynkowej infrastruktury technicznej, w tym między innymi wytyczne dotyczące warunków takiego dostępu. Przy opracowywaniu wytycznych należy odpowiednio uwzględnić opinie zainteresowanych stron i krajowych organów ds. rozstrzygania sporów.</w:t>
            </w:r>
          </w:p>
        </w:tc>
        <w:tc>
          <w:tcPr>
            <w:tcW w:w="4876" w:type="dxa"/>
          </w:tcPr>
          <w:p w:rsidR="00C77B3E" w:rsidRPr="00DC0657" w:rsidRDefault="00C77B3E" w:rsidP="009D4E99">
            <w:pPr>
              <w:pStyle w:val="Normal6a"/>
            </w:pPr>
            <w:r>
              <w:t>(52)</w:t>
            </w:r>
            <w:r>
              <w:tab/>
              <w:t xml:space="preserve">Aby zapewnić spójność podejść, Komisja – w ścisłej współpracy z BEREC – </w:t>
            </w:r>
            <w:r>
              <w:rPr>
                <w:b/>
                <w:i/>
              </w:rPr>
              <w:t>powinna co najmniej sześć miesięcy przed datą rozpoczęcia stosowania niniejszego rozporządzenia</w:t>
            </w:r>
            <w:r>
              <w:t xml:space="preserve"> przedstawić wytyczne w sprawie stosowania przepisów dotyczących dostępu do wewnątrzbudynkowej infrastruktury technicznej, w tym między innymi wytyczne dotyczące warunków takiego dostępu. Przy opracowywaniu wytycznych należy odpowiednio uwzględnić opinie zainteresowanych stron i krajowych organów ds. rozstrzygania sporów. </w:t>
            </w:r>
            <w:r>
              <w:rPr>
                <w:b/>
                <w:i/>
              </w:rPr>
              <w:t>Biorąc pod uwagę poziom elastyczności w stosowaniu tych przepisów uznany przez państwa członkowskie, oraz aby wytyczne te były skuteczne, powinny one zapewniać odpowiedni poziom szczegółowości.</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168</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Franc Bogovič</w:t>
      </w:r>
      <w:r w:rsidRPr="00EE1DCA">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(53)</w:t>
            </w:r>
            <w:r>
              <w:tab/>
              <w:t xml:space="preserve">Aby sprzyjać modernizacji i usprawnianiu procedur administracyjnych oraz ograniczyć koszty i czas trwania procedur związanych z wdrażaniem sieci o bardzo dużej przepustowości, pojedyncze punkty informacyjne powinny świadczyć usługi w pełni online. W tym celu pojedyncze punkty informacyjne powinny zapewnić łatwy dostęp do niezbędnych narzędzi cyfrowych, takich jak portale internetowe oraz platformy i aplikacje cyfrowe. Narzędzia te powinny zapewniać skuteczny dostęp do określonych minimalnych informacji dotyczących istniejącej infrastruktury technicznej i planowanych robót budowlanych oraz możliwość złożenia wniosku o udzielenie informacji. Takie narzędzia cyfrowe powinny również zapewniać dostęp do elektronicznych procedur administracyjnych dotyczących udzielania zezwoleń i praw drogi oraz powiązanych informacji na temat obowiązujących warunków i procedur. Jeżeli w państwie członkowskim utworzono więcej niż jeden pojedynczy punkt informacyjny, należy zapewnić, aby wszystkie pojedyncze punkty informacyjne były łatwo i bezproblemowo dostępne za pomocą środków elektronicznych za pośrednictwem krajowego cyfrowego punktu kompleksowej obsługi. Punkt ten powinien mieć wspólny interfejs użytkownika zapewniający dostęp do pojedynczych punktów informacyjnych działających online. Krajowy cyfrowy punkt kompleksowej obsługi powinien ułatwiać kontakty między </w:t>
            </w:r>
            <w:r>
              <w:rPr>
                <w:b/>
                <w:i/>
              </w:rPr>
              <w:t>operatorami</w:t>
            </w:r>
            <w:r>
              <w:t xml:space="preserve"> i właściwymi organami pełniącymi funkcje pojedynczych punktów informacyjnych.</w:t>
            </w:r>
          </w:p>
        </w:tc>
        <w:tc>
          <w:tcPr>
            <w:tcW w:w="4876" w:type="dxa"/>
          </w:tcPr>
          <w:p w:rsidR="00C77B3E" w:rsidRPr="00DC0657" w:rsidRDefault="00C77B3E" w:rsidP="009D4E99">
            <w:pPr>
              <w:pStyle w:val="Normal6a"/>
            </w:pPr>
            <w:r>
              <w:t>(53)</w:t>
            </w:r>
            <w:r>
              <w:tab/>
              <w:t xml:space="preserve">Aby sprzyjać modernizacji i usprawnianiu procedur administracyjnych oraz ograniczyć koszty i czas trwania procedur związanych z wdrażaniem sieci o bardzo dużej przepustowości, pojedyncze punkty informacyjne powinny świadczyć usługi w pełni online. W tym celu pojedyncze punkty informacyjne powinny zapewnić łatwy dostęp do niezbędnych narzędzi cyfrowych, takich jak portale internetowe oraz platformy i aplikacje cyfrowe. Narzędzia te powinny zapewniać skuteczny dostęp do określonych minimalnych informacji dotyczących istniejącej infrastruktury technicznej i planowanych robót budowlanych oraz możliwość złożenia wniosku o udzielenie informacji. Takie narzędzia cyfrowe powinny również zapewniać dostęp do elektronicznych procedur administracyjnych dotyczących udzielania zezwoleń i praw drogi oraz powiązanych informacji na temat obowiązujących warunków i procedur. Jeżeli w państwie członkowskim utworzono więcej niż jeden pojedynczy punkt informacyjny, należy zapewnić, aby wszystkie pojedyncze punkty informacyjne były łatwo i bezproblemowo dostępne za pomocą środków elektronicznych za pośrednictwem krajowego cyfrowego punktu kompleksowej obsługi. Punkt ten powinien mieć wspólny interfejs użytkownika zapewniający dostęp do pojedynczych punktów informacyjnych działających online. Krajowy cyfrowy punkt kompleksowej obsługi powinien ułatwiać kontakty między </w:t>
            </w:r>
            <w:r>
              <w:rPr>
                <w:b/>
                <w:i/>
              </w:rPr>
              <w:t>przedsiębiorstwami udostępniającymi publiczne sieci łączności elektronicznej lub upoważnionymi do dostarczania takich sieci</w:t>
            </w:r>
            <w:r>
              <w:t xml:space="preserve"> i właściwymi organami pełniącymi funkcje pojedynczych punktów informacyjnych.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EE1DCA" w:rsidRDefault="00C77B3E" w:rsidP="00C77B3E">
      <w:pPr>
        <w:pStyle w:val="AmJustText"/>
        <w:rPr>
          <w:lang w:val="en-GB"/>
        </w:rPr>
      </w:pPr>
      <w:r w:rsidRPr="00EE1DCA">
        <w:rPr>
          <w:lang w:val="en-GB"/>
        </w:rPr>
        <w:t>This Recital is amended to match the proposed amendments in the relevant Articles of the proposal to exclude undertakings only providing associated facilities from the obligations linked to network operators. In order to allow free competition and to incentivise wider investments they should not benefit from special provisions set out in this Regulation for regulated network operators. Excluding undertakings only providing associated facilities from the list of network operators takes account of the disproportionate imbalance between benefits and obligations imposed on these undertakings by this proposal and the fact that these undertakings already have a strong incentive to share infrastructure and provide access to their facilities to as many parties as possible.</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169</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Johan Nissinen</w:t>
      </w:r>
      <w:r w:rsidRPr="00EE1DCA">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Motyw 58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(58)</w:t>
            </w:r>
            <w:r>
              <w:tab/>
              <w:t xml:space="preserve">Aby uniknąć opóźnień we wdrażaniu sieci, krajowy organ ds. rozstrzygania sporów powinien rozstrzygać spory w sposób terminowy, a w każdym razie najpóźniej w terminie </w:t>
            </w:r>
            <w:r>
              <w:rPr>
                <w:b/>
                <w:i/>
              </w:rPr>
              <w:t>4</w:t>
            </w:r>
            <w:r>
              <w:t xml:space="preserve"> miesięcy od otrzymania wniosku o rozstrzygnięcie sporu w przypadku sporów dotyczących dostępu do istniejącej infrastruktury technicznej oraz w terminie 1 miesiąca w przypadku sporów dotyczących przejrzystości w zakresie infrastruktury technicznej oraz koordynacji i przejrzystości planowanych robót budowlanych. Organy ds. rozstrzygania sporu mogą nie mieć wpływu na wyjątkowe okoliczności uzasadniające opóźnienie w rozstrzygnięciu sporu, jak np. niewystarczające informacje lub brak dokumentacji niezbędnej do podjęcia decyzji, w tym opinii innych właściwych organów, z którymi należy się skonsultować, lub wysoki stopień złożoności sprawy.</w:t>
            </w:r>
          </w:p>
        </w:tc>
        <w:tc>
          <w:tcPr>
            <w:tcW w:w="4876" w:type="dxa"/>
          </w:tcPr>
          <w:p w:rsidR="00C77B3E" w:rsidRPr="00DC0657" w:rsidRDefault="00C77B3E" w:rsidP="009D4E99">
            <w:pPr>
              <w:pStyle w:val="Normal6a"/>
            </w:pPr>
            <w:r>
              <w:t>(58)</w:t>
            </w:r>
            <w:r>
              <w:tab/>
              <w:t xml:space="preserve">Aby uniknąć opóźnień we wdrażaniu sieci, krajowy organ ds. rozstrzygania sporów powinien rozstrzygać spory w sposób terminowy, a w każdym razie najpóźniej w terminie </w:t>
            </w:r>
            <w:r>
              <w:rPr>
                <w:b/>
                <w:i/>
              </w:rPr>
              <w:t>3</w:t>
            </w:r>
            <w:r>
              <w:t xml:space="preserve"> miesięcy od otrzymania wniosku o rozstrzygnięcie sporu w przypadku sporów dotyczących dostępu do istniejącej infrastruktury technicznej oraz w terminie 1 miesiąca w przypadku sporów dotyczących przejrzystości w zakresie infrastruktury technicznej oraz koordynacji i przejrzystości planowanych robót budowlanych. Organy ds. rozstrzygania sporu mogą nie mieć wpływu na wyjątkowe okoliczności uzasadniające opóźnienie w rozstrzygnięciu sporu, jak np. niewystarczające informacje lub brak dokumentacji niezbędnej do podjęcia decyzji, w tym opinii innych właściwych organów, z którymi należy się skonsultować, lub wysoki stopień złożoności sprawy.</w:t>
            </w:r>
          </w:p>
        </w:tc>
      </w:tr>
    </w:tbl>
    <w:p w:rsidR="00C77B3E" w:rsidRPr="00EE1DCA" w:rsidRDefault="00C77B3E" w:rsidP="00C77B3E">
      <w:pPr>
        <w:pStyle w:val="AmOrLang"/>
        <w:rPr>
          <w:lang w:val="en-GB"/>
        </w:rPr>
      </w:pPr>
      <w:r w:rsidRPr="00EE1DCA">
        <w:rPr>
          <w:lang w:val="en-GB"/>
        </w:rPr>
        <w:t xml:space="preserve">Or. </w:t>
      </w:r>
      <w:r w:rsidRPr="00EE1DCA">
        <w:rPr>
          <w:rStyle w:val="HideTWBExt"/>
          <w:lang w:val="en-GB"/>
        </w:rPr>
        <w:t>&lt;Original&gt;</w:t>
      </w:r>
      <w:r w:rsidRPr="00EE1DCA">
        <w:rPr>
          <w:rStyle w:val="HideTWBInt"/>
          <w:lang w:val="en-GB"/>
        </w:rPr>
        <w:t>{EN}</w:t>
      </w:r>
      <w:r w:rsidRPr="00EE1DCA">
        <w:rPr>
          <w:lang w:val="en-GB"/>
        </w:rPr>
        <w:t>en</w:t>
      </w:r>
      <w:r w:rsidRPr="00EE1DCA">
        <w:rPr>
          <w:rStyle w:val="HideTWBExt"/>
          <w:lang w:val="en-GB"/>
        </w:rPr>
        <w:t>&lt;/Original&gt;</w:t>
      </w:r>
    </w:p>
    <w:p w:rsidR="00C77B3E" w:rsidRPr="00EE1DCA" w:rsidRDefault="00C77B3E" w:rsidP="00C77B3E">
      <w:pPr>
        <w:rPr>
          <w:lang w:val="en-GB"/>
        </w:rPr>
      </w:pPr>
      <w:r w:rsidRPr="00EE1DCA">
        <w:rPr>
          <w:rStyle w:val="HideTWBExt"/>
          <w:lang w:val="en-GB"/>
        </w:rPr>
        <w:t>&lt;/Amend&gt;</w:t>
      </w:r>
    </w:p>
    <w:p w:rsidR="00C77B3E" w:rsidRPr="00EE1DCA" w:rsidRDefault="00C77B3E" w:rsidP="00C77B3E">
      <w:pPr>
        <w:pStyle w:val="AmNumberTabs"/>
        <w:rPr>
          <w:lang w:val="en-GB"/>
        </w:rPr>
      </w:pPr>
      <w:r w:rsidRPr="00EE1DCA">
        <w:rPr>
          <w:rStyle w:val="HideTWBExt"/>
          <w:lang w:val="en-GB"/>
        </w:rPr>
        <w:t>&lt;Amend&gt;</w:t>
      </w:r>
      <w:r w:rsidRPr="00EE1DCA">
        <w:rPr>
          <w:lang w:val="en-GB"/>
        </w:rPr>
        <w:t>Poprawka</w:t>
      </w:r>
      <w:r w:rsidRPr="00EE1DCA">
        <w:rPr>
          <w:lang w:val="en-GB"/>
        </w:rPr>
        <w:tab/>
      </w:r>
      <w:r w:rsidRPr="00EE1DCA">
        <w:rPr>
          <w:lang w:val="en-GB"/>
        </w:rPr>
        <w:tab/>
      </w:r>
      <w:r w:rsidRPr="00EE1DCA">
        <w:rPr>
          <w:rStyle w:val="HideTWBExt"/>
          <w:lang w:val="en-GB"/>
        </w:rPr>
        <w:t>&lt;NumAm&gt;</w:t>
      </w:r>
      <w:r w:rsidRPr="00EE1DCA">
        <w:rPr>
          <w:lang w:val="en-GB"/>
        </w:rPr>
        <w:t>170</w:t>
      </w:r>
      <w:r w:rsidRPr="00EE1DCA">
        <w:rPr>
          <w:rStyle w:val="HideTWBExt"/>
          <w:lang w:val="en-GB"/>
        </w:rPr>
        <w:t>&lt;/NumAm&gt;</w:t>
      </w:r>
    </w:p>
    <w:p w:rsidR="00C77B3E" w:rsidRPr="00EE1DCA" w:rsidRDefault="00C77B3E" w:rsidP="00C77B3E">
      <w:pPr>
        <w:pStyle w:val="NormalBold"/>
        <w:rPr>
          <w:lang w:val="en-GB"/>
        </w:rPr>
      </w:pPr>
      <w:r w:rsidRPr="00EE1DCA">
        <w:rPr>
          <w:rStyle w:val="HideTWBExt"/>
          <w:lang w:val="en-GB"/>
        </w:rPr>
        <w:t>&lt;RepeatBlock-By&gt;&lt;Members&gt;</w:t>
      </w:r>
      <w:r w:rsidRPr="00EE1DCA">
        <w:rPr>
          <w:lang w:val="en-GB"/>
        </w:rPr>
        <w:t>Henna Virkkunen</w:t>
      </w:r>
      <w:r w:rsidRPr="00EE1DCA">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Niniejsze rozporządzenie ma na celu ułatwianie i wspieranie wdrażania sieci o bardzo dużej przepustowości przez promowanie wspólnego korzystania z istniejącej infrastruktury technicznej i umożliwianie bardziej efektywnego wdrażania nowej infrastruktury technicznej, tak aby takie sieci mogły być wdrażane szybciej i po niższych kosztach.</w:t>
            </w:r>
          </w:p>
        </w:tc>
        <w:tc>
          <w:tcPr>
            <w:tcW w:w="4876" w:type="dxa"/>
          </w:tcPr>
          <w:p w:rsidR="00C77B3E" w:rsidRPr="00DC0657" w:rsidRDefault="00C77B3E" w:rsidP="009D4E99">
            <w:pPr>
              <w:pStyle w:val="Normal6a"/>
            </w:pPr>
            <w:r>
              <w:t>1.</w:t>
            </w:r>
            <w:r>
              <w:tab/>
              <w:t xml:space="preserve">Niniejsze rozporządzenie ma na celu ułatwianie i wspieranie wdrażania sieci o bardzo dużej przepustowości przez promowanie wspólnego korzystania z istniejącej infrastruktury technicznej i umożliwianie bardziej efektywnego wdrażania nowej infrastruktury technicznej, tak aby takie sieci mogły być wdrażane szybciej i po niższych kosztach. </w:t>
            </w:r>
            <w:r>
              <w:rPr>
                <w:b/>
                <w:i/>
              </w:rPr>
              <w:t>Zakres niniejszego rozporządzenia nie ogranicza się jednak do sieci o bardzo dużej przepustowości.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Celem niniejszego rozporządzenia jest ułatwienie i pobudzanie rozwoju sieci o bardzo dużej przepustowości, na przykład technologii 5G w sieciach ruchomych. Jednak na przykład infrastruktura ruchoma, taka jak maszty i anteny, obsługuje różne technologie. Dlatego nie należy zawężać zakresu stosowania tak, aby obejmował wykorzystanie wyłącznie na potrzeby sieci 5G, tj. sieci o dużej przepustowości.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171</w:t>
      </w:r>
      <w:r>
        <w:rPr>
          <w:rStyle w:val="HideTWBExt"/>
        </w:rPr>
        <w:t>&lt;/NumAm&gt;</w:t>
      </w:r>
    </w:p>
    <w:p w:rsidR="00C77B3E" w:rsidRPr="00DC0657" w:rsidRDefault="00C77B3E" w:rsidP="00C77B3E">
      <w:pPr>
        <w:pStyle w:val="NormalBold"/>
      </w:pPr>
      <w:r>
        <w:rPr>
          <w:rStyle w:val="HideTWBExt"/>
        </w:rPr>
        <w:t>&lt;RepeatBlock-By&gt;&lt;Members&gt;</w:t>
      </w:r>
      <w:r>
        <w:t>Adam Jarubas, Janusz Lewandowski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Niniejsze rozporządzenie ma na celu ułatwianie i wspieranie wdrażania sieci o bardzo dużej przepustowości przez promowanie wspólnego korzystania z istniejącej infrastruktury technicznej i umożliwianie bardziej efektywnego wdrażania nowej infrastruktury technicznej, tak aby takie sieci mogły być wdrażane szybciej i po niższych kosztach.</w:t>
            </w:r>
          </w:p>
        </w:tc>
        <w:tc>
          <w:tcPr>
            <w:tcW w:w="4876" w:type="dxa"/>
          </w:tcPr>
          <w:p w:rsidR="00C77B3E" w:rsidRPr="00DC0657" w:rsidRDefault="00C77B3E" w:rsidP="009D4E99">
            <w:pPr>
              <w:pStyle w:val="Normal6a"/>
            </w:pPr>
            <w:r>
              <w:t>1.</w:t>
            </w:r>
            <w:r>
              <w:tab/>
              <w:t>Niniejsze rozporządzenie ma na celu ułatwianie i wspieranie wdrażania sieci o bardzo dużej przepustowości</w:t>
            </w:r>
            <w:r>
              <w:rPr>
                <w:b/>
                <w:i/>
              </w:rPr>
              <w:t>, w tym sieci ruchomych,</w:t>
            </w:r>
            <w:r>
              <w:t xml:space="preserve"> przez promowanie wspólnego korzystania z istniejącej infrastruktury technicznej i umożliwianie bardziej efektywnego wdrażania nowej infrastruktury technicznej, tak aby takie sieci mogły być wdrażane szybciej i po niższych kosztach.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172</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Seán Kelly, Henna Virkkunen,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Jeżeli którykolwiek przepis niniejszego rozporządzenia jest sprzeczny z którymkolwiek przepisem dyrektywy (UE) 2018/1972</w:t>
            </w:r>
            <w:r>
              <w:rPr>
                <w:b/>
                <w:i/>
              </w:rPr>
              <w:t xml:space="preserve"> lub</w:t>
            </w:r>
            <w:r>
              <w:t xml:space="preserve"> dyrektywy 2002/77/WE, pierwszeństwo mają odpowiednie przepisy tych </w:t>
            </w:r>
            <w:r>
              <w:rPr>
                <w:b/>
                <w:i/>
              </w:rPr>
              <w:t>dyrektyw</w:t>
            </w:r>
            <w:r>
              <w:t>.</w:t>
            </w:r>
          </w:p>
        </w:tc>
        <w:tc>
          <w:tcPr>
            <w:tcW w:w="4876" w:type="dxa"/>
          </w:tcPr>
          <w:p w:rsidR="00C77B3E" w:rsidRPr="00DC0657" w:rsidRDefault="00C77B3E" w:rsidP="009D4E99">
            <w:pPr>
              <w:pStyle w:val="Normal6a"/>
            </w:pPr>
            <w:r>
              <w:t>2.</w:t>
            </w:r>
            <w:r>
              <w:tab/>
              <w:t>Jeżeli którykolwiek przepis niniejszego rozporządzenia jest sprzeczny z którymkolwiek przepisem dyrektywy (UE) 2018/1972</w:t>
            </w:r>
            <w:r>
              <w:rPr>
                <w:b/>
                <w:i/>
              </w:rPr>
              <w:t>,</w:t>
            </w:r>
            <w:r>
              <w:t xml:space="preserve"> dyrektywy 2002/77/WE, </w:t>
            </w:r>
            <w:r>
              <w:rPr>
                <w:b/>
                <w:i/>
              </w:rPr>
              <w:t xml:space="preserve">dyrektywy (UE) 2022/2555 lub rozporządzenia (UE) XXXX/XXXX (akt dotyczący cyberodporności), </w:t>
            </w:r>
            <w:r>
              <w:t xml:space="preserve">pierwszeństwo mają odpowiednie przepisy tych </w:t>
            </w:r>
            <w:r>
              <w:rPr>
                <w:b/>
                <w:i/>
              </w:rPr>
              <w:t>aktów prawnych</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173</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 xml:space="preserve">Jeżeli </w:t>
            </w:r>
            <w:r>
              <w:rPr>
                <w:b/>
                <w:i/>
              </w:rPr>
              <w:t>którykolwiek przepis niniejszego</w:t>
            </w:r>
            <w:r>
              <w:t xml:space="preserve"> rozporządzenia </w:t>
            </w:r>
            <w:r>
              <w:rPr>
                <w:b/>
                <w:i/>
              </w:rPr>
              <w:t>jest sprzeczny</w:t>
            </w:r>
            <w:r>
              <w:t xml:space="preserve"> z którymkolwiek przepisem dyrektywy (UE) 2018/1972 lub dyrektywy 2002/77/WE, pierwszeństwo mają odpowiednie przepisy tych dyrektyw.</w:t>
            </w:r>
          </w:p>
        </w:tc>
        <w:tc>
          <w:tcPr>
            <w:tcW w:w="4876" w:type="dxa"/>
          </w:tcPr>
          <w:p w:rsidR="00C77B3E" w:rsidRPr="00DC0657" w:rsidRDefault="00C77B3E" w:rsidP="009D4E99">
            <w:pPr>
              <w:pStyle w:val="Normal6a"/>
            </w:pPr>
            <w:r>
              <w:t>2.</w:t>
            </w:r>
            <w:r>
              <w:tab/>
            </w:r>
            <w:r>
              <w:rPr>
                <w:b/>
                <w:i/>
              </w:rPr>
              <w:t xml:space="preserve">2. </w:t>
            </w:r>
            <w:r>
              <w:t xml:space="preserve">Jeżeli </w:t>
            </w:r>
            <w:r>
              <w:rPr>
                <w:b/>
                <w:i/>
              </w:rPr>
              <w:t>przy wdrażaniu</w:t>
            </w:r>
            <w:r>
              <w:t xml:space="preserve"> rozporządzenia </w:t>
            </w:r>
            <w:r>
              <w:rPr>
                <w:b/>
                <w:i/>
              </w:rPr>
              <w:t>wystąpi sprzeczność wykładni</w:t>
            </w:r>
            <w:r>
              <w:t xml:space="preserve"> z którymkolwiek przepisem dyrektywy (UE) 2018/1972 lub dyrektywy 2002/77/WE, pierwszeństwo mają odpowiednie przepisy tych dyrektyw.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174</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 xml:space="preserve">Jeżeli którykolwiek przepis niniejszego rozporządzenia jest sprzeczny z którymkolwiek przepisem dyrektywy (UE) 2018/1972 lub dyrektywy 2002/77/WE, pierwszeństwo mają </w:t>
            </w:r>
            <w:r>
              <w:rPr>
                <w:b/>
                <w:i/>
              </w:rPr>
              <w:t xml:space="preserve">odpowiednie </w:t>
            </w:r>
            <w:r>
              <w:t xml:space="preserve">przepisy </w:t>
            </w:r>
            <w:r>
              <w:rPr>
                <w:b/>
                <w:i/>
              </w:rPr>
              <w:t>tych</w:t>
            </w:r>
            <w:r>
              <w:t xml:space="preserve"> dyrektyw.</w:t>
            </w:r>
          </w:p>
        </w:tc>
        <w:tc>
          <w:tcPr>
            <w:tcW w:w="4876" w:type="dxa"/>
          </w:tcPr>
          <w:p w:rsidR="00C77B3E" w:rsidRPr="00DC0657" w:rsidRDefault="00C77B3E" w:rsidP="009D4E99">
            <w:pPr>
              <w:pStyle w:val="Normal6a"/>
            </w:pPr>
            <w:r>
              <w:t>2.</w:t>
            </w:r>
            <w:r>
              <w:tab/>
              <w:t xml:space="preserve">Jeżeli którykolwiek przepis niniejszego rozporządzenia jest sprzeczny z którymkolwiek </w:t>
            </w:r>
            <w:r>
              <w:rPr>
                <w:b/>
                <w:i/>
              </w:rPr>
              <w:t xml:space="preserve">odpowiednim bardziej szczegółowym lub rygorystycznym </w:t>
            </w:r>
            <w:r>
              <w:t xml:space="preserve">przepisem dyrektywy (UE) 2018/1972 lub dyrektywy 2002/77/WE, pierwszeństwo mają przepisy </w:t>
            </w:r>
            <w:r>
              <w:rPr>
                <w:b/>
                <w:i/>
              </w:rPr>
              <w:t>drugiej z wymienionych</w:t>
            </w:r>
            <w:r>
              <w:t xml:space="preserve"> dyrektyw.</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175</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w:t>
            </w:r>
            <w:r>
              <w:tab/>
              <w:t>Państwa członkowskie mogą utrzymywać lub wprowadzać środki zgodne z przepisami Unii, które to środki obejmują bardziej szczegółowe przepisy niż te ustanowione w niniejszym rozporządzeniu, w przypadku gdy środki te służą promowaniu wspólnego korzystania z istniejącej infrastruktury technicznej lub umożliwiają bardziej efektywne wdrażanie nowej infrastruktury technicznej.</w:t>
            </w:r>
          </w:p>
        </w:tc>
        <w:tc>
          <w:tcPr>
            <w:tcW w:w="4876" w:type="dxa"/>
          </w:tcPr>
          <w:p w:rsidR="00C77B3E" w:rsidRPr="00DC0657" w:rsidRDefault="00C77B3E" w:rsidP="009D4E99">
            <w:pPr>
              <w:pStyle w:val="Normal6a"/>
            </w:pPr>
            <w:r>
              <w:t>3.</w:t>
            </w:r>
            <w:r>
              <w:tab/>
              <w:t xml:space="preserve">Państwa członkowskie mogą utrzymywać lub wprowadzać środki zgodne z przepisami Unii, które to środki obejmują bardziej szczegółowe </w:t>
            </w:r>
            <w:r>
              <w:rPr>
                <w:b/>
                <w:i/>
              </w:rPr>
              <w:t xml:space="preserve">lub rygorystyczne </w:t>
            </w:r>
            <w:r>
              <w:t>przepisy niż te ustanowione w niniejszym rozporządzeniu</w:t>
            </w:r>
            <w:r>
              <w:rPr>
                <w:b/>
                <w:i/>
              </w:rPr>
              <w:t>, takie jak ceny oparte na kosztach, zwolnienia z wymogu uzyskania zezwolenia lub inne środki prawne wynikające z prawa krajowego</w:t>
            </w:r>
            <w:r>
              <w:t>, w przypadku gdy środki te służą promowaniu wspólnego korzystania z istniejącej infrastruktury technicznej lub umożliwiają bardziej efektywne wdrażanie nowej infrastruktury technicznej.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176</w:t>
      </w:r>
      <w:r>
        <w:rPr>
          <w:rStyle w:val="HideTWBExt"/>
        </w:rPr>
        <w:t>&lt;/NumAm&gt;</w:t>
      </w:r>
    </w:p>
    <w:p w:rsidR="00C77B3E" w:rsidRPr="00DC0657" w:rsidRDefault="00C77B3E" w:rsidP="00C77B3E">
      <w:pPr>
        <w:pStyle w:val="NormalBold"/>
      </w:pPr>
      <w:r>
        <w:rPr>
          <w:rStyle w:val="HideTWBExt"/>
        </w:rPr>
        <w:t>&lt;RepeatBlock-By&gt;&lt;Members&gt;</w:t>
      </w:r>
      <w:r>
        <w:t>Adam Jarubas, Janusz Lewandowski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w:t>
            </w:r>
            <w:r>
              <w:tab/>
              <w:t xml:space="preserve">Państwa członkowskie mogą utrzymywać lub wprowadzać środki </w:t>
            </w:r>
            <w:r>
              <w:rPr>
                <w:b/>
                <w:i/>
              </w:rPr>
              <w:t>zgodne</w:t>
            </w:r>
            <w:r>
              <w:t xml:space="preserve"> z przepisami Unii, które to środki </w:t>
            </w:r>
            <w:r>
              <w:rPr>
                <w:b/>
                <w:i/>
              </w:rPr>
              <w:t>obejmują bardziej szczegółowe przepisy niż te ustanowione</w:t>
            </w:r>
            <w:r>
              <w:t xml:space="preserve"> w</w:t>
            </w:r>
            <w:r>
              <w:rPr>
                <w:b/>
                <w:i/>
              </w:rPr>
              <w:t> </w:t>
            </w:r>
            <w:r>
              <w:t xml:space="preserve">niniejszym rozporządzeniu, </w:t>
            </w:r>
            <w:r>
              <w:rPr>
                <w:b/>
                <w:i/>
              </w:rPr>
              <w:t>w przypadku gdy środki te służą promowaniu wspólnego korzystania</w:t>
            </w:r>
            <w:r>
              <w:t xml:space="preserve"> z istniejącej infrastruktury technicznej lub</w:t>
            </w:r>
            <w:r>
              <w:rPr>
                <w:b/>
                <w:i/>
              </w:rPr>
              <w:t xml:space="preserve"> umożliwiają</w:t>
            </w:r>
            <w:r>
              <w:t xml:space="preserve"> bardziej efektywne wdrażanie nowej infrastruktury technicznej.</w:t>
            </w:r>
          </w:p>
        </w:tc>
        <w:tc>
          <w:tcPr>
            <w:tcW w:w="4876" w:type="dxa"/>
          </w:tcPr>
          <w:p w:rsidR="00C77B3E" w:rsidRPr="00DC0657" w:rsidRDefault="00C77B3E" w:rsidP="009D4E99">
            <w:pPr>
              <w:pStyle w:val="Normal6a"/>
            </w:pPr>
            <w:r>
              <w:t>3.</w:t>
            </w:r>
            <w:r>
              <w:tab/>
              <w:t xml:space="preserve">Państwa członkowskie mogą utrzymywać lub wprowadzać środki </w:t>
            </w:r>
            <w:r>
              <w:rPr>
                <w:b/>
                <w:i/>
              </w:rPr>
              <w:t>zgodnie</w:t>
            </w:r>
            <w:r>
              <w:t xml:space="preserve"> z przepisami Unii, które to środki </w:t>
            </w:r>
            <w:r>
              <w:rPr>
                <w:b/>
                <w:i/>
              </w:rPr>
              <w:t>zapewniają rozwiązania umożliwiające lepszą realizację celów określonych</w:t>
            </w:r>
            <w:r>
              <w:t xml:space="preserve"> w</w:t>
            </w:r>
            <w:r>
              <w:rPr>
                <w:b/>
                <w:i/>
              </w:rPr>
              <w:t xml:space="preserve"> </w:t>
            </w:r>
            <w:r>
              <w:t xml:space="preserve">niniejszym rozporządzeniu, </w:t>
            </w:r>
            <w:r>
              <w:rPr>
                <w:b/>
                <w:i/>
              </w:rPr>
              <w:t>przy czym priorytetowo traktuje się odpowiednie przepisy umożliwiające lepszą realizację celów tego rozporządzenia, szczególnie wspólne korzystanie</w:t>
            </w:r>
            <w:r>
              <w:t xml:space="preserve"> z istniejącej infrastruktury technicznej lub bardziej efektywne wdrażanie nowej infrastruktury technicznej.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177</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w:t>
            </w:r>
            <w:r>
              <w:tab/>
              <w:t xml:space="preserve">Państwa członkowskie mogą utrzymywać lub wprowadzać środki zgodne z przepisami Unii, które to środki </w:t>
            </w:r>
            <w:r>
              <w:rPr>
                <w:b/>
                <w:i/>
              </w:rPr>
              <w:t>obejmują bardziej szczegółowe przepisy niż te</w:t>
            </w:r>
            <w:r>
              <w:t xml:space="preserve"> ustanowione w niniejszym rozporządzeniu, w przypadku gdy środki te służą promowaniu wspólnego korzystania z istniejącej infrastruktury technicznej lub umożliwiają bardziej efektywne wdrażanie nowej infrastruktury technicznej.</w:t>
            </w:r>
          </w:p>
        </w:tc>
        <w:tc>
          <w:tcPr>
            <w:tcW w:w="4876" w:type="dxa"/>
          </w:tcPr>
          <w:p w:rsidR="00C77B3E" w:rsidRPr="00DC0657" w:rsidRDefault="00C77B3E" w:rsidP="009D4E99">
            <w:pPr>
              <w:pStyle w:val="Normal6a"/>
            </w:pPr>
            <w:r>
              <w:t>3.</w:t>
            </w:r>
            <w:r>
              <w:tab/>
              <w:t xml:space="preserve">Państwa członkowskie mogą utrzymywać lub wprowadzać środki zgodne z przepisami Unii, które to środki </w:t>
            </w:r>
            <w:r>
              <w:rPr>
                <w:b/>
                <w:i/>
              </w:rPr>
              <w:t>uzupełniają lub wykraczają poza prawa i obowiązki</w:t>
            </w:r>
            <w:r>
              <w:t xml:space="preserve"> ustanowione w niniejszym rozporządzeniu, w przypadku gdy środki te służą promowaniu wspólnego korzystania z istniejącej infrastruktury technicznej lub umożliwiają bardziej efektywne wdrażanie nowej infrastruktury technicznej.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178</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w:t>
            </w:r>
            <w:r>
              <w:tab/>
              <w:t>W drodze wyjątku od ust. 3 państwa członkowskie nie utrzymują ani nie wprowadzają do prawa krajowego przepisów odbiegających od przepisów określonych w art. 3 ust. 3 i 6, art. 4 ust. 4, art. 5 ust. 2 i 4, art. 6 ust. 2 oraz art. 8 ust. 7 i 8.</w:t>
            </w:r>
          </w:p>
        </w:tc>
        <w:tc>
          <w:tcPr>
            <w:tcW w:w="4876" w:type="dxa"/>
          </w:tcPr>
          <w:p w:rsidR="00C77B3E" w:rsidRPr="00DC0657" w:rsidRDefault="00C77B3E" w:rsidP="009D4E99">
            <w:pPr>
              <w:pStyle w:val="Normal6a"/>
            </w:pPr>
            <w:r>
              <w:t>4.</w:t>
            </w:r>
            <w:r>
              <w:tab/>
              <w:t xml:space="preserve">W drodze wyjątku od ust. 3 państwa członkowskie nie utrzymują ani nie wprowadzają do prawa krajowego przepisów odbiegających od przepisów określonych w art. 3 ust. 3 i 6, art. 4 ust. 4, art. 5 ust. 2 i 4, art. 6 ust. 2 oraz art. 8 ust. 7 i 8. </w:t>
            </w:r>
            <w:r>
              <w:rPr>
                <w:b/>
                <w:i/>
              </w:rPr>
              <w:t>Wyłączenie art. 5 ust. 2 nie uniemożliwia państwom członkowskim rozszerzenia przepisów dotyczących koordynacji robót budowlanych również na roboty budowlane finansowane ze środków prywatnych.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179</w:t>
      </w:r>
      <w:r>
        <w:rPr>
          <w:rStyle w:val="HideTWBExt"/>
        </w:rPr>
        <w:t>&lt;/NumAm&gt;</w:t>
      </w:r>
    </w:p>
    <w:p w:rsidR="00C77B3E" w:rsidRPr="00DC0657" w:rsidRDefault="00C77B3E" w:rsidP="00C77B3E">
      <w:pPr>
        <w:pStyle w:val="NormalBold"/>
      </w:pPr>
      <w:r>
        <w:rPr>
          <w:rStyle w:val="HideTWBExt"/>
        </w:rPr>
        <w:t>&lt;RepeatBlock-By&gt;&lt;Members&gt;</w:t>
      </w:r>
      <w:r>
        <w:t>Johan Nissinen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ustęp 4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4a.</w:t>
            </w:r>
            <w:r>
              <w:tab/>
            </w:r>
            <w:r>
              <w:rPr>
                <w:b/>
                <w:i/>
              </w:rPr>
              <w:t>W niniejszym rozporządzeniu wyraźnie i w pełni respektowane są suwerenne prawa państw członkowskich w zakresie bezpieczeństwa narodowego.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180</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Do celów niniejszego rozporządzenia stosuje się definicje zawarte w dyrektywie (UE) 2018/1972</w:t>
            </w:r>
            <w:r>
              <w:rPr>
                <w:b/>
                <w:i/>
              </w:rPr>
              <w:t>.</w:t>
            </w:r>
          </w:p>
        </w:tc>
        <w:tc>
          <w:tcPr>
            <w:tcW w:w="4876" w:type="dxa"/>
          </w:tcPr>
          <w:p w:rsidR="00C77B3E" w:rsidRPr="00DC0657" w:rsidRDefault="00C77B3E" w:rsidP="009D4E99">
            <w:pPr>
              <w:pStyle w:val="Normal6a"/>
            </w:pPr>
            <w:r>
              <w:t>Do celów niniejszego rozporządzenia stosuje się definicje zawarte w dyrektywie (UE) 2018/1972</w:t>
            </w:r>
            <w:r>
              <w:rPr>
                <w:b/>
                <w:i/>
              </w:rPr>
              <w:t>, w szczególności:</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1a) „sieci o bardzo dużej przepustowości” oznaczają sieci stacjonarne lub bezprzewodowe zdefiniowane w art. 2 pkt 2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Ze względu na pewność prawa w rozporządzeniu należy określić, że zakresem rozporządzenia są objęte zarówno stacjonarne, jak i bezprzewodowe sieci o bardzo dużej przepustowości, i podać odniesienie do definicji sieci o bardzo dużej przepustowości.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181</w:t>
      </w:r>
      <w:r>
        <w:rPr>
          <w:rStyle w:val="HideTWBExt"/>
        </w:rPr>
        <w:t>&lt;/NumAm&gt;</w:t>
      </w:r>
    </w:p>
    <w:p w:rsidR="00C77B3E" w:rsidRPr="00DC0657" w:rsidRDefault="00C77B3E" w:rsidP="00C77B3E">
      <w:pPr>
        <w:pStyle w:val="NormalBold"/>
      </w:pPr>
      <w:r>
        <w:rPr>
          <w:rStyle w:val="HideTWBExt"/>
        </w:rPr>
        <w:t>&lt;RepeatBlock-By&gt;&lt;Members&gt;</w:t>
      </w:r>
      <w:r>
        <w:t>Markus Pieper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r>
            <w:r>
              <w:rPr>
                <w:b/>
                <w:i/>
              </w:rPr>
              <w:t>operatora zdefiniowanego w art. 2 pkt 29 dyrektywy (UE) 2018/1972</w:t>
            </w:r>
            <w:r>
              <w:t>;</w:t>
            </w:r>
          </w:p>
        </w:tc>
        <w:tc>
          <w:tcPr>
            <w:tcW w:w="4876" w:type="dxa"/>
          </w:tcPr>
          <w:p w:rsidR="00C77B3E" w:rsidRPr="00DC0657" w:rsidRDefault="00C77B3E" w:rsidP="009D4E99">
            <w:pPr>
              <w:pStyle w:val="Normal6a"/>
            </w:pPr>
            <w:r>
              <w:t>a)</w:t>
            </w:r>
            <w:r>
              <w:tab/>
            </w:r>
            <w:r>
              <w:rPr>
                <w:b/>
                <w:i/>
              </w:rPr>
              <w:t>przedsiębiorstwo, które jest upoważnione do udostępniania publicznych sieci łączności elektronicznej lub skutecznie dostarcza takie sieci</w:t>
            </w:r>
            <w:r>
              <w:t xml:space="preserve"> ;</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Ta definicja obowiązuje w całym tekście.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182</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r>
            <w:r>
              <w:rPr>
                <w:b/>
                <w:i/>
              </w:rPr>
              <w:t>operatora zdefiniowanego w art. 2 pkt 29 dyrektywy (UE) 2018/1972</w:t>
            </w:r>
            <w:r>
              <w:t>;</w:t>
            </w:r>
          </w:p>
        </w:tc>
        <w:tc>
          <w:tcPr>
            <w:tcW w:w="4876" w:type="dxa"/>
          </w:tcPr>
          <w:p w:rsidR="00C77B3E" w:rsidRPr="00DC0657" w:rsidRDefault="00C77B3E" w:rsidP="009D4E99">
            <w:pPr>
              <w:pStyle w:val="Normal6a"/>
            </w:pPr>
            <w:r>
              <w:t>a)</w:t>
            </w:r>
            <w:r>
              <w:tab/>
            </w:r>
            <w:r>
              <w:rPr>
                <w:b/>
                <w:i/>
              </w:rPr>
              <w:t>przedsiębiorstwo udostępniające publiczne sieci łączności elektronicznej lub upoważnione do dostarczania takich sieci</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Operators merely providing associated facilities should be excluded from the obligations linked to network operators. In order to allow free competition and to incentivise wider investments they should not benefit from special provisions set out in this Regulation for regulated network operators. Excluding undertakings only providing associated facilities from the list of network operators takes account of the fact that these undertakings already have a strong incentive to share infrastructure and provide access to their facilities to as many parties as possible. Fostering competition is one of the main characteristics of this neutral host model and negative effects on network deployment and competition on downstream markets do not exist. As it is, the proposal creates a disproportionate imbalance between benefits and obligations for undertakings only providing associated facilities. Including them as network operator would risk a distortion of investment incentives and a slower roll-out of electronic communications networks in Europe, especially 5G.</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183</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Tomas Tobé, Seán Kelly, Markus Pieper, Pilar del Castillo Vera, Othmar Karas,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1 – akapit 2 – punkt 1 – litera b – podpunkt ii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(ii)</w:t>
            </w:r>
            <w:r>
              <w:tab/>
              <w:t>świadczenia usług transportowych obejmujących linie kolejowe, drogi, porty i lotniska;</w:t>
            </w:r>
          </w:p>
        </w:tc>
        <w:tc>
          <w:tcPr>
            <w:tcW w:w="4876" w:type="dxa"/>
          </w:tcPr>
          <w:p w:rsidR="00C77B3E" w:rsidRPr="00DC0657" w:rsidRDefault="00C77B3E" w:rsidP="009D4E99">
            <w:pPr>
              <w:pStyle w:val="Normal6a"/>
            </w:pPr>
            <w:r>
              <w:t>(ii)</w:t>
            </w:r>
            <w:r>
              <w:tab/>
              <w:t xml:space="preserve">świadczenia usług transportowych obejmujących linie kolejowe, drogi, </w:t>
            </w:r>
            <w:r>
              <w:rPr>
                <w:b/>
                <w:i/>
              </w:rPr>
              <w:t xml:space="preserve">tunele, </w:t>
            </w:r>
            <w:r>
              <w:t>porty i lotniska;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184</w:t>
      </w:r>
      <w:r>
        <w:rPr>
          <w:rStyle w:val="HideTWBExt"/>
        </w:rPr>
        <w:t>&lt;/NumAm&gt;</w:t>
      </w:r>
    </w:p>
    <w:p w:rsidR="00C77B3E" w:rsidRPr="00DC0657" w:rsidRDefault="00C77B3E" w:rsidP="00C77B3E">
      <w:pPr>
        <w:pStyle w:val="NormalBold"/>
      </w:pPr>
      <w:r>
        <w:rPr>
          <w:rStyle w:val="HideTWBExt"/>
        </w:rPr>
        <w:t>&lt;RepeatBlock-By&gt;&lt;Members&gt;</w:t>
      </w:r>
      <w:r>
        <w:t>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 – litera b – podpunkt ii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(iia)</w:t>
            </w:r>
            <w:r>
              <w:tab/>
            </w:r>
            <w:r>
              <w:rPr>
                <w:b/>
                <w:i/>
              </w:rPr>
              <w:t>świadczenia innych usług dotyczących infrastruktury technicznej związanych z sieciami łączności elektronicznej.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Motyw 15 stanowi, że ze względu na przedsiębiorstwa stawiające maszty antenowe i ich coraz istotniejszą rolę jako dostawców dostępu do infrastruktury technicznej definicję „operatora sieci” należy rozszerzyć poza przedsiębiorstwa udostępniające sieci łączności elektronicznej lub upoważnione do ich dostarczania oraz operatorów innych rodzajów sieci. Wiele przedsiębiorstw telekomunikacyjnych zbyło pewną ruchomą infrastrukturę techniczną na rzecz takich przedsiębiorstw stawiających maszty antenowe. Przedsiębiorstwa te powinny być objęte zakresem niniejszego rozporządzenia, aby uniknąć problemów napotykanych np. na rynkach energii elektrycznej, takich jak zawyżone ceny.</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185</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 – litera b – podpunkt ii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(iia)</w:t>
            </w:r>
            <w:r>
              <w:tab/>
            </w:r>
            <w:r>
              <w:rPr>
                <w:b/>
                <w:i/>
              </w:rPr>
              <w:t>(iii) świadczenia innych usług dotyczących infrastruktury technicznej związanych z sieciami łączności elektronicznej.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Co do definicji „operatora sieci”: wiele przedsiębiorstw telekomunikacyjnych zbyło pewną ruchomą infrastrukturę techniczną na rzecz przedsiębiorstw stawiających maszty antenowe. Przedsiębiorstwa te powinny być objęte niniejszym rozporządzeniem, aby uniknąć problemów napotykanych na rynkach energii elektrycznej, takich jak zawyżone ceny.</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186</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1a)</w:t>
            </w:r>
            <w:r>
              <w:tab/>
            </w:r>
            <w:r>
              <w:rPr>
                <w:b/>
                <w:i/>
              </w:rPr>
              <w:t>„sieci o bardzo dużej przepustowości” oznaczają sieci stacjonarne lub bezprzewodowe zdefiniowane w art. 2 pkt 2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187</w:t>
      </w:r>
      <w:r>
        <w:rPr>
          <w:rStyle w:val="HideTWBExt"/>
        </w:rPr>
        <w:t>&lt;/NumAm&gt;</w:t>
      </w:r>
    </w:p>
    <w:p w:rsidR="00C77B3E" w:rsidRPr="00DC0657" w:rsidRDefault="00C77B3E" w:rsidP="00C77B3E">
      <w:pPr>
        <w:pStyle w:val="NormalBold"/>
      </w:pPr>
      <w:r>
        <w:rPr>
          <w:rStyle w:val="HideTWBExt"/>
        </w:rPr>
        <w:t>&lt;RepeatBlock-By&gt;&lt;Members&gt;</w:t>
      </w:r>
      <w:r>
        <w:t>Ivars Ijabs</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a)</w:t>
            </w:r>
            <w:r>
              <w:tab/>
              <w:t xml:space="preserve">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 oraz wszelkie inne zasoby, w tym </w:t>
            </w:r>
            <w:r>
              <w:rPr>
                <w:b/>
                <w:i/>
              </w:rPr>
              <w:t xml:space="preserve">dach lub część fasady, </w:t>
            </w:r>
            <w:r>
              <w:t>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Dachy i fasady są elementami budynków, które są najczęściej wykorzystywane do instalowania ruchomych stacji bazowych 5G na gęsto zaludnionych obszarach. Bez takiego wymogu nie będzie możliwe zapewnienie w sieci ruchomej łączy szerokopasmowych o funkcjonalności i jakości wymaganych w przyszłych środowiskach miejskich.</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188</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a)</w:t>
            </w:r>
            <w:r>
              <w:tab/>
              <w:t>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w:t>
            </w:r>
            <w:r>
              <w:rPr>
                <w:b/>
                <w:i/>
              </w:rPr>
              <w:t>, dachy</w:t>
            </w:r>
            <w:r>
              <w:t xml:space="preserve"> oraz wszelkie inne zasoby, w tym 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Należy uwzględnić dachy, w przypadku gdy infrastruktura techniczna nie jest częścią sieci i jest własnością podmiotów sektora publicznego lub jest przez nie kontrolowana. Sieć 5G będzie wymagała dalszego zagęszczenia sieci ruchomych, w związku z czym dostęp do dachów ma kluczowe znaczenie dla instalacji infrastruktury niezbędnej dla najnowocześniejszej łączności bezprzewodowej.</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189</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a)</w:t>
            </w:r>
            <w:r>
              <w:tab/>
              <w:t>dowolny element sieci, który może służyć do umieszczenia w nim innych elementów sieci, przy czym sam nie staje się aktywnym elementem tej sieci, taki jak rurociągi, kanalizacja, maszty, kanały, komory kontrolne, studzienki kanalizacyjne, szafki, instalacje antenowe, wieże i słupy, a także budynki lub wejścia do budynków</w:t>
            </w:r>
            <w:r>
              <w:rPr>
                <w:b/>
                <w:i/>
              </w:rPr>
              <w:t>, dachy</w:t>
            </w:r>
            <w:r>
              <w:t xml:space="preserve"> oraz wszelkie inne zasoby, w tym 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190</w:t>
      </w:r>
      <w:r>
        <w:rPr>
          <w:rStyle w:val="HideTWBExt"/>
        </w:rPr>
        <w:t>&lt;/NumAm&gt;</w:t>
      </w:r>
    </w:p>
    <w:p w:rsidR="00C77B3E" w:rsidRPr="00DC0657" w:rsidRDefault="00C77B3E" w:rsidP="00C77B3E">
      <w:pPr>
        <w:pStyle w:val="NormalBold"/>
      </w:pPr>
      <w:r>
        <w:rPr>
          <w:rStyle w:val="HideTWBExt"/>
        </w:rPr>
        <w:t>&lt;RepeatBlock-By&gt;&lt;Members&gt;</w:t>
      </w:r>
      <w:r>
        <w:t>Dace Melbārde</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w:t>
            </w:r>
            <w:r>
              <w:rPr>
                <w:b/>
                <w:i/>
              </w:rPr>
              <w:t>, w tym dachy i ściany,</w:t>
            </w:r>
            <w:r>
              <w:t xml:space="preserve"> lub wejścia do budynków oraz wszelkie inne zasoby, w tym 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Rozbudowa sieci ruchomych w miastach zależy w dużym stopniu od wykorzystania dachów i ścian budynków.</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191</w:t>
      </w:r>
      <w:r>
        <w:rPr>
          <w:rStyle w:val="HideTWBExt"/>
        </w:rPr>
        <w:t>&lt;/NumAm&gt;</w:t>
      </w:r>
    </w:p>
    <w:p w:rsidR="00C77B3E" w:rsidRPr="00DC0657" w:rsidRDefault="00C77B3E" w:rsidP="00C77B3E">
      <w:pPr>
        <w:pStyle w:val="NormalBold"/>
      </w:pPr>
      <w:r>
        <w:rPr>
          <w:rStyle w:val="HideTWBExt"/>
        </w:rPr>
        <w:t>&lt;RepeatBlock-By&gt;&lt;Members&gt;</w:t>
      </w:r>
      <w:r>
        <w:t>Andris Ameriks</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 lub wejścia do budynków</w:t>
            </w:r>
            <w:r>
              <w:rPr>
                <w:b/>
                <w:i/>
              </w:rPr>
              <w:t>, łącznie z dachami, części fasady,</w:t>
            </w:r>
            <w:r>
              <w:t xml:space="preserve"> oraz wszelkie inne zasoby, w tym 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192</w:t>
      </w:r>
      <w:r>
        <w:rPr>
          <w:rStyle w:val="HideTWBExt"/>
        </w:rPr>
        <w:t>&lt;/NumAm&gt;</w:t>
      </w:r>
    </w:p>
    <w:p w:rsidR="00C77B3E" w:rsidRPr="00DC0657" w:rsidRDefault="00C77B3E" w:rsidP="00C77B3E">
      <w:pPr>
        <w:pStyle w:val="NormalBold"/>
      </w:pPr>
      <w:r>
        <w:rPr>
          <w:rStyle w:val="HideTWBExt"/>
        </w:rPr>
        <w:t>&lt;RepeatBlock-By&gt;&lt;Members&gt;</w:t>
      </w:r>
      <w:r>
        <w:t>Ivars Ijabs</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 lub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b)</w:t>
            </w:r>
            <w:r>
              <w:tab/>
              <w:t xml:space="preserve">w przypadku gdy infrastruktura techniczna nie jest częścią sieci i jest własnością podmiotów sektora publicznego lub jest przez nie kontrolowana: budynki lub wejścia do budynków oraz wszelkie inne zasoby, w tym </w:t>
            </w:r>
            <w:r>
              <w:rPr>
                <w:b/>
                <w:i/>
              </w:rPr>
              <w:t xml:space="preserve">dach lub część fasady, </w:t>
            </w:r>
            <w:r>
              <w:t>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Dachy i fasady są elementami budynków, które są najczęściej wykorzystywane do instalowania ruchomych stacji bazowych 5G na gęsto zaludnionych obszarach. Bez takiego wymogu nie będzie możliwe zapewnienie w sieci ruchomej łączy szerokopasmowych o funkcjonalności i jakości wymaganych w przyszłych środowiskach miejskich.</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193</w:t>
      </w:r>
      <w:r>
        <w:rPr>
          <w:rStyle w:val="HideTWBExt"/>
        </w:rPr>
        <w:t>&lt;/NumAm&gt;</w:t>
      </w:r>
    </w:p>
    <w:p w:rsidR="00C77B3E" w:rsidRPr="00DC0657" w:rsidRDefault="00C77B3E" w:rsidP="00C77B3E">
      <w:pPr>
        <w:pStyle w:val="NormalBold"/>
      </w:pPr>
      <w:r>
        <w:rPr>
          <w:rStyle w:val="HideTWBExt"/>
        </w:rPr>
        <w:t>&lt;RepeatBlock-By&gt;&lt;Members&gt;</w:t>
      </w:r>
      <w:r>
        <w:t>Beatrice Covassi, Carlos Zorrinho, Matthias Ecke, Josianne Cutajar,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 akapit 1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w:t>
            </w:r>
            <w:r>
              <w:rPr>
                <w:b/>
                <w:i/>
              </w:rPr>
              <w:t xml:space="preserve"> lub</w:t>
            </w:r>
            <w:r>
              <w:t xml:space="preserve"> wejścia do budynków oraz wszelkie inne zasoby, w tym elementy infrastruktury ulicznej, takie jak latarnie, znaki uliczne, sygnalizację świetlną, billboardy, przystanki autobusowe i tramwajowe oraz stacje metra.</w:t>
            </w:r>
          </w:p>
        </w:tc>
        <w:tc>
          <w:tcPr>
            <w:tcW w:w="4876" w:type="dxa"/>
          </w:tcPr>
          <w:p w:rsidR="00C77B3E" w:rsidRPr="00DC0657" w:rsidRDefault="00C77B3E" w:rsidP="009D4E99">
            <w:pPr>
              <w:pStyle w:val="Normal6a"/>
            </w:pPr>
            <w:r>
              <w:t>b)</w:t>
            </w:r>
            <w:r>
              <w:tab/>
              <w:t>w przypadku gdy infrastruktura techniczna nie jest częścią sieci i jest własnością podmiotów sektora publicznego lub jest przez nie kontrolowana: budynki</w:t>
            </w:r>
            <w:r>
              <w:rPr>
                <w:b/>
                <w:i/>
              </w:rPr>
              <w:t>, w tym dachy, i</w:t>
            </w:r>
            <w:r>
              <w:t xml:space="preserve"> wejścia do budynków oraz wszelkie inne zasoby, w tym elementy infrastruktury ulicznej, takie jak latarnie, znaki uliczne, sygnalizację świetlną, billboardy, przystanki autobusowe i tramwajowe oraz stacje metra.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844152" w:rsidRDefault="00C77B3E" w:rsidP="00C77B3E">
      <w:pPr>
        <w:pStyle w:val="AmNumberTabs"/>
        <w:rPr>
          <w:lang w:val="en-GB"/>
        </w:rPr>
      </w:pPr>
      <w:r w:rsidRPr="00844152">
        <w:rPr>
          <w:rStyle w:val="HideTWBExt"/>
          <w:lang w:val="en-GB"/>
        </w:rPr>
        <w:t>&lt;Amend&gt;</w:t>
      </w:r>
      <w:r w:rsidRPr="00844152">
        <w:rPr>
          <w:lang w:val="en-GB"/>
        </w:rPr>
        <w:t>Poprawka</w:t>
      </w:r>
      <w:r w:rsidRPr="00844152">
        <w:rPr>
          <w:lang w:val="en-GB"/>
        </w:rPr>
        <w:tab/>
      </w:r>
      <w:r w:rsidRPr="00844152">
        <w:rPr>
          <w:lang w:val="en-GB"/>
        </w:rPr>
        <w:tab/>
      </w:r>
      <w:r w:rsidRPr="00844152">
        <w:rPr>
          <w:rStyle w:val="HideTWBExt"/>
          <w:lang w:val="en-GB"/>
        </w:rPr>
        <w:t>&lt;NumAm&gt;</w:t>
      </w:r>
      <w:r w:rsidRPr="00844152">
        <w:rPr>
          <w:lang w:val="en-GB"/>
        </w:rPr>
        <w:t>194</w:t>
      </w:r>
      <w:r w:rsidRPr="00844152">
        <w:rPr>
          <w:rStyle w:val="HideTWBExt"/>
          <w:lang w:val="en-GB"/>
        </w:rPr>
        <w:t>&lt;/NumAm&gt;</w:t>
      </w:r>
    </w:p>
    <w:p w:rsidR="00C77B3E" w:rsidRPr="00844152" w:rsidRDefault="00C77B3E" w:rsidP="00C77B3E">
      <w:pPr>
        <w:pStyle w:val="NormalBold"/>
        <w:rPr>
          <w:lang w:val="en-GB"/>
        </w:rPr>
      </w:pPr>
      <w:r w:rsidRPr="00844152">
        <w:rPr>
          <w:rStyle w:val="HideTWBExt"/>
          <w:lang w:val="en-GB"/>
        </w:rPr>
        <w:t>&lt;RepeatBlock-By&gt;&lt;Members&gt;</w:t>
      </w:r>
      <w:r w:rsidRPr="00844152">
        <w:rPr>
          <w:lang w:val="en-GB"/>
        </w:rPr>
        <w:t>Matthias Ecke</w:t>
      </w:r>
      <w:r w:rsidRPr="00844152">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2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2a.</w:t>
            </w:r>
            <w:r>
              <w:tab/>
            </w:r>
            <w:r>
              <w:rPr>
                <w:b/>
                <w:i/>
              </w:rPr>
              <w:t>„realna alternatywa” oznacza wszelką infrastrukturę dostępną bezpośrednio lub w rozsądnym terminie, która nadaje się do utworzenia sieci o bardzo dużej przepustowości na potrzeby łączności elektronicznej i do której operator sieci oferuje dostęp na sprawiedliwych i rozsądnych warunkach; ze względu na cel użytkowania realnymi alternatywami mogą być w szczególności: a) infrastruktura techniczna, b) światłowód ciemny oraz c) dostęp do strumienia bitów;</w:t>
            </w:r>
          </w:p>
        </w:tc>
      </w:tr>
    </w:tbl>
    <w:p w:rsidR="00C77B3E" w:rsidRPr="00844152" w:rsidRDefault="00C77B3E" w:rsidP="00C77B3E">
      <w:pPr>
        <w:pStyle w:val="AmOrLang"/>
        <w:rPr>
          <w:lang w:val="en-GB"/>
        </w:rPr>
      </w:pPr>
      <w:r w:rsidRPr="00844152">
        <w:rPr>
          <w:lang w:val="en-GB"/>
        </w:rPr>
        <w:t xml:space="preserve">Or. </w:t>
      </w:r>
      <w:r w:rsidRPr="00844152">
        <w:rPr>
          <w:rStyle w:val="HideTWBExt"/>
          <w:lang w:val="en-GB"/>
        </w:rPr>
        <w:t>&lt;Original&gt;</w:t>
      </w:r>
      <w:r w:rsidRPr="00844152">
        <w:rPr>
          <w:rStyle w:val="HideTWBInt"/>
          <w:lang w:val="en-GB"/>
        </w:rPr>
        <w:t>{DE}</w:t>
      </w:r>
      <w:r w:rsidRPr="00844152">
        <w:rPr>
          <w:lang w:val="en-GB"/>
        </w:rPr>
        <w:t>de</w:t>
      </w:r>
      <w:r w:rsidRPr="00844152">
        <w:rPr>
          <w:rStyle w:val="HideTWBExt"/>
          <w:lang w:val="en-GB"/>
        </w:rPr>
        <w:t>&lt;/Original&gt;</w:t>
      </w:r>
    </w:p>
    <w:p w:rsidR="00C77B3E" w:rsidRPr="00844152" w:rsidRDefault="00C77B3E" w:rsidP="00C77B3E">
      <w:pPr>
        <w:rPr>
          <w:lang w:val="en-GB"/>
        </w:rPr>
      </w:pPr>
      <w:r w:rsidRPr="00844152">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195</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(3)</w:t>
            </w:r>
            <w:r>
              <w:tab/>
              <w:t xml:space="preserve">„roboty budowlane” oznaczają każdy całościowy wynik robót budowlanych lub inżynieryjno-budowlanych, </w:t>
            </w:r>
            <w:r>
              <w:rPr>
                <w:b/>
                <w:i/>
              </w:rPr>
              <w:t>który samodzielnie wystarcza do spełnienia funkcji ekonomicznej lub technicznej i obejmuje co najmniej jeden element infrastruktury technicznej</w:t>
            </w:r>
            <w:r>
              <w:t>;</w:t>
            </w:r>
          </w:p>
        </w:tc>
        <w:tc>
          <w:tcPr>
            <w:tcW w:w="4876" w:type="dxa"/>
          </w:tcPr>
          <w:p w:rsidR="00C77B3E" w:rsidRPr="00DC0657" w:rsidRDefault="00C77B3E" w:rsidP="009D4E99">
            <w:pPr>
              <w:pStyle w:val="Normal6a"/>
            </w:pPr>
            <w:r>
              <w:t>(3)</w:t>
            </w:r>
            <w:r>
              <w:tab/>
              <w:t xml:space="preserve">„roboty budowlane” oznaczają każdy całościowy wynik robót budowlanych lub inżynieryjno-budowlanych, </w:t>
            </w:r>
            <w:r>
              <w:rPr>
                <w:b/>
                <w:i/>
              </w:rPr>
              <w:t>łącznie z konstrukcją, a także roboty polegające na przebudowie, instalacji, renowacji lub rozbiórce konstrukcji budynku</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196</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w:t>
            </w:r>
            <w:r>
              <w:tab/>
              <w:t>„podmiot sektora publicznego” oznacza organ państwowy, regionalny lub lokalny, podmiot prawa publicznego lub stowarzyszenie utworzone przez co najmniej jeden taki organ lub co najmniej jeden taki podmiot prawa publicznego;</w:t>
            </w:r>
          </w:p>
        </w:tc>
        <w:tc>
          <w:tcPr>
            <w:tcW w:w="4876" w:type="dxa"/>
          </w:tcPr>
          <w:p w:rsidR="00C77B3E" w:rsidRPr="00DC0657" w:rsidRDefault="00C77B3E" w:rsidP="009D4E99">
            <w:pPr>
              <w:pStyle w:val="Normal6a"/>
            </w:pPr>
            <w:r>
              <w:t>(4)</w:t>
            </w:r>
            <w:r>
              <w:tab/>
              <w:t>„podmiot sektora publicznego” oznacza organ państwowy, regionalny lub lokalny, podmiot prawa publicznego lub stowarzyszenie utworzone przez co najmniej jeden taki organ lub co najmniej jeden taki podmiot prawa publicznego</w:t>
            </w:r>
            <w:r>
              <w:rPr>
                <w:b/>
                <w:i/>
              </w:rPr>
              <w:t xml:space="preserve"> lub dowolną jednostkę, której powierzono wyłącznie wykonywanie zadań w ich imieniu, co obejmuje kontrolowanie infrastruktury technicznej lub zarządzanie nią bezpośrednio lub w drodze przekazania uprawnień</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197</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5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posiada osobowość prawną;</w:t>
            </w:r>
          </w:p>
        </w:tc>
        <w:tc>
          <w:tcPr>
            <w:tcW w:w="4876" w:type="dxa"/>
          </w:tcPr>
          <w:p w:rsidR="00C77B3E" w:rsidRPr="00DC0657" w:rsidRDefault="00C77B3E" w:rsidP="009D4E99">
            <w:pPr>
              <w:pStyle w:val="Normal6a"/>
            </w:pPr>
            <w:r>
              <w:t>b)</w:t>
            </w:r>
            <w:r>
              <w:tab/>
              <w:t>posiada osobowość prawną</w:t>
            </w:r>
            <w:r>
              <w:rPr>
                <w:b/>
                <w:i/>
              </w:rPr>
              <w:t xml:space="preserve"> lub zdolność do czynności prawnych zgodnie z przepisami prawa</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198</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6)</w:t>
            </w:r>
            <w:r>
              <w:tab/>
              <w:t>„wewnątrzbudynkowa infrastruktura techniczna” oznacza infrastrukturę techniczną lub instalacje w obiekcie użytkownika końcowego, w tym elementy będące współwłasnością, przeznaczoną do umieszczenia w niej przewodowych lub bezprzewodowych sieci telekomunikacyjnych, które umożliwiają dostarczanie usług łączności elektronicznej, oraz łączącą punkt dostępu budynku z punktem zakończenia sieci;</w:t>
            </w:r>
          </w:p>
        </w:tc>
        <w:tc>
          <w:tcPr>
            <w:tcW w:w="4876" w:type="dxa"/>
          </w:tcPr>
          <w:p w:rsidR="00C77B3E" w:rsidRPr="00DC0657" w:rsidRDefault="00C77B3E" w:rsidP="009D4E99">
            <w:pPr>
              <w:pStyle w:val="Normal6a"/>
            </w:pPr>
            <w:r>
              <w:t>6)</w:t>
            </w:r>
            <w:r>
              <w:tab/>
              <w:t xml:space="preserve">„wewnątrzbudynkowa infrastruktura techniczna” oznacza infrastrukturę techniczną lub instalacje w obiekcie użytkownika końcowego, w tym elementy będące współwłasnością, </w:t>
            </w:r>
            <w:r>
              <w:rPr>
                <w:b/>
                <w:i/>
              </w:rPr>
              <w:t xml:space="preserve">np. współwłasnością lokatorów, </w:t>
            </w:r>
            <w:r>
              <w:t>przeznaczoną do umieszczenia w niej przewodowych lub bezprzewodowych sieci telekomunikacyjnych, które umożliwiają dostarczanie usług łączności elektronicznej, oraz łączącą punkt dostępu budynku z punktem zakończenia sieci;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199</w:t>
      </w:r>
      <w:r>
        <w:rPr>
          <w:rStyle w:val="HideTWBExt"/>
        </w:rPr>
        <w:t>&lt;/NumAm&gt;</w:t>
      </w:r>
    </w:p>
    <w:p w:rsidR="00C77B3E" w:rsidRPr="00DC0657" w:rsidRDefault="00C77B3E" w:rsidP="00C77B3E">
      <w:pPr>
        <w:pStyle w:val="NormalBold"/>
      </w:pPr>
      <w:r>
        <w:rPr>
          <w:rStyle w:val="HideTWBExt"/>
        </w:rPr>
        <w:t>&lt;RepeatBlock-By&gt;&lt;Members&gt;</w:t>
      </w:r>
      <w:r>
        <w:t>Dace Melbārde</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światłowodowej</w:t>
            </w:r>
            <w:r>
              <w:t>” oznacza wewnątrzbudynkową infrastrukturę techniczną przeznaczoną do umieszczenia w niej elementów światłowodów;</w:t>
            </w:r>
          </w:p>
        </w:tc>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gigabitowej</w:t>
            </w:r>
            <w:r>
              <w:t>” oznacza wewnątrzbudynkową infrastrukturę techniczną przeznaczoną do umieszczenia w niej elementów światłowodów</w:t>
            </w:r>
            <w:r>
              <w:rPr>
                <w:b/>
                <w:i/>
              </w:rPr>
              <w:t>, elementów bezprzewodowych lub innych</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Neutralność pod względem technologicznym</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200</w:t>
      </w:r>
      <w:r>
        <w:rPr>
          <w:rStyle w:val="HideTWBExt"/>
        </w:rPr>
        <w:t>&lt;/NumAm&gt;</w:t>
      </w:r>
    </w:p>
    <w:p w:rsidR="00C77B3E" w:rsidRPr="00DC0657" w:rsidRDefault="00C77B3E" w:rsidP="00C77B3E">
      <w:pPr>
        <w:pStyle w:val="NormalBold"/>
      </w:pPr>
      <w:r>
        <w:rPr>
          <w:rStyle w:val="HideTWBExt"/>
        </w:rPr>
        <w:t>&lt;RepeatBlock-By&gt;&lt;Members&gt;</w:t>
      </w:r>
      <w:r>
        <w:t>Andris Ameriks</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światłowodowej</w:t>
            </w:r>
            <w:r>
              <w:t>” oznacza wewnątrzbudynkową infrastrukturę techniczną przeznaczoną do umieszczenia w niej elementów światłowodów;</w:t>
            </w:r>
          </w:p>
        </w:tc>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gigabitowej</w:t>
            </w:r>
            <w:r>
              <w:t>” oznacza wewnątrzbudynkową infrastrukturę techniczną przeznaczoną do umieszczenia w niej elementów światłowodów</w:t>
            </w:r>
            <w:r>
              <w:rPr>
                <w:b/>
                <w:i/>
              </w:rPr>
              <w:t xml:space="preserve"> lub elementów bezprzewodowych</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201</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światłowodowej</w:t>
            </w:r>
            <w:r>
              <w:t>” oznacza wewnątrzbudynkową infrastrukturę techniczną przeznaczoną do umieszczenia w niej elementów światłowodów;</w:t>
            </w:r>
          </w:p>
        </w:tc>
        <w:tc>
          <w:tcPr>
            <w:tcW w:w="4876" w:type="dxa"/>
          </w:tcPr>
          <w:p w:rsidR="00C77B3E" w:rsidRPr="00DC0657" w:rsidRDefault="00C77B3E" w:rsidP="009D4E99">
            <w:pPr>
              <w:pStyle w:val="Normal6a"/>
            </w:pPr>
            <w:r>
              <w:t>8)</w:t>
            </w:r>
            <w:r>
              <w:tab/>
              <w:t xml:space="preserve">„wewnątrzbudynkowa infrastruktura techniczna przystosowana do technologii </w:t>
            </w:r>
            <w:r>
              <w:rPr>
                <w:b/>
                <w:i/>
              </w:rPr>
              <w:t>gigabitowej</w:t>
            </w:r>
            <w:r>
              <w:t>” oznacza wewnątrzbudynkową infrastrukturę techniczną przeznaczoną do umieszczenia w niej elementów światłowodów</w:t>
            </w:r>
            <w:r>
              <w:rPr>
                <w:b/>
                <w:i/>
              </w:rPr>
              <w:t xml:space="preserve"> lub elementów bezprzewodowych</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202</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9)</w:t>
            </w:r>
            <w:r>
              <w:tab/>
              <w:t>„generalne prace remontowe” oznaczają roboty budowlane lub inżynieryjno-budowlane w obiekcie użytkownika końcowego, obejmujące modyfikacje konstrukcyjne całej wewnątrzbudynkowej infrastruktury technicznej lub jej znacznej części</w:t>
            </w:r>
            <w:r>
              <w:rPr>
                <w:b/>
                <w:i/>
              </w:rPr>
              <w:t xml:space="preserve"> i wymagające pozwolenia na budowę</w:t>
            </w:r>
            <w:r>
              <w:t>;</w:t>
            </w:r>
          </w:p>
        </w:tc>
        <w:tc>
          <w:tcPr>
            <w:tcW w:w="4876" w:type="dxa"/>
          </w:tcPr>
          <w:p w:rsidR="00C77B3E" w:rsidRPr="00DC0657" w:rsidRDefault="00C77B3E" w:rsidP="009D4E99">
            <w:pPr>
              <w:pStyle w:val="Normal6a"/>
            </w:pPr>
            <w:r>
              <w:t>9)</w:t>
            </w:r>
            <w:r>
              <w:tab/>
              <w:t xml:space="preserve">„generalne prace remontowe </w:t>
            </w:r>
            <w:r>
              <w:rPr>
                <w:b/>
                <w:i/>
              </w:rPr>
              <w:t>i przebudowa</w:t>
            </w:r>
            <w:r>
              <w:t>” oznaczają roboty budowlane lub inżynieryjno-budowlane w obiekcie użytkownika końcowego, obejmujące modyfikacje konstrukcyjne całej wewnątrzbudynkowej infrastruktury technicznej lub jej znacznej części;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203</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10)</w:t>
            </w:r>
            <w:r>
              <w:tab/>
              <w:t xml:space="preserve">„pozwolenie” oznacza bezpośrednią lub pośrednią decyzję lub zbiór decyzji wydanych równocześnie lub kolejno przez jeden właściwy organ lub kilka właściwych organów, które to decyzje są potrzebne </w:t>
            </w:r>
            <w:r>
              <w:rPr>
                <w:b/>
                <w:i/>
              </w:rPr>
              <w:t>przedsiębiorstwu</w:t>
            </w:r>
            <w:r>
              <w:t xml:space="preserve"> do wykonania robót budowlanych lub inżynieryjno-budowlanych niezbędnych do wdrożenia elementów sieci o bardzo dużej przepustowości;</w:t>
            </w:r>
          </w:p>
        </w:tc>
        <w:tc>
          <w:tcPr>
            <w:tcW w:w="4876" w:type="dxa"/>
          </w:tcPr>
          <w:p w:rsidR="00C77B3E" w:rsidRPr="00DC0657" w:rsidRDefault="00C77B3E" w:rsidP="009D4E99">
            <w:pPr>
              <w:pStyle w:val="Normal6a"/>
            </w:pPr>
            <w:r>
              <w:t>10)</w:t>
            </w:r>
            <w:r>
              <w:tab/>
              <w:t xml:space="preserve">„pozwolenie” oznacza bezpośrednią lub pośrednią decyzję lub zbiór decyzji wydanych równocześnie lub kolejno przez jeden właściwy organ lub kilka właściwych organów, które to decyzje są potrzebne </w:t>
            </w:r>
            <w:r>
              <w:rPr>
                <w:b/>
                <w:i/>
              </w:rPr>
              <w:t>operatorowi</w:t>
            </w:r>
            <w:r>
              <w:t xml:space="preserve"> do wykonania robót budowlanych lub inżynieryjno-budowlanych niezbędnych do wdrożenia elementów sieci o bardzo dużej przepustowości</w:t>
            </w:r>
            <w:r>
              <w:rPr>
                <w:b/>
                <w:bCs/>
                <w:i/>
                <w:iCs/>
              </w:rPr>
              <w:t xml:space="preserve"> i po zakończeniu, w niektórych przypadkach, wykorzystywania ich zgodnie z przeznaczeniem</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204</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11)</w:t>
            </w:r>
            <w:r>
              <w:tab/>
              <w:t>„punkt dostępu” oznacza punkt fizyczny znajdujący się wewnątrz lub na zewnątrz budynku, dostępny dla co najmniej jednego przedsiębiorstwa udostępniającego publiczne sieci łączności elektronicznej lub upoważnionego do dostarczania takich sieci, za pomocą którego to punktu udostępniane jest połączenie z wewnątrzbudynkową infrastrukturą techniczną przystosowaną do technologii światłowodowej.</w:t>
            </w:r>
          </w:p>
        </w:tc>
        <w:tc>
          <w:tcPr>
            <w:tcW w:w="4876" w:type="dxa"/>
          </w:tcPr>
          <w:p w:rsidR="00C77B3E" w:rsidRPr="00DC0657" w:rsidRDefault="00C77B3E" w:rsidP="009D4E99">
            <w:pPr>
              <w:pStyle w:val="Normal6a"/>
            </w:pPr>
            <w:r>
              <w:t>11)</w:t>
            </w:r>
            <w:r>
              <w:tab/>
              <w:t>„punkt dostępu</w:t>
            </w:r>
            <w:r>
              <w:rPr>
                <w:b/>
                <w:i/>
              </w:rPr>
              <w:t xml:space="preserve"> w budynku</w:t>
            </w:r>
            <w:r>
              <w:t>” oznacza punkt fizyczny znajdujący się wewnątrz lub na zewnątrz budynku,</w:t>
            </w:r>
            <w:r>
              <w:rPr>
                <w:b/>
                <w:i/>
              </w:rPr>
              <w:t xml:space="preserve"> łatwo</w:t>
            </w:r>
            <w:r>
              <w:t xml:space="preserve"> dostępny dla co najmniej jednego przedsiębiorstwa udostępniającego publiczne sieci łączności elektronicznej lub upoważnionego do dostarczania takich sieci, za pomocą którego to punktu udostępniane jest połączenie z wewnątrzbudynkową infrastrukturą techniczną przystosowaną do technologii światłowodowej.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205</w:t>
      </w:r>
      <w:r>
        <w:rPr>
          <w:rStyle w:val="HideTWBExt"/>
        </w:rPr>
        <w:t>&lt;/NumAm&gt;</w:t>
      </w:r>
    </w:p>
    <w:p w:rsidR="00C77B3E" w:rsidRPr="00DC0657" w:rsidRDefault="00C77B3E" w:rsidP="00C77B3E">
      <w:pPr>
        <w:pStyle w:val="NormalBold"/>
      </w:pPr>
      <w:r>
        <w:rPr>
          <w:rStyle w:val="HideTWBExt"/>
        </w:rPr>
        <w:t>&lt;RepeatBlock-By&gt;&lt;Members&gt;</w:t>
      </w:r>
      <w:r>
        <w:t>Angelika Winzig, Sara Skyttedal, Adam Jarubas, Seán Kelly, Markus Pieper, Henna Virkkunen, Othmar Karas,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2 – akapit 2 – punkt 11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11a)</w:t>
            </w:r>
            <w:r>
              <w:tab/>
            </w:r>
            <w:r>
              <w:rPr>
                <w:b/>
                <w:i/>
              </w:rPr>
              <w:t>„prawa drogi” oznaczają prawa przyznane zgodnie z art. 43 dyrektywy (UE) 2018/1972;</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Ani w akcie w sprawie infrastruktury gigabitowej, ani w Europejskim kodeksie łączności elektronicznej w odpowiednich artykułach zawierających definicje nie zdefiniowano pojęcia „prawa drogi”. Należy wyjaśnić, co należy rozumieć przez to pojęcie. W art. 43 EKŁE wyjaśniono przypadki, w których prawa te zostały przyznane.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206</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 xml:space="preserve">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w:t>
            </w:r>
            <w:r>
              <w:rPr>
                <w:b/>
                <w:i/>
              </w:rPr>
              <w:t>Operatorzy określają w takich pisemnych wnioskach elementy infrastruktury technicznej, do których potrzebują dostępu, oraz podają terminy. W przypadku gdy uczciwa i rozsądna cena została już wynegocjowana, uzgodniona w umowie lub uzgodniona jako element automatycznego przedłużania umów, organizacje udostępniające urządzenia towarzyszące lub upoważnione do ich udostępniania, które mogą wykazać, że zawarły umowę z operatorem udostępniającym publiczną sieć łączności elektronicznej lub upoważnionym do dostarczania takiej sieci, nie są zobowiązane do oferowania tego dostępu po tej cenie.</w:t>
            </w:r>
            <w:r>
              <w:t xml:space="preserve">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207</w:t>
      </w:r>
      <w:r>
        <w:rPr>
          <w:rStyle w:val="HideTWBExt"/>
        </w:rPr>
        <w:t>&lt;/NumAm&gt;</w:t>
      </w:r>
    </w:p>
    <w:p w:rsidR="00C77B3E" w:rsidRPr="00DC0657" w:rsidRDefault="00C77B3E" w:rsidP="00C77B3E">
      <w:pPr>
        <w:pStyle w:val="NormalBold"/>
      </w:pPr>
      <w:r>
        <w:rPr>
          <w:rStyle w:val="HideTWBExt"/>
        </w:rPr>
        <w:t>&lt;RepeatBlock-By&gt;&lt;Members&gt;</w:t>
      </w:r>
      <w:r>
        <w:t>Pilar del Castillo Vera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 xml:space="preserve">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w:t>
            </w:r>
            <w:r>
              <w:rPr>
                <w:b/>
                <w:i/>
              </w:rPr>
              <w:t>W celu zagwarantowania, aby podmiot zapewniający dostęp miał godziwy zwrot z inwestycji, który odzwierciedla odnośne warunki rynkowe i różne modele biznesowe, przedsiębiorstwa udostępniające urządzenia towarzyszące lub upoważnione do ich udostępniania więcej niż jednemu operatorowi hostingowemu udostępniającemu publiczną sieć łączności elektronicznej lub upoważnionemu do dostarczania takiej sieci nie podlegają obowiązkom w zakresie uczciwych i rozsądnych cen.</w:t>
            </w:r>
            <w:r>
              <w:t xml:space="preserve"> Podmioty sektora publicznego będące właścicielami infrastruktury technicznej lub kontrolujące taką infrastrukturę rozpatrują pozytywnie każdy uzasadniony wniosek o dostęp również na niedyskryminujących warunkach i zasadach</w:t>
            </w:r>
            <w:r>
              <w:rPr>
                <w:b/>
                <w:i/>
              </w:rPr>
              <w:t xml:space="preserve"> i po cenach nieprzekraczających kosztów administracyjnych</w:t>
            </w:r>
            <w:r>
              <w:t>.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844152" w:rsidRDefault="00C77B3E" w:rsidP="00C77B3E">
      <w:pPr>
        <w:pStyle w:val="AmNumberTabs"/>
        <w:rPr>
          <w:lang w:val="en-GB"/>
        </w:rPr>
      </w:pPr>
      <w:r w:rsidRPr="00844152">
        <w:rPr>
          <w:rStyle w:val="HideTWBExt"/>
          <w:lang w:val="en-GB"/>
        </w:rPr>
        <w:t>&lt;Amend&gt;</w:t>
      </w:r>
      <w:r w:rsidRPr="00844152">
        <w:rPr>
          <w:lang w:val="en-GB"/>
        </w:rPr>
        <w:t>Poprawka</w:t>
      </w:r>
      <w:r w:rsidRPr="00844152">
        <w:rPr>
          <w:lang w:val="en-GB"/>
        </w:rPr>
        <w:tab/>
      </w:r>
      <w:r w:rsidRPr="00844152">
        <w:rPr>
          <w:lang w:val="en-GB"/>
        </w:rPr>
        <w:tab/>
      </w:r>
      <w:r w:rsidRPr="00844152">
        <w:rPr>
          <w:rStyle w:val="HideTWBExt"/>
          <w:lang w:val="en-GB"/>
        </w:rPr>
        <w:t>&lt;NumAm&gt;</w:t>
      </w:r>
      <w:r w:rsidRPr="00844152">
        <w:rPr>
          <w:lang w:val="en-GB"/>
        </w:rPr>
        <w:t>208</w:t>
      </w:r>
      <w:r w:rsidRPr="00844152">
        <w:rPr>
          <w:rStyle w:val="HideTWBExt"/>
          <w:lang w:val="en-GB"/>
        </w:rPr>
        <w:t>&lt;/NumAm&gt;</w:t>
      </w:r>
    </w:p>
    <w:p w:rsidR="00C77B3E" w:rsidRPr="00844152" w:rsidRDefault="00C77B3E" w:rsidP="00C77B3E">
      <w:pPr>
        <w:pStyle w:val="NormalBold"/>
        <w:rPr>
          <w:lang w:val="en-GB"/>
        </w:rPr>
      </w:pPr>
      <w:r w:rsidRPr="00844152">
        <w:rPr>
          <w:rStyle w:val="HideTWBExt"/>
          <w:lang w:val="en-GB"/>
        </w:rPr>
        <w:t>&lt;RepeatBlock-By&gt;&lt;Members&gt;</w:t>
      </w:r>
      <w:r w:rsidRPr="00844152">
        <w:rPr>
          <w:lang w:val="en-GB"/>
        </w:rPr>
        <w:t>Matthias Ecke</w:t>
      </w:r>
      <w:r w:rsidRPr="00844152">
        <w:rPr>
          <w:rStyle w:val="HideTWBExt"/>
          <w:lang w:val="en-GB"/>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w:t>
            </w:r>
            <w:r>
              <w:rPr>
                <w:b/>
                <w:i/>
              </w:rPr>
              <w:t> takich pisemnych wnioskach</w:t>
            </w:r>
            <w:r>
              <w:t xml:space="preserve"> określa się elementy infrastruktury technicznej</w:t>
            </w:r>
            <w:r>
              <w:rPr>
                <w:b/>
                <w:i/>
              </w:rPr>
              <w:t xml:space="preserve"> będącej przedmiotem</w:t>
            </w:r>
            <w:r>
              <w:t xml:space="preserve"> wniosku </w:t>
            </w:r>
            <w:r>
              <w:rPr>
                <w:b/>
                <w:i/>
              </w:rPr>
              <w:t>o udzielenie dostępu oraz dokładny harmonogram</w:t>
            </w:r>
            <w:r>
              <w:t>.</w:t>
            </w:r>
          </w:p>
        </w:tc>
        <w:tc>
          <w:tcPr>
            <w:tcW w:w="4876" w:type="dxa"/>
          </w:tcPr>
          <w:p w:rsidR="00C77B3E" w:rsidRPr="00DC0657" w:rsidRDefault="00C77B3E" w:rsidP="009D4E99">
            <w:pPr>
              <w:pStyle w:val="Normal6a"/>
            </w:pPr>
            <w:r>
              <w:t>1.</w:t>
            </w:r>
            <w:r>
              <w:tab/>
              <w:t xml:space="preserve">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t>
            </w:r>
            <w:r>
              <w:rPr>
                <w:b/>
                <w:i/>
              </w:rPr>
              <w:t xml:space="preserve">Warunkiem skorzystania z dostępu jest brak realnej alternatywy. </w:t>
            </w:r>
            <w:r>
              <w:t>W</w:t>
            </w:r>
            <w:r>
              <w:rPr>
                <w:b/>
                <w:i/>
              </w:rPr>
              <w:t xml:space="preserve"> tym pisemnym wniosku o dostęp</w:t>
            </w:r>
            <w:r>
              <w:t xml:space="preserve"> określa się elementy </w:t>
            </w:r>
            <w:r>
              <w:rPr>
                <w:b/>
                <w:i/>
              </w:rPr>
              <w:t xml:space="preserve">projektu, których on dotyczy, w tym dokładny harmonogram, i towarzyszą mu aktualne informacje z pojedynczego punktu informacyjnego na temat ewentualnej dostępności innej </w:t>
            </w:r>
            <w:r>
              <w:t>infrastruktury technicznej</w:t>
            </w:r>
            <w:r>
              <w:rPr>
                <w:b/>
                <w:i/>
              </w:rPr>
              <w:t>. Jeżeli inna infrastruktura techniczna jest dostępna, we</w:t>
            </w:r>
            <w:r>
              <w:t xml:space="preserve"> wniosku </w:t>
            </w:r>
            <w:r>
              <w:rPr>
                <w:b/>
                <w:i/>
              </w:rPr>
              <w:t>przedstawia się powody, dla których nie stanowi ona realnej alternatywy</w:t>
            </w:r>
            <w:r>
              <w:t>.</w:t>
            </w:r>
          </w:p>
        </w:tc>
      </w:tr>
    </w:tbl>
    <w:p w:rsidR="00C77B3E" w:rsidRPr="00844152" w:rsidRDefault="00C77B3E" w:rsidP="00C77B3E">
      <w:pPr>
        <w:pStyle w:val="AmOrLang"/>
        <w:rPr>
          <w:lang w:val="en-GB"/>
        </w:rPr>
      </w:pPr>
      <w:r w:rsidRPr="00844152">
        <w:rPr>
          <w:lang w:val="en-GB"/>
        </w:rPr>
        <w:t xml:space="preserve">Or. </w:t>
      </w:r>
      <w:r w:rsidRPr="00844152">
        <w:rPr>
          <w:rStyle w:val="HideTWBExt"/>
          <w:lang w:val="en-GB"/>
        </w:rPr>
        <w:t>&lt;Original&gt;</w:t>
      </w:r>
      <w:r w:rsidRPr="00844152">
        <w:rPr>
          <w:rStyle w:val="HideTWBInt"/>
          <w:lang w:val="en-GB"/>
        </w:rPr>
        <w:t>{DE}</w:t>
      </w:r>
      <w:r w:rsidRPr="00844152">
        <w:rPr>
          <w:lang w:val="en-GB"/>
        </w:rPr>
        <w:t>de</w:t>
      </w:r>
      <w:r w:rsidRPr="00844152">
        <w:rPr>
          <w:rStyle w:val="HideTWBExt"/>
          <w:lang w:val="en-GB"/>
        </w:rPr>
        <w:t>&lt;/Original&gt;</w:t>
      </w:r>
    </w:p>
    <w:p w:rsidR="00C77B3E" w:rsidRPr="00844152" w:rsidRDefault="00C77B3E" w:rsidP="00C77B3E">
      <w:pPr>
        <w:rPr>
          <w:lang w:val="en-GB"/>
        </w:rPr>
      </w:pPr>
      <w:r w:rsidRPr="00844152">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209</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w:t>
            </w:r>
            <w:r>
              <w:rPr>
                <w:b/>
                <w:i/>
              </w:rPr>
              <w:t> </w:t>
            </w:r>
            <w:r>
              <w:t>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w:t>
            </w:r>
            <w:r>
              <w:rPr>
                <w:b/>
                <w:i/>
              </w:rPr>
              <w:t xml:space="preserve"> </w:t>
            </w:r>
            <w:r>
              <w:t>takich pisemnych wnioskach określa się elementy infrastruktury technicznej będącej przedmiotem wniosku o udzielenie dostępu oraz dokładny harmonogram</w:t>
            </w:r>
            <w:r>
              <w:rPr>
                <w:b/>
                <w:i/>
              </w:rPr>
              <w:t>, wraz z uzasadnieniem, dlaczego dana lokalizacja została wybrana ze szkodą dla innej lub wykorzystania umowy handlowej umożliwiającej dostęp do podobnej lokalizacji lub współużytkowania infrastruktury</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Aby ocenić, co jest „uzasadnione”, musimy przewidzieć w prawodawstwie bardziej szczegółowe informacje na temat elementów, które muszą być zawarte we wnioskach.</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210</w:t>
      </w:r>
      <w:r>
        <w:rPr>
          <w:rStyle w:val="HideTWBExt"/>
        </w:rPr>
        <w:t>&lt;/NumAm&gt;</w:t>
      </w:r>
    </w:p>
    <w:p w:rsidR="00C77B3E" w:rsidRPr="00DC0657" w:rsidRDefault="00C77B3E" w:rsidP="00C77B3E">
      <w:pPr>
        <w:pStyle w:val="NormalBold"/>
      </w:pPr>
      <w:r>
        <w:rPr>
          <w:rStyle w:val="HideTWBExt"/>
        </w:rPr>
        <w:t>&lt;RepeatBlock-By&gt;&lt;Members&gt;</w:t>
      </w:r>
      <w:r>
        <w:t>Ivars Ijabs</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w:t>
            </w:r>
            <w:r>
              <w:rPr>
                <w:b/>
                <w:i/>
              </w:rPr>
              <w:t>, w tym anten, ruchomych stacji bazowych i elementów sieci przesyłowej</w:t>
            </w:r>
            <w:r>
              <w:t xml:space="preserve"> .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r>
              <w:rPr>
                <w:b/>
                <w:i/>
              </w:rPr>
              <w:t xml:space="preserve"> i parametry połączenia elektrycznego</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Infrastruktura niezbędna do wdrożenia sieci o bardzo dużej przepustowości powinna obejmować urządzenia niezbędne dla sieci 5G. Dostępność połączenia elektrycznego w miejscu lokalizacji sieci łączności ma zasadnicze znaczenie dla funkcjonowania sieci łączności.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211</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w:t>
            </w:r>
            <w:r>
              <w:rPr>
                <w:b/>
                <w:i/>
              </w:rPr>
              <w:t xml:space="preserve"> i po cenach nieprzekraczających kosztów, które ponoszą w wyniku udzielenia dostępu</w:t>
            </w:r>
            <w:r>
              <w:t>.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Aby wesprzeć rozwój sieci o bardzo dużej przepustowości, a jednocześnie nie podwyższać zbytnio opłat dla organów sektora publicznego, dostępu do infrastruktury organów sektora publicznego, jak również dostępu do infrastruktury „operatorów sieci” innych niż „operatorzy” (tj. innych niż firmy telekomunikacyjne) należy udzielać po kosztach wynikających z udzielenia dostępu (zamiast wyłącznie po kosztach administracyjnych).</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212</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 xml:space="preserve">Na pisemny wniosek </w:t>
            </w:r>
            <w:r>
              <w:rPr>
                <w:b/>
                <w:i/>
              </w:rPr>
              <w:t>operatora</w:t>
            </w:r>
            <w:r>
              <w:t xml:space="preserve">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 xml:space="preserve">Na pisemny wniosek </w:t>
            </w:r>
            <w:r>
              <w:rPr>
                <w:b/>
                <w:i/>
              </w:rPr>
              <w:t>przedsiębiorstwa udostępniającego publiczne sieci łączności elektronicznej lub upoważnionego do dostarczania takich sieci</w:t>
            </w:r>
            <w:r>
              <w:t xml:space="preserve">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This amendment is aimed at reflecting the exclusion of undertakings only providing associated facilities from the obligations linked to network operators and the corresponding amendment to the Article 2 on Definitions. In order to allow free competition and to incentivise wider investments they should not benefit from special provisions set out in this Regulation for regulated network operators. Excluding undertakings only providing associated facilities from the list of network operators takes account of the disproportionate imbalance between benefits and obligations imposed on these undertakings by this proposal and the fact that these undertakings already have a strong incentive to share infrastructure and provide access to their facilities to as many parties as possible.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213</w:t>
      </w:r>
      <w:r>
        <w:rPr>
          <w:rStyle w:val="HideTWBExt"/>
        </w:rPr>
        <w:t>&lt;/NumAm&gt;</w:t>
      </w:r>
    </w:p>
    <w:p w:rsidR="00C77B3E" w:rsidRPr="00DC0657" w:rsidRDefault="00C77B3E" w:rsidP="00C77B3E">
      <w:pPr>
        <w:pStyle w:val="NormalBold"/>
      </w:pPr>
      <w:r>
        <w:rPr>
          <w:rStyle w:val="HideTWBExt"/>
        </w:rPr>
        <w:t>&lt;RepeatBlock-By&gt;&lt;Members&gt;</w:t>
      </w:r>
      <w:r>
        <w:t>Johan Nissinen, Margarita de la Pisa Carrión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w:t>
            </w:r>
            <w:r>
              <w:rPr>
                <w:b/>
                <w:i/>
              </w:rPr>
              <w:t xml:space="preserve"> i po cenach nieprzekraczających kosztów administracyjnych</w:t>
            </w:r>
            <w:r>
              <w:t>.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214</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 xml:space="preserve">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w:t>
            </w:r>
            <w:r>
              <w:rPr>
                <w:b/>
                <w:i/>
              </w:rPr>
              <w:t xml:space="preserve">zamiar wdrożenia sieci o bardzo dużej przepustowości, </w:t>
            </w:r>
            <w:r>
              <w:t>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215</w:t>
      </w:r>
      <w:r>
        <w:rPr>
          <w:rStyle w:val="HideTWBExt"/>
        </w:rPr>
        <w:t>&lt;/NumAm&gt;</w:t>
      </w:r>
    </w:p>
    <w:p w:rsidR="00C77B3E" w:rsidRPr="00DC0657" w:rsidRDefault="00C77B3E" w:rsidP="00C77B3E">
      <w:pPr>
        <w:pStyle w:val="NormalBold"/>
      </w:pPr>
      <w:r>
        <w:rPr>
          <w:rStyle w:val="HideTWBExt"/>
        </w:rPr>
        <w:t>&lt;RepeatBlock-By&gt;&lt;Members&gt;</w:t>
      </w:r>
      <w:r>
        <w:t>François-Xavier Bellamy</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t xml:space="preserve">Na pisemny wniosek operatora </w:t>
            </w:r>
            <w:r>
              <w:rPr>
                <w:b/>
                <w:i/>
              </w:rPr>
              <w:t xml:space="preserve">lub operatora należycie upoważnionego przez operatora </w:t>
            </w:r>
            <w:r>
              <w:t>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216</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t>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r>
            <w:r>
              <w:rPr>
                <w:b/>
                <w:i/>
              </w:rPr>
              <w:t>Z zastrzeżeniem ust. 3 niniejszego artykułu,</w:t>
            </w:r>
            <w:r>
              <w:t xml:space="preserve"> na pisemny wniosek operatora podmioty sektora publicznego będące właścicielami infrastruktury technicznej lub kontrolujące taką infrastrukturę lub operatorzy sieci 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również na niedyskryminujących warunkach i zasadach.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217</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1.</w:t>
            </w:r>
            <w:r>
              <w:tab/>
            </w:r>
            <w:r>
              <w:rPr>
                <w:b/>
                <w:i/>
              </w:rPr>
              <w:t>Na pisemny wniosek operatora</w:t>
            </w:r>
            <w:r>
              <w:t xml:space="preserve"> podmioty sektora publicznego będące właścicielami infrastruktury technicznej lub kontrolujące taką infrastrukturę </w:t>
            </w:r>
            <w:r>
              <w:rPr>
                <w:b/>
                <w:i/>
              </w:rPr>
              <w:t xml:space="preserve">lub operatorzy sieci </w:t>
            </w:r>
            <w:r>
              <w:t>rozpatrują pozytywnie każdy uzasadniony wniosek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w:t>
            </w:r>
            <w:r>
              <w:rPr>
                <w:b/>
                <w:i/>
              </w:rPr>
              <w:t xml:space="preserve"> również</w:t>
            </w:r>
            <w:r>
              <w:t xml:space="preserve"> na niedyskryminujących warunkach i zasadach. W takich pisemnych wnioskach określa się elementy infrastruktury technicznej będącej przedmiotem wniosku o udzielenie dostępu oraz dokładny harmonogram.</w:t>
            </w:r>
          </w:p>
        </w:tc>
        <w:tc>
          <w:tcPr>
            <w:tcW w:w="4876" w:type="dxa"/>
          </w:tcPr>
          <w:p w:rsidR="00C77B3E" w:rsidRPr="00DC0657" w:rsidRDefault="00C77B3E" w:rsidP="009D4E99">
            <w:pPr>
              <w:pStyle w:val="Normal6a"/>
            </w:pPr>
            <w:r>
              <w:t>1.</w:t>
            </w:r>
            <w:r>
              <w:tab/>
            </w:r>
            <w:r>
              <w:rPr>
                <w:b/>
                <w:i/>
              </w:rPr>
              <w:t>Operatorzy sieci lub</w:t>
            </w:r>
            <w:r>
              <w:t xml:space="preserve"> podmioty sektora publicznego będące właścicielami infrastruktury technicznej lub kontrolujące taką infrastrukturę rozpatrują pozytywnie każdy uzasadniony </w:t>
            </w:r>
            <w:r>
              <w:rPr>
                <w:b/>
                <w:i/>
              </w:rPr>
              <w:t xml:space="preserve">pisemny </w:t>
            </w:r>
            <w:r>
              <w:t>wniosek</w:t>
            </w:r>
            <w:r>
              <w:rPr>
                <w:b/>
                <w:i/>
              </w:rPr>
              <w:t xml:space="preserve"> operatorów</w:t>
            </w:r>
            <w:r>
              <w:t xml:space="preserve"> o dostęp do infrastruktury technicznej, na sprawiedliwych i rozsądnych warunkach, również cenowych, na potrzeby wprowadzenia elementów sieci o bardzo dużej przepustowości lub urządzeń towarzyszących. Podmioty sektora publicznego będące właścicielami infrastruktury technicznej lub kontrolujące taką infrastrukturę rozpatrują pozytywnie każdy uzasadniony wniosek o dostęp na niedyskryminujących warunkach i zasadach. W takich pisemnych wnioskach określa się elementy infrastruktury technicznej będącej przedmiotem wniosku o udzielenie dostępu oraz dokładny harmonogram.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218</w:t>
      </w:r>
      <w:r>
        <w:rPr>
          <w:rStyle w:val="HideTWBExt"/>
        </w:rPr>
        <w:t>&lt;/NumAm&gt;</w:t>
      </w:r>
    </w:p>
    <w:p w:rsidR="00C77B3E" w:rsidRPr="00DC0657" w:rsidRDefault="00C77B3E" w:rsidP="00C77B3E">
      <w:pPr>
        <w:pStyle w:val="NormalBold"/>
      </w:pPr>
      <w:r>
        <w:rPr>
          <w:rStyle w:val="HideTWBExt"/>
        </w:rPr>
        <w:t>&lt;RepeatBlock-By&gt;&lt;Members&gt;</w:t>
      </w:r>
      <w:r>
        <w:t xml:space="preserve">Angelika Winzig, Sara Skyttedal </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1a.</w:t>
            </w:r>
            <w:r>
              <w:tab/>
            </w:r>
            <w:r>
              <w:rPr>
                <w:b/>
                <w:i/>
              </w:rPr>
              <w:t>Dostawcy bezprzewodowej infrastruktury technicznej, np. przedsiębiorstwa stawiające maszty antenowe, którzy działają wyłącznie w modelu hurtowym i oferują jedynie bierny dostęp więcej niż jednemu publicznemu operatorowi hostingowemu łączności elektronicznej, są zwolnieni z przepisów regulujących ich modele ustalania cen na podstawie ust. 1.</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Do dnia [DATA WEJŚCIA W ŻYCIE + DWA LATA] Komisja przedstawia wyniki analizy rynku zgodnie z art. 15.</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Jeżeli Komisja dojdzie do wniosku, że doszło do niedoskonałości rynku w związku z dostawcami bezprzewodowej infrastruktury technicznej, takimi jak przedsiębiorstwa stawiające maszty antenowe, przyjmuje akt delegowany zgodnie z art. 15a w celu zmiany niniejszej dyrektywy poprzez wycofanie zwolnienia określonego w akapicie pierwszym.</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Uzasadnienie biznesowe przedsiębiorstw stawiających maszty antenowe nie zostało jeszcze uregulowane, ponieważ nic nie wskazuje na to, że doszło do niedoskonałości rynku w tym zakresie. Jeżeli chodzi o prawodawstwo oparte na faktach, zanim ich model biznesowy i model ustalania cen zostaną poddane regulacji, należy zbadać, czy występuje niedoskonałość rynku.</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219</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1a.</w:t>
            </w:r>
            <w:r>
              <w:tab/>
            </w:r>
            <w:r>
              <w:rPr>
                <w:b/>
                <w:i/>
              </w:rPr>
              <w:t>Właściciele gruntów, na których zainstalowano lub zostaną zainstalowane urządzenia towarzyszące służące rozwojowi elementów sieci o bardzo dużej przepustowości, są zobowiązani do negocjowania dostępu do gruntów, na uczciwych i rozsądnych warunkach, również cenowych, i zgodnie z krajowym prawem umów, z przedsiębiorstwami udostępniającymi takie urządzenia towarzyszące lub upoważnionymi do ich dostarczania.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220</w:t>
      </w:r>
      <w:r>
        <w:rPr>
          <w:rStyle w:val="HideTWBExt"/>
        </w:rPr>
        <w:t>&lt;/NumAm&gt;</w:t>
      </w:r>
    </w:p>
    <w:p w:rsidR="00C77B3E" w:rsidRPr="00DC0657" w:rsidRDefault="00C77B3E" w:rsidP="00C77B3E">
      <w:pPr>
        <w:pStyle w:val="NormalBold"/>
      </w:pPr>
      <w:r>
        <w:rPr>
          <w:rStyle w:val="HideTWBExt"/>
        </w:rPr>
        <w:t>&lt;RepeatBlock-By&gt;&lt;Members&gt;</w:t>
      </w:r>
      <w:r>
        <w:t>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1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1a.</w:t>
            </w:r>
            <w:r>
              <w:tab/>
            </w:r>
            <w:r>
              <w:rPr>
                <w:b/>
                <w:i/>
              </w:rPr>
              <w:t>Dostawcy bezprzewodowej infrastruktury technicznej, np. przedsiębiorstwa stawiające maszty antenowe, którzy oferują jedynie bierny dostęp więcej niż jednemu publicznemu operatorowi hostingowemu łączności elektronicznej, są zwolnieni z przepisów regulujących ich modele ustalania cen na podstawie ust. 1.</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221</w:t>
      </w:r>
      <w:r>
        <w:rPr>
          <w:rStyle w:val="HideTWBExt"/>
        </w:rPr>
        <w:t>&lt;/NumAm&gt;</w:t>
      </w:r>
    </w:p>
    <w:p w:rsidR="00C77B3E" w:rsidRPr="00DC0657" w:rsidRDefault="00C77B3E" w:rsidP="00C77B3E">
      <w:pPr>
        <w:pStyle w:val="NormalBold"/>
      </w:pPr>
      <w:r>
        <w:rPr>
          <w:rStyle w:val="HideTWBExt"/>
        </w:rPr>
        <w:t>&lt;RepeatBlock-By&gt;&lt;Members&gt;</w:t>
      </w:r>
      <w:r>
        <w:t>Adam Jarubas, Janusz Lewandowski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wprowadzenie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Przy ustalaniu cen w</w:t>
            </w:r>
            <w:r>
              <w:rPr>
                <w:b/>
                <w:i/>
              </w:rPr>
              <w:t> </w:t>
            </w:r>
            <w:r>
              <w:t>ramach sprawiedliwych i</w:t>
            </w:r>
            <w:r>
              <w:rPr>
                <w:b/>
                <w:i/>
              </w:rPr>
              <w:t> </w:t>
            </w:r>
            <w:r>
              <w:t>rozsądnych warunków przyznawania dostępu operatorzy sieci i podmioty sektora publicznego będące właścicielami infrastruktury technicznej lub kontrolujące taką infrastrukturę uwzględniają następujące kwestie:</w:t>
            </w:r>
          </w:p>
        </w:tc>
        <w:tc>
          <w:tcPr>
            <w:tcW w:w="4876" w:type="dxa"/>
          </w:tcPr>
          <w:p w:rsidR="00C77B3E" w:rsidRPr="00DC0657" w:rsidRDefault="00C77B3E" w:rsidP="009D4E99">
            <w:pPr>
              <w:pStyle w:val="Normal6a"/>
            </w:pPr>
            <w:r>
              <w:t>2.</w:t>
            </w:r>
            <w:r>
              <w:tab/>
            </w:r>
            <w:r>
              <w:rPr>
                <w:b/>
                <w:i/>
              </w:rPr>
              <w:t>Z wyłączeniem przedsiębiorstw udostępniających urządzenia towarzyszące lub upoważnionych do ich udostępniania więcej niż jednemu operatorowi hostingowemu udostępniającemu publiczne sieci łączności elektronicznej lub upoważnionemu do ich dostarczania, który będzie działał na regularnych zasadach rynkowych, aby umożliwić godziwy zwrot z inwestycji,</w:t>
            </w:r>
            <w:r>
              <w:t xml:space="preserve"> przy ustalaniu cen w</w:t>
            </w:r>
            <w:r>
              <w:rPr>
                <w:b/>
                <w:i/>
              </w:rPr>
              <w:t xml:space="preserve"> </w:t>
            </w:r>
            <w:r>
              <w:t>ramach sprawiedliwych i</w:t>
            </w:r>
            <w:r>
              <w:rPr>
                <w:b/>
                <w:i/>
              </w:rPr>
              <w:t xml:space="preserve"> </w:t>
            </w:r>
            <w:r>
              <w:t>rozsądnych warunków przyznawania dostępu</w:t>
            </w:r>
            <w:r>
              <w:rPr>
                <w:b/>
                <w:i/>
              </w:rPr>
              <w:t>, w celu uniknięcia nadmiernych cen</w:t>
            </w:r>
            <w:r>
              <w:t xml:space="preserve"> operatorzy sieci i podmioty sektora publicznego będące właścicielami infrastruktury technicznej lub kontrolujące taką infrastrukturę uwzględniają następujące kwestie: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222</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wprowadzenie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Przy ustalaniu cen w ramach sprawiedliwych i rozsądnych warunków przyznawania dostępu operatorzy sieci i podmioty sektora publicznego będące właścicielami infrastruktury technicznej lub kontrolujące taką infrastrukturę uwzględniają następujące kwestie:</w:t>
            </w:r>
          </w:p>
        </w:tc>
        <w:tc>
          <w:tcPr>
            <w:tcW w:w="4876" w:type="dxa"/>
          </w:tcPr>
          <w:p w:rsidR="00C77B3E" w:rsidRPr="00DC0657" w:rsidRDefault="00C77B3E" w:rsidP="009D4E99">
            <w:pPr>
              <w:pStyle w:val="Normal6a"/>
            </w:pPr>
            <w:r>
              <w:t>2.</w:t>
            </w:r>
            <w:r>
              <w:tab/>
              <w:t>Przy ustalaniu cen w ramach sprawiedliwych i rozsądnych warunków przyznawania dostępu</w:t>
            </w:r>
            <w:r>
              <w:rPr>
                <w:b/>
                <w:i/>
              </w:rPr>
              <w:t>, w celu uniknięcia nadmiernych cen</w:t>
            </w:r>
            <w:r>
              <w:t xml:space="preserve"> operatorzy sieci i podmioty sektora publicznego będące właścicielami infrastruktury technicznej lub kontrolujące taką infrastrukturę uwzględniają następujące kwestie: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Powinny istnieć przepisy dotyczące opłat za infrastrukturę techniczną, ponieważ połączenia o bardzo dużej szybkości przynoszą korzyści całemu społeczeństwu. Zazwyczaj przedsiębiorstwa telekomunikacyjne kupują od siebie nawzajem elementy infrastruktury technicznej, ale w przypadku nierównowagi siły negocjacyjnej istnieje również ryzyko, że poziom cen znacznie wzrośnie.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223</w:t>
      </w:r>
      <w:r>
        <w:rPr>
          <w:rStyle w:val="HideTWBExt"/>
        </w:rPr>
        <w:t>&lt;/NumAm&gt;</w:t>
      </w:r>
    </w:p>
    <w:p w:rsidR="00C77B3E" w:rsidRPr="00DC0657" w:rsidRDefault="00C77B3E" w:rsidP="00C77B3E">
      <w:pPr>
        <w:pStyle w:val="NormalBold"/>
      </w:pPr>
      <w:r>
        <w:rPr>
          <w:rStyle w:val="HideTWBExt"/>
        </w:rPr>
        <w:t>&lt;RepeatBlock-By&gt;&lt;Members&gt;</w:t>
      </w:r>
      <w:r>
        <w:t>Johan Nissinen, Margarita de la Pisa Carrión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wprowadzenie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Przy ustalaniu cen w ramach sprawiedliwych i rozsądnych warunków przyznawania dostępu operatorzy sieci i podmioty sektora publicznego będące właścicielami infrastruktury technicznej lub kontrolujące taką infrastrukturę uwzględniają następujące kwestie:</w:t>
            </w:r>
          </w:p>
        </w:tc>
        <w:tc>
          <w:tcPr>
            <w:tcW w:w="4876" w:type="dxa"/>
          </w:tcPr>
          <w:p w:rsidR="00C77B3E" w:rsidRPr="00DC0657" w:rsidRDefault="00C77B3E" w:rsidP="009D4E99">
            <w:pPr>
              <w:pStyle w:val="Normal6a"/>
            </w:pPr>
            <w:r>
              <w:t>2.</w:t>
            </w:r>
            <w:r>
              <w:tab/>
              <w:t>Przy ustalaniu cen w ramach sprawiedliwych i rozsądnych warunków przyznawania dostępu</w:t>
            </w:r>
            <w:r>
              <w:rPr>
                <w:b/>
                <w:i/>
              </w:rPr>
              <w:t>, w celu uniknięcia nadmiernych cen</w:t>
            </w:r>
            <w:r>
              <w:t xml:space="preserve"> operatorzy sieci i podmioty sektora publicznego będące właścicielami infrastruktury technicznej lub kontrolujące taką infrastrukturę uwzględniają następujące kwestie: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224</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wprowadzenie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2.</w:t>
            </w:r>
            <w:r>
              <w:tab/>
              <w:t>Przy ustalaniu cen w ramach sprawiedliwych i rozsądnych warunków przyznawania dostępu operatorzy sieci i podmioty sektora publicznego będące właścicielami infrastruktury technicznej lub kontrolujące taką infrastrukturę uwzględniają następujące kwestie:</w:t>
            </w:r>
          </w:p>
        </w:tc>
        <w:tc>
          <w:tcPr>
            <w:tcW w:w="4876" w:type="dxa"/>
          </w:tcPr>
          <w:p w:rsidR="00C77B3E" w:rsidRPr="00DC0657" w:rsidRDefault="00C77B3E" w:rsidP="009D4E99">
            <w:pPr>
              <w:pStyle w:val="Normal6a"/>
            </w:pPr>
            <w:r>
              <w:t>2.</w:t>
            </w:r>
            <w:r>
              <w:tab/>
              <w:t xml:space="preserve">Przy ustalaniu cen w ramach sprawiedliwych i rozsądnych warunków przyznawania dostępu operatorzy sieci i podmioty sektora publicznego będące właścicielami infrastruktury technicznej lub kontrolujące taką infrastrukturę uwzględniają </w:t>
            </w:r>
            <w:r>
              <w:rPr>
                <w:b/>
                <w:i/>
              </w:rPr>
              <w:t xml:space="preserve">co najmniej </w:t>
            </w:r>
            <w:r>
              <w:t>następujące kwestie: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225</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 xml:space="preserve">konieczność zapewnienia, aby podmiot zapewniający dostęp </w:t>
            </w:r>
            <w:r>
              <w:rPr>
                <w:b/>
                <w:i/>
              </w:rPr>
              <w:t>miał odpowiednią możliwość odzyskania kosztów związanych</w:t>
            </w:r>
            <w:r>
              <w:t xml:space="preserve"> z udzieleniem dostępu do swojej infrastruktury technicznej, z uwzględnieniem specyficznych uwarunkowań krajowych oraz wszelkich </w:t>
            </w:r>
            <w:r>
              <w:rPr>
                <w:b/>
                <w:i/>
              </w:rPr>
              <w:t xml:space="preserve">struktur taryfowych </w:t>
            </w:r>
            <w:r>
              <w:t xml:space="preserve">wprowadzonych </w:t>
            </w:r>
            <w:r>
              <w:rPr>
                <w:b/>
                <w:i/>
              </w:rPr>
              <w:t>w celu zapewnienia odpowiedniej możliwości odzyskania kosztów</w:t>
            </w:r>
            <w:r>
              <w:t>; w przypadku sieci łączności elektronicznej uwzględnia się także wszelkie środki naprawcze nałożone przez krajowy organ regulacyjny;</w:t>
            </w:r>
          </w:p>
        </w:tc>
        <w:tc>
          <w:tcPr>
            <w:tcW w:w="4876" w:type="dxa"/>
          </w:tcPr>
          <w:p w:rsidR="00C77B3E" w:rsidRPr="00DC0657" w:rsidRDefault="00C77B3E" w:rsidP="009D4E99">
            <w:pPr>
              <w:pStyle w:val="Normal6a"/>
            </w:pPr>
            <w:r>
              <w:t>a)</w:t>
            </w:r>
            <w:r>
              <w:tab/>
              <w:t xml:space="preserve">konieczność zapewnienia, aby podmiot zapewniający dostęp </w:t>
            </w:r>
            <w:r>
              <w:rPr>
                <w:b/>
                <w:i/>
              </w:rPr>
              <w:t>odzyskiwał koszty związane</w:t>
            </w:r>
            <w:r>
              <w:t xml:space="preserve"> z udzieleniem dostępu do swojej infrastruktury technicznej, z uwzględnieniem specyficznych uwarunkowań krajowych oraz wszelkich wprowadzonych </w:t>
            </w:r>
            <w:r>
              <w:rPr>
                <w:b/>
                <w:i/>
              </w:rPr>
              <w:t>struktur taryfowych</w:t>
            </w:r>
            <w:r>
              <w:t>; w przypadku sieci łączności elektronicznej uwzględnia się także wszelkie środki naprawcze nałożone przez krajowy organ regulacyjny;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Przy rozważaniu opłat należy brać pod uwagę koszty ponoszone przez podmioty zapewniające dostęp.</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226</w:t>
      </w:r>
      <w:r>
        <w:rPr>
          <w:rStyle w:val="HideTWBExt"/>
        </w:rPr>
        <w:t>&lt;/NumAm&gt;</w:t>
      </w:r>
    </w:p>
    <w:p w:rsidR="00C77B3E" w:rsidRPr="00DC0657" w:rsidRDefault="00C77B3E" w:rsidP="00C77B3E">
      <w:pPr>
        <w:pStyle w:val="NormalBold"/>
      </w:pPr>
      <w:r>
        <w:rPr>
          <w:rStyle w:val="HideTWBExt"/>
        </w:rPr>
        <w:t>&lt;RepeatBlock-By&gt;&lt;Members&gt;</w:t>
      </w:r>
      <w:r>
        <w:t>Beatrice Covassi, Carlos Zorrinho, Josianne Cutajar, Patrizia Toia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konieczność zapewnienia, aby podmiot zapewniający dostęp miał odpowiednią możliwość odzyskania kosztów związanych z udzieleniem dostępu do swojej infrastruktury technicznej, z uwzględnieniem specyficznych uwarunkowań krajowych oraz wszelkich struktur taryfowych wprowadzonych w celu zapewnienia odpowiedniej możliwości odzyskania kosztów; w przypadku sieci łączności elektronicznej uwzględnia się także wszelkie środki naprawcze nałożone przez krajowy organ regulacyjny;</w:t>
            </w:r>
          </w:p>
        </w:tc>
        <w:tc>
          <w:tcPr>
            <w:tcW w:w="4876" w:type="dxa"/>
          </w:tcPr>
          <w:p w:rsidR="00C77B3E" w:rsidRPr="00DC0657" w:rsidRDefault="00C77B3E" w:rsidP="009D4E99">
            <w:pPr>
              <w:pStyle w:val="Normal6a"/>
            </w:pPr>
            <w:r>
              <w:t>a)</w:t>
            </w:r>
            <w:r>
              <w:tab/>
              <w:t>konieczność zapewnienia, aby podmiot zapewniający dostęp miał odpowiednią możliwość odzyskania kosztów związanych z udzieleniem dostępu do swojej infrastruktury technicznej, z uwzględnieniem specyficznych uwarunkowań krajowych</w:t>
            </w:r>
            <w:r>
              <w:rPr>
                <w:b/>
                <w:i/>
              </w:rPr>
              <w:t>, różnych modeli biznesowych</w:t>
            </w:r>
            <w:r>
              <w:t xml:space="preserve"> oraz wszelkich struktur taryfowych wprowadzonych w celu zapewnienia odpowiedniej możliwości odzyskania kosztów; w przypadku sieci łączności elektronicznej uwzględnia się także wszelkie środki naprawcze nałożone przez krajowy organ regulacyjny;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227</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konieczność zapewnienia, aby podmiot zapewniający dostęp miał odpowiednią możliwość odzyskania kosztów związanych z udzieleniem dostępu do swojej infrastruktury technicznej, z uwzględnieniem specyficznych uwarunkowań krajowych oraz wszelkich struktur taryfowych wprowadzonych w celu zapewnienia odpowiedniej możliwości odzyskania kosztów; w przypadku sieci łączności elektronicznej uwzględnia się także wszelkie środki naprawcze nałożone przez krajowy organ regulacyjny;</w:t>
            </w:r>
          </w:p>
        </w:tc>
        <w:tc>
          <w:tcPr>
            <w:tcW w:w="4876" w:type="dxa"/>
          </w:tcPr>
          <w:p w:rsidR="00C77B3E" w:rsidRPr="00DC0657" w:rsidRDefault="00C77B3E" w:rsidP="009D4E99">
            <w:pPr>
              <w:pStyle w:val="Normal6a"/>
            </w:pPr>
            <w:r>
              <w:t>a)</w:t>
            </w:r>
            <w:r>
              <w:tab/>
              <w:t>konieczność zapewnienia, aby podmiot zapewniający dostęp miał odpowiednią możliwość odzyskania kosztów związanych z udzieleniem dostępu do swojej infrastruktury technicznej, z uwzględnieniem specyficznych uwarunkowań krajowych</w:t>
            </w:r>
            <w:r>
              <w:rPr>
                <w:b/>
                <w:i/>
              </w:rPr>
              <w:t>, różnych modeli biznesowych</w:t>
            </w:r>
            <w:r>
              <w:t xml:space="preserve"> oraz wszelkich struktur taryfowych wprowadzonych w celu zapewnienia odpowiedniej możliwości odzyskania kosztów; w przypadku sieci łączności elektronicznej uwzględnia się także wszelkie środki naprawcze nałożone przez krajowy organ regulacyjny;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228</w:t>
      </w:r>
      <w:r>
        <w:rPr>
          <w:rStyle w:val="HideTWBExt"/>
        </w:rPr>
        <w:t>&lt;/NumAm&gt;</w:t>
      </w:r>
    </w:p>
    <w:p w:rsidR="00C77B3E" w:rsidRPr="00DC0657" w:rsidRDefault="00C77B3E" w:rsidP="00C77B3E">
      <w:pPr>
        <w:pStyle w:val="NormalBold"/>
      </w:pPr>
      <w:r>
        <w:rPr>
          <w:rStyle w:val="HideTWBExt"/>
        </w:rPr>
        <w:t>&lt;RepeatBlock-By&gt;&lt;Members&gt;</w:t>
      </w:r>
      <w:r>
        <w:t>Adam Jarubas, Janusz Lewandowski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 xml:space="preserve">konieczność zapewnienia, aby podmiot zapewniający dostęp </w:t>
            </w:r>
            <w:r>
              <w:rPr>
                <w:b/>
                <w:i/>
              </w:rPr>
              <w:t>miał odpowiednią możliwość odzyskania kosztów związanych</w:t>
            </w:r>
            <w:r>
              <w:t xml:space="preserve"> z udzieleniem dostępu do swojej infrastruktury technicznej, z uwzględnieniem specyficznych uwarunkowań krajowych oraz wszelkich struktur taryfowych wprowadzonych w</w:t>
            </w:r>
            <w:r>
              <w:rPr>
                <w:b/>
                <w:i/>
              </w:rPr>
              <w:t> celu zapewnienia odpowiedniej możliwości</w:t>
            </w:r>
            <w:r>
              <w:t xml:space="preserve"> odzyskania kosztów; w przypadku sieci łączności elektronicznej uwzględnia się także wszelkie środki naprawcze nałożone przez krajowy organ regulacyjny;</w:t>
            </w:r>
          </w:p>
        </w:tc>
        <w:tc>
          <w:tcPr>
            <w:tcW w:w="4876" w:type="dxa"/>
          </w:tcPr>
          <w:p w:rsidR="00C77B3E" w:rsidRPr="00DC0657" w:rsidRDefault="00C77B3E" w:rsidP="009D4E99">
            <w:pPr>
              <w:pStyle w:val="Normal6a"/>
            </w:pPr>
            <w:r>
              <w:t>a)</w:t>
            </w:r>
            <w:r>
              <w:tab/>
              <w:t xml:space="preserve">konieczność zapewnienia, aby podmiot zapewniający dostęp </w:t>
            </w:r>
            <w:r>
              <w:rPr>
                <w:b/>
                <w:i/>
              </w:rPr>
              <w:t>odzyskiwał koszty związane</w:t>
            </w:r>
            <w:r>
              <w:t xml:space="preserve"> z udzieleniem dostępu do swojej infrastruktury technicznej, z uwzględnieniem specyficznych uwarunkowań krajowych oraz wszelkich struktur taryfowych wprowadzonych w</w:t>
            </w:r>
            <w:r>
              <w:rPr>
                <w:b/>
                <w:i/>
              </w:rPr>
              <w:t xml:space="preserve"> celu</w:t>
            </w:r>
            <w:r>
              <w:t xml:space="preserve"> odzyskania kosztów; w przypadku sieci łączności elektronicznej uwzględnia się także wszelkie środki naprawcze nałożone przez krajowy organ regulacyjny;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229</w:t>
      </w:r>
      <w:r>
        <w:rPr>
          <w:rStyle w:val="HideTWBExt"/>
        </w:rPr>
        <w:t>&lt;/NumAm&gt;</w:t>
      </w:r>
    </w:p>
    <w:p w:rsidR="00C77B3E" w:rsidRPr="00DC0657" w:rsidRDefault="00C77B3E" w:rsidP="00C77B3E">
      <w:pPr>
        <w:pStyle w:val="NormalBold"/>
      </w:pPr>
      <w:r>
        <w:rPr>
          <w:rStyle w:val="HideTWBExt"/>
        </w:rPr>
        <w:t>&lt;RepeatBlock-By&gt;&lt;Members&gt;</w:t>
      </w:r>
      <w:r>
        <w:t>Massimiliano Salini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wpływ dostępu, którego dotyczy wniosek, na plan biznesowy podmiotu zapewniającego dostęp, w tym inwestycje w infrastrukturę techniczną, której dotyczy wniosek o udzielenie dostępu;</w:t>
            </w:r>
          </w:p>
        </w:tc>
        <w:tc>
          <w:tcPr>
            <w:tcW w:w="4876" w:type="dxa"/>
          </w:tcPr>
          <w:p w:rsidR="00C77B3E" w:rsidRPr="00DC0657" w:rsidRDefault="00C77B3E" w:rsidP="009D4E99">
            <w:pPr>
              <w:pStyle w:val="Normal6a"/>
            </w:pPr>
            <w:r>
              <w:t>b)</w:t>
            </w:r>
            <w:r>
              <w:tab/>
              <w:t>wpływ dostępu, którego dotyczy wniosek, na plan biznesowy podmiotu zapewniającego dostęp, w tym inwestycje w infrastrukturę techniczną, której dotyczy wniosek o udzielenie dostępu</w:t>
            </w:r>
            <w:r>
              <w:rPr>
                <w:b/>
                <w:i/>
              </w:rPr>
              <w:t>, oraz konieczność zagwarantowania podmiotowi zapewniającemu dostęp godziwego zwrotu z inwestycji odzwierciedlającego szczególne warunki rynkowe i, w szczególności w przypadku dostawców urządzeń towarzyszących, różne modele biznesowe</w:t>
            </w:r>
            <w:r>
              <w:t xml:space="preserve">; </w:t>
            </w:r>
            <w:r>
              <w:rPr>
                <w:b/>
                <w:i/>
              </w:rPr>
              <w:t>można uznać, że cena dostępu oferowana przez dostawców urządzeń towarzyszących jest uczciwa i rozsądna, jeżeli działają oni wyłącznie w modelu hurtowym, oferując jedynie bierny dostęp więcej niż jednemu publicznemu operatorowi hostingowemu łączności elektronicznej na porównywalnych warunkach.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230</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wpływ dostępu, którego dotyczy wniosek, na plan biznesowy podmiotu zapewniającego dostęp, w tym inwestycje w infrastrukturę techniczną, której dotyczy wniosek o udzielenie dostępu;</w:t>
            </w:r>
          </w:p>
        </w:tc>
        <w:tc>
          <w:tcPr>
            <w:tcW w:w="4876" w:type="dxa"/>
          </w:tcPr>
          <w:p w:rsidR="00C77B3E" w:rsidRPr="00DC0657" w:rsidRDefault="00C77B3E" w:rsidP="009D4E99">
            <w:pPr>
              <w:pStyle w:val="Normal6a"/>
            </w:pPr>
            <w:r>
              <w:t>b)</w:t>
            </w:r>
            <w:r>
              <w:tab/>
              <w:t xml:space="preserve">wpływ dostępu, którego dotyczy wniosek, na plan biznesowy podmiotu zapewniającego dostęp, w tym inwestycje w infrastrukturę techniczną, której dotyczy wniosek o udzielenie dostępu; </w:t>
            </w:r>
            <w:r>
              <w:rPr>
                <w:b/>
                <w:i/>
              </w:rPr>
              <w:t>ponadto podmiotom zapewniającym dostęp należy przyznać godziwy zwrot z inwestycji. Taki zwrot powinien odzwierciedlać odnośne warunki rynkowe i różne modele biznesowe, takie jak te stosowane przez dostawców urządzeń towarzyszących. W takim razie oferowaną cenę dostępu można uznać za uczciwą i rozsądną, jeżeli dostawcy oferują jedynie bierny dostęp więcej niż jednemu operatorowi łączności elektronicznej na porównywalnych warunkach.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231</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wpływ dostępu, którego dotyczy wniosek, na plan biznesowy podmiotu zapewniającego dostęp, w tym inwestycje w infrastrukturę techniczną, której dotyczy wniosek o udzielenie dostępu;</w:t>
            </w:r>
          </w:p>
        </w:tc>
        <w:tc>
          <w:tcPr>
            <w:tcW w:w="4876" w:type="dxa"/>
          </w:tcPr>
          <w:p w:rsidR="00C77B3E" w:rsidRPr="00DC0657" w:rsidRDefault="00C77B3E" w:rsidP="009D4E99">
            <w:pPr>
              <w:pStyle w:val="Normal6a"/>
            </w:pPr>
            <w:r>
              <w:t>b)</w:t>
            </w:r>
            <w:r>
              <w:tab/>
              <w:t>wpływ dostępu, którego dotyczy wniosek, na plan biznesowy podmiotu zapewniającego dostęp, w tym inwestycje w infrastrukturę techniczną, której dotyczy wniosek o udzielenie dostępu</w:t>
            </w:r>
            <w:r>
              <w:rPr>
                <w:b/>
                <w:i/>
              </w:rPr>
              <w:t>. Przy ustalaniu uczciwych i rozsądnych cen operatorzy sieci inni niż operatorzy powinni brać pod uwagę koszty, jakie ponoszą w wyniku udzielenia dostępu, chyba że koszty te są już sprawiedliwie pokrywane w ramach dowolnego innego systemu</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Aby wesprzeć rozwój sieci o bardzo dużej przepustowości, a jednocześnie nie podwyższać zbytnio opłat dla organów sektora publicznego, dostępu do infrastruktury organów sektora publicznego, jak również dostępu do infrastruktury „operatorów sieci” innych niż „operatorzy” (tj. innych niż firmy telekomunikacyjne) należy udzielać po kosztach wynikających z udzielenia dostępu (zamiast wyłącznie po kosztach administracyjnych).</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232</w:t>
      </w:r>
      <w:r>
        <w:rPr>
          <w:rStyle w:val="HideTWBExt"/>
        </w:rPr>
        <w:t>&lt;/NumAm&gt;</w:t>
      </w:r>
    </w:p>
    <w:p w:rsidR="00C77B3E" w:rsidRPr="00DC0657" w:rsidRDefault="00C77B3E" w:rsidP="00C77B3E">
      <w:pPr>
        <w:pStyle w:val="NormalBold"/>
      </w:pPr>
      <w:r>
        <w:rPr>
          <w:rStyle w:val="HideTWBExt"/>
        </w:rPr>
        <w:t>&lt;RepeatBlock-By&gt;&lt;Members&gt;</w:t>
      </w:r>
      <w:r>
        <w:t>Adam Jarubas, Janusz Lewandowski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wpływ dostępu, którego dotyczy wniosek, na plan biznesowy podmiotu zapewniającego dostęp</w:t>
            </w:r>
            <w:r>
              <w:rPr>
                <w:b/>
                <w:i/>
              </w:rPr>
              <w:t>,</w:t>
            </w:r>
            <w:r>
              <w:t xml:space="preserve"> w</w:t>
            </w:r>
            <w:r>
              <w:rPr>
                <w:b/>
                <w:i/>
              </w:rPr>
              <w:t> tym inwestycje</w:t>
            </w:r>
            <w:r>
              <w:t xml:space="preserve"> w</w:t>
            </w:r>
            <w:r>
              <w:rPr>
                <w:b/>
                <w:i/>
              </w:rPr>
              <w:t> infrastrukturę techniczną</w:t>
            </w:r>
            <w:r>
              <w:t>, której dotyczy wniosek o udzielenie dostępu;</w:t>
            </w:r>
          </w:p>
        </w:tc>
        <w:tc>
          <w:tcPr>
            <w:tcW w:w="4876" w:type="dxa"/>
          </w:tcPr>
          <w:p w:rsidR="00C77B3E" w:rsidRPr="00DC0657" w:rsidRDefault="00C77B3E" w:rsidP="009D4E99">
            <w:pPr>
              <w:pStyle w:val="Normal6a"/>
            </w:pPr>
            <w:r>
              <w:t>b)</w:t>
            </w:r>
            <w:r>
              <w:tab/>
              <w:t>wpływ dostępu, którego dotyczy wniosek, na plan biznesowy podmiotu zapewniającego dostęp w</w:t>
            </w:r>
            <w:r>
              <w:rPr>
                <w:b/>
                <w:i/>
              </w:rPr>
              <w:t xml:space="preserve"> zakresie,</w:t>
            </w:r>
            <w:r>
              <w:t xml:space="preserve"> w</w:t>
            </w:r>
            <w:r>
              <w:rPr>
                <w:b/>
                <w:i/>
              </w:rPr>
              <w:t xml:space="preserve"> jakim odnosi się do infrastruktury technicznej</w:t>
            </w:r>
            <w:r>
              <w:t>, której dotyczy wniosek o udzielenie dostępu</w:t>
            </w:r>
            <w:r>
              <w:rPr>
                <w:b/>
                <w:i/>
              </w:rPr>
              <w:t>, w tym inwestycji w tę infrastrukturę techniczną</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233</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r>
            <w:r>
              <w:rPr>
                <w:b/>
                <w:i/>
              </w:rPr>
              <w:t>wpływ</w:t>
            </w:r>
            <w:r>
              <w:t xml:space="preserve"> dostępu</w:t>
            </w:r>
            <w:r>
              <w:rPr>
                <w:b/>
                <w:i/>
              </w:rPr>
              <w:t>, którego dotyczy wniosek</w:t>
            </w:r>
            <w:r>
              <w:t xml:space="preserve">, </w:t>
            </w:r>
            <w:r>
              <w:rPr>
                <w:b/>
                <w:i/>
              </w:rPr>
              <w:t>na plan biznesowy podmiotu zapewniającego dostęp, w tym inwestycje w infrastrukturę techniczną, której dotyczy wniosek o udzielenie dostępu</w:t>
            </w:r>
            <w:r>
              <w:t>;</w:t>
            </w:r>
          </w:p>
        </w:tc>
        <w:tc>
          <w:tcPr>
            <w:tcW w:w="4876" w:type="dxa"/>
          </w:tcPr>
          <w:p w:rsidR="00C77B3E" w:rsidRPr="00DC0657" w:rsidRDefault="00C77B3E" w:rsidP="009D4E99">
            <w:pPr>
              <w:pStyle w:val="Normal6a"/>
            </w:pPr>
            <w:r>
              <w:t>b)</w:t>
            </w:r>
            <w:r>
              <w:tab/>
            </w:r>
            <w:r>
              <w:rPr>
                <w:b/>
                <w:i/>
              </w:rPr>
              <w:t>lokalne potrzeby</w:t>
            </w:r>
            <w:r>
              <w:t xml:space="preserve"> dostępu</w:t>
            </w:r>
            <w:r>
              <w:rPr>
                <w:b/>
                <w:i/>
              </w:rPr>
              <w:t xml:space="preserve"> i istniejące usługi</w:t>
            </w:r>
            <w:r>
              <w:t xml:space="preserve">, </w:t>
            </w:r>
            <w:r>
              <w:rPr>
                <w:b/>
                <w:i/>
              </w:rPr>
              <w:t>z należytym uwzględnieniem wspierania konkurencji i wspólnego korzystania z infrastruktury</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Plany biznesowe opierają się na założeniach, które zależą od warunków rynkowych i opierają się na maksymalizacji zysków, w związku z czym nie mogą stanowić kryterium przy podejmowaniu decyzji przez organy publiczne. Proponujemy alternatywny element, którego celem są mierzalne cele i potrzeby polityki lokalnej.</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234</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rPr>
                <w:b/>
                <w:i/>
              </w:rPr>
              <w:t>c)</w:t>
            </w:r>
            <w:r>
              <w:tab/>
            </w:r>
            <w:r>
              <w:rPr>
                <w:b/>
                <w:i/>
              </w:rPr>
              <w:t>w konkretnym przypadku dostępu do infrastruktury technicznej operatorów – efektywność ekonomiczną takich inwestycji w oparciu o ich profil ryzyka, harmonogramy zwrotu z inwestycji, wpływ udzielenia dostępu na konkurencję na rynku niższego szczebla, a w konsekwencji na ceny i zwrot z inwestycji, amortyzację aktywów sieci w chwili złożenia wniosku o udzielenie dostępu, wszelkie uzasadnienie biznesowe stanowiące podstawę inwestycji w chwili jej przeprowadzania, w szczególności w przypadku infrastruktury technicznej wykorzystywanej do świadczenia usług łączności, oraz wszelkie możliwości współinwestowania we wdrażanie infrastruktury technicznej uprzednio zaoferowane podmiotowi ubiegającemu się o dostęp, zwłaszcza zgodnie z art. 76 dyrektywy (UE) 2018/1972, lub równoległego współwdrażania.</w:t>
            </w:r>
          </w:p>
        </w:tc>
        <w:tc>
          <w:tcPr>
            <w:tcW w:w="4876" w:type="dxa"/>
          </w:tcPr>
          <w:p w:rsidR="00C77B3E" w:rsidRPr="00DC0657" w:rsidRDefault="00C77B3E" w:rsidP="009D4E99">
            <w:pPr>
              <w:pStyle w:val="Normal6a"/>
            </w:pPr>
            <w:r>
              <w:rPr>
                <w:b/>
                <w:i/>
              </w:rPr>
              <w:t>skreśla się</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235</w:t>
      </w:r>
      <w:r>
        <w:rPr>
          <w:rStyle w:val="HideTWBExt"/>
        </w:rPr>
        <w:t>&lt;/NumAm&gt;</w:t>
      </w:r>
    </w:p>
    <w:p w:rsidR="00C77B3E" w:rsidRPr="00DC0657" w:rsidRDefault="00C77B3E" w:rsidP="00C77B3E">
      <w:pPr>
        <w:pStyle w:val="NormalBold"/>
      </w:pPr>
      <w:r>
        <w:rPr>
          <w:rStyle w:val="HideTWBExt"/>
        </w:rPr>
        <w:t>&lt;RepeatBlock-By&gt;&lt;Members&gt;</w:t>
      </w:r>
      <w:r>
        <w:t>Franc Bogovič</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c)</w:t>
            </w:r>
            <w:r>
              <w:tab/>
              <w:t xml:space="preserve">w konkretnym przypadku dostępu do infrastruktury technicznej </w:t>
            </w:r>
            <w:r>
              <w:rPr>
                <w:b/>
                <w:i/>
              </w:rPr>
              <w:t>operatorów</w:t>
            </w:r>
            <w:r>
              <w:t xml:space="preserve"> – efektywność ekonomiczną takich inwestycji w oparciu o ich profil ryzyka, harmonogramy zwrotu z inwestycji, wpływ udzielenia dostępu na konkurencję na rynku niższego szczebla, a w konsekwencji na ceny i zwrot z inwestycji, amortyzację aktywów sieci w chwili złożenia wniosku o udzielenie dostępu, wszelkie uzasadnienie biznesowe stanowiące podstawę inwestycji w chwili jej przeprowadzania, w szczególności w przypadku infrastruktury technicznej wykorzystywanej do świadczenia usług łączności, oraz wszelkie możliwości współinwestowania we wdrażanie infrastruktury technicznej uprzednio zaoferowane podmiotowi ubiegającemu się o dostęp, zwłaszcza zgodnie z art. 76 dyrektywy (UE) 2018/1972, lub równoległego współwdrażania.</w:t>
            </w:r>
          </w:p>
        </w:tc>
        <w:tc>
          <w:tcPr>
            <w:tcW w:w="4876" w:type="dxa"/>
          </w:tcPr>
          <w:p w:rsidR="00C77B3E" w:rsidRPr="00DC0657" w:rsidRDefault="00C77B3E" w:rsidP="009D4E99">
            <w:pPr>
              <w:pStyle w:val="Normal6a"/>
            </w:pPr>
            <w:r>
              <w:t>c)</w:t>
            </w:r>
            <w:r>
              <w:tab/>
              <w:t xml:space="preserve">w konkretnym przypadku dostępu do infrastruktury technicznej </w:t>
            </w:r>
            <w:r>
              <w:rPr>
                <w:b/>
                <w:i/>
              </w:rPr>
              <w:t>przedsiębiorstw udostępniających publiczne sieci łączności elektronicznej lub upoważnionych do ich udostępniania</w:t>
            </w:r>
            <w:r>
              <w:t xml:space="preserve"> – efektywność ekonomiczną takich inwestycji w oparciu o ich profil ryzyka, harmonogramy zwrotu z inwestycji, wpływ udzielenia dostępu na konkurencję na rynku niższego szczebla, a w konsekwencji na ceny i zwrot z inwestycji, amortyzację aktywów sieci w chwili złożenia wniosku o udzielenie dostępu, wszelkie uzasadnienie biznesowe stanowiące podstawę inwestycji w chwili jej przeprowadzania, w szczególności w przypadku infrastruktury technicznej wykorzystywanej do świadczenia usług łączności, oraz wszelkie możliwości współinwestowania we wdrażanie infrastruktury technicznej uprzednio zaoferowane podmiotowi ubiegającemu się o dostęp, zwłaszcza zgodnie z art. 76 dyrektywy (UE) 2018/1972, lub równoległego współwdrażania.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236</w:t>
      </w:r>
      <w:r>
        <w:rPr>
          <w:rStyle w:val="HideTWBExt"/>
        </w:rPr>
        <w:t>&lt;/NumAm&gt;</w:t>
      </w:r>
    </w:p>
    <w:p w:rsidR="00C77B3E" w:rsidRPr="00DC0657" w:rsidRDefault="00C77B3E" w:rsidP="00C77B3E">
      <w:pPr>
        <w:pStyle w:val="NormalBold"/>
      </w:pPr>
      <w:r>
        <w:rPr>
          <w:rStyle w:val="HideTWBExt"/>
        </w:rPr>
        <w:t>&lt;RepeatBlock-By&gt;&lt;Members&gt;</w:t>
      </w:r>
      <w:r>
        <w:t>Angelika Winzig, Sara Skyttedal, Seán Kelly, Henna Virkkunen,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ca)</w:t>
            </w:r>
            <w:r>
              <w:tab/>
            </w:r>
            <w:r>
              <w:rPr>
                <w:b/>
                <w:i/>
              </w:rPr>
              <w:t>koszty utrzymania infrastruktury ponoszone przez organ sektora publicznego, dodatkowe koszty operacyjne wynikające z udostępniania infrastruktury;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237</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 Lina Gálvez Muñoz, Adriana Maldonado López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ca)</w:t>
            </w:r>
            <w:r>
              <w:tab/>
            </w:r>
            <w:r>
              <w:rPr>
                <w:b/>
                <w:i/>
              </w:rPr>
              <w:t>wszelkie dodatkowe koszty utrzymania i adaptacji wynikające z udostępniania odnośnej infrastruktury;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238</w:t>
      </w:r>
      <w:r>
        <w:rPr>
          <w:rStyle w:val="HideTWBExt"/>
        </w:rPr>
        <w:t>&lt;/NumAm&gt;</w:t>
      </w:r>
    </w:p>
    <w:p w:rsidR="00C77B3E" w:rsidRPr="00DC0657" w:rsidRDefault="00C77B3E" w:rsidP="00C77B3E">
      <w:pPr>
        <w:pStyle w:val="NormalBold"/>
      </w:pPr>
      <w:r>
        <w:rPr>
          <w:rStyle w:val="HideTWBExt"/>
        </w:rPr>
        <w:t>&lt;RepeatBlock-By&gt;&lt;Members&gt;</w:t>
      </w:r>
      <w:r>
        <w:t>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 a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ca)</w:t>
            </w:r>
            <w:r>
              <w:tab/>
            </w:r>
            <w:r>
              <w:rPr>
                <w:b/>
                <w:i/>
              </w:rPr>
              <w:t>d) czy występuje nierównowaga siły negocjacyjnej;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Konieczne są zasady ustalania opłat za infrastrukturę techniczną. Przedsiębiorstwa telekomunikacyjne zazwyczaj kupują od siebie nawzajem elementy infrastruktury technicznej. Jednak w przypadku nierównowagi siły negocjacyjnej istnieje ryzyko, że poziom cen znacznie wzrośnie. Połączenia o bardzo dużej szybkości przyniosą korzyści całemu społeczeństwu. Jeżeli infrastruktura techniczna jest własnością podmiotu publicznego lub jest przezeń kontrolowana, sprawiedliwe i rozsądne warunki można ocenić za pomocą bardziej rygorystycznych kryteriów. Należy również rozważyć, czy organ publiczny powinien udzielać dostępu nieodpłatnie czy za opłatą pokrywającą koszty administracyjne.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239</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akapit 1 (nowy)</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d) czy występuje nierównowaga siły negocjacyjnej;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Przedsiębiorstwa telekomunikacyjne zazwyczaj kupują od siebie nawzajem elementy infrastruktury technicznej. Jednak w przypadku nierównowagi siły negocjacyjnej istnieje ogromne ryzyko, że poziom cen znacznie wzrośnie.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240</w:t>
      </w:r>
      <w:r>
        <w:rPr>
          <w:rStyle w:val="HideTWBExt"/>
        </w:rPr>
        <w:t>&lt;/NumAm&gt;</w:t>
      </w:r>
    </w:p>
    <w:p w:rsidR="00C77B3E" w:rsidRPr="00DC0657" w:rsidRDefault="00C77B3E" w:rsidP="00C77B3E">
      <w:pPr>
        <w:pStyle w:val="NormalBold"/>
      </w:pPr>
      <w:r>
        <w:rPr>
          <w:rStyle w:val="HideTWBExt"/>
        </w:rPr>
        <w:t>&lt;RepeatBlock-By&gt;&lt;Members&gt;</w:t>
      </w:r>
      <w:r>
        <w:t>Henna Virkkunen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2 – litera c b (nowa)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cb)</w:t>
            </w:r>
            <w:r>
              <w:tab/>
            </w:r>
            <w:r>
              <w:rPr>
                <w:b/>
                <w:i/>
              </w:rPr>
              <w:t>e) czy infrastruktura techniczna jest własnością organu sektora publicznego lub jest przezeń kontrolowana.</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Konieczne są zasady ustalania opłat za infrastrukturę techniczną. Przedsiębiorstwa telekomunikacyjne zazwyczaj kupują od siebie nawzajem elementy infrastruktury technicznej. Jednak w przypadku nierównowagi siły negocjacyjnej istnieje ryzyko, że poziom cen znacznie wzrośnie. Połączenia o bardzo dużej szybkości przyniosą korzyści całemu społeczeństwu. Jeżeli infrastruktura techniczna jest własnością podmiotu publicznego lub jest przezeń kontrolowana, sprawiedliwe i rozsądne warunki można ocenić za pomocą bardziej rygorystycznych kryteriów. Należy również rozważyć, czy organ publiczny powinien udzielać dostępu nieodpłatnie czy za opłatą pokrywającą koszty administracyjne.</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241</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a)</w:t>
            </w:r>
            <w:r>
              <w:tab/>
              <w:t>braku technicznej zdolności infrastruktury technicznej, której dotyczy wniosek o udzielenie dostępu, do przyjęcia elementów sieci o bardzo dużej przepustowości, o których mowa w ust. </w:t>
            </w:r>
            <w:r>
              <w:rPr>
                <w:b/>
                <w:i/>
              </w:rPr>
              <w:t>2</w:t>
            </w:r>
            <w:r>
              <w:t>;</w:t>
            </w:r>
          </w:p>
        </w:tc>
        <w:tc>
          <w:tcPr>
            <w:tcW w:w="4876" w:type="dxa"/>
          </w:tcPr>
          <w:p w:rsidR="00C77B3E" w:rsidRPr="00DC0657" w:rsidRDefault="00C77B3E" w:rsidP="009D4E99">
            <w:pPr>
              <w:pStyle w:val="Normal6a"/>
            </w:pPr>
            <w:r>
              <w:t>a)</w:t>
            </w:r>
            <w:r>
              <w:tab/>
              <w:t>braku technicznej zdolności infrastruktury technicznej, której dotyczy wniosek o udzielenie dostępu, do przyjęcia elementów sieci o bardzo dużej przepustowości, o których mowa w ust. </w:t>
            </w:r>
            <w:r>
              <w:rPr>
                <w:b/>
                <w:i/>
              </w:rPr>
              <w:t>1</w:t>
            </w:r>
            <w:r>
              <w:t>;</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242</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b)</w:t>
            </w:r>
            <w:r>
              <w:tab/>
              <w:t>braku dostępności przestrzeni do ulokowania elementów sieci o bardzo dużej przepustowości lub urządzeń towarzyszących, o których mowa w ust. </w:t>
            </w:r>
            <w:r>
              <w:rPr>
                <w:b/>
                <w:i/>
              </w:rPr>
              <w:t>2</w:t>
            </w:r>
            <w:r>
              <w:t>, w tym po uwzględnieniu przyszłego, odpowiednio wykazanego, zapotrzebowania podmiotu zapewniającego dostęp na miejsce;</w:t>
            </w:r>
          </w:p>
        </w:tc>
        <w:tc>
          <w:tcPr>
            <w:tcW w:w="4876" w:type="dxa"/>
          </w:tcPr>
          <w:p w:rsidR="00C77B3E" w:rsidRPr="00DC0657" w:rsidRDefault="00C77B3E" w:rsidP="009D4E99">
            <w:pPr>
              <w:pStyle w:val="Normal6a"/>
            </w:pPr>
            <w:r>
              <w:t>b)</w:t>
            </w:r>
            <w:r>
              <w:tab/>
              <w:t>braku dostępności przestrzeni do ulokowania elementów sieci o bardzo dużej przepustowości lub urządzeń towarzyszących, o których mowa w ust. </w:t>
            </w:r>
            <w:r>
              <w:rPr>
                <w:b/>
                <w:i/>
              </w:rPr>
              <w:t>1</w:t>
            </w:r>
            <w:r>
              <w:t>, w tym po uwzględnieniu przyszłego, odpowiednio wykazanego, zapotrzebowania podmiotu zapewniającego dostęp na miejsce;</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243</w:t>
      </w:r>
      <w:r>
        <w:rPr>
          <w:rStyle w:val="HideTWBExt"/>
        </w:rPr>
        <w:t>&lt;/NumAm&gt;</w:t>
      </w:r>
    </w:p>
    <w:p w:rsidR="00C77B3E" w:rsidRPr="00DC0657" w:rsidRDefault="00C77B3E" w:rsidP="00C77B3E">
      <w:pPr>
        <w:pStyle w:val="NormalBold"/>
      </w:pPr>
      <w:r>
        <w:rPr>
          <w:rStyle w:val="HideTWBExt"/>
        </w:rPr>
        <w:t>&lt;RepeatBlock-By&gt;&lt;Members&gt;</w:t>
      </w:r>
      <w:r>
        <w:t>Johan Nissinen, Margarita de la Pisa Carrión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c)</w:t>
            </w:r>
            <w:r>
              <w:tab/>
              <w:t>względów bezpieczeństwa i zdrowia publicznego;</w:t>
            </w:r>
          </w:p>
        </w:tc>
        <w:tc>
          <w:tcPr>
            <w:tcW w:w="4876" w:type="dxa"/>
          </w:tcPr>
          <w:p w:rsidR="00C77B3E" w:rsidRPr="00DC0657" w:rsidRDefault="00C77B3E" w:rsidP="009D4E99">
            <w:pPr>
              <w:pStyle w:val="Normal6a"/>
            </w:pPr>
            <w:r>
              <w:t>c)</w:t>
            </w:r>
            <w:r>
              <w:tab/>
              <w:t>względów bezpieczeństwa i </w:t>
            </w:r>
            <w:r>
              <w:rPr>
                <w:b/>
                <w:i/>
              </w:rPr>
              <w:t xml:space="preserve">opartych na podstawach naukowych względów </w:t>
            </w:r>
            <w:r>
              <w:t>zdrowia publicznego;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244</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c)</w:t>
            </w:r>
            <w:r>
              <w:tab/>
              <w:t>względów bezpieczeństwa i zdrowia publicznego;</w:t>
            </w:r>
          </w:p>
        </w:tc>
        <w:tc>
          <w:tcPr>
            <w:tcW w:w="4876" w:type="dxa"/>
          </w:tcPr>
          <w:p w:rsidR="00C77B3E" w:rsidRPr="00DC0657" w:rsidRDefault="00C77B3E" w:rsidP="009D4E99">
            <w:pPr>
              <w:pStyle w:val="Normal6a"/>
            </w:pPr>
            <w:r>
              <w:t>c)</w:t>
            </w:r>
            <w:r>
              <w:tab/>
            </w:r>
            <w:r>
              <w:rPr>
                <w:b/>
                <w:i/>
              </w:rPr>
              <w:t xml:space="preserve">opartych na podstawach naukowych </w:t>
            </w:r>
            <w:r>
              <w:t>względów bezpieczeństwa i zdrowia publicznego;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Odmowa dostępu do infrastruktury technicznej nie powinna być możliwa bez odpowiedniego wyjaśnienia. W związku z tym dodanie odniesienia do ugruntowanych, opartych na podstawach naukowych względów bezpieczeństwa i zdrowia publicznego zapewni podejmowanie decyzji w oparciu o dowody.</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245</w:t>
      </w:r>
      <w:r>
        <w:rPr>
          <w:rStyle w:val="HideTWBExt"/>
        </w:rPr>
        <w:t>&lt;/NumAm&gt;</w:t>
      </w:r>
    </w:p>
    <w:p w:rsidR="00C77B3E" w:rsidRPr="00DC0657" w:rsidRDefault="00C77B3E" w:rsidP="00C77B3E">
      <w:pPr>
        <w:pStyle w:val="NormalBold"/>
      </w:pPr>
      <w:r>
        <w:rPr>
          <w:rStyle w:val="HideTWBExt"/>
        </w:rPr>
        <w:t>&lt;RepeatBlock-By&gt;&lt;Members&gt;</w:t>
      </w:r>
      <w:r>
        <w:t>Adam Jarubas, Janusz Lewandowski, Jerzy Buzek</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c)</w:t>
            </w:r>
            <w:r>
              <w:tab/>
              <w:t>względów bezpieczeństwa i zdrowia publicznego;</w:t>
            </w:r>
          </w:p>
        </w:tc>
        <w:tc>
          <w:tcPr>
            <w:tcW w:w="4876" w:type="dxa"/>
          </w:tcPr>
          <w:p w:rsidR="00C77B3E" w:rsidRPr="00DC0657" w:rsidRDefault="00C77B3E" w:rsidP="009D4E99">
            <w:pPr>
              <w:pStyle w:val="Normal6a"/>
            </w:pPr>
            <w:r>
              <w:t>c)</w:t>
            </w:r>
            <w:r>
              <w:tab/>
              <w:t>względów bezpieczeństwa i </w:t>
            </w:r>
            <w:r>
              <w:rPr>
                <w:b/>
                <w:i/>
              </w:rPr>
              <w:t xml:space="preserve">opartych na podstawach naukowych względów </w:t>
            </w:r>
            <w:r>
              <w:t>zdrowia publicznego;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246</w:t>
      </w:r>
      <w:r>
        <w:rPr>
          <w:rStyle w:val="HideTWBExt"/>
        </w:rPr>
        <w:t>&lt;/NumAm&gt;</w:t>
      </w:r>
    </w:p>
    <w:p w:rsidR="00C77B3E" w:rsidRPr="00DC0657" w:rsidRDefault="00C77B3E" w:rsidP="00C77B3E">
      <w:pPr>
        <w:pStyle w:val="NormalBold"/>
      </w:pPr>
      <w:r>
        <w:rPr>
          <w:rStyle w:val="HideTWBExt"/>
        </w:rPr>
        <w:t>&lt;RepeatBlock-By&gt;&lt;Members&gt;</w:t>
      </w:r>
      <w:r>
        <w:t>Elena Kountoura</w:t>
      </w:r>
      <w:r>
        <w:rPr>
          <w:rStyle w:val="HideTWBExt"/>
        </w:rPr>
        <w:t>&lt;/Members&gt;</w:t>
      </w:r>
    </w:p>
    <w:p w:rsidR="00C77B3E" w:rsidRPr="00DC0657" w:rsidRDefault="00C77B3E" w:rsidP="00C77B3E">
      <w:r>
        <w:rPr>
          <w:rStyle w:val="HideTWBExt"/>
        </w:rPr>
        <w:t>&lt;AuNomDe&gt;</w:t>
      </w:r>
      <w:r>
        <w:rPr>
          <w:rStyle w:val="HideTWBInt"/>
        </w:rPr>
        <w:t>{The Left}</w:t>
      </w:r>
      <w:r>
        <w:t>w imieniu grupy The Left</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c)</w:t>
            </w:r>
            <w:r>
              <w:tab/>
              <w:t>względów bezpieczeństwa i zdrowia publicznego;</w:t>
            </w:r>
          </w:p>
        </w:tc>
        <w:tc>
          <w:tcPr>
            <w:tcW w:w="4876" w:type="dxa"/>
          </w:tcPr>
          <w:p w:rsidR="00C77B3E" w:rsidRPr="00DC0657" w:rsidRDefault="00C77B3E" w:rsidP="009D4E99">
            <w:pPr>
              <w:pStyle w:val="Normal6a"/>
            </w:pPr>
            <w:r>
              <w:t>c)</w:t>
            </w:r>
            <w:r>
              <w:tab/>
            </w:r>
            <w:r>
              <w:rPr>
                <w:b/>
                <w:i/>
              </w:rPr>
              <w:t xml:space="preserve">opartych na podstawach naukowych </w:t>
            </w:r>
            <w:r>
              <w:t>względów bezpieczeństwa i zdrowia publicznego;</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247</w:t>
      </w:r>
      <w:r>
        <w:rPr>
          <w:rStyle w:val="HideTWBExt"/>
        </w:rPr>
        <w:t>&lt;/NumAm&gt;</w:t>
      </w:r>
    </w:p>
    <w:p w:rsidR="00C77B3E" w:rsidRPr="00DC0657" w:rsidRDefault="00C77B3E" w:rsidP="00C77B3E">
      <w:pPr>
        <w:pStyle w:val="NormalBold"/>
      </w:pPr>
      <w:r>
        <w:rPr>
          <w:rStyle w:val="HideTWBExt"/>
        </w:rPr>
        <w:t>&lt;RepeatBlock-By&gt;&lt;Members&gt;</w:t>
      </w:r>
      <w:r>
        <w:t>Johan Nissinen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d)</w:t>
            </w:r>
            <w:r>
              <w:tab/>
              <w:t>obaw dotyczących integralności i bezpieczeństwa sieci, w szczególności krytycznej infrastruktury krajowej;</w:t>
            </w:r>
          </w:p>
        </w:tc>
        <w:tc>
          <w:tcPr>
            <w:tcW w:w="4876" w:type="dxa"/>
          </w:tcPr>
          <w:p w:rsidR="00C77B3E" w:rsidRPr="00DC0657" w:rsidRDefault="00C77B3E" w:rsidP="009D4E99">
            <w:pPr>
              <w:pStyle w:val="Normal6a"/>
            </w:pPr>
            <w:r>
              <w:t>d)</w:t>
            </w:r>
            <w:r>
              <w:tab/>
              <w:t xml:space="preserve">obaw dotyczących integralności i bezpieczeństwa </w:t>
            </w:r>
            <w:r>
              <w:rPr>
                <w:b/>
                <w:i/>
              </w:rPr>
              <w:t xml:space="preserve">narodowego </w:t>
            </w:r>
            <w:r>
              <w:t>sieci, w szczególności krytycznej infrastruktury krajowej;</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248</w:t>
      </w:r>
      <w:r>
        <w:rPr>
          <w:rStyle w:val="HideTWBExt"/>
        </w:rPr>
        <w:t>&lt;/NumAm&gt;</w:t>
      </w:r>
    </w:p>
    <w:p w:rsidR="00C77B3E" w:rsidRPr="00DC0657" w:rsidRDefault="00C77B3E" w:rsidP="00C77B3E">
      <w:pPr>
        <w:pStyle w:val="NormalBold"/>
      </w:pPr>
      <w:r>
        <w:rPr>
          <w:rStyle w:val="HideTWBExt"/>
        </w:rPr>
        <w:t>&lt;RepeatBlock-By&gt;&lt;Members&gt;</w:t>
      </w:r>
      <w:r>
        <w:t>Niklas Nienass</w:t>
      </w:r>
      <w:r>
        <w:rPr>
          <w:rStyle w:val="HideTWBExt"/>
        </w:rPr>
        <w:t>&lt;/Members&gt;</w:t>
      </w:r>
    </w:p>
    <w:p w:rsidR="00C77B3E" w:rsidRPr="00DC0657" w:rsidRDefault="00C77B3E" w:rsidP="00C77B3E">
      <w:r>
        <w:rPr>
          <w:rStyle w:val="HideTWBExt"/>
        </w:rPr>
        <w:t>&lt;AuNomDe&gt;</w:t>
      </w:r>
      <w:r>
        <w:rPr>
          <w:rStyle w:val="HideTWBInt"/>
        </w:rPr>
        <w:t>{Verts/ALE}</w:t>
      </w:r>
      <w:r>
        <w:t>w imieniu grupy Verts/ALE</w:t>
      </w:r>
      <w:r>
        <w:rPr>
          <w:rStyle w:val="HideTWBExt"/>
        </w:rPr>
        <w:t>&lt;/AuNomDe&gt;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f)</w:t>
            </w:r>
            <w:r>
              <w:tab/>
              <w:t xml:space="preserve">dostępności realnych alternatywnych środków hurtowego fizycznego dostępu do sieci łączności elektronicznej oferowanych przez </w:t>
            </w:r>
            <w:r>
              <w:rPr>
                <w:b/>
                <w:i/>
              </w:rPr>
              <w:t xml:space="preserve">tego samego </w:t>
            </w:r>
            <w:r>
              <w:t>operatora sieci, które są odpowiednie do celu zapewniania sieci o bardzo dużej przepustowości, pod warunkiem że taki dostęp jest oferowany na sprawiedliwych i rozsądnych warunkach.</w:t>
            </w:r>
          </w:p>
        </w:tc>
        <w:tc>
          <w:tcPr>
            <w:tcW w:w="4876" w:type="dxa"/>
          </w:tcPr>
          <w:p w:rsidR="00C77B3E" w:rsidRPr="00DC0657" w:rsidRDefault="00C77B3E" w:rsidP="009D4E99">
            <w:pPr>
              <w:pStyle w:val="Normal6a"/>
            </w:pPr>
            <w:r>
              <w:t>f)</w:t>
            </w:r>
            <w:r>
              <w:tab/>
              <w:t>dostępności realnych alternatywnych środków hurtowego fizycznego dostępu do sieci łączności elektronicznej oferowanych przez operatora sieci, które są odpowiednie do celu zapewniania sieci o bardzo dużej przepustowości, pod warunkiem że taki dostęp jest oferowany na sprawiedliwych i rozsądnych warunkach.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Jeżeli istnieje alternatywa komercyjna, należy ją wykorzystać zamiast powielać sieci. Zapewni to efektywność środowiskową i lepsze wykorzystanie zasobów.</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249</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f)</w:t>
            </w:r>
            <w:r>
              <w:tab/>
              <w:t xml:space="preserve">dostępności realnych alternatywnych środków hurtowego </w:t>
            </w:r>
            <w:r>
              <w:rPr>
                <w:b/>
                <w:i/>
              </w:rPr>
              <w:t xml:space="preserve">fizycznego </w:t>
            </w:r>
            <w:r>
              <w:t>dostępu do sieci łączności elektronicznej oferowanych przez tego samego operatora sieci, które są odpowiednie do celu zapewniania sieci o bardzo dużej przepustowości, pod warunkiem że taki dostęp jest oferowany na sprawiedliwych i rozsądnych warunkach.</w:t>
            </w:r>
          </w:p>
        </w:tc>
        <w:tc>
          <w:tcPr>
            <w:tcW w:w="4876" w:type="dxa"/>
          </w:tcPr>
          <w:p w:rsidR="00C77B3E" w:rsidRPr="00DC0657" w:rsidRDefault="00C77B3E" w:rsidP="009D4E99">
            <w:pPr>
              <w:pStyle w:val="Normal6a"/>
            </w:pPr>
            <w:r>
              <w:t>f)</w:t>
            </w:r>
            <w:r>
              <w:tab/>
              <w:t>dostępności realnych alternatywnych środków hurtowego dostępu do sieci łączności elektronicznej oferowanych przez tego samego operatora sieci, które są odpowiednie do celu zapewniania sieci o bardzo dużej przepustowości, pod warunkiem że taki dostęp jest oferowany na sprawiedliwych i rozsądnych warunkach.</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It is possible to do “wholesale physical access” with Software Defined Access Networks (SDAN), which enables the partition of network resources into wholesale slices. Access seekers can become full virtual network operators (VNOs), and physical resources are abstracted and delivered as a service to access seekers. Also, some wholesale only providers have based their business case around providing virtual access products. For these providers an obligation to provide dark fibre or fibre unbundling would have a negative impact on their incentives to invest. Therefore, a more general term like ‘wholesale access’ should be used instead of ‘wholesale physical access’.</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250</w:t>
      </w:r>
      <w:r>
        <w:rPr>
          <w:rStyle w:val="HideTWBExt"/>
        </w:rPr>
        <w:t>&lt;/NumAm&gt;</w:t>
      </w:r>
    </w:p>
    <w:p w:rsidR="00C77B3E" w:rsidRPr="00DC0657" w:rsidRDefault="00C77B3E" w:rsidP="00C77B3E">
      <w:pPr>
        <w:pStyle w:val="NormalBold"/>
      </w:pPr>
      <w:r>
        <w:rPr>
          <w:rStyle w:val="HideTWBExt"/>
        </w:rPr>
        <w:t>&lt;RepeatBlock-By&gt;&lt;Members&gt;</w:t>
      </w:r>
      <w:r>
        <w:t>Angelika Winzig, Sara Skyttedal, Tomas Tobé, Seán Kelly, Henna Virkkunen, Angelika Niebler</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1 – litera f a (nowa)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p>
        </w:tc>
        <w:tc>
          <w:tcPr>
            <w:tcW w:w="4876" w:type="dxa"/>
          </w:tcPr>
          <w:p w:rsidR="00C77B3E" w:rsidRPr="00DC0657" w:rsidRDefault="00C77B3E" w:rsidP="009D4E99">
            <w:pPr>
              <w:pStyle w:val="Normal6a"/>
            </w:pPr>
            <w:r>
              <w:rPr>
                <w:b/>
                <w:i/>
              </w:rPr>
              <w:t>fa)</w:t>
            </w:r>
            <w:r>
              <w:tab/>
            </w:r>
            <w:r>
              <w:rPr>
                <w:b/>
                <w:i/>
              </w:rPr>
              <w:t>zwrócono się o udostępnienie operatorom wyłącznie hurtowym otwartego, niedyskryminacyjnego dostępu do sieci łączności elektronicznej będących własnością organów sektora publicznego lub przez nie kontrolowanych, odpowiednich do zapewniania sieci o bardzo dużej przepustowości obejmujących obszar dostępu do infrastruktury.</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Ze względu na brak zainteresowania ugruntowanych dostawców sieci elektronicznych inwestowaniem we wprowadzanie sieci o bardzo dużej przepustowości na niektórych obszarach wiejskich gminy zaczęły zakładać na szczeblu lokalnym i regionalnym własne przedsiębiorstwa, aby samodzielnie wdrażać takie sieci. Same podjęły ryzyko ekonomiczne, gdy nikt inny tego nie zrobił, aby zapewnić swoim obywatelom szybkie połączenia internetowe. Nie należy sprzyjać nieefektywnemu powielaniu ich infrastruktury, lecz go unikać.</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251</w:t>
      </w:r>
      <w:r>
        <w:rPr>
          <w:rStyle w:val="HideTWBExt"/>
        </w:rPr>
        <w:t>&lt;/NumAm&gt;</w:t>
      </w:r>
    </w:p>
    <w:p w:rsidR="00C77B3E" w:rsidRPr="00DC0657" w:rsidRDefault="00C77B3E" w:rsidP="00C77B3E">
      <w:pPr>
        <w:pStyle w:val="NormalBold"/>
      </w:pPr>
      <w:r>
        <w:rPr>
          <w:rStyle w:val="HideTWBExt"/>
        </w:rPr>
        <w:t>&lt;RepeatBlock-By&gt;&lt;Members&gt;</w:t>
      </w:r>
      <w:r>
        <w:t>Johan Nissinen, Margarita de la Pisa Carrión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W przypadku odmowy udzielenia dostępu operator sieci lub podmiot sektora publicznego będący właścicielem infrastruktury technicznej lub kontrolujący taką infrastrukturę informuje, na piśmie, podmiot ubiegający się o dostęp o </w:t>
            </w:r>
            <w:r>
              <w:rPr>
                <w:b/>
                <w:i/>
              </w:rPr>
              <w:t>dostęp o </w:t>
            </w:r>
            <w:r>
              <w:t xml:space="preserve">konkretnych i szczegółowych przyczynach takiej odmowy w terminie </w:t>
            </w:r>
            <w:r>
              <w:rPr>
                <w:b/>
                <w:i/>
              </w:rPr>
              <w:t>1 miesiąca</w:t>
            </w:r>
            <w:r>
              <w:t xml:space="preserve"> od daty otrzymania kompletnego wniosku o udzielenie dostępu.</w:t>
            </w:r>
          </w:p>
        </w:tc>
        <w:tc>
          <w:tcPr>
            <w:tcW w:w="4876" w:type="dxa"/>
          </w:tcPr>
          <w:p w:rsidR="00C77B3E" w:rsidRPr="00DC0657" w:rsidRDefault="00C77B3E" w:rsidP="009D4E99">
            <w:pPr>
              <w:pStyle w:val="Normal6a"/>
            </w:pPr>
            <w:r>
              <w:t>W przypadku odmowy udzielenia dostępu operator sieci lub podmiot sektora publicznego będący właścicielem infrastruktury technicznej lub kontrolujący taką infrastrukturę informuje, na piśmie, podmiot ubiegający się o dostęp o konkretnych i szczegółowych przyczynach takiej odmowy</w:t>
            </w:r>
            <w:r>
              <w:rPr>
                <w:b/>
                <w:i/>
              </w:rPr>
              <w:t>, które powinny być obiektywne i w stosownych przypadkach oparte na podstawach naukowych,</w:t>
            </w:r>
            <w:r>
              <w:t xml:space="preserve"> w terminie </w:t>
            </w:r>
            <w:r>
              <w:rPr>
                <w:b/>
                <w:i/>
              </w:rPr>
              <w:t>15 dni</w:t>
            </w:r>
            <w:r>
              <w:t xml:space="preserve"> od daty otrzymania kompletnego wniosku o udzielenie dostępu.</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252</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3 – akapit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W przypadku odmowy udzielenia dostępu operator sieci lub podmiot sektora publicznego będący właścicielem infrastruktury technicznej lub kontrolujący taką infrastrukturę informuje, na piśmie, podmiot ubiegający się o dostęp o </w:t>
            </w:r>
            <w:r>
              <w:rPr>
                <w:b/>
                <w:i/>
              </w:rPr>
              <w:t>dostęp o </w:t>
            </w:r>
            <w:r>
              <w:t xml:space="preserve">konkretnych i szczegółowych przyczynach takiej odmowy w terminie </w:t>
            </w:r>
            <w:r>
              <w:rPr>
                <w:b/>
                <w:i/>
              </w:rPr>
              <w:t>1 miesiąca</w:t>
            </w:r>
            <w:r>
              <w:t xml:space="preserve"> od daty otrzymania kompletnego wniosku o udzielenie dostępu.</w:t>
            </w:r>
          </w:p>
        </w:tc>
        <w:tc>
          <w:tcPr>
            <w:tcW w:w="4876" w:type="dxa"/>
          </w:tcPr>
          <w:p w:rsidR="00C77B3E" w:rsidRPr="00DC0657" w:rsidRDefault="00C77B3E" w:rsidP="009D4E99">
            <w:pPr>
              <w:pStyle w:val="Normal6a"/>
            </w:pPr>
            <w:r>
              <w:t xml:space="preserve">W przypadku odmowy udzielenia dostępu operator sieci lub podmiot sektora publicznego będący właścicielem infrastruktury technicznej lub kontrolujący taką infrastrukturę informuje, na piśmie, podmiot ubiegający się o dostęp o konkretnych i szczegółowych przyczynach takiej odmowy w terminie </w:t>
            </w:r>
            <w:r>
              <w:rPr>
                <w:b/>
                <w:i/>
              </w:rPr>
              <w:t>15 dni</w:t>
            </w:r>
            <w:r>
              <w:t xml:space="preserve"> od daty otrzymania kompletnego wniosku o udzielenie dostępu.</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253</w:t>
      </w:r>
      <w:r>
        <w:rPr>
          <w:rStyle w:val="HideTWBExt"/>
        </w:rPr>
        <w:t>&lt;/NumAm&gt;</w:t>
      </w:r>
    </w:p>
    <w:p w:rsidR="00C77B3E" w:rsidRPr="00DC0657" w:rsidRDefault="00C77B3E" w:rsidP="00C77B3E">
      <w:pPr>
        <w:pStyle w:val="NormalBold"/>
      </w:pPr>
      <w:r>
        <w:rPr>
          <w:rStyle w:val="HideTWBExt"/>
        </w:rPr>
        <w:t>&lt;RepeatBlock-By&gt;&lt;Members&gt;</w:t>
      </w:r>
      <w:r>
        <w:t>Beatrice Covassi, Carlos Zorrinho, Patrizia Toia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4.</w:t>
            </w:r>
            <w:r>
              <w:tab/>
              <w:t xml:space="preserve">Państwa członkowskie </w:t>
            </w:r>
            <w:r>
              <w:rPr>
                <w:b/>
                <w:i/>
              </w:rPr>
              <w:t>mogą ustanowić</w:t>
            </w:r>
            <w:r>
              <w:t xml:space="preserve"> organ, który będzie koordynował wnioski o udzielenie dostępu do infrastruktury technicznej będącej własnością podmiotów sektora publicznego lub przez nie kontrolowanej, zapewniał porady prawne i techniczne w toku negocjacji warunków dostępu oraz ułatwiał udostępnianie informacji za pośrednictwem pojedynczego punktu informacyjnego, o którym mowa w art. 10.</w:t>
            </w:r>
          </w:p>
        </w:tc>
        <w:tc>
          <w:tcPr>
            <w:tcW w:w="4876" w:type="dxa"/>
          </w:tcPr>
          <w:p w:rsidR="00C77B3E" w:rsidRPr="00DC0657" w:rsidRDefault="00C77B3E" w:rsidP="009D4E99">
            <w:pPr>
              <w:pStyle w:val="Normal6a"/>
            </w:pPr>
            <w:r>
              <w:t>4.</w:t>
            </w:r>
            <w:r>
              <w:tab/>
            </w:r>
            <w:r>
              <w:rPr>
                <w:b/>
                <w:i/>
              </w:rPr>
              <w:t>W przypadku gdy organy sektora publicznego będące właścicielami infrastruktury technicznej lub ją kontrolujący nie mają wystarczających zasobów, doświadczenia lub niezbędnej wiedzy technicznej, aby prowadzić negocjacje z operatorami w sprawie dostępu,</w:t>
            </w:r>
            <w:r>
              <w:t xml:space="preserve"> państwa członkowskie </w:t>
            </w:r>
            <w:r>
              <w:rPr>
                <w:b/>
                <w:i/>
              </w:rPr>
              <w:t>ustanawiają</w:t>
            </w:r>
            <w:r>
              <w:t xml:space="preserve"> organ, który będzie koordynował wnioski o udzielenie dostępu do infrastruktury technicznej będącej własnością podmiotów sektora publicznego lub przez nie kontrolowanej, zapewniał porady prawne i techniczne w toku negocjacji warunków dostępu oraz ułatwiał udostępnianie informacji za pośrednictwem pojedynczego punktu informacyjnego, o którym mowa w art. 10.</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254</w:t>
      </w:r>
      <w:r>
        <w:rPr>
          <w:rStyle w:val="HideTWBExt"/>
        </w:rPr>
        <w:t>&lt;/NumAm&gt;</w:t>
      </w:r>
    </w:p>
    <w:p w:rsidR="00C77B3E" w:rsidRPr="00DC0657" w:rsidRDefault="00C77B3E" w:rsidP="00C77B3E">
      <w:pPr>
        <w:pStyle w:val="NormalBold"/>
      </w:pPr>
      <w:r>
        <w:rPr>
          <w:rStyle w:val="HideTWBExt"/>
        </w:rPr>
        <w:t>&lt;RepeatBlock-By&gt;&lt;Members&gt;</w:t>
      </w:r>
      <w:r>
        <w:t>Miapetra Kumpula-Natri</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w:t>
            </w:r>
            <w:r>
              <w:tab/>
              <w:t>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w:t>
            </w:r>
          </w:p>
        </w:tc>
        <w:tc>
          <w:tcPr>
            <w:tcW w:w="4876" w:type="dxa"/>
          </w:tcPr>
          <w:p w:rsidR="00C77B3E" w:rsidRPr="00DC0657" w:rsidRDefault="00C77B3E" w:rsidP="009D4E99">
            <w:pPr>
              <w:pStyle w:val="Normal6a"/>
            </w:pPr>
            <w:r>
              <w:t>5.</w:t>
            </w:r>
            <w:r>
              <w:tab/>
              <w:t xml:space="preserve">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 </w:t>
            </w:r>
            <w:r>
              <w:rPr>
                <w:b/>
                <w:i/>
              </w:rPr>
              <w:t>Jeżeli przeprowadza się nową analizę rynku zgodnie z art. 67 EKŁE i przed wprowadzeniem środków naprawczych, niniejsze rozporządzenie należy uznać za obowiązujące rozporządzenie mające wpływ na rynek hurtowego dostępu do infrastruktury technicznej w rozumieniu art. 67 ust. 2 lit. c). W przypadkach gdy krajowy organ regulacyjny stwierdzi, że konieczne są środki naprawcze, należy uzasadnić, dlaczego niniejsze rozporządzenie jest niewystarczające do rozwiązania problemów w zakresie konkurencji.</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pPr>
        <w:pStyle w:val="AmJustTitle"/>
      </w:pPr>
      <w:r>
        <w:rPr>
          <w:rStyle w:val="HideTWBExt"/>
        </w:rPr>
        <w:t>&lt;TitreJust&gt;</w:t>
      </w:r>
      <w:r>
        <w:t>Uzasadnienie</w:t>
      </w:r>
      <w:r>
        <w:rPr>
          <w:rStyle w:val="HideTWBExt"/>
        </w:rPr>
        <w:t>&lt;/TitreJust&gt;</w:t>
      </w:r>
    </w:p>
    <w:p w:rsidR="00C77B3E" w:rsidRPr="00DC0657" w:rsidRDefault="00C77B3E" w:rsidP="00C77B3E">
      <w:pPr>
        <w:pStyle w:val="AmJustText"/>
      </w:pPr>
      <w:r>
        <w:t>Krajowe organy regulacyjne powinny rozważyć istnienie aktu w sprawie infrastruktury gigabitowej, zanim narzucą regulacje ex ante o znaczącej pozycji rynkowej w przyszłej analizie rynku. W przypadkach gdy krajowy organ regulacyjny stwierdzi, że stosowanie aktu w sprawie infrastruktury gigabitowej jest niewystarczające i wymagane są środki zaradcze, powinien uzasadnić, dlaczego akt ten jest niewystarczający do rozwiązania problemów w zakresie konkurencji.</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255</w:t>
      </w:r>
      <w:r>
        <w:rPr>
          <w:rStyle w:val="HideTWBExt"/>
        </w:rPr>
        <w:t>&lt;/NumAm&gt;</w:t>
      </w:r>
    </w:p>
    <w:p w:rsidR="00C77B3E" w:rsidRPr="00DC0657" w:rsidRDefault="00C77B3E" w:rsidP="00C77B3E">
      <w:pPr>
        <w:pStyle w:val="NormalBold"/>
      </w:pPr>
      <w:r>
        <w:rPr>
          <w:rStyle w:val="HideTWBExt"/>
        </w:rPr>
        <w:t>&lt;RepeatBlock-By&gt;&lt;Members&gt;</w:t>
      </w:r>
      <w:r>
        <w:t>Johan Nissinen, Margarita de la Pisa Carrión</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DC0657"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DC0657" w:rsidRDefault="00C77B3E" w:rsidP="009D4E99">
            <w:pPr>
              <w:pStyle w:val="Normal6a"/>
            </w:pPr>
            <w:r>
              <w:t>5.</w:t>
            </w:r>
            <w:r>
              <w:tab/>
              <w:t>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w:t>
            </w:r>
          </w:p>
        </w:tc>
        <w:tc>
          <w:tcPr>
            <w:tcW w:w="4876" w:type="dxa"/>
          </w:tcPr>
          <w:p w:rsidR="00C77B3E" w:rsidRPr="00DC0657" w:rsidRDefault="00C77B3E" w:rsidP="009D4E99">
            <w:pPr>
              <w:pStyle w:val="Normal6a"/>
            </w:pPr>
            <w:r>
              <w:t>5.</w:t>
            </w:r>
            <w:r>
              <w:tab/>
              <w:t xml:space="preserve">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 </w:t>
            </w:r>
            <w:r>
              <w:rPr>
                <w:b/>
                <w:i/>
              </w:rPr>
              <w:t>W związku z tym krajowe organy regulacyjne powinny uwzględnić między innymi symetryczny obowiązek w zakresie dostępu wynikający z rozporządzenia dotyczącego aktu w sprawie infrastruktury gigabitowej jako punkt wyjścia do rozważenia, czy należy nałożyć regulacje ex ante o znaczącej pozycji rynkowej. W przypadku gdy uwzględnienie aktu w sprawie infrastruktury gigabitowej może nie wystarczyć do zaradzenia sytuacji na rynku infrastruktury, krajowe organy regulacyjne powinny należycie uzasadnić tę ocenę.</w:t>
            </w:r>
          </w:p>
        </w:tc>
      </w:tr>
    </w:tbl>
    <w:p w:rsidR="00C77B3E" w:rsidRPr="00DC0657" w:rsidRDefault="00C77B3E" w:rsidP="00C77B3E">
      <w:pPr>
        <w:pStyle w:val="AmOrLang"/>
      </w:pPr>
      <w:r w:rsidRPr="00DC0657">
        <w:t xml:space="preserve">Or. </w:t>
      </w:r>
      <w:r w:rsidRPr="00DC0657">
        <w:rPr>
          <w:rStyle w:val="HideTWBExt"/>
        </w:rPr>
        <w:t>&lt;Original&gt;</w:t>
      </w:r>
      <w:r w:rsidRPr="00DC0657">
        <w:rPr>
          <w:rStyle w:val="HideTWBInt"/>
        </w:rPr>
        <w:t>{EN}</w:t>
      </w:r>
      <w:r w:rsidRPr="00DC0657">
        <w:t>en</w:t>
      </w:r>
      <w:r w:rsidRPr="00DC0657">
        <w:rPr>
          <w:rStyle w:val="HideTWBExt"/>
        </w:rPr>
        <w:t>&lt;/Original&gt;</w:t>
      </w:r>
    </w:p>
    <w:p w:rsidR="00C77B3E" w:rsidRPr="00DC0657" w:rsidRDefault="00C77B3E" w:rsidP="00C77B3E">
      <w:r>
        <w:rPr>
          <w:rStyle w:val="HideTWBExt"/>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256</w:t>
      </w:r>
      <w:r>
        <w:rPr>
          <w:rStyle w:val="HideTWBExt"/>
        </w:rPr>
        <w:t>&lt;/NumAm&gt;</w:t>
      </w:r>
    </w:p>
    <w:p w:rsidR="00C77B3E" w:rsidRPr="00DC0657" w:rsidRDefault="00C77B3E" w:rsidP="00C77B3E">
      <w:pPr>
        <w:pStyle w:val="NormalBold"/>
      </w:pPr>
      <w:r>
        <w:rPr>
          <w:rStyle w:val="HideTWBExt"/>
        </w:rPr>
        <w:t>&lt;RepeatBlock-By&gt;&lt;Members&gt;</w:t>
      </w:r>
      <w:r>
        <w:t>Susana Solís Pérez</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5.</w:t>
            </w:r>
            <w:r>
              <w:tab/>
              <w:t>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w:t>
            </w:r>
          </w:p>
        </w:tc>
        <w:tc>
          <w:tcPr>
            <w:tcW w:w="4876" w:type="dxa"/>
          </w:tcPr>
          <w:p w:rsidR="00C77B3E" w:rsidRPr="004448C8" w:rsidRDefault="00C77B3E" w:rsidP="009D4E99">
            <w:pPr>
              <w:pStyle w:val="Normal6a"/>
            </w:pPr>
            <w:r>
              <w:t>5.</w:t>
            </w:r>
            <w:r>
              <w:tab/>
              <w:t xml:space="preserve">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 </w:t>
            </w:r>
            <w:r>
              <w:rPr>
                <w:b/>
                <w:i/>
              </w:rPr>
              <w:t>W związku z tym krajowe organy regulacyjne powinny uwzględnić między innymi symetryczny obowiązek w zakresie dostępu wynikający z rozporządzenia dotyczącego aktu w sprawie infrastruktury gigabitowej jako punkt wyjścia do rozważenia, czy należy nałożyć regulacje ex ante o znaczącej pozycji rynkowej. W przypadku gdy uwzględnienie aktu w sprawie infrastruktury gigabitowej może nie wystarczyć do zaradzenia sytuacji na rynku infrastruktury, krajowe organy regulacyjne powinny należycie uzasadnić tę ocenę.</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Organy regulacyjne powinny uwzględnić, jak przewidziano w art. 67 ust. 2 dyrektywy (UE) 2018/1972, między innymi symetryczny obowiązek w zakresie dostępu wynikający z rozporządzenia dotyczącego aktu w sprawie infrastruktury gigabitowej jako punkt wyjścia do rozważenia, czy należy nałożyć regulacje ex ante o znaczącej pozycji rynkowej. W przypadku gdy uwzględnienie aktu w sprawie infrastruktury gigabitowej może nie wystarczyć do zaradzenia sytuacji na rynku infrastruktury, krajowe organy regulacyjne powinny należycie uzasadnić tę ocenę.</w:t>
      </w:r>
    </w:p>
    <w:p w:rsidR="00C77B3E" w:rsidRPr="004448C8" w:rsidRDefault="00C77B3E" w:rsidP="00C77B3E">
      <w:r>
        <w:rPr>
          <w:rStyle w:val="HideTWBExt"/>
          <w:lang w:val="en-GB"/>
        </w:rPr>
        <w:t>&lt;/Amend&gt;</w:t>
      </w:r>
    </w:p>
    <w:p w:rsidR="00C77B3E" w:rsidRPr="00DC0657" w:rsidRDefault="00C77B3E" w:rsidP="00C77B3E">
      <w:pPr>
        <w:pStyle w:val="AmNumberTabs"/>
      </w:pPr>
      <w:r>
        <w:rPr>
          <w:rStyle w:val="HideTWBExt"/>
        </w:rPr>
        <w:t>&lt;Amend&gt;</w:t>
      </w:r>
      <w:r>
        <w:t>Poprawka</w:t>
      </w:r>
      <w:r>
        <w:tab/>
      </w:r>
      <w:r>
        <w:tab/>
      </w:r>
      <w:r>
        <w:rPr>
          <w:rStyle w:val="HideTWBExt"/>
        </w:rPr>
        <w:t>&lt;NumAm&gt;</w:t>
      </w:r>
      <w:r>
        <w:t>257</w:t>
      </w:r>
      <w:r>
        <w:rPr>
          <w:rStyle w:val="HideTWBExt"/>
        </w:rPr>
        <w:t>&lt;/NumAm&gt;</w:t>
      </w:r>
    </w:p>
    <w:p w:rsidR="00C77B3E" w:rsidRPr="00DC0657" w:rsidRDefault="00C77B3E" w:rsidP="00C77B3E">
      <w:pPr>
        <w:pStyle w:val="NormalBold"/>
      </w:pPr>
      <w:r>
        <w:rPr>
          <w:rStyle w:val="HideTWBExt"/>
        </w:rPr>
        <w:t>&lt;RepeatBlock-By&gt;&lt;Members&gt;</w:t>
      </w:r>
      <w:r>
        <w:t>Pilar del Castillo Vera</w:t>
      </w:r>
      <w:r>
        <w:rPr>
          <w:rStyle w:val="HideTWBExt"/>
        </w:rPr>
        <w:t>&lt;/Members&gt;</w:t>
      </w:r>
    </w:p>
    <w:p w:rsidR="00C77B3E" w:rsidRPr="00DC0657" w:rsidRDefault="00C77B3E" w:rsidP="00C77B3E">
      <w:pPr>
        <w:pStyle w:val="NormalBold"/>
      </w:pPr>
      <w:r>
        <w:rPr>
          <w:rStyle w:val="HideTWBExt"/>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5.</w:t>
            </w:r>
            <w:r>
              <w:tab/>
              <w:t>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w:t>
            </w:r>
          </w:p>
        </w:tc>
        <w:tc>
          <w:tcPr>
            <w:tcW w:w="4876" w:type="dxa"/>
          </w:tcPr>
          <w:p w:rsidR="00C77B3E" w:rsidRPr="004448C8" w:rsidRDefault="00C77B3E" w:rsidP="009D4E99">
            <w:pPr>
              <w:pStyle w:val="Normal6a"/>
            </w:pPr>
            <w:r>
              <w:t>5.</w:t>
            </w:r>
            <w:r>
              <w:tab/>
              <w:t xml:space="preserve">Infrastruktura techniczna, która podlega już obowiązkom w zakresie dostępu nałożonym przez krajowe organy regulacyjne na podstawie dyrektywy (UE) 2018/1972 lub wynikającym ze stosowania unijnych zasad pomocy państwa, nie podlega obowiązkom określonym w ust. 2, 3 i 4, dopóki obowiązują takie obowiązki w zakresie dostępu. </w:t>
            </w:r>
            <w:r>
              <w:rPr>
                <w:b/>
                <w:i/>
              </w:rPr>
              <w:t>W związku z tym gdy krajowe organy regulacyjne rozważają nałożenie ex ante środków naprawczych odnoszących się do znaczącej pozycji rynkowej, powinny uwzględnić ex ante symetryczne obowiązki dotyczące znaczącej pozycji rynkowej wynikające z niniejszego rozporządzenia.</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258</w:t>
      </w:r>
      <w:r>
        <w:rPr>
          <w:rStyle w:val="HideTWBExt"/>
          <w:lang w:val="fr-FR"/>
        </w:rPr>
        <w:t>&lt;/NumAm&gt;</w:t>
      </w:r>
    </w:p>
    <w:p w:rsidR="00C77B3E" w:rsidRPr="004448C8" w:rsidRDefault="00C77B3E" w:rsidP="00C77B3E">
      <w:pPr>
        <w:pStyle w:val="NormalBold"/>
      </w:pPr>
      <w:r>
        <w:rPr>
          <w:rStyle w:val="HideTWBExt"/>
          <w:lang w:val="fr-FR"/>
        </w:rPr>
        <w:t>&lt;RepeatBlock-By&gt;&lt;Members&gt;</w:t>
      </w:r>
      <w:r>
        <w:t>Elena Kountoura</w:t>
      </w:r>
      <w:r>
        <w:rPr>
          <w:rStyle w:val="HideTWBExt"/>
          <w:lang w:val="fr-FR"/>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5.</w:t>
            </w:r>
            <w:r>
              <w:tab/>
              <w:t>Infrastruktura techniczna, która podlega już obowiązkom w zakresie dostępu nałożonym przez krajowe organy regulacyjne na podstawie dyrektywy (UE) 2018/1972 lub wynikającym ze stosowania unijnych zasad pomocy państwa, nie podlega obowiązkom określonym w ust. </w:t>
            </w:r>
            <w:r>
              <w:rPr>
                <w:b/>
                <w:i/>
              </w:rPr>
              <w:t>2</w:t>
            </w:r>
            <w:r>
              <w:t xml:space="preserve">, </w:t>
            </w:r>
            <w:r>
              <w:rPr>
                <w:b/>
                <w:i/>
              </w:rPr>
              <w:t>3</w:t>
            </w:r>
            <w:r>
              <w:t xml:space="preserve"> i </w:t>
            </w:r>
            <w:r>
              <w:rPr>
                <w:b/>
                <w:i/>
              </w:rPr>
              <w:t>4</w:t>
            </w:r>
            <w:r>
              <w:t>, dopóki obowiązują takie obowiązki w zakresie dostępu.</w:t>
            </w:r>
          </w:p>
        </w:tc>
        <w:tc>
          <w:tcPr>
            <w:tcW w:w="4876" w:type="dxa"/>
          </w:tcPr>
          <w:p w:rsidR="00C77B3E" w:rsidRPr="004448C8" w:rsidRDefault="00C77B3E" w:rsidP="009D4E99">
            <w:pPr>
              <w:pStyle w:val="Normal6a"/>
            </w:pPr>
            <w:r>
              <w:t>5.</w:t>
            </w:r>
            <w:r>
              <w:tab/>
              <w:t xml:space="preserve">Infrastruktura techniczna, która podlega już obowiązkom w zakresie dostępu nałożonym przez krajowe organy regulacyjne </w:t>
            </w:r>
            <w:r>
              <w:rPr>
                <w:b/>
                <w:i/>
              </w:rPr>
              <w:t xml:space="preserve">lub inne właściwe organy </w:t>
            </w:r>
            <w:r>
              <w:t>na podstawie dyrektywy (UE) 2018/1972 lub wynikającym ze stosowania unijnych zasad pomocy państwa, nie podlega obowiązkom określonym w ust. </w:t>
            </w:r>
            <w:r>
              <w:rPr>
                <w:b/>
                <w:i/>
              </w:rPr>
              <w:t>1</w:t>
            </w:r>
            <w:r>
              <w:t xml:space="preserve">, </w:t>
            </w:r>
            <w:r>
              <w:rPr>
                <w:b/>
                <w:i/>
              </w:rPr>
              <w:t>2</w:t>
            </w:r>
            <w:r>
              <w:t xml:space="preserve"> i </w:t>
            </w:r>
            <w:r>
              <w:rPr>
                <w:b/>
                <w:i/>
              </w:rPr>
              <w:t>3</w:t>
            </w:r>
            <w:r>
              <w:t>, dopóki obowiązują takie obowiązki w zakresie dostępu.</w:t>
            </w:r>
          </w:p>
        </w:tc>
      </w:tr>
    </w:tbl>
    <w:p w:rsidR="00C77B3E" w:rsidRPr="004448C8" w:rsidRDefault="00C77B3E" w:rsidP="00C77B3E">
      <w:pPr>
        <w:pStyle w:val="AmOrLang"/>
        <w:rPr>
          <w:lang w:val="fr-FR"/>
        </w:rPr>
      </w:pPr>
      <w:r w:rsidRPr="004448C8">
        <w:rPr>
          <w:lang w:val="fr-FR"/>
        </w:rPr>
        <w:t xml:space="preserve">Or. </w:t>
      </w:r>
      <w:r w:rsidRPr="004448C8">
        <w:rPr>
          <w:rStyle w:val="HideTWBExt"/>
          <w:lang w:val="fr-FR"/>
        </w:rPr>
        <w:t>&lt;Original&gt;</w:t>
      </w:r>
      <w:r w:rsidRPr="004448C8">
        <w:rPr>
          <w:rStyle w:val="HideTWBInt"/>
          <w:lang w:val="fr-FR"/>
        </w:rPr>
        <w:t>{EN}</w:t>
      </w:r>
      <w:r w:rsidRPr="004448C8">
        <w:rPr>
          <w:lang w:val="fr-FR"/>
        </w:rPr>
        <w:t>en</w:t>
      </w:r>
      <w:r w:rsidRPr="004448C8">
        <w:rPr>
          <w:rStyle w:val="HideTWBExt"/>
          <w:lang w:val="fr-FR"/>
        </w:rPr>
        <w:t>&lt;/Original&gt;</w:t>
      </w:r>
    </w:p>
    <w:p w:rsidR="00C77B3E" w:rsidRPr="004448C8" w:rsidRDefault="00C77B3E" w:rsidP="00C77B3E">
      <w:r>
        <w:rPr>
          <w:rStyle w:val="HideTWBExt"/>
          <w:lang w:val="fr-FR"/>
        </w:rPr>
        <w:t>&lt;/Amend&gt;</w:t>
      </w:r>
    </w:p>
    <w:p w:rsidR="00C77B3E" w:rsidRPr="004448C8" w:rsidRDefault="00C77B3E" w:rsidP="00C77B3E">
      <w:pPr>
        <w:pStyle w:val="AmNumberTabs"/>
      </w:pPr>
      <w:r>
        <w:rPr>
          <w:rStyle w:val="HideTWBExt"/>
          <w:lang w:val="fr-FR"/>
        </w:rPr>
        <w:t>&lt;Amend&gt;</w:t>
      </w:r>
      <w:r>
        <w:t>Poprawka</w:t>
      </w:r>
      <w:r>
        <w:tab/>
      </w:r>
      <w:r>
        <w:tab/>
      </w:r>
      <w:r>
        <w:rPr>
          <w:rStyle w:val="HideTWBExt"/>
          <w:lang w:val="fr-FR"/>
        </w:rPr>
        <w:t>&lt;NumAm&gt;</w:t>
      </w:r>
      <w:r>
        <w:t>259</w:t>
      </w:r>
      <w:r>
        <w:rPr>
          <w:rStyle w:val="HideTWBExt"/>
          <w:lang w:val="fr-FR"/>
        </w:rPr>
        <w:t>&lt;/NumAm&gt;</w:t>
      </w:r>
    </w:p>
    <w:p w:rsidR="00C77B3E" w:rsidRPr="004448C8" w:rsidRDefault="00C77B3E" w:rsidP="00C77B3E">
      <w:pPr>
        <w:pStyle w:val="NormalBold"/>
      </w:pPr>
      <w:r>
        <w:rPr>
          <w:rStyle w:val="HideTWBExt"/>
          <w:lang w:val="fr-FR"/>
        </w:rPr>
        <w:t>&lt;RepeatBlock-By&gt;&lt;Members&gt;</w:t>
      </w:r>
      <w:r>
        <w:t>Adam Jarubas, Janusz Lewandowski</w:t>
      </w:r>
      <w:r>
        <w:rPr>
          <w:rStyle w:val="HideTWBExt"/>
          <w:lang w:val="fr-FR"/>
        </w:rPr>
        <w:t>&lt;/Members&gt;</w:t>
      </w:r>
    </w:p>
    <w:p w:rsidR="00C77B3E" w:rsidRPr="004448C8" w:rsidRDefault="00C77B3E" w:rsidP="00C77B3E">
      <w:pPr>
        <w:pStyle w:val="NormalBold"/>
      </w:pPr>
      <w:r>
        <w:rPr>
          <w:rStyle w:val="HideTWBExt"/>
          <w:lang w:val="fr-FR"/>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6.</w:t>
            </w:r>
            <w:r>
              <w:tab/>
              <w:t xml:space="preserve">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 zdrowie publiczne. Państwa członkowskie określają takie budynki lub kategorie budynków na swoich terytoriach na podstawie należycie uzasadnionych i proporcjonalnych kryteriów. </w:t>
            </w:r>
            <w:r>
              <w:rPr>
                <w:b/>
                <w:i/>
              </w:rPr>
              <w:t>Informacje dotyczące takich budynków lub kategorii budynków są publikowane za pośrednictwem pojedynczego punktu informacyjnego i przekazywane Komisji.</w:t>
            </w:r>
          </w:p>
        </w:tc>
        <w:tc>
          <w:tcPr>
            <w:tcW w:w="4876" w:type="dxa"/>
          </w:tcPr>
          <w:p w:rsidR="00C77B3E" w:rsidRPr="004448C8" w:rsidRDefault="00C77B3E" w:rsidP="009D4E99">
            <w:pPr>
              <w:pStyle w:val="Normal6a"/>
            </w:pPr>
            <w:r>
              <w:t>6.</w:t>
            </w:r>
            <w:r>
              <w:tab/>
              <w:t>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 zdrowie publiczne. Państwa członkowskie określają takie budynki lub kategorie budynków na swoich terytoriach na podstawie należycie uzasadnionych i proporcjonalnych kryteriów.</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260</w:t>
      </w:r>
      <w:r>
        <w:rPr>
          <w:rStyle w:val="HideTWBExt"/>
          <w:lang w:val="sv-SE"/>
        </w:rPr>
        <w:t>&lt;/NumAm&gt;</w:t>
      </w:r>
    </w:p>
    <w:p w:rsidR="00C77B3E" w:rsidRPr="004448C8" w:rsidRDefault="00C77B3E" w:rsidP="00C77B3E">
      <w:pPr>
        <w:pStyle w:val="NormalBold"/>
      </w:pPr>
      <w:r>
        <w:rPr>
          <w:rStyle w:val="HideTWBExt"/>
          <w:lang w:val="sv-SE"/>
        </w:rPr>
        <w:t>&lt;RepeatBlock-By&gt;&lt;Members&gt;</w:t>
      </w:r>
      <w:r>
        <w:t>Miapetra Kumpula-Natri</w:t>
      </w:r>
      <w:r>
        <w:rPr>
          <w:rStyle w:val="HideTWBExt"/>
          <w:lang w:val="sv-SE"/>
        </w:rPr>
        <w:t>&lt;/Members&gt;</w:t>
      </w:r>
    </w:p>
    <w:p w:rsidR="00C77B3E" w:rsidRPr="004448C8" w:rsidRDefault="00C77B3E" w:rsidP="00C77B3E">
      <w:pPr>
        <w:pStyle w:val="NormalBold"/>
      </w:pPr>
      <w:r>
        <w:rPr>
          <w:rStyle w:val="HideTWBExt"/>
          <w:lang w:val="sv-SE"/>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6.</w:t>
            </w:r>
            <w:r>
              <w:tab/>
              <w:t>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w:t>
            </w:r>
            <w:r>
              <w:rPr>
                <w:b/>
                <w:i/>
              </w:rPr>
              <w:t> zdrowie publiczne</w:t>
            </w:r>
            <w:r>
              <w:t>. Państwa członkowskie określają takie budynki lub kategorie budynków na swoich terytoriach na podstawie należycie uzasadnionych i proporcjonalnych kryteriów. Informacje dotyczące takich budynków lub kategorii budynków są publikowane za pośrednictwem pojedynczego punktu informacyjnego i przekazywane Komisji.</w:t>
            </w:r>
          </w:p>
        </w:tc>
        <w:tc>
          <w:tcPr>
            <w:tcW w:w="4876" w:type="dxa"/>
          </w:tcPr>
          <w:p w:rsidR="00C77B3E" w:rsidRPr="004448C8" w:rsidRDefault="00C77B3E" w:rsidP="009D4E99">
            <w:pPr>
              <w:pStyle w:val="Normal6a"/>
            </w:pPr>
            <w:r>
              <w:t>6.</w:t>
            </w:r>
            <w:r>
              <w:tab/>
              <w:t xml:space="preserve">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w:t>
            </w:r>
            <w:r>
              <w:rPr>
                <w:b/>
                <w:i/>
              </w:rPr>
              <w:t xml:space="preserve">publiczne, lub z opartych na podstawach naukowych względów bezpieczeństwa </w:t>
            </w:r>
            <w:r>
              <w:t>i</w:t>
            </w:r>
            <w:r>
              <w:rPr>
                <w:b/>
                <w:i/>
              </w:rPr>
              <w:t xml:space="preserve"> zdrowia</w:t>
            </w:r>
            <w:r>
              <w:t>. Państwa członkowskie określają takie budynki lub kategorie budynków na swoich terytoriach na podstawie należycie uzasadnionych i proporcjonalnych kryteriów. Informacje dotyczące takich budynków lub kategorii budynków są publikowane za pośrednictwem pojedynczego punktu informacyjnego i przekazywane Komisji.</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Dodanie odniesienia do ugruntowanych, opartych na podstawach naukowych względów bezpieczeństwa i zdrowia publicznego zapewni podejmowanie decyzji w oparciu o dowody.</w:t>
      </w:r>
    </w:p>
    <w:p w:rsidR="00C77B3E" w:rsidRPr="004448C8" w:rsidRDefault="00C77B3E" w:rsidP="00C77B3E">
      <w:r>
        <w:rPr>
          <w:rStyle w:val="HideTWBExt"/>
          <w:lang w:val="en-GB"/>
        </w:rPr>
        <w:t>&lt;/Amend&gt;</w:t>
      </w:r>
    </w:p>
    <w:p w:rsidR="00C77B3E" w:rsidRPr="004448C8" w:rsidRDefault="00C77B3E" w:rsidP="00C77B3E">
      <w:pPr>
        <w:pStyle w:val="AmNumberTabs"/>
      </w:pPr>
      <w:r>
        <w:rPr>
          <w:rStyle w:val="HideTWBExt"/>
          <w:lang w:val="en-GB"/>
        </w:rPr>
        <w:t>&lt;Amend&gt;</w:t>
      </w:r>
      <w:r>
        <w:t>Poprawka</w:t>
      </w:r>
      <w:r>
        <w:tab/>
      </w:r>
      <w:r>
        <w:tab/>
      </w:r>
      <w:r>
        <w:rPr>
          <w:rStyle w:val="HideTWBExt"/>
          <w:lang w:val="en-GB"/>
        </w:rPr>
        <w:t>&lt;NumAm&gt;</w:t>
      </w:r>
      <w:r>
        <w:t>261</w:t>
      </w:r>
      <w:r>
        <w:rPr>
          <w:rStyle w:val="HideTWBExt"/>
          <w:lang w:val="en-GB"/>
        </w:rPr>
        <w:t>&lt;/NumAm&gt;</w:t>
      </w:r>
    </w:p>
    <w:p w:rsidR="00C77B3E" w:rsidRPr="004448C8" w:rsidRDefault="00C77B3E" w:rsidP="00C77B3E">
      <w:pPr>
        <w:pStyle w:val="NormalBold"/>
      </w:pPr>
      <w:r>
        <w:rPr>
          <w:rStyle w:val="HideTWBExt"/>
          <w:lang w:val="en-GB"/>
        </w:rPr>
        <w:t>&lt;RepeatBlock-By&gt;&lt;Members&gt;</w:t>
      </w:r>
      <w:r>
        <w:t>Elena Kountoura</w:t>
      </w:r>
      <w:r>
        <w:rPr>
          <w:rStyle w:val="HideTWBExt"/>
          <w:lang w:val="en-GB"/>
        </w:rPr>
        <w:t>&lt;/Members&gt;</w:t>
      </w:r>
    </w:p>
    <w:p w:rsidR="00C77B3E" w:rsidRPr="004448C8" w:rsidRDefault="00C77B3E" w:rsidP="00C77B3E">
      <w:r>
        <w:rPr>
          <w:rStyle w:val="HideTWBExt"/>
          <w:lang w:val="en-GB"/>
        </w:rPr>
        <w:t>&lt;AuNomDe&gt;</w:t>
      </w:r>
      <w:r>
        <w:rPr>
          <w:rStyle w:val="HideTWBInt"/>
          <w:lang w:val="en-GB"/>
        </w:rPr>
        <w:t>{The Left}</w:t>
      </w:r>
      <w:r>
        <w:t>w imieniu grupy The Left</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6.</w:t>
            </w:r>
            <w:r>
              <w:tab/>
              <w:t>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 zdrowie publiczne. Państwa członkowskie określają takie budynki lub kategorie budynków na swoich terytoriach na podstawie należycie uzasadnionych i proporcjonalnych kryteriów. Informacje dotyczące takich budynków lub kategorii budynków są publikowane za pośrednictwem pojedynczego punktu informacyjnego i przekazywane Komisji.</w:t>
            </w:r>
          </w:p>
        </w:tc>
        <w:tc>
          <w:tcPr>
            <w:tcW w:w="4876" w:type="dxa"/>
          </w:tcPr>
          <w:p w:rsidR="00C77B3E" w:rsidRPr="004448C8" w:rsidRDefault="00C77B3E" w:rsidP="009D4E99">
            <w:pPr>
              <w:pStyle w:val="Normal6a"/>
            </w:pPr>
            <w:r>
              <w:t>6.</w:t>
            </w:r>
            <w:r>
              <w:tab/>
              <w:t xml:space="preserve">Podmioty sektora publicznego będące właścicielami budynków lub budynków określonych kategorii lub kontrolujące takie budynki nie muszą stosować ust. 1, 2 i 3 do tych budynków lub kategorii budynków ze względu na </w:t>
            </w:r>
            <w:r>
              <w:rPr>
                <w:b/>
                <w:i/>
              </w:rPr>
              <w:t xml:space="preserve">ochronę środowiska, na </w:t>
            </w:r>
            <w:r>
              <w:t>ich wartość architektoniczną, historyczną, religijną lub przyrodniczą, lub ze względu na bezpieczeństwo i zdrowie publiczne. Państwa członkowskie określają takie budynki lub kategorie budynków na swoich terytoriach na podstawie należycie uzasadnionych i proporcjonalnych kryteriów. Informacje dotyczące takich budynków lub kategorii budynków są publikowane za pośrednictwem pojedynczego punktu informacyjnego i przekazywane Komisji.</w:t>
            </w:r>
          </w:p>
        </w:tc>
      </w:tr>
    </w:tbl>
    <w:p w:rsidR="00C77B3E" w:rsidRPr="004448C8" w:rsidRDefault="00C77B3E" w:rsidP="00C77B3E">
      <w:pPr>
        <w:pStyle w:val="AmOrLang"/>
        <w:rPr>
          <w:lang w:val="sv-SE"/>
        </w:rPr>
      </w:pPr>
      <w:r w:rsidRPr="004448C8">
        <w:rPr>
          <w:lang w:val="sv-SE"/>
        </w:rPr>
        <w:t xml:space="preserve">Or. </w:t>
      </w:r>
      <w:r w:rsidRPr="004448C8">
        <w:rPr>
          <w:rStyle w:val="HideTWBExt"/>
          <w:lang w:val="sv-SE"/>
        </w:rPr>
        <w:t>&lt;Original&gt;</w:t>
      </w:r>
      <w:r w:rsidRPr="004448C8">
        <w:rPr>
          <w:rStyle w:val="HideTWBInt"/>
          <w:lang w:val="sv-SE"/>
        </w:rPr>
        <w:t>{EN}</w:t>
      </w:r>
      <w:r w:rsidRPr="004448C8">
        <w:rPr>
          <w:lang w:val="sv-SE"/>
        </w:rPr>
        <w:t>en</w:t>
      </w:r>
      <w:r w:rsidRPr="004448C8">
        <w:rPr>
          <w:rStyle w:val="HideTWBExt"/>
          <w:lang w:val="sv-SE"/>
        </w:rPr>
        <w:t>&lt;/Original&gt;</w:t>
      </w:r>
    </w:p>
    <w:p w:rsidR="00C77B3E" w:rsidRPr="004448C8" w:rsidRDefault="00C77B3E" w:rsidP="00C77B3E">
      <w:r>
        <w:rPr>
          <w:rStyle w:val="HideTWBExt"/>
          <w:lang w:val="sv-SE"/>
        </w:rPr>
        <w:t>&lt;/Amend&gt;</w:t>
      </w:r>
    </w:p>
    <w:p w:rsidR="00C77B3E" w:rsidRPr="004448C8" w:rsidRDefault="00C77B3E" w:rsidP="00C77B3E">
      <w:pPr>
        <w:pStyle w:val="AmNumberTabs"/>
      </w:pPr>
      <w:r>
        <w:rPr>
          <w:rStyle w:val="HideTWBExt"/>
          <w:lang w:val="sv-SE"/>
        </w:rPr>
        <w:t>&lt;Amend&gt;</w:t>
      </w:r>
      <w:r>
        <w:t>Poprawka</w:t>
      </w:r>
      <w:r>
        <w:tab/>
      </w:r>
      <w:r>
        <w:tab/>
      </w:r>
      <w:r>
        <w:rPr>
          <w:rStyle w:val="HideTWBExt"/>
          <w:lang w:val="sv-SE"/>
        </w:rPr>
        <w:t>&lt;NumAm&gt;</w:t>
      </w:r>
      <w:r>
        <w:t>262</w:t>
      </w:r>
      <w:r>
        <w:rPr>
          <w:rStyle w:val="HideTWBExt"/>
          <w:lang w:val="sv-SE"/>
        </w:rPr>
        <w:t>&lt;/NumAm&gt;</w:t>
      </w:r>
    </w:p>
    <w:p w:rsidR="00C77B3E" w:rsidRPr="004448C8" w:rsidRDefault="00C77B3E" w:rsidP="00C77B3E">
      <w:pPr>
        <w:pStyle w:val="NormalBold"/>
      </w:pPr>
      <w:r>
        <w:rPr>
          <w:rStyle w:val="HideTWBExt"/>
          <w:lang w:val="sv-SE"/>
        </w:rPr>
        <w:t>&lt;RepeatBlock-By&gt;&lt;Members&gt;</w:t>
      </w:r>
      <w:r>
        <w:t>Niklas Nienass</w:t>
      </w:r>
      <w:r>
        <w:rPr>
          <w:rStyle w:val="HideTWBExt"/>
          <w:lang w:val="sv-SE"/>
        </w:rPr>
        <w:t>&lt;/Members&gt;</w:t>
      </w:r>
    </w:p>
    <w:p w:rsidR="00C77B3E" w:rsidRPr="004448C8" w:rsidRDefault="00C77B3E" w:rsidP="00C77B3E">
      <w:r>
        <w:rPr>
          <w:rStyle w:val="HideTWBExt"/>
          <w:lang w:val="en-GB"/>
        </w:rPr>
        <w:t>&lt;AuNomDe&gt;</w:t>
      </w:r>
      <w:r>
        <w:rPr>
          <w:rStyle w:val="HideTWBInt"/>
          <w:lang w:val="en-GB"/>
        </w:rPr>
        <w:t>{Verts/ALE}</w:t>
      </w:r>
      <w:r>
        <w:t>w imieniu grupy Verts/ALE</w:t>
      </w:r>
      <w:r>
        <w:rPr>
          <w:rStyle w:val="HideTWBExt"/>
          <w:lang w:val="en-GB"/>
        </w:rPr>
        <w:t>&lt;/AuNomDe&gt;</w:t>
      </w:r>
    </w:p>
    <w:p w:rsidR="00C77B3E" w:rsidRPr="004448C8" w:rsidRDefault="00C77B3E" w:rsidP="00C77B3E">
      <w:pPr>
        <w:pStyle w:val="NormalBold"/>
      </w:pPr>
      <w:r>
        <w:rPr>
          <w:rStyle w:val="HideTWBExt"/>
          <w:lang w:val="en-GB"/>
        </w:rPr>
        <w:t>&lt;/RepeatBlock-By&gt;</w:t>
      </w:r>
    </w:p>
    <w:p w:rsidR="00C77B3E" w:rsidRPr="00DC0657" w:rsidRDefault="00C77B3E" w:rsidP="00C77B3E">
      <w:pPr>
        <w:pStyle w:val="NormalBold"/>
      </w:pPr>
      <w:r>
        <w:rPr>
          <w:rStyle w:val="HideTWBExt"/>
        </w:rPr>
        <w:t>&lt;DocAmend&gt;</w:t>
      </w:r>
      <w:r>
        <w:t>Wniosek dotyczący rozporządzenia</w:t>
      </w:r>
      <w:r>
        <w:rPr>
          <w:rStyle w:val="HideTWBExt"/>
        </w:rPr>
        <w:t>&lt;/DocAmend&gt;</w:t>
      </w:r>
    </w:p>
    <w:p w:rsidR="00C77B3E" w:rsidRPr="00DC0657" w:rsidRDefault="00C77B3E" w:rsidP="00C77B3E">
      <w:pPr>
        <w:pStyle w:val="NormalBold"/>
      </w:pPr>
      <w:r>
        <w:rPr>
          <w:rStyle w:val="HideTWBExt"/>
        </w:rPr>
        <w:t>&lt;Article&gt;</w:t>
      </w:r>
      <w:r>
        <w:t>Artykuł 3 – ustęp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7B3E" w:rsidTr="009D4E99">
        <w:trPr>
          <w:trHeight w:hRule="exact" w:val="240"/>
          <w:jc w:val="center"/>
        </w:trPr>
        <w:tc>
          <w:tcPr>
            <w:tcW w:w="9752" w:type="dxa"/>
            <w:gridSpan w:val="2"/>
          </w:tcPr>
          <w:p w:rsidR="00C77B3E" w:rsidRPr="00DC0657" w:rsidRDefault="00C77B3E" w:rsidP="009D4E99"/>
        </w:tc>
      </w:tr>
      <w:tr w:rsidR="00C77B3E" w:rsidTr="009D4E99">
        <w:trPr>
          <w:trHeight w:val="240"/>
          <w:jc w:val="center"/>
        </w:trPr>
        <w:tc>
          <w:tcPr>
            <w:tcW w:w="4876" w:type="dxa"/>
          </w:tcPr>
          <w:p w:rsidR="00C77B3E" w:rsidRPr="004448C8" w:rsidRDefault="00C77B3E" w:rsidP="009D4E99">
            <w:pPr>
              <w:pStyle w:val="AmColumnHeading"/>
            </w:pPr>
            <w:r>
              <w:t>Tekst proponowany przez Komisję</w:t>
            </w:r>
          </w:p>
        </w:tc>
        <w:tc>
          <w:tcPr>
            <w:tcW w:w="4876" w:type="dxa"/>
          </w:tcPr>
          <w:p w:rsidR="00C77B3E" w:rsidRPr="00DC0657" w:rsidRDefault="00C77B3E" w:rsidP="009D4E99">
            <w:pPr>
              <w:pStyle w:val="AmColumnHeading"/>
            </w:pPr>
            <w:r>
              <w:t>Poprawka</w:t>
            </w:r>
          </w:p>
        </w:tc>
      </w:tr>
      <w:tr w:rsidR="00C77B3E" w:rsidTr="009D4E99">
        <w:trPr>
          <w:jc w:val="center"/>
        </w:trPr>
        <w:tc>
          <w:tcPr>
            <w:tcW w:w="4876" w:type="dxa"/>
          </w:tcPr>
          <w:p w:rsidR="00C77B3E" w:rsidRPr="004448C8" w:rsidRDefault="00C77B3E" w:rsidP="009D4E99">
            <w:pPr>
              <w:pStyle w:val="Normal6a"/>
            </w:pPr>
            <w:r>
              <w:t>6.</w:t>
            </w:r>
            <w:r>
              <w:tab/>
              <w:t xml:space="preserve">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 zdrowie publiczne. Państwa członkowskie określają takie budynki lub kategorie budynków na swoich terytoriach na podstawie należycie uzasadnionych i proporcjonalnych kryteriów. Informacje dotyczące takich budynków lub kategorii budynków są publikowane </w:t>
            </w:r>
            <w:r>
              <w:rPr>
                <w:b/>
                <w:i/>
              </w:rPr>
              <w:t>za pośrednictwem pojedynczego punktu informacyjnego i przekazywane Komisji</w:t>
            </w:r>
            <w:r>
              <w:t>.</w:t>
            </w:r>
          </w:p>
        </w:tc>
        <w:tc>
          <w:tcPr>
            <w:tcW w:w="4876" w:type="dxa"/>
          </w:tcPr>
          <w:p w:rsidR="00C77B3E" w:rsidRPr="004448C8" w:rsidRDefault="00C77B3E" w:rsidP="009D4E99">
            <w:pPr>
              <w:pStyle w:val="Normal6a"/>
            </w:pPr>
            <w:r>
              <w:t>6.</w:t>
            </w:r>
            <w:r>
              <w:tab/>
              <w:t xml:space="preserve">Podmioty sektora publicznego będące właścicielami budynków lub budynków określonych kategorii lub kontrolujące takie budynki nie muszą stosować ust. 1, 2 i 3 do tych budynków lub kategorii budynków ze względu na ich wartość architektoniczną, historyczną, religijną lub przyrodniczą, lub ze względu na bezpieczeństwo i zdrowie publiczne. Państwa członkowskie </w:t>
            </w:r>
            <w:r>
              <w:rPr>
                <w:b/>
                <w:i/>
              </w:rPr>
              <w:t xml:space="preserve">oraz władze regionalne i lokalne </w:t>
            </w:r>
            <w:r>
              <w:t xml:space="preserve">określają takie budynki lub kategorie budynków na swoich terytoriach na podstawie należycie uzasadnionych i proporcjonalnych kryteriów. Informacje dotyczące takich budynków lub kategorii budynków są publikowane </w:t>
            </w:r>
            <w:r>
              <w:rPr>
                <w:b/>
                <w:i/>
              </w:rPr>
              <w:t>przez właściwy organ</w:t>
            </w:r>
            <w:r>
              <w:t>.</w:t>
            </w:r>
          </w:p>
        </w:tc>
      </w:tr>
    </w:tbl>
    <w:p w:rsidR="00C77B3E" w:rsidRPr="004448C8" w:rsidRDefault="00C77B3E" w:rsidP="00C77B3E">
      <w:pPr>
        <w:pStyle w:val="AmOrLang"/>
        <w:rPr>
          <w:lang w:val="en-GB"/>
        </w:rPr>
      </w:pPr>
      <w:r w:rsidRPr="004448C8">
        <w:rPr>
          <w:lang w:val="en-GB"/>
        </w:rPr>
        <w:t xml:space="preserve">Or. </w:t>
      </w:r>
      <w:r w:rsidRPr="004448C8">
        <w:rPr>
          <w:rStyle w:val="HideTWBExt"/>
          <w:lang w:val="en-GB"/>
        </w:rPr>
        <w:t>&lt;Original&gt;</w:t>
      </w:r>
      <w:r w:rsidRPr="004448C8">
        <w:rPr>
          <w:rStyle w:val="HideTWBInt"/>
          <w:lang w:val="en-GB"/>
        </w:rPr>
        <w:t>{EN}</w:t>
      </w:r>
      <w:r w:rsidRPr="004448C8">
        <w:rPr>
          <w:lang w:val="en-GB"/>
        </w:rPr>
        <w:t>en</w:t>
      </w:r>
      <w:r w:rsidRPr="004448C8">
        <w:rPr>
          <w:rStyle w:val="HideTWBExt"/>
          <w:lang w:val="en-GB"/>
        </w:rPr>
        <w:t>&lt;/Original&gt;</w:t>
      </w:r>
    </w:p>
    <w:p w:rsidR="00C77B3E" w:rsidRPr="004448C8" w:rsidRDefault="00C77B3E" w:rsidP="00C77B3E">
      <w:pPr>
        <w:pStyle w:val="AmJustTitle"/>
      </w:pPr>
      <w:r>
        <w:rPr>
          <w:rStyle w:val="HideTWBExt"/>
          <w:lang w:val="en-GB"/>
        </w:rPr>
        <w:t>&lt;TitreJust&gt;</w:t>
      </w:r>
      <w:r>
        <w:t>Uzasadnienie</w:t>
      </w:r>
      <w:r>
        <w:rPr>
          <w:rStyle w:val="HideTWBExt"/>
          <w:lang w:val="en-GB"/>
        </w:rPr>
        <w:t>&lt;/TitreJust&gt;</w:t>
      </w:r>
    </w:p>
    <w:p w:rsidR="00C77B3E" w:rsidRPr="004448C8" w:rsidRDefault="00C77B3E" w:rsidP="00C77B3E">
      <w:pPr>
        <w:pStyle w:val="AmJustText"/>
      </w:pPr>
      <w:r>
        <w:t>Na podstawie różnych przepisów administracyjnych państw członkowskich uprawnienia do przypisywania ograniczonego statusu budynkom mogą należeć do władz regionalnych lub lokalnych. Druga zmiana odnosi się do faktu, że częścią procesu decyzyjnego powinna być proporcjonalność, i zakłada się, że istnieje ona w każdym przypadku przyznania specjalnego statusu. Stosowanie niniejszego rozporządzenia powinno zatem być uzasadnione jako tak lub nie. Po trzecie, ogólnounijna baza danych dotycząca specjalnych statusów budynków nie jest środkiem proporcjonalnym.</w:t>
      </w:r>
    </w:p>
    <w:p w:rsidR="00C77B3E" w:rsidRDefault="00C77B3E" w:rsidP="00C77B3E">
      <w:r>
        <w:rPr>
          <w:rStyle w:val="HideTWBExt"/>
          <w:lang w:val="en-GB"/>
        </w:rPr>
        <w:t>&lt;/Amend&gt;</w:t>
      </w:r>
      <w:r w:rsidRPr="00C77B3E">
        <w:rPr>
          <w:rStyle w:val="HideTWBExt"/>
        </w:rPr>
        <w:t>&lt;/RepeatBlock-Amend&gt;</w:t>
      </w:r>
    </w:p>
    <w:p w:rsidR="00506018" w:rsidRPr="00DC0657" w:rsidRDefault="00506018" w:rsidP="00C77B3E"/>
    <w:sectPr w:rsidR="00506018" w:rsidRPr="00DC0657" w:rsidSect="00AD018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160" w:rsidRDefault="00DD1B44">
      <w:r>
        <w:separator/>
      </w:r>
    </w:p>
  </w:endnote>
  <w:endnote w:type="continuationSeparator" w:id="0">
    <w:p w:rsidR="000F4160" w:rsidRDefault="00DD1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84" w:rsidRPr="00DC0657" w:rsidRDefault="00DD1B44" w:rsidP="00AD0184">
    <w:pPr>
      <w:pStyle w:val="EPFooter"/>
    </w:pPr>
    <w:r w:rsidRPr="00DC0657">
      <w:t>PE</w:t>
    </w:r>
    <w:r w:rsidRPr="00DC0657">
      <w:rPr>
        <w:rStyle w:val="HideTWBExt"/>
      </w:rPr>
      <w:t>&lt;NoPE&gt;</w:t>
    </w:r>
    <w:r w:rsidRPr="00DC0657">
      <w:t>750.132</w:t>
    </w:r>
    <w:r w:rsidRPr="00DC0657">
      <w:rPr>
        <w:rStyle w:val="HideTWBExt"/>
      </w:rPr>
      <w:t>&lt;/NoPE&gt;&lt;Version&gt;</w:t>
    </w:r>
    <w:r w:rsidRPr="00DC0657">
      <w:t>v02-00</w:t>
    </w:r>
    <w:r w:rsidRPr="00DC0657">
      <w:rPr>
        <w:rStyle w:val="HideTWBExt"/>
      </w:rPr>
      <w:t>&lt;/Version&gt;</w:t>
    </w:r>
    <w:r w:rsidRPr="00DC0657">
      <w:tab/>
    </w:r>
    <w:r w:rsidRPr="00DC0657">
      <w:fldChar w:fldCharType="begin"/>
    </w:r>
    <w:r w:rsidRPr="00DC0657">
      <w:instrText xml:space="preserve"> PAGE  \* MERGEFORMAT </w:instrText>
    </w:r>
    <w:r w:rsidRPr="00DC0657">
      <w:fldChar w:fldCharType="separate"/>
    </w:r>
    <w:r w:rsidR="00C77B3E">
      <w:rPr>
        <w:noProof/>
      </w:rPr>
      <w:t>2</w:t>
    </w:r>
    <w:r w:rsidRPr="00DC0657">
      <w:fldChar w:fldCharType="end"/>
    </w:r>
    <w:r w:rsidRPr="00DC0657">
      <w:t>/</w:t>
    </w:r>
    <w:r w:rsidR="00C77B3E">
      <w:fldChar w:fldCharType="begin"/>
    </w:r>
    <w:r w:rsidR="00C77B3E">
      <w:instrText xml:space="preserve"> NUMPAGES  \* MERGEFORMAT </w:instrText>
    </w:r>
    <w:r w:rsidR="00C77B3E">
      <w:fldChar w:fldCharType="separate"/>
    </w:r>
    <w:r w:rsidR="00C77B3E">
      <w:rPr>
        <w:noProof/>
      </w:rPr>
      <w:t>167</w:t>
    </w:r>
    <w:r w:rsidR="00C77B3E">
      <w:rPr>
        <w:noProof/>
      </w:rPr>
      <w:fldChar w:fldCharType="end"/>
    </w:r>
    <w:r w:rsidRPr="00DC0657">
      <w:tab/>
    </w:r>
    <w:r w:rsidRPr="00DC0657">
      <w:rPr>
        <w:rStyle w:val="HideTWBExt"/>
      </w:rPr>
      <w:t>&lt;PathFdR&gt;</w:t>
    </w:r>
    <w:r w:rsidRPr="00DC0657">
      <w:t>AM\1282715PL.docx</w:t>
    </w:r>
    <w:r w:rsidRPr="00DC0657">
      <w:rPr>
        <w:rStyle w:val="HideTWBExt"/>
      </w:rPr>
      <w:t>&lt;/PathFdR&gt;</w:t>
    </w:r>
  </w:p>
  <w:p w:rsidR="00EC6E09" w:rsidRPr="00DC0657" w:rsidRDefault="00DD1B44" w:rsidP="00AD0184">
    <w:pPr>
      <w:pStyle w:val="EPFooter2"/>
    </w:pPr>
    <w:r w:rsidRPr="00DC0657">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84" w:rsidRPr="00DC0657" w:rsidRDefault="00DD1B44" w:rsidP="00AD0184">
    <w:pPr>
      <w:pStyle w:val="EPFooter"/>
    </w:pPr>
    <w:r w:rsidRPr="00DC0657">
      <w:rPr>
        <w:rStyle w:val="HideTWBExt"/>
      </w:rPr>
      <w:t>&lt;PathFdR&gt;</w:t>
    </w:r>
    <w:r w:rsidRPr="00DC0657">
      <w:t>AM\1282715PL.docx</w:t>
    </w:r>
    <w:r w:rsidRPr="00DC0657">
      <w:rPr>
        <w:rStyle w:val="HideTWBExt"/>
      </w:rPr>
      <w:t>&lt;/PathFdR&gt;</w:t>
    </w:r>
    <w:r w:rsidRPr="00DC0657">
      <w:tab/>
    </w:r>
    <w:r w:rsidRPr="00DC0657">
      <w:fldChar w:fldCharType="begin"/>
    </w:r>
    <w:r w:rsidRPr="00DC0657">
      <w:instrText xml:space="preserve"> PAGE  \* MERGEFORMAT </w:instrText>
    </w:r>
    <w:r w:rsidRPr="00DC0657">
      <w:fldChar w:fldCharType="separate"/>
    </w:r>
    <w:r w:rsidR="00C77B3E">
      <w:rPr>
        <w:noProof/>
      </w:rPr>
      <w:t>167</w:t>
    </w:r>
    <w:r w:rsidRPr="00DC0657">
      <w:fldChar w:fldCharType="end"/>
    </w:r>
    <w:r w:rsidRPr="00DC0657">
      <w:t>/</w:t>
    </w:r>
    <w:r w:rsidR="00C77B3E">
      <w:fldChar w:fldCharType="begin"/>
    </w:r>
    <w:r w:rsidR="00C77B3E">
      <w:instrText xml:space="preserve"> NUMPAGES  \* MERGEFORMAT </w:instrText>
    </w:r>
    <w:r w:rsidR="00C77B3E">
      <w:fldChar w:fldCharType="separate"/>
    </w:r>
    <w:r w:rsidR="00C77B3E">
      <w:rPr>
        <w:noProof/>
      </w:rPr>
      <w:t>167</w:t>
    </w:r>
    <w:r w:rsidR="00C77B3E">
      <w:rPr>
        <w:noProof/>
      </w:rPr>
      <w:fldChar w:fldCharType="end"/>
    </w:r>
    <w:r w:rsidRPr="00DC0657">
      <w:tab/>
      <w:t>PE</w:t>
    </w:r>
    <w:r w:rsidRPr="00DC0657">
      <w:rPr>
        <w:rStyle w:val="HideTWBExt"/>
      </w:rPr>
      <w:t>&lt;NoPE&gt;</w:t>
    </w:r>
    <w:r w:rsidRPr="00DC0657">
      <w:t>750.132</w:t>
    </w:r>
    <w:r w:rsidRPr="00DC0657">
      <w:rPr>
        <w:rStyle w:val="HideTWBExt"/>
      </w:rPr>
      <w:t>&lt;/NoPE&gt;&lt;Version&gt;</w:t>
    </w:r>
    <w:r w:rsidRPr="00DC0657">
      <w:t>v02-00</w:t>
    </w:r>
    <w:r w:rsidRPr="00DC0657">
      <w:rPr>
        <w:rStyle w:val="HideTWBExt"/>
      </w:rPr>
      <w:t>&lt;/Version&gt;</w:t>
    </w:r>
  </w:p>
  <w:p w:rsidR="00EC6E09" w:rsidRPr="00DC0657" w:rsidRDefault="00DD1B44" w:rsidP="00AD0184">
    <w:pPr>
      <w:pStyle w:val="EPFooter2"/>
    </w:pPr>
    <w:r w:rsidRPr="00DC0657">
      <w:tab/>
    </w:r>
    <w:r w:rsidRPr="00DC0657">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84" w:rsidRPr="00DC0657" w:rsidRDefault="00DD1B44" w:rsidP="00AD0184">
    <w:pPr>
      <w:pStyle w:val="EPFooter"/>
    </w:pPr>
    <w:r w:rsidRPr="00DC0657">
      <w:rPr>
        <w:rStyle w:val="HideTWBExt"/>
      </w:rPr>
      <w:t>&lt;PathFdR&gt;</w:t>
    </w:r>
    <w:r w:rsidRPr="00DC0657">
      <w:t>AM\1282715PL.docx</w:t>
    </w:r>
    <w:r w:rsidRPr="00DC0657">
      <w:rPr>
        <w:rStyle w:val="HideTWBExt"/>
      </w:rPr>
      <w:t>&lt;/PathFdR&gt;</w:t>
    </w:r>
    <w:r w:rsidRPr="00DC0657">
      <w:tab/>
    </w:r>
    <w:r w:rsidRPr="00DC0657">
      <w:tab/>
      <w:t>PE</w:t>
    </w:r>
    <w:r w:rsidRPr="00DC0657">
      <w:rPr>
        <w:rStyle w:val="HideTWBExt"/>
      </w:rPr>
      <w:t>&lt;NoPE&gt;</w:t>
    </w:r>
    <w:r w:rsidRPr="00DC0657">
      <w:t>750.132</w:t>
    </w:r>
    <w:r w:rsidRPr="00DC0657">
      <w:rPr>
        <w:rStyle w:val="HideTWBExt"/>
      </w:rPr>
      <w:t>&lt;/NoPE&gt;&lt;Version&gt;</w:t>
    </w:r>
    <w:r w:rsidRPr="00DC0657">
      <w:t>v02-00</w:t>
    </w:r>
    <w:r w:rsidRPr="00DC0657">
      <w:rPr>
        <w:rStyle w:val="HideTWBExt"/>
      </w:rPr>
      <w:t>&lt;/Version&gt;</w:t>
    </w:r>
  </w:p>
  <w:p w:rsidR="00EC6E09" w:rsidRPr="00DC0657" w:rsidRDefault="00DD1B44" w:rsidP="00AD0184">
    <w:pPr>
      <w:pStyle w:val="EPFooter2"/>
    </w:pPr>
    <w:r w:rsidRPr="00DC0657">
      <w:t>PL</w:t>
    </w:r>
    <w:r w:rsidRPr="00DC0657">
      <w:tab/>
    </w:r>
    <w:r w:rsidRPr="00DC0657">
      <w:rPr>
        <w:b w:val="0"/>
        <w:i/>
        <w:color w:val="C0C0C0"/>
        <w:sz w:val="22"/>
      </w:rPr>
      <w:t>Zjednoczona w różnorodności</w:t>
    </w:r>
    <w:r w:rsidRPr="00DC0657">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160" w:rsidRDefault="00DD1B44">
      <w:r>
        <w:separator/>
      </w:r>
    </w:p>
  </w:footnote>
  <w:footnote w:type="continuationSeparator" w:id="0">
    <w:p w:rsidR="000F4160" w:rsidRDefault="00DD1B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B3E" w:rsidRDefault="00C77B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B3E" w:rsidRDefault="00C77B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B3E" w:rsidRDefault="00C77B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LANGUE" w:val="PL"/>
    <w:docVar w:name="TXTLANGUEMIN" w:val="pl"/>
    <w:docVar w:name="TXTNRPE" w:val="750.132"/>
    <w:docVar w:name="TXTPEorAP" w:val="PE"/>
    <w:docVar w:name="TXTROUTE" w:val="AM\1282715PL.docx"/>
    <w:docVar w:name="TXTVERSION" w:val="02-00"/>
  </w:docVars>
  <w:rsids>
    <w:rsidRoot w:val="00A77B3E"/>
    <w:rsid w:val="00001B12"/>
    <w:rsid w:val="000529F5"/>
    <w:rsid w:val="000D6DC6"/>
    <w:rsid w:val="000F4160"/>
    <w:rsid w:val="0015446C"/>
    <w:rsid w:val="001B67EB"/>
    <w:rsid w:val="001C6CC6"/>
    <w:rsid w:val="00231516"/>
    <w:rsid w:val="00351E34"/>
    <w:rsid w:val="00436CD6"/>
    <w:rsid w:val="00490CB5"/>
    <w:rsid w:val="004D3B19"/>
    <w:rsid w:val="00506018"/>
    <w:rsid w:val="005912C6"/>
    <w:rsid w:val="00591A19"/>
    <w:rsid w:val="005E5752"/>
    <w:rsid w:val="00611772"/>
    <w:rsid w:val="007D2FCD"/>
    <w:rsid w:val="007F6E90"/>
    <w:rsid w:val="00A77B3E"/>
    <w:rsid w:val="00A81377"/>
    <w:rsid w:val="00AD0184"/>
    <w:rsid w:val="00B13734"/>
    <w:rsid w:val="00C05CFB"/>
    <w:rsid w:val="00C2167E"/>
    <w:rsid w:val="00C44D69"/>
    <w:rsid w:val="00C77B3E"/>
    <w:rsid w:val="00CA2A55"/>
    <w:rsid w:val="00CD662D"/>
    <w:rsid w:val="00DB2F1B"/>
    <w:rsid w:val="00DC0657"/>
    <w:rsid w:val="00DD1B44"/>
    <w:rsid w:val="00E84AF2"/>
    <w:rsid w:val="00EC6E09"/>
    <w:rsid w:val="00F66164"/>
    <w:rsid w:val="00F75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8CCE8670-4CA5-446D-A6A4-02E5166C2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05CFB"/>
    <w:pPr>
      <w:tabs>
        <w:tab w:val="center" w:pos="4513"/>
        <w:tab w:val="right" w:pos="9026"/>
      </w:tabs>
    </w:pPr>
  </w:style>
  <w:style w:type="character" w:customStyle="1" w:styleId="HeaderChar">
    <w:name w:val="Header Char"/>
    <w:basedOn w:val="DefaultParagraphFont"/>
    <w:link w:val="Header"/>
    <w:rsid w:val="00C05CFB"/>
    <w:rPr>
      <w:sz w:val="24"/>
      <w:szCs w:val="24"/>
    </w:rPr>
  </w:style>
  <w:style w:type="character" w:styleId="CommentReference">
    <w:name w:val="annotation reference"/>
    <w:basedOn w:val="DefaultParagraphFont"/>
    <w:semiHidden/>
    <w:unhideWhenUsed/>
    <w:rsid w:val="00EC6E09"/>
    <w:rPr>
      <w:sz w:val="16"/>
      <w:szCs w:val="16"/>
    </w:rPr>
  </w:style>
  <w:style w:type="paragraph" w:styleId="CommentText">
    <w:name w:val="annotation text"/>
    <w:basedOn w:val="Normal"/>
    <w:link w:val="CommentTextChar"/>
    <w:semiHidden/>
    <w:unhideWhenUsed/>
    <w:rsid w:val="00EC6E09"/>
    <w:rPr>
      <w:sz w:val="20"/>
      <w:szCs w:val="20"/>
    </w:rPr>
  </w:style>
  <w:style w:type="character" w:customStyle="1" w:styleId="CommentTextChar">
    <w:name w:val="Comment Text Char"/>
    <w:basedOn w:val="DefaultParagraphFont"/>
    <w:link w:val="CommentText"/>
    <w:semiHidden/>
    <w:rsid w:val="00EC6E09"/>
    <w:rPr>
      <w:lang w:val="pl-PL"/>
    </w:rPr>
  </w:style>
  <w:style w:type="paragraph" w:styleId="CommentSubject">
    <w:name w:val="annotation subject"/>
    <w:basedOn w:val="CommentText"/>
    <w:next w:val="CommentText"/>
    <w:link w:val="CommentSubjectChar"/>
    <w:semiHidden/>
    <w:unhideWhenUsed/>
    <w:rsid w:val="00EC6E09"/>
    <w:rPr>
      <w:b/>
      <w:bCs/>
    </w:rPr>
  </w:style>
  <w:style w:type="character" w:customStyle="1" w:styleId="CommentSubjectChar">
    <w:name w:val="Comment Subject Char"/>
    <w:basedOn w:val="CommentTextChar"/>
    <w:link w:val="CommentSubject"/>
    <w:semiHidden/>
    <w:rsid w:val="00EC6E09"/>
    <w:rPr>
      <w:b/>
      <w:bCs/>
      <w:lang w:val="pl-PL"/>
    </w:rPr>
  </w:style>
  <w:style w:type="paragraph" w:styleId="BalloonText">
    <w:name w:val="Balloon Text"/>
    <w:basedOn w:val="Normal"/>
    <w:link w:val="BalloonTextChar"/>
    <w:semiHidden/>
    <w:unhideWhenUsed/>
    <w:rsid w:val="00EC6E09"/>
    <w:rPr>
      <w:rFonts w:ascii="Segoe UI" w:hAnsi="Segoe UI" w:cs="Segoe UI"/>
      <w:sz w:val="18"/>
      <w:szCs w:val="18"/>
    </w:rPr>
  </w:style>
  <w:style w:type="character" w:customStyle="1" w:styleId="BalloonTextChar">
    <w:name w:val="Balloon Text Char"/>
    <w:basedOn w:val="DefaultParagraphFont"/>
    <w:link w:val="BalloonText"/>
    <w:semiHidden/>
    <w:rsid w:val="00EC6E09"/>
    <w:rPr>
      <w:rFonts w:ascii="Segoe UI" w:hAnsi="Segoe UI" w:cs="Segoe UI"/>
      <w:sz w:val="18"/>
      <w:szCs w:val="18"/>
      <w:lang w:val="pl-PL"/>
    </w:rPr>
  </w:style>
  <w:style w:type="paragraph" w:styleId="Footer">
    <w:name w:val="footer"/>
    <w:basedOn w:val="Normal"/>
    <w:link w:val="FooterChar"/>
    <w:semiHidden/>
    <w:unhideWhenUsed/>
    <w:rsid w:val="00EC6E09"/>
    <w:pPr>
      <w:tabs>
        <w:tab w:val="center" w:pos="4513"/>
        <w:tab w:val="right" w:pos="9026"/>
      </w:tabs>
    </w:pPr>
  </w:style>
  <w:style w:type="character" w:customStyle="1" w:styleId="FooterChar">
    <w:name w:val="Footer Char"/>
    <w:basedOn w:val="DefaultParagraphFont"/>
    <w:link w:val="Footer"/>
    <w:semiHidden/>
    <w:rsid w:val="00EC6E09"/>
    <w:rPr>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167</Pages>
  <Words>44805</Words>
  <Characters>315049</Characters>
  <Application>Microsoft Office Word</Application>
  <DocSecurity>0</DocSecurity>
  <Lines>10929</Lines>
  <Paragraphs>1993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FABINSKA Bozena</cp:lastModifiedBy>
  <cp:revision>2</cp:revision>
  <dcterms:created xsi:type="dcterms:W3CDTF">2023-07-21T07:58:00Z</dcterms:created>
  <dcterms:modified xsi:type="dcterms:W3CDTF">2023-07-21T07:58:00Z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1282715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17544</vt:lpwstr>
  </property>
  <property fmtid="{D5CDD505-2E9C-101B-9397-08002B2CF9AE}" pid="7" name="dmxml.render.traceId">
    <vt:lpwstr>64a2b3ff3598854e43cb74f2c9aa3b70</vt:lpwstr>
  </property>
  <property fmtid="{D5CDD505-2E9C-101B-9397-08002B2CF9AE}" pid="8" name="FooterPath">
    <vt:lpwstr>AM\1282715PL.docx</vt:lpwstr>
  </property>
  <property fmtid="{D5CDD505-2E9C-101B-9397-08002B2CF9AE}" pid="9" name="LastEdited with">
    <vt:lpwstr>9.14.1 Build [20230315]</vt:lpwstr>
  </property>
  <property fmtid="{D5CDD505-2E9C-101B-9397-08002B2CF9AE}" pid="10" name="PE Number">
    <vt:lpwstr>750.132</vt:lpwstr>
  </property>
  <property fmtid="{D5CDD505-2E9C-101B-9397-08002B2CF9AE}" pid="11" name="SDLStudio">
    <vt:lpwstr/>
  </property>
  <property fmtid="{D5CDD505-2E9C-101B-9397-08002B2CF9AE}" pid="12" name="SendToEpades">
    <vt:lpwstr>OK(AMNUM) - 2023/07/07 12:26</vt:lpwstr>
  </property>
  <property fmtid="{D5CDD505-2E9C-101B-9397-08002B2CF9AE}" pid="13" name="UID">
    <vt:lpwstr>eu.europa.europarl-DIN1-2023-0000097263_02.00-xm-01.00_text-xml</vt:lpwstr>
  </property>
  <property fmtid="{D5CDD505-2E9C-101B-9397-08002B2CF9AE}" pid="14" name="Bookout">
    <vt:lpwstr>OK - 2023/07/21 09:57</vt:lpwstr>
  </property>
</Properties>
</file>