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{ITRE}</w:t>
      </w:r>
      <w:r>
        <w:t>Commissie industrie, onderzoek en energie</w:t>
      </w:r>
      <w:r>
        <w:rPr>
          <w:rStyle w:val="HideTWBExt"/>
        </w:rPr>
        <w:t>&lt;/Commission&gt;</w:t>
      </w:r>
    </w:p>
    <w:p>
      <w:pPr>
        <w:pStyle w:val="LineBottom"/>
      </w:pPr>
      <w:r>
        <w:t xml:space="preserve"> </w:t>
      </w:r>
    </w:p>
    <w:p>
      <w:pPr>
        <w:pStyle w:val="CoverReference"/>
      </w:pPr>
      <w:r>
        <w:rPr>
          <w:rStyle w:val="HideTWBExt"/>
        </w:rPr>
        <w:t>&lt;RefProc&gt;</w:t>
      </w:r>
      <w:r>
        <w:t>2025/0543</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180</w:t>
      </w:r>
      <w:r>
        <w:t xml:space="preserve"> - </w:t>
      </w:r>
      <w:r>
        <w:t>398</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Christian Ehler</w:t>
      </w:r>
      <w:r>
        <w:rPr>
          <w:rStyle w:val="HideTWBExt"/>
        </w:rPr>
        <w:t>&lt;/Rapporteur&gt;</w:t>
      </w:r>
    </w:p>
    <w:p>
      <w:pPr>
        <w:pStyle w:val="CoverNormal24a"/>
      </w:pPr>
      <w:r>
        <w:rPr>
          <w:rStyle w:val="HideTWBExt"/>
        </w:rPr>
        <w:t>&lt;DocRefPE&gt;</w:t>
      </w:r>
      <w:r>
        <w:t>(PE785.237v02-00)</w:t>
      </w:r>
      <w:r>
        <w:rPr>
          <w:rStyle w:val="HideTWBExt"/>
        </w:rPr>
        <w:t>&lt;/DocRefPE&gt;</w:t>
      </w:r>
    </w:p>
    <w:p>
      <w:pPr>
        <w:pStyle w:val="CoverNormal24a"/>
      </w:pPr>
      <w:r>
        <w:rPr>
          <w:rStyle w:val="HideTWBExt"/>
        </w:rPr>
        <w:t>&lt;Titre&gt;</w:t>
      </w:r>
      <w:r>
        <w:t>Vaststelling van Horizon Europa — het kaderprogramma voor onderzoek en innovatie — voor de periode 2028-2034, vaststelling van de regels ervan voor deelname en verspreiding, en intrekking van Verordening (EU) 2021/695</w:t>
      </w:r>
      <w:r>
        <w:rPr>
          <w:rStyle w:val="HideTWBExt"/>
        </w:rPr>
        <w:t>&lt;/Titre&gt;</w:t>
      </w:r>
    </w:p>
    <w:p>
      <w:pPr>
        <w:pStyle w:val="CoverNormal"/>
      </w:pPr>
      <w:r>
        <w:rPr>
          <w:rStyle w:val="HideTWBExt"/>
        </w:rPr>
        <w:t>&lt;DocAmend&gt;</w:t>
      </w:r>
      <w:r>
        <w:t>Voorstel voor een verordening</w:t>
      </w:r>
      <w:r>
        <w:rPr>
          <w:rStyle w:val="HideTWBExt"/>
        </w:rPr>
        <w:t>&lt;/DocAmend&gt;</w:t>
      </w:r>
    </w:p>
    <w:p>
      <w:pPr>
        <w:pStyle w:val="CoverNormal24a"/>
      </w:pPr>
      <w:r>
        <w:rPr>
          <w:rStyle w:val="HideTWBExt"/>
        </w:rPr>
        <w:t>&lt;DocRef&gt;</w:t>
      </w:r>
      <w:r>
        <w:t>(COM(2025)0543 – 2025/0543(COD))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Sandro Ruotolo, Saskia Bricmont, Veronika Cifrová Ostrihoňová, Hannah Neumann, Brando Benifei, Alessandro Zan,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Visum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gezien Verordening (EU) 2024/1083 van het Europees Parlement en de Raad van 11 april 2024 tot vaststelling van een gemeenschappelijk kader voor mediadiensten op de interne markt en tot wijziging van Richtlijn 2010/13/EU (Europese verordening mediavrijheid),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Sandro Ruotolo, Saskia Bricmont, Veronika Cifrová Ostrihoňová, Hannah Neumann, Brando Benifei, Alessandro Zan, Annalisa Corrado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Visum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gezien de aanbeveling van het Europees Parlement van 15 juni 2023 aan de Raad en de Commissie naar aanleiding van het onderzoek naar vermeende inbreuken op en gevallen van wanbeheer bij het toepassen van het Unierecht met betrekking tot het gebruik van Pegasus en soortgelijke spyware voor surveillance,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Unie wil haar wetenschappelijke en technologische basis versterken door de </w:t>
            </w:r>
            <w:r>
              <w:rPr>
                <w:b/>
                <w:i/>
              </w:rPr>
              <w:t>Europese onderzoeksruimte (EOR) te versterken waarin</w:t>
            </w:r>
            <w:r>
              <w:t xml:space="preserve"> onderzoekers, wetenschappelijke kennis en technologie </w:t>
            </w:r>
            <w:r>
              <w:rPr>
                <w:b/>
                <w:i/>
              </w:rPr>
              <w:t>vrij circuleren, en door de concurrentiekracht van de Unie, ook van haar industrie, te stimuleren, en tegelijk</w:t>
            </w:r>
            <w:r>
              <w:t xml:space="preserve"> alle activiteiten op het gebied van onderzoek en innovatie (O&amp;I) te bevorderen ter verwezenlijking van de strategische prioriteiten van de Unie</w:t>
            </w:r>
            <w:r>
              <w:rPr>
                <w:b/>
                <w:i/>
              </w:rPr>
              <w:t>, die uiteindelijk tot doel hebben vrede, de waarden van</w:t>
            </w:r>
            <w:r>
              <w:t xml:space="preserve"> de Unie en </w:t>
            </w:r>
            <w:r>
              <w:rPr>
                <w:b/>
                <w:i/>
              </w:rPr>
              <w:t>het welzijn van haar volkeren te bevorderen</w:t>
            </w:r>
            <w:r>
              <w:t>.</w:t>
            </w:r>
          </w:p>
        </w:tc>
        <w:tc>
          <w:tcPr>
            <w:tcW w:w="4876" w:type="dxa"/>
            <w:tcBorders>
              <w:top w:val="nil"/>
              <w:left w:val="nil"/>
              <w:bottom w:val="nil"/>
              <w:right w:val="nil"/>
            </w:tcBorders>
          </w:tcPr>
          <w:p>
            <w:pPr>
              <w:pStyle w:val="Normal6a"/>
            </w:pPr>
            <w:r>
              <w:t>(1)</w:t>
            </w:r>
            <w:r>
              <w:tab/>
            </w:r>
            <w:r>
              <w:t xml:space="preserve">De Unie wil haar wetenschappelijke en technologische basis </w:t>
            </w:r>
            <w:r>
              <w:rPr>
                <w:b/>
                <w:i/>
              </w:rPr>
              <w:t>en haar concurrentievermogen</w:t>
            </w:r>
            <w:r>
              <w:t xml:space="preserve"> versterken door de </w:t>
            </w:r>
            <w:r>
              <w:rPr>
                <w:b/>
                <w:i/>
              </w:rPr>
              <w:t>voorwaarden voor het verkeer van</w:t>
            </w:r>
            <w:r>
              <w:t xml:space="preserve"> onderzoekers, wetenschappelijke kennis en technologie </w:t>
            </w:r>
            <w:r>
              <w:rPr>
                <w:b/>
                <w:i/>
              </w:rPr>
              <w:t>te verbeteren, ook binnen haar industriële ecosysteem, en tegelijkertijd</w:t>
            </w:r>
            <w:r>
              <w:t xml:space="preserve"> alle activiteiten op het gebied van onderzoek en innovatie (O&amp;I) te bevorderen ter verwezenlijking van de strategische prioriteiten van de Unie </w:t>
            </w:r>
            <w:r>
              <w:rPr>
                <w:b/>
                <w:i/>
              </w:rPr>
              <w:t>en haar lidstaten, teneinde de wetenschappelijke en technologische capaciteiten van Europa te versterken en de Unie in staat te stellen een technologische inhaalslag te maken op gebieden waar zij achterblijft bij haar mondiale concurrenten.</w:t>
            </w:r>
            <w:r>
              <w:t xml:space="preserve"> </w:t>
            </w:r>
            <w:r>
              <w:rPr>
                <w:b/>
                <w:i/>
              </w:rPr>
              <w:t>Het programma moet de synergieën tussen onderzoek en industrie versterken, zorgen voor duidelijkere vooruitgang op alle niveaus van technologische paraatheid en snellere en efficiëntere trajecten van onderzoek tot de markt mogelijk maken, en tegelijkertijd dubbel werk en versnippering tussen instrumenten verminderen.</w:t>
            </w:r>
            <w:r>
              <w:t xml:space="preserve"> </w:t>
            </w:r>
            <w:r>
              <w:rPr>
                <w:b/>
                <w:i/>
              </w:rPr>
              <w:t>Het moet ook een meer gestructureerde betrokkenheid van de industrie bij de vaststelling en uitvoering van prioriteiten bevorderen, waardoor de relevantie, schaalbaarheid en impact van onderzoeks- en innovatieacties worden versterkt.</w:t>
            </w:r>
            <w:r>
              <w:t xml:space="preserve"> </w:t>
            </w:r>
            <w:r>
              <w:rPr>
                <w:b/>
                <w:i/>
              </w:rPr>
              <w:t>Voortbouwend op een solide basis voor een sterker en coherenter onderzoeks- en innovatiebeleid moet het programma echte additionaliteit opleveren door de innovatiecycli te versnellen, het industrieel leiderschap te versterken en ervoor te zorgen dat investeringen worden omgezet in tastbare economische, technologische en maatschappelijke voordelen voor</w:t>
            </w:r>
            <w:r>
              <w:t xml:space="preserve"> de Unie en </w:t>
            </w:r>
            <w:r>
              <w:rPr>
                <w:b/>
                <w:i/>
              </w:rPr>
              <w:t>haar lidstaten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Unie wil haar wetenschappelijke en technologische basis versterken door de Europese onderzoeksruimte (EOR) te versterken waarin onderzoekers, wetenschappelijke kennis en technologie vrij circuleren, en door de concurrentiekracht van de Unie, ook van haar industrie, te stimuleren, en tegelijk alle activiteiten op het gebied van onderzoek en innovatie (O&amp;I) te bevorderen ter verwezenlijking van de strategische prioriteiten van de Unie, die uiteindelijk tot doel hebben vrede, de </w:t>
            </w:r>
            <w:r>
              <w:rPr>
                <w:b/>
                <w:i/>
              </w:rPr>
              <w:t>waarden van de Unie en</w:t>
            </w:r>
            <w:r>
              <w:t xml:space="preserve"> het welzijn van haar volkeren te bevorderen.</w:t>
            </w:r>
          </w:p>
        </w:tc>
        <w:tc>
          <w:tcPr>
            <w:tcW w:w="4876" w:type="dxa"/>
            <w:tcBorders>
              <w:top w:val="nil"/>
              <w:left w:val="nil"/>
              <w:bottom w:val="nil"/>
              <w:right w:val="nil"/>
            </w:tcBorders>
          </w:tcPr>
          <w:p>
            <w:pPr>
              <w:pStyle w:val="Normal6a"/>
            </w:pPr>
            <w:r>
              <w:t>(1)</w:t>
            </w:r>
            <w:r>
              <w:tab/>
            </w:r>
            <w:r>
              <w:t xml:space="preserve">De Unie wil haar wetenschappelijke en technologische basis versterken door de Europese onderzoeksruimte (EOR) te versterken waarin onderzoekers, wetenschappelijke kennis en technologie vrij circuleren, en door de concurrentiekracht </w:t>
            </w:r>
            <w:r>
              <w:rPr>
                <w:b/>
                <w:i/>
              </w:rPr>
              <w:t>en veerkracht</w:t>
            </w:r>
            <w:r>
              <w:t xml:space="preserve"> van de Unie, ook van haar industrie, te stimuleren, en tegelijk alle activiteiten op het gebied van onderzoek en innovatie (O&amp;I) te bevorderen ter verwezenlijking van de strategische prioriteiten van de Unie, die uiteindelijk tot doel hebben vrede, de </w:t>
            </w:r>
            <w:r>
              <w:rPr>
                <w:b/>
                <w:i/>
              </w:rPr>
              <w:t>productiviteitsstijging op lange termijn,</w:t>
            </w:r>
            <w:r>
              <w:t xml:space="preserve"> het welzijn van haar volkeren </w:t>
            </w:r>
            <w:r>
              <w:rPr>
                <w:b/>
                <w:i/>
              </w:rPr>
              <w:t>en de waarden van de Unie</w:t>
            </w:r>
            <w:r>
              <w:t xml:space="preserve"> te bevorderen. </w:t>
            </w:r>
            <w:r>
              <w:rPr>
                <w:b/>
                <w:i/>
              </w:rPr>
              <w:t>De EU moet de juiste voorwaarden scheppen voor excellentiegerichte O&amp;I in haar gehele grondgebied, zodat geen mensen, gemeenschappen of regio’s achterblijven.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Krzysztof Hetman, Adam Jarubas, Mirosława Nykiel,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Unie wil haar wetenschappelijke en technologische basis versterken door de Europese onderzoeksruimte (EOR) te versterken waarin onderzoekers, wetenschappelijke kennis en technologie vrij circuleren, en door de concurrentiekracht van de </w:t>
            </w:r>
            <w:r>
              <w:rPr>
                <w:b/>
                <w:i/>
              </w:rPr>
              <w:t>Unie</w:t>
            </w:r>
            <w:r>
              <w:t xml:space="preserve">, ook van haar industrie, te </w:t>
            </w:r>
            <w:r>
              <w:rPr>
                <w:b/>
                <w:i/>
              </w:rPr>
              <w:t>stimuleren,</w:t>
            </w:r>
            <w:r>
              <w:t xml:space="preserve"> en tegelijk alle activiteiten op het gebied van onderzoek en innovatie (O&amp;I) te bevorderen ter verwezenlijking van de strategische prioriteiten van de Unie, die uiteindelijk tot doel hebben vrede, de waarden van de Unie en het welzijn van haar volkeren te bevorderen.</w:t>
            </w:r>
          </w:p>
        </w:tc>
        <w:tc>
          <w:tcPr>
            <w:tcW w:w="4876" w:type="dxa"/>
            <w:tcBorders>
              <w:top w:val="nil"/>
              <w:left w:val="nil"/>
              <w:bottom w:val="nil"/>
              <w:right w:val="nil"/>
            </w:tcBorders>
          </w:tcPr>
          <w:p>
            <w:pPr>
              <w:pStyle w:val="Normal6a"/>
            </w:pPr>
            <w:r>
              <w:t>(1)</w:t>
            </w:r>
            <w:r>
              <w:tab/>
            </w:r>
            <w:r>
              <w:t xml:space="preserve">De Unie wil haar wetenschappelijke en technologische basis versterken door de Europese Onderzoeksruimte (EOR) </w:t>
            </w:r>
            <w:r>
              <w:rPr>
                <w:b/>
                <w:i/>
              </w:rPr>
              <w:t>en het algehele Europese ecosysteem voor onderzoek en innovatie</w:t>
            </w:r>
            <w:r>
              <w:t xml:space="preserve"> te versterken</w:t>
            </w:r>
            <w:r>
              <w:rPr>
                <w:b/>
                <w:i/>
              </w:rPr>
              <w:t>, en hierbij een geografisch evenwicht te waarborgen tussen de verschillende gebieden en regio’s van de Unie, door een sterkere Europese eengemaakte markt voor O&amp;I tot stand te brengen</w:t>
            </w:r>
            <w:r>
              <w:t xml:space="preserve"> waarin onderzoekers</w:t>
            </w:r>
            <w:r>
              <w:rPr>
                <w:b/>
                <w:i/>
              </w:rPr>
              <w:t>, innovators</w:t>
            </w:r>
            <w:r>
              <w:t xml:space="preserve">, wetenschappelijke kennis en technologie vrij circuleren, en door de concurrentiekracht van de </w:t>
            </w:r>
            <w:r>
              <w:rPr>
                <w:b/>
                <w:i/>
              </w:rPr>
              <w:t>EU</w:t>
            </w:r>
            <w:r>
              <w:t xml:space="preserve">, ook van haar industrie, te </w:t>
            </w:r>
            <w:r>
              <w:rPr>
                <w:b/>
                <w:i/>
              </w:rPr>
              <w:t>versterken</w:t>
            </w:r>
            <w:r>
              <w:t xml:space="preserve"> en tegelijk alle activiteiten op het gebied van onderzoek en innovatie (O&amp;I) te bevorderen ter verwezenlijking van de strategische prioriteiten van de Unie, die uiteindelijk tot doel hebben </w:t>
            </w:r>
            <w:r>
              <w:rPr>
                <w:b/>
                <w:i/>
              </w:rPr>
              <w:t>veiligheid en</w:t>
            </w:r>
            <w:r>
              <w:t xml:space="preserve"> vrede</w:t>
            </w:r>
            <w:r>
              <w:rPr>
                <w:b/>
                <w:i/>
              </w:rPr>
              <w:t>, democratie</w:t>
            </w:r>
            <w:r>
              <w:t>, de waarden van de Unie en het welzijn van haar volkeren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Unie wil haar wetenschappelijke en technologische basis versterken door de Europese onderzoeksruimte (EOR) te versterken waarin onderzoekers, wetenschappelijke kennis en technologie vrij circuleren, en door de concurrentiekracht van de Unie, ook van haar industrie, te stimuleren, en tegelijk alle activiteiten op het gebied van onderzoek en innovatie (O&amp;I) te bevorderen ter verwezenlijking van de strategische prioriteiten van de Unie, die uiteindelijk tot doel hebben vrede, de waarden van de Unie en het welzijn van haar volkeren te bevorderen.</w:t>
            </w:r>
          </w:p>
        </w:tc>
        <w:tc>
          <w:tcPr>
            <w:tcW w:w="4876" w:type="dxa"/>
            <w:tcBorders>
              <w:top w:val="nil"/>
              <w:left w:val="nil"/>
              <w:bottom w:val="nil"/>
              <w:right w:val="nil"/>
            </w:tcBorders>
          </w:tcPr>
          <w:p>
            <w:pPr>
              <w:pStyle w:val="Normal6a"/>
            </w:pPr>
            <w:r>
              <w:t>(1)</w:t>
            </w:r>
            <w:r>
              <w:tab/>
            </w:r>
            <w:r>
              <w:t xml:space="preserve">De Unie wil haar wetenschappelijke en technologische basis versterken door de Europese onderzoeksruimte (EOR) te versterken waarin onderzoekers, wetenschappelijke kennis en technologie vrij circuleren, en door de concurrentiekracht van de Unie, ook van haar industrie, te stimuleren, en tegelijk alle activiteiten op het gebied van onderzoek en innovatie (O&amp;I) te bevorderen ter verwezenlijking van de strategische prioriteiten van de Unie, die uiteindelijk tot doel hebben vrede, de waarden van de Unie en het welzijn van haar volkeren te bevorderen. </w:t>
            </w:r>
            <w:r>
              <w:rPr>
                <w:b/>
                <w:i/>
              </w:rPr>
              <w:t>Dit moet ook een brede en geografisch evenwichtige deelname van onderzoekers en organisaties uit alle regio’s van de Unie bevorderen, met inbegrip van die met minder ontwikkelde onderzoeks- en innovatiesystemen.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Unie wil haar wetenschappelijke en technologische basis versterken door de Europese onderzoeksruimte (EOR) te versterken waarin onderzoekers, wetenschappelijke kennis en technologie vrij circuleren, en door de concurrentiekracht van de Unie, ook van haar industrie, te stimuleren, en tegelijk alle activiteiten op het gebied van onderzoek en innovatie (O&amp;I) te bevorderen ter verwezenlijking van de strategische prioriteiten van de Unie, die uiteindelijk tot doel hebben vrede, de waarden van de Unie en het welzijn van haar volkeren te bevorderen.</w:t>
            </w:r>
          </w:p>
        </w:tc>
        <w:tc>
          <w:tcPr>
            <w:tcW w:w="4876" w:type="dxa"/>
            <w:tcBorders>
              <w:top w:val="nil"/>
              <w:left w:val="nil"/>
              <w:bottom w:val="nil"/>
              <w:right w:val="nil"/>
            </w:tcBorders>
          </w:tcPr>
          <w:p>
            <w:pPr>
              <w:pStyle w:val="Normal6a"/>
            </w:pPr>
            <w:r>
              <w:t>(1)</w:t>
            </w:r>
            <w:r>
              <w:tab/>
            </w:r>
            <w:r>
              <w:t>De Unie wil haar wetenschappelijke en technologische basis versterken door de Europese onderzoeksruimte (EOR) te versterken waarin onderzoekers</w:t>
            </w:r>
            <w:r>
              <w:rPr>
                <w:b/>
                <w:i/>
              </w:rPr>
              <w:t>, innovators</w:t>
            </w:r>
            <w:r>
              <w:t xml:space="preserve">, wetenschappelijke kennis en technologie vrij circuleren, en door de concurrentiekracht van de Unie, ook van haar industrie, te stimuleren, en tegelijk alle activiteiten op het gebied van onderzoek en innovatie (O&amp;I) te bevorderen ter verwezenlijking van de strategische prioriteiten van de Unie, die uiteindelijk tot doel hebben vrede, </w:t>
            </w:r>
            <w:r>
              <w:rPr>
                <w:b/>
                <w:i/>
              </w:rPr>
              <w:t>democratie,</w:t>
            </w:r>
            <w:r>
              <w:t xml:space="preserve"> de waarden van de Unie en het welzijn van haar volkeren te bevorderen. </w:t>
            </w:r>
            <w:r>
              <w:rPr>
                <w:b/>
                <w:i/>
              </w:rPr>
              <w:t>In dit verband moet de verdere ontwikkeling van de EOR bijdragen tot de daadwerkelijke uitvoering van de “vijfde vrijheid” op weg naar een volledige en efficiënte eengemaakte markt voor O&amp;I.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Unie wil haar wetenschappelijke en technologische basis versterken door de Europese onderzoeksruimte (EOR) te versterken waarin onderzoekers, wetenschappelijke kennis en technologie vrij circuleren</w:t>
            </w:r>
            <w:r>
              <w:rPr>
                <w:b/>
                <w:i/>
              </w:rPr>
              <w:t>, en door de concurrentiekracht van de Unie, ook van haar industrie, te stimuleren</w:t>
            </w:r>
            <w:r>
              <w:t>, en tegelijk alle activiteiten op het gebied van onderzoek en innovatie (O&amp;I) te bevorderen ter verwezenlijking van de strategische prioriteiten van de Unie, die uiteindelijk tot doel hebben vrede, de waarden van de Unie en het welzijn van haar volkeren te bevorderen.</w:t>
            </w:r>
          </w:p>
        </w:tc>
        <w:tc>
          <w:tcPr>
            <w:tcW w:w="4876" w:type="dxa"/>
            <w:tcBorders>
              <w:top w:val="nil"/>
              <w:left w:val="nil"/>
              <w:bottom w:val="nil"/>
              <w:right w:val="nil"/>
            </w:tcBorders>
          </w:tcPr>
          <w:p>
            <w:pPr>
              <w:pStyle w:val="Normal6a"/>
            </w:pPr>
            <w:r>
              <w:t>(1)</w:t>
            </w:r>
            <w:r>
              <w:tab/>
            </w:r>
            <w:r>
              <w:t>De Unie wil haar wetenschappelijke en technologische basis versterken door de Europese onderzoeksruimte (EOR) te versterken waarin onderzoekers, wetenschappelijke kennis en technologie vrij circuleren, en tegelijk alle activiteiten op het gebied van onderzoek en innovatie (O&amp;I) te bevorderen ter verwezenlijking van de strategische prioriteiten van de Unie, die uiteindelijk tot doel hebben vrede, de waarden van de Unie en het welzijn van haar volkeren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De Unie wil haar wetenschappelijke en technologische basis versterken door de Europese onderzoeksruimte (EOR) te versterken waarin onderzoekers, wetenschappelijke kennis en technologie vrij circuleren, en door de concurrentiekracht van de Unie, ook van haar industrie, te stimuleren, en tegelijk alle activiteiten op het gebied van onderzoek en innovatie (O&amp;I) te bevorderen ter verwezenlijking van de strategische prioriteiten van de Unie, die uiteindelijk tot doel hebben vrede, de waarden van de Unie en het welzijn van haar volkeren te bevorderen.</w:t>
            </w:r>
          </w:p>
        </w:tc>
        <w:tc>
          <w:tcPr>
            <w:tcW w:w="4876" w:type="dxa"/>
            <w:tcBorders>
              <w:top w:val="nil"/>
              <w:left w:val="nil"/>
              <w:bottom w:val="nil"/>
              <w:right w:val="nil"/>
            </w:tcBorders>
          </w:tcPr>
          <w:p>
            <w:pPr>
              <w:pStyle w:val="Normal6a"/>
            </w:pPr>
            <w:r>
              <w:t>(1)</w:t>
            </w:r>
            <w:r>
              <w:tab/>
            </w:r>
            <w:r>
              <w:t xml:space="preserve">De Unie wil haar wetenschappelijke en technologische basis </w:t>
            </w:r>
            <w:r>
              <w:rPr>
                <w:b/>
                <w:i/>
              </w:rPr>
              <w:t>en excellentie</w:t>
            </w:r>
            <w:r>
              <w:t xml:space="preserve"> versterken door de Europese onderzoeksruimte (EOR) te versterken waarin onderzoekers, wetenschappelijke kennis en technologie vrij circuleren, en door de concurrentiekracht van de Unie, ook van haar industrie, te stimuleren, en tegelijk alle activiteiten op het gebied van onderzoek en innovatie (O&amp;I) te bevorderen ter verwezenlijking van de strategische prioriteiten van de Unie, die uiteindelijk tot doel hebben vrede, de waarden van de Unie en het welzijn van haar volkeren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 Unie wordt geconfronteerd met hardnekkige transversale tekortkomingen in haar onderzoeks- en innovatiesysteem, met name de onderbenutting van haar onderzoeks- en innovatie-ecosysteem, onvoldoende particuliere investeringen, moeilijkheden bij het omzetten van wetenschappelijke excellentie in verhandelbare innovatie, ongelijke kennisvalorisatie, tekorten aan opschalings- en durfkapitaal, braindrain en aanhoudende verschillen in onderzoeks- en innovatieprestaties tussen regio’s, die de circulatie van kennis, talent en technologie binnen de Europese Onderzoeksruimte beperken</w:t>
            </w:r>
            <w:r>
              <w:rPr>
                <w:b/>
                <w:i/>
                <w:vertAlign w:val="superscript"/>
              </w:rPr>
              <w:t>1 bis</w:t>
            </w:r>
            <w:r>
              <w:rPr>
                <w:b/>
                <w:i/>
              </w:rPr>
              <w:t>.</w:t>
            </w:r>
            <w:r>
              <w:t xml:space="preserve"> </w:t>
            </w:r>
            <w:r>
              <w:rPr>
                <w:b/>
                <w:i/>
              </w:rPr>
              <w:t>Tegelijkertijd blijft de Unie achterlopen op een aantal strategische technologieën en onderzoeksgebieden, met name op het gebied van digitale en andere transversale technologieën zoals artificiële intelligentie, het internet der dingen, blockchain en cyberbeveiliging, alsook in sectoren met een hoge onderzoeks- en ontwikkelingsintensiteit, waaronder informatie- en communicatietechnologieën, gezondheid, geavanceerde halfgeleiders, biotechnologie, ruimtevaarttechnologieën, geavanceerde materialen, batterijen, kritieke grondstoffen, defensie en technologieën voor tweeërlei gebruik, terwijl zij blootgesteld blijft aan kwetsbaarheden in de toeleveringsketen en buitenlandse afhankelijkheden die een sterkere, meer gecoördineerde en toekomstbestendige beleidsaanpak vereisen.</w:t>
            </w:r>
            <w:r>
              <w:t xml:space="preserve"> </w:t>
            </w:r>
            <w:r>
              <w:rPr>
                <w:b/>
                <w:i/>
              </w:rPr>
              <w:t>Uit gegevens over de wereldwijde wetenschappelijke output blijkt dat het aandeel van de Unie in de totale en sterk geciteerde wetenschappelijke publicaties de afgelopen twee decennia is gedaald, waardoor het achterblijft bij China en de Verenigde Staten, en dat China zowel het totale publicatievolume als de citatie-impact gestaag heeft verbeterd.</w:t>
            </w:r>
            <w:r>
              <w:t xml:space="preserve"> </w:t>
            </w:r>
            <w:r>
              <w:rPr>
                <w:b/>
                <w:i/>
              </w:rPr>
              <w:t>De Unie blijft op de tweede plaats staan in verschillende belangrijke sectoren zoals gezondheid, milieu, vervoer en landbouw en vertoont sterke punten op gebieden als hernieuwbare energie, energie-efficiëntie, voedselchemie en klimaatgerelateerde technologieën.</w:t>
            </w:r>
            <w:r>
              <w:t xml:space="preserve"> </w:t>
            </w:r>
            <w:r>
              <w:rPr>
                <w:b/>
                <w:i/>
              </w:rPr>
              <w:t>Haar aandeel in de wereldwijde octrooiaanvragen is echter ook afgenomen en zij ligt achter ten opzichte van concurrenten op belangrijke gebieden van de digitale technologie, zoals halfgeleiders, computertechnologieën en digitale communicatie, die naar verwachting de toekomstige groei zullen stimuleren.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Europese Commissie:</w:t>
            </w:r>
            <w:r>
              <w:t xml:space="preserve"> </w:t>
            </w:r>
            <w:r>
              <w:rPr>
                <w:b/>
                <w:i/>
              </w:rPr>
              <w:t>Directoraat-generaal Onderzoek en Innovatie, "Science, research and innovation performance of the EU, 2024 — A competitive Europe for a sustainable future", Bureau voor publicaties van de Europese Unie, 2024, https://data.europa.eu/doi/10.2777/965670.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 Unie berust op bepaalde waarden, namelijk eerbied voor de menselijke waardigheid, vrijheid, democratie, gelijkheid, de rechtsstaat en eerbiediging van de mensenrechten, zoals vastgelegd in artikel 2 van het Verdrag betreffende de Europese Unie.</w:t>
            </w:r>
            <w:r>
              <w:t xml:space="preserve"> </w:t>
            </w:r>
            <w:r>
              <w:rPr>
                <w:b/>
                <w:i/>
              </w:rPr>
              <w:t>Deze waarden maken niet alleen deel uit van de Unie;</w:t>
            </w:r>
            <w:r>
              <w:t xml:space="preserve"> </w:t>
            </w:r>
            <w:r>
              <w:rPr>
                <w:b/>
                <w:i/>
              </w:rPr>
              <w:t>zij vormen de grondslag voor de betrekkingen van de Unie met de rest van de wereld, zoals blijkt uit artikel 21 VEU, dat vereist dat het externe optreden van de Unie berust op de beginselen die aan de oprichting van de Unie ten grondslag liggen.</w:t>
            </w:r>
            <w:r>
              <w:t xml:space="preserve"> </w:t>
            </w:r>
            <w:r>
              <w:rPr>
                <w:b/>
                <w:i/>
              </w:rPr>
              <w:t>Het programma is voorts een belangrijk instrument van de wetenschapsdiplomatie van de Unie, waarmee de Unie bruggen bouwt met partners over de hele wereld, het vrije verkeer van kennis en onderzoekers bevordert en haar waarden op het wereldtoneel uitdraagt.</w:t>
            </w:r>
            <w:r>
              <w:t xml:space="preserve"> </w:t>
            </w:r>
            <w:r>
              <w:rPr>
                <w:b/>
                <w:i/>
              </w:rPr>
              <w:t>Openheid voor internationale samenwerking is daarom niet alleen een kenmerk van het programma, maar ook een strategische doelstelling op zich.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In deze geest moeten onderzoek en innovatie in een vroeg stadium in de eerste plaats gestuurd worden door een bottom-upbenadering en moet het civiele karakter van het programma het uitgangspunt zijn.</w:t>
            </w:r>
            <w:r>
              <w:t xml:space="preserve"> </w:t>
            </w:r>
            <w:r>
              <w:rPr>
                <w:b/>
                <w:i/>
              </w:rPr>
              <w:t>Gezien het onstabiele geopolitieke landschap, de evoluerende aard van veiligheidsbedreigingen en de steeds frequentere mogelijkheid van overloopeffecten van civiele technologieën op defensiegebied, is het echter van essentieel belang dat de mogelijkheid wordt geboden om activiteiten met een potentieel voor tweeërlei gebruik in het kader van dit programma te financieren.</w:t>
            </w:r>
            <w:r>
              <w:t xml:space="preserve"> </w:t>
            </w:r>
            <w:r>
              <w:rPr>
                <w:b/>
                <w:i/>
              </w:rPr>
              <w:t>Wanneer acties een geloofwaardig traject naar toepassing op defensiegebied aantonen, wordt de uitrol en industrialisatie van dergelijke resultaten gesteund via voor die doeleinden ontworpen Unie-instrumenten, in overeenstemming met de specifieke voorwaarden van de relevante verordeningen, met name Verordening (EU) XXX [Europees Fonds voor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Artificiële intelligentie is een belangrijke transversale technologie om de wetenschappelijke, technologische en innovatiecapaciteit van de Unie te versterken en vereist daarom een strategische en gecoördineerde focus op het niveau van de Unie.</w:t>
            </w:r>
            <w:r>
              <w:t xml:space="preserve"> </w:t>
            </w:r>
            <w:r>
              <w:rPr>
                <w:b/>
                <w:i/>
              </w:rPr>
              <w:t>Zoals uiteengezet in de Europese Commissie — "Een Europese strategie voor artificiële intelligentie in de wetenschap (Raise)"</w:t>
            </w:r>
            <w:r>
              <w:rPr>
                <w:b/>
                <w:i/>
                <w:vertAlign w:val="superscript"/>
              </w:rPr>
              <w:t>1 ter</w:t>
            </w:r>
            <w:r>
              <w:t xml:space="preserve"> </w:t>
            </w:r>
            <w:r>
              <w:rPr>
                <w:b/>
                <w:i/>
              </w:rPr>
              <w:t>— is het versnellen van de invoering van artificiële intelligentie door Europese wetenschappers in alle disciplines en het ontwikkelen van toonaangevende Europese wetenschappelijke AI-modellen van essentieel belang om de kwaliteit, productiviteit en impact van onderzoek te verbeteren.</w:t>
            </w:r>
            <w:r>
              <w:t xml:space="preserve"> </w:t>
            </w:r>
            <w:r>
              <w:rPr>
                <w:b/>
                <w:i/>
              </w:rPr>
              <w:t>In die strategie wordt voorgesteld Raise op te richten als een virtueel Europees instituut dat essentiële middelen, waaronder rekenkracht, data, excellentie, talent en financiering, in de hele Unie, in de lidstaten en bij particuliere belanghebbenden bundelt en coördineert, en worden aanvullende doelstellingen nagestreefd om geavanceerd onderzoek op het gebied van AI te bevorderen en de toepassing ervan in de wetenschap te bevorderen, onder meer via doctoraatsnetwerken, specifieke toegang tot AI-computerinfrastructuur en steun voor AI-gestuurde onderzoeksprojecten en start-ups.</w:t>
            </w:r>
            <w:r>
              <w:t xml:space="preserve"> </w:t>
            </w:r>
            <w:r>
              <w:rPr>
                <w:b/>
                <w:i/>
              </w:rPr>
              <w:t>De strategie bevordert ook een gecoördineerde Europese aanpak van artificiële intelligentie in de wetenschap als middel om het concurrentievermogen te versterken, de innovatiekloof te dichten en het technologische leiderschap van Europa te versterken.</w:t>
            </w:r>
            <w:r>
              <w:t xml:space="preserve"> </w:t>
            </w:r>
            <w:r>
              <w:rPr>
                <w:b/>
                <w:i/>
              </w:rPr>
              <w:t>De strategie voorziet voorts in de ontwikkeling en opschaling van technologische infrastructuur, waaronder AI-fabrieken, -gigafabrieken en een grotere cloud- en datacentrumcapaciteit, om onderzoekers, innovatoren en start-ups te ondersteunen, naast acties om particuliere investeringen en veilige kaders voor gegevensuitwisseling te vergemakkelijken, waardoor innovatie wordt bevorderd en de uitrol van artificiële intelligentie wordt versneld.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MEDEDELING VAN DE COMMISSIE AAN HET EUROPEES PARLEMENT EN DE RAAD "Een Europese strategie voor artificiële intelligentie in de wetenschap — De weg effenen voor de bron voor AI-wetenschap in Europa (Raise)", COM/2025/724 final, https://eur-lex.europa.eu/legal-content/NL/TXT/?uri=celex:52025DC0724.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Het versnellen van onderzoek en innovatie op het gebied van ruimtevaart versterkt het mondiale concurrentievermogen en de strategische autonomie van de Unie in de ruimtevaartsector in het licht van de snelle technologische vooruitgang en de toenemende internationale concurrentie, met name op gebieden als ruimtevaartvervoer, telecommunicatie, cloudoplossingen voor satellieten en opkomende gebieden, waaronder onderhoud in de omloopbaan, robotica, artificiële intelligentie en kwantumtechnologieën</w:t>
            </w:r>
            <w:r>
              <w:rPr>
                <w:b/>
                <w:i/>
                <w:vertAlign w:val="superscript"/>
              </w:rPr>
              <w:t>1 quater</w:t>
            </w:r>
            <w:r>
              <w:rPr>
                <w:b/>
                <w:i/>
              </w:rPr>
              <w:t>.</w:t>
            </w:r>
            <w:r>
              <w:t xml:space="preserve"> </w:t>
            </w:r>
            <w:r>
              <w:rPr>
                <w:b/>
                <w:i/>
              </w:rPr>
              <w:t>Transformatieve ontwikkelingen, waaronder herbruikbare raketten en raketten met een groot draagvermogen, grote megaconstellaties van satellieten en kortere levenscycli van satellieten, vereisen duurzame innovatie op het gebied van productie-, uitrol- en vervangingscapaciteit.</w:t>
            </w:r>
            <w:r>
              <w:t xml:space="preserve"> </w:t>
            </w:r>
            <w:r>
              <w:rPr>
                <w:b/>
                <w:i/>
              </w:rPr>
              <w:t>Deze inspanning is ook afhankelijk van versterkte samenwerkingskaders en gebundelde middelen tussen overheidsinstanties, agentschappen, de academische wereld, onderzoeksorganisaties en het bedrijfsleven, in combinatie met versterkte ontwikkeling van vaardigheden en programma’s voor hoger onderwijs op het gebied van ruimtevaarttechnologieën.</w:t>
            </w:r>
            <w:r>
              <w:t xml:space="preserve"> </w:t>
            </w:r>
            <w:r>
              <w:rPr>
                <w:b/>
                <w:i/>
              </w:rPr>
              <w:t>Dit ondersteunt de opkomst van toekomstige omloopbanen en economieën in de ruimte, met inbegrip van satellietonderhoud, verwijdering van schroot, assemblage en productie in de ruimte, in de ruimte gestationeerde data-infrastructuur en activiteiten voor de winning van hulpbronnen in de ruimte, zoals ruimtemijnbouw en het gebruik van extraterritoriale hulpbronnen, en draagt zo bij tot het technologische leiderschap, de industriële veerkracht en het concurrentievermogen van Europa op lange termijn.</w:t>
            </w:r>
            <w:r>
              <w:t xml:space="preserve"> </w:t>
            </w:r>
            <w:r>
              <w:rPr>
                <w:b/>
                <w:i/>
              </w:rPr>
              <w:t>Tegelijkertijd moet meer nadruk worden gelegd op de marktintroductie van disruptieve technologieën, waaronder geavanceerde digitale infrastructuur, artificiële intelligentie, machinaal leren, kwantumtechnologieën, blockchain, connectiviteitstechnologieën zoals 5G en 6G, toepassingen van het internet der dingen, lanceercapaciteiten en geavanceerde productieoplossingen, alsook digitale tweelingen en modelleringsinstrumenten voor het ontwerp en de productie van ruimtevaartuigen.</w:t>
            </w:r>
            <w:r>
              <w:t xml:space="preserve"> </w:t>
            </w:r>
            <w:r>
              <w:rPr>
                <w:b/>
                <w:i/>
              </w:rPr>
              <w:t>De innovatiecapaciteit van de Unie wordt verder versterkt door het innovatiepotentieel van Europa in alle lidstaten te ontsluiten, synergieën tussen ruimtevaart, defensie en andere industriële ecosystemen te bevorderen en gerichte top-downinitiatieven te combineren met open bottom-upinstrumenten, waaronder subsidies, investeringen, aanbestedingen en op prijzen gebaseerde financiering, in samenwerking met publieke en private partners.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quater</w:t>
            </w:r>
            <w:r>
              <w:t xml:space="preserve"> </w:t>
            </w:r>
            <w:r>
              <w:rPr>
                <w:b/>
                <w:i/>
              </w:rPr>
              <w:t>MEDEDELING VAN DE COMMISSIE AAN HET EUROPEES PARLEMENT, DE RAAD, HET EUROPEES ECONOMISCH EN SOCIAAL COMITÉ EN HET COMITÉ VAN DE REGIO’S "Een visie voor de Europese ruimtevaarteconomie", COM/2025/336 final https://eur-lex.europa.eu/legal-content/NL/ALL/?uri=CELEX%3A52025DC0336.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Het kaderprogramma moet berusten op een alomvattende aanpak om de excellentie van Europa op het gebied van kwantumwetenschap te consolideren en de industriële transformatie ervan te ondersteunen door middel van gecoördineerde onderzoeks- en innovatieacties op het gebied van kwantumcomputing-, communicatie- en detectietechnologieën</w:t>
            </w:r>
            <w:r>
              <w:rPr>
                <w:b/>
                <w:i/>
                <w:vertAlign w:val="superscript"/>
              </w:rPr>
              <w:t>1 quinquies</w:t>
            </w:r>
            <w:r>
              <w:rPr>
                <w:b/>
                <w:i/>
              </w:rPr>
              <w:t>.</w:t>
            </w:r>
            <w:r>
              <w:t xml:space="preserve"> </w:t>
            </w:r>
            <w:r>
              <w:rPr>
                <w:b/>
                <w:i/>
              </w:rPr>
              <w:t>Het moet duurzame en schaalbare kwantuminfrastructuur ontwikkelen, met inbegrip van proeflijnen, ontwerpinstrumenten, gedistribueerde detectiesystemen en specifieke faciliteiten zoals infrastructuur voor kwantumcomputing en -detectie, om de productie, ontwikkeling van prototypen en industriële uitrol te ondersteunen.</w:t>
            </w:r>
            <w:r>
              <w:t xml:space="preserve"> </w:t>
            </w:r>
            <w:r>
              <w:rPr>
                <w:b/>
                <w:i/>
              </w:rPr>
              <w:t>Het moet ook de omzetting van wetenschappelijke vooruitgang in echte toepassingen in belangrijke publieke en industriële sectoren stimuleren, waarbij het volledige traject van laboratoriumonderzoek tot industriële fabricage en marktintroductie wordt bestreken, en tegelijkertijd de bescherming van intellectuele eigendom wordt versterkt en start-ups op het gebied van kwantumtechnologie worden verbonden met de Europese industrie om een veerkrachtig ecosysteem op te bouwen.</w:t>
            </w:r>
            <w:r>
              <w:t xml:space="preserve"> </w:t>
            </w:r>
            <w:r>
              <w:rPr>
                <w:b/>
                <w:i/>
              </w:rPr>
              <w:t>Tegelijkertijd moet het de ontwikkeling van een divers personeelsbestand van wereldklasse voor de kwantumtechnologie bevorderen door middel van gecoördineerde onderwijs- en opleidingsprogramma’s, mobiliteitsregelingen en beurzeninitiatieven die gericht zijn op het aantrekken en behouden van mondiaal talent.</w:t>
            </w:r>
            <w:r>
              <w:t xml:space="preserve"> </w:t>
            </w:r>
            <w:r>
              <w:rPr>
                <w:b/>
                <w:i/>
              </w:rPr>
              <w:t>Het moet missiegerichte initiatieven zoals grote uitdagingen op kwantumgebied verder ondersteunen, waarbij onderzoeksorganisaties, de industrie en publieke actoren worden samengebracht om strategische technologische doelstellingen aan te pakken en zo het technologische leiderschap, het concurrentievermogen en de strategische autonomie van Europa op het gebied van kwantumtechnologieën te versterken.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quinquies</w:t>
            </w:r>
            <w:r>
              <w:t xml:space="preserve"> </w:t>
            </w:r>
            <w:r>
              <w:rPr>
                <w:b/>
                <w:i/>
              </w:rPr>
              <w:t>MEDEDELING VAN DE COMMISSIE AAN HET EUROPEES PARLEMENT EN DE RAAD "Europese kwantumstrategie: Kwantum-Europa in een veranderende wereld",</w:t>
            </w:r>
            <w:r>
              <w:t xml:space="preserve"> </w:t>
            </w:r>
            <w:r>
              <w:rPr>
                <w:b/>
                <w:i/>
              </w:rPr>
              <w:t>COM/2025/363 final https://eur-lex.europa.eu/legal-content/NL/TXT/?uri=celex:52025DC0363.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Hoewel wordt erkend dat de sociale en geesteswetenschappen kunnen bijdragen tot het Europese onderzoekslandschap, worden de prioriteiten van de Unie en de lidstaten voornamelijk bepaald door wetenschap, technologie, engineering en wiskunde, in het licht van aanhoudende tekorten aan vaardigheden en de toenemende behoeften van de arbeidsmarkt in strategische sectoren.</w:t>
            </w:r>
            <w:r>
              <w:t xml:space="preserve"> </w:t>
            </w:r>
            <w:r>
              <w:rPr>
                <w:b/>
                <w:i/>
              </w:rPr>
              <w:t>In dit verband vormt een hooggekwalificeerde beroepsbevolking de ruggengraat van de Europese economie en vereist zij de versterking van menselijk kapitaal, vaardigheden en onderwijsstelsels als belangrijke aanjagers van productiviteit, innovatie en concurrentievermogen, met bijzondere aandacht voor STEM-vaardigheden, digitale geletterdheid en geletterdheid op het gebied van artificiële intelligentie, een betere beoordeling van digitale vaardigheden en het vergroten van de aantrekkelijkheid en paraatheid van onderwijs- en onderzoeksloopbanen op STEM-gebieden.</w:t>
            </w:r>
            <w:r>
              <w:t xml:space="preserve"> </w:t>
            </w:r>
            <w:r>
              <w:rPr>
                <w:b/>
                <w:i/>
              </w:rPr>
              <w:t>Het versterken van STEM-onderwijs op alle niveaus, met inbegrip van beroepsonderwijs, tertiair onderwijs en doctoraatsonderwijs, door middel van gemoderniseerde leerplannen, innovatieve onderwijsmethoden, sterkere beroepstrajecten en nauwere samenwerking tussen onderwijsaanbieders, onderzoeksorganisaties en het bedrijfsleven, is van essentieel belang om doeltreffende pijplijnen tot stand te brengen, van onderwijs tot innovatie, start-ups en scale-ups.</w:t>
            </w:r>
            <w:r>
              <w:t xml:space="preserve"> </w:t>
            </w:r>
            <w:r>
              <w:rPr>
                <w:b/>
                <w:i/>
              </w:rPr>
              <w:t>Een alomvattende en inclusieve vaardighedenstrategie moet nauwere banden tussen onderwijs, onderzoek en industriële ecosystemen bevorderen en de omzetting van ideeën in marktklare technologieën op gebieden als artificiële intelligentie, halfgeleiders, biotechnologie en schone technologieën ondersteunen, en zo zorgen voor een toekomstgerichte beroepsbevolking die het concurrentievermogen van de Unie op lange termijn kan ondersteunen</w:t>
            </w:r>
            <w:r>
              <w:rPr>
                <w:b/>
                <w:i/>
                <w:vertAlign w:val="superscript"/>
              </w:rPr>
              <w:t>1 sexies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sexies</w:t>
            </w:r>
            <w:r>
              <w:t xml:space="preserve"> </w:t>
            </w:r>
            <w:r>
              <w:rPr>
                <w:b/>
                <w:i/>
              </w:rPr>
              <w:t>MEDEDELING VAN DE COMMISSIE AAN HET EUROPEES PARLEMENT, DE RAAD, HET EUROPEES ECONOMISCH EN SOCIAAL COMITÉ EN HET COMITÉ VAN DE REGIO’S, “Een strategisch plan voor STEM-onderwijs: vaardigheden voor concurrentievermogen en innovatie</w:t>
            </w:r>
            <w:r>
              <w:t xml:space="preserve"> </w:t>
            </w:r>
            <w:r>
              <w:rPr>
                <w:b/>
                <w:i/>
              </w:rPr>
              <w:t>vaardigheden voor concurrentievermogen en innovatie", COM/2025/89 final https://eur-lex.europa.eu/legal-content/NL/TXT/?uri=celex:52025DC0089; Aanbeveling van de Raad van 9 maart 2026 over menselijk kapitaal in de Europese Unie, ELI:</w:t>
            </w:r>
            <w:r>
              <w:t xml:space="preserve"> </w:t>
            </w:r>
            <w:r>
              <w:rPr>
                <w:b/>
                <w:i/>
              </w:rPr>
              <w:t>http://data.europa.eu/eli/C/2026/1687/oj.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w:t>
            </w:r>
            <w:r>
              <w:rPr>
                <w:b/>
                <w:i/>
              </w:rPr>
              <w:t>, dat het concurrentievermogen</w:t>
            </w:r>
            <w:r>
              <w:t>, de veerkracht, de duurzaamheid, het technologisch leiderschap en de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w:t>
            </w:r>
            <w:r>
              <w:rPr>
                <w:b/>
                <w:i/>
              </w:rPr>
              <w:t>met een exclusief civiele aard en primair een civiele focus, waarbij een correcte samenhang en synergieën met het specifieke programma voor defensieonderzoek, dat is vastgesteld bij de EFC-verordening, worden gewaarborgd, om zo de resultaten van activiteiten voor defensiedoeleinden verder te valoriseren en te gebruiken, wat de excellentie</w:t>
            </w:r>
            <w:r>
              <w:t>, de veerkracht, de duurzaamheid, het technologisch leiderschap</w:t>
            </w:r>
            <w:r>
              <w:rPr>
                <w:b/>
                <w:i/>
              </w:rPr>
              <w:t>, de veiligheid</w:t>
            </w:r>
            <w:r>
              <w:t xml:space="preserve"> en de sociale cohesie moet versterken </w:t>
            </w:r>
            <w:r>
              <w:rPr>
                <w:b/>
                <w:i/>
              </w:rPr>
              <w:t>op de meest efficiënte wijze, waarbij onnodig dubbel werk, inconsistentie en administratieve lasten voor onderzoekers, innovatoren en ondernemers worden vermeden</w:t>
            </w:r>
            <w:r>
              <w:t xml:space="preserve">. </w:t>
            </w:r>
            <w:r>
              <w:rPr>
                <w:b/>
                <w:i/>
              </w:rPr>
              <w:t>Daarom moet worden gezorgd voor volledige complementariteit tussen het programma en het specifieke programma voor defensieonderzoek, en moet er bij de uitvoering van beide naar worden gestreefd de voordelen van hun activiteiten voor de hele samenleving te maximaliseren.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w:t>
            </w:r>
            <w:r>
              <w:rPr>
                <w:b/>
                <w:i/>
              </w:rPr>
              <w:t>, dat het</w:t>
            </w:r>
            <w:r>
              <w:t xml:space="preserve"> concurrentievermogen, de veerkracht, de duurzaamheid, het technologisch leiderschap en de sociale cohesie </w:t>
            </w:r>
            <w:r>
              <w:rPr>
                <w:b/>
                <w:i/>
              </w:rPr>
              <w:t>moet</w:t>
            </w:r>
            <w:r>
              <w:t xml:space="preserve"> versterken.</w:t>
            </w:r>
          </w:p>
        </w:tc>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w:t>
            </w:r>
            <w:r>
              <w:rPr>
                <w:b/>
                <w:i/>
              </w:rPr>
              <w:t>.</w:t>
            </w:r>
            <w:r>
              <w:t xml:space="preserve"> </w:t>
            </w:r>
            <w:r>
              <w:rPr>
                <w:b/>
                <w:i/>
              </w:rPr>
              <w:t>Het moet bijdragen tot het versterken van</w:t>
            </w:r>
            <w:r>
              <w:t xml:space="preserve"> concurrentievermogen, de veerkracht, de duurzaamheid, het technologisch leiderschap en de sociale cohesie</w:t>
            </w:r>
            <w:r>
              <w:rPr>
                <w:b/>
                <w:i/>
              </w:rPr>
              <w:t>, alsook tot het ondersteunen van de groene transitie en de digitale transformatie, het</w:t>
            </w:r>
            <w:r>
              <w:t xml:space="preserve"> versterken </w:t>
            </w:r>
            <w:r>
              <w:rPr>
                <w:b/>
                <w:i/>
              </w:rPr>
              <w:t>van open strategische autonomie, het versnellen van de overdracht van onderzoeksresultaten aan de markt en de samenleving, en het bevorderen van internationale samenwerking en de ontwikkeling van vaardigheden binnen de Europese Onderzoeksruimte</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Er is behoefte aan een snellere overdracht van onderzoeksresultaten aan de markt en de samenleving en aan de uitvoering ervan, alsook aan de bevordering van internationale samenwerking en de ontwikkeling van vaardigheden binnen de Europese Onderzoeksruimte.</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 en de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 en de sociale cohesie moet versterken </w:t>
            </w:r>
            <w:r>
              <w:rPr>
                <w:b/>
                <w:i/>
              </w:rPr>
              <w:t>en het concurrentievermogen van de Unie moet ondersteunen door open en veilige wetenschappelijke samenwerking te bevorderen die betrouwbare en billijke partnerschappen tot stand brengt, met name met lage- en middeninkomenslanden, in overeenstemming met het opkomende Europees kader voor wetenschapsdiplomatie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programma is in de eerste plaats gericht op het stimuleren van excellentie op onderzoeksgebied in Europa, maar kan een sleutelrol spelen bij het bevorderen van wetenschappelijke vrijheid, het bevorderen van internationale samenwerking wereldwijd, en biedt een kans om in de huidige geopolitieke context “soft power” van de EU te ontwikkelen.</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Krzysztof Hetman, Adam Jarubas, Mirosława Nykiel, Borys Budka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w:t>
            </w:r>
            <w:r>
              <w:rPr>
                <w:b/>
                <w:i/>
              </w:rPr>
              <w:t>het</w:t>
            </w:r>
            <w:r>
              <w:t xml:space="preserve"> concurrentievermogen, </w:t>
            </w:r>
            <w:r>
              <w:rPr>
                <w:b/>
                <w:i/>
              </w:rPr>
              <w:t>de</w:t>
            </w:r>
            <w:r>
              <w:t xml:space="preserve"> veerkracht, </w:t>
            </w:r>
            <w:r>
              <w:rPr>
                <w:b/>
                <w:i/>
              </w:rPr>
              <w:t>de</w:t>
            </w:r>
            <w:r>
              <w:t xml:space="preserve"> duurzaamheid, </w:t>
            </w:r>
            <w:r>
              <w:rPr>
                <w:b/>
                <w:i/>
              </w:rPr>
              <w:t>het</w:t>
            </w:r>
            <w:r>
              <w:t xml:space="preserve"> technologisch leiderschap en </w:t>
            </w:r>
            <w:r>
              <w:rPr>
                <w:b/>
                <w:i/>
              </w:rPr>
              <w:t>de</w:t>
            </w:r>
            <w:r>
              <w:t xml:space="preserv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w:t>
            </w:r>
            <w:r>
              <w:rPr>
                <w:b/>
                <w:i/>
              </w:rPr>
              <w:t>autonome</w:t>
            </w:r>
            <w:r>
              <w:t xml:space="preserve"> kaderprogramma voor onderzoek en innovatie — voor de periode 2028-2034 (“het programma”), dat </w:t>
            </w:r>
            <w:r>
              <w:rPr>
                <w:b/>
                <w:i/>
              </w:rPr>
              <w:t>de onderzoeks- en innovatiecapaciteiten van de Unie, haar</w:t>
            </w:r>
            <w:r>
              <w:t xml:space="preserve"> concurrentievermogen, </w:t>
            </w:r>
            <w:r>
              <w:rPr>
                <w:b/>
                <w:i/>
              </w:rPr>
              <w:t>veiligheid,</w:t>
            </w:r>
            <w:r>
              <w:t xml:space="preserve"> veerkracht, duurzaamheid, technologisch leiderschap en sociale cohesie moet versterken </w:t>
            </w:r>
            <w:r>
              <w:rPr>
                <w:b/>
                <w:i/>
              </w:rPr>
              <w:t>in alle lidstaten en regio’s van de Europese Unie en een bredere deelname moet bevorderen, met name in de lidstaten waar minder onderzoek en innovatie wordt verricht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 en de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 en de sociale cohesie moet versterken </w:t>
            </w:r>
            <w:r>
              <w:rPr>
                <w:b/>
                <w:i/>
              </w:rPr>
              <w:t>en het concurrentievermogen van de Unie moet ondersteunen door open en veilige wetenschappelijke samenwerking te bevorderen die betrouwbare en billijke partnerschappen tot stand brengt, in overeenstemming met het opkomende Europees kader voor wetenschapsdiplomatie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w:t>
            </w:r>
            <w:r>
              <w:rPr>
                <w:b/>
                <w:i/>
              </w:rPr>
              <w:t>, de veerkracht, de duurzaamheid, het technologisch leiderschap en de</w:t>
            </w:r>
            <w:r>
              <w:t xml:space="preserve"> sociale </w:t>
            </w:r>
            <w:r>
              <w:rPr>
                <w:b/>
                <w:i/>
              </w:rPr>
              <w:t>cohesie moet versterken</w:t>
            </w:r>
            <w:r>
              <w:t>.</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w:t>
            </w:r>
            <w:r>
              <w:rPr>
                <w:b/>
                <w:i/>
              </w:rPr>
              <w:t>de sociale cohesie, de duurzaamheid, de wetenschappelijke excellentie, de strategische autonomie, de democratische veerkracht en hoogwaardige innovatie van algemeen belang moet versterken, en er tegelijkertijd voor zorgen dat</w:t>
            </w:r>
            <w:r>
              <w:t xml:space="preserve"> het concurrentievermogen </w:t>
            </w:r>
            <w:r>
              <w:rPr>
                <w:b/>
                <w:i/>
              </w:rPr>
              <w:t>ondergeschikt blijft aan</w:t>
            </w:r>
            <w:r>
              <w:t xml:space="preserve"> sociale</w:t>
            </w:r>
            <w:r>
              <w:rPr>
                <w:b/>
                <w:i/>
              </w:rPr>
              <w:t>, milieu- en territoriale doelstellingen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 en de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w:t>
            </w:r>
            <w:r>
              <w:rPr>
                <w:b/>
                <w:i/>
              </w:rPr>
              <w:t>fundamenteel onderzoek,</w:t>
            </w:r>
            <w:r>
              <w:t xml:space="preserve"> het concurrentievermogen</w:t>
            </w:r>
            <w:r>
              <w:rPr>
                <w:b/>
                <w:i/>
              </w:rPr>
              <w:t>, universiteiten en openbare onderzoeksinstellingen, intellectuele activiteiten</w:t>
            </w:r>
            <w:r>
              <w:t>, de veerkracht, de duurzaamheid, het technologisch leiderschap en de sociale cohesie moet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w:t>
            </w:r>
            <w:r>
              <w:rPr>
                <w:b/>
                <w:i/>
              </w:rPr>
              <w:t>concurrentievermogen, de veerkracht, de duurzaamheid, het</w:t>
            </w:r>
            <w:r>
              <w:t xml:space="preserve"> technologisch leiderschap en de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w:t>
            </w:r>
            <w:r>
              <w:rPr>
                <w:b/>
                <w:i/>
              </w:rPr>
              <w:t>wetenschappelijk en</w:t>
            </w:r>
            <w:r>
              <w:t xml:space="preserve"> technologisch leiderschap </w:t>
            </w:r>
            <w:r>
              <w:rPr>
                <w:b/>
                <w:i/>
              </w:rPr>
              <w:t>en de excellentie van de EU, haar concurrentievermogen, veiligheid, veerkracht en soevereiniteit, de duurzaamheid</w:t>
            </w:r>
            <w:r>
              <w:t xml:space="preserve"> en de sociale cohesie moet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Silvia Sardone, Isabella Tovaglieri, Raffaele Stancanelli,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w:t>
            </w:r>
            <w:r>
              <w:rPr>
                <w:b/>
                <w:i/>
              </w:rPr>
              <w:t>het</w:t>
            </w:r>
            <w:r>
              <w:t xml:space="preserve"> technologisch leiderschap en de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w:t>
            </w:r>
            <w:r>
              <w:rPr>
                <w:b/>
                <w:i/>
              </w:rPr>
              <w:t>en haar lidstaten</w:t>
            </w:r>
            <w:r>
              <w:t xml:space="preserve"> op het gebied van onderzoek en innovatie zo veel mogelijk waarde toevoegen, moet de Unie </w:t>
            </w:r>
            <w:r>
              <w:rPr>
                <w:b/>
                <w:i/>
              </w:rPr>
              <w:t>samen met haar lidstaten</w:t>
            </w:r>
            <w:r>
              <w:t xml:space="preserve"> investeren in onderzoek en innovatie via Horizon Europa — het kaderprogramma voor onderzoek en innovatie — voor de periode 2028-2034 (“het programma”), dat het concurrentievermogen, de veerkracht, de duurzaamheid, </w:t>
            </w:r>
            <w:r>
              <w:rPr>
                <w:b/>
                <w:i/>
              </w:rPr>
              <w:t>toekomstbestendig</w:t>
            </w:r>
            <w:r>
              <w:t xml:space="preserve"> technologisch leiderschap en de sociale cohesie moet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Sofie Eriksson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w:t>
            </w:r>
            <w:r>
              <w:rPr>
                <w:b/>
                <w:i/>
              </w:rPr>
              <w:t>, het technologisch leiderschap</w:t>
            </w:r>
            <w:r>
              <w:t xml:space="preserve"> en de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w:t>
            </w:r>
            <w:r>
              <w:rPr>
                <w:b/>
                <w:i/>
              </w:rPr>
              <w:t>wetenschappelijk en technologisch leiderschap en de excellentie, het</w:t>
            </w:r>
            <w:r>
              <w:t xml:space="preserve"> concurrentievermogen, de veerkracht, de duurzaamheid en de sociale cohesie moet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 en de sociale cohesie moet versterken.</w:t>
            </w:r>
          </w:p>
        </w:tc>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w:t>
            </w:r>
            <w:r>
              <w:rPr>
                <w:b/>
                <w:i/>
              </w:rPr>
              <w:t>, het duurzaam oceaanbeheer</w:t>
            </w:r>
            <w:r>
              <w:t xml:space="preserve"> en de sociale cohesie moet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 en de sociale cohesie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 het technologisch leiderschap en de </w:t>
            </w:r>
            <w:r>
              <w:rPr>
                <w:b/>
                <w:i/>
              </w:rPr>
              <w:t>territoriale en</w:t>
            </w:r>
            <w:r>
              <w:t xml:space="preserve"> sociale cohesie moet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duurzaamheid</w:t>
            </w:r>
            <w:r>
              <w:rPr>
                <w:b/>
                <w:i/>
              </w:rPr>
              <w:t>,</w:t>
            </w:r>
            <w:r>
              <w:t xml:space="preserve"> het technologisch leiderschap </w:t>
            </w:r>
            <w:r>
              <w:rPr>
                <w:b/>
                <w:i/>
              </w:rPr>
              <w:t>en de sociale cohesie</w:t>
            </w:r>
            <w:r>
              <w:t xml:space="preserve"> moet versterken.</w:t>
            </w:r>
          </w:p>
        </w:tc>
        <w:tc>
          <w:tcPr>
            <w:tcW w:w="4876" w:type="dxa"/>
            <w:tcBorders>
              <w:top w:val="nil"/>
              <w:left w:val="nil"/>
              <w:bottom w:val="nil"/>
              <w:right w:val="nil"/>
            </w:tcBorders>
          </w:tcPr>
          <w:p>
            <w:pPr>
              <w:pStyle w:val="Normal6a"/>
            </w:pPr>
            <w:r>
              <w:t>(2)</w:t>
            </w:r>
            <w:r>
              <w:tab/>
            </w:r>
            <w:r>
              <w:t xml:space="preserve">Om wetenschappelijke, technologische, economische, ecologische en maatschappelijke effecten te sorteren en ervoor te zorgen dat de investeringen van de Unie op het gebied van onderzoek en innovatie zo veel mogelijk waarde toevoegen, moet de Unie investeren in onderzoek en innovatie via Horizon Europa — het kaderprogramma voor onderzoek en innovatie — voor de periode 2028-2034 (“het programma”), dat het concurrentievermogen, de veerkracht, de </w:t>
            </w:r>
            <w:r>
              <w:rPr>
                <w:b/>
                <w:i/>
              </w:rPr>
              <w:t>wetenschappelijke excellentie, de</w:t>
            </w:r>
            <w:r>
              <w:t xml:space="preserve"> duurzaamheid</w:t>
            </w:r>
            <w:r>
              <w:rPr>
                <w:b/>
                <w:i/>
              </w:rPr>
              <w:t> en</w:t>
            </w:r>
            <w:r>
              <w:t xml:space="preserve"> het technologisch leiderschap moet versterken.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Horizon Europa, het kaderprogramma voor onderzoek en innovatie, is ontworpen om wetenschappelijke excellentie te bevorderen.</w:t>
      </w:r>
      <w:r>
        <w:t xml:space="preserve"> </w:t>
      </w:r>
      <w:r>
        <w:t>Als onderzoeksprogramma mag het niet dienen als cohesie-instrument.</w:t>
      </w:r>
      <w:r>
        <w:t xml:space="preserve"> </w:t>
      </w:r>
      <w:r>
        <w:t>Om de kwaliteit van de onderzoeks- en innovatieresultaten te waarborgen en het concurrentievermogen te versterken, is het van essentieel belang een duidelijke focus op excellentie te bewaren.</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Eszter Lakos, Radan Kanev, Pilar del Castillo Vera, Angelika Winzig, Tomas Tobé, Aura Salla,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Democratie, de rechtsstaat en eerbiediging van de grondrechten zijn fundamentele waarden van de Unie, zoals verankerd in artikel 2 van het Verdrag betreffende de Europese Unie.</w:t>
            </w:r>
            <w:r>
              <w:t xml:space="preserve"> </w:t>
            </w:r>
            <w:r>
              <w:rPr>
                <w:b/>
                <w:i/>
              </w:rPr>
              <w:t>Het Europees schild voor de democratie heeft tot doel de veerkracht van democratische instellingen en processen tegen buitenlandse inmenging, informatiemanipulatie en systemische bedreigingen voor open samenlevingen te versterken.</w:t>
            </w:r>
            <w:r>
              <w:t xml:space="preserve"> </w:t>
            </w:r>
            <w:r>
              <w:rPr>
                <w:b/>
                <w:i/>
              </w:rPr>
              <w:t>Vrije, onafhankelijke en pluralistische wetenschap, ondersteund door academische vrijheid en de vrijheid van wetenschappelijk onderzoek, is onontbeerlijk voor de werking van het democratische beleid:</w:t>
            </w:r>
            <w:r>
              <w:t xml:space="preserve"> </w:t>
            </w:r>
            <w:r>
              <w:rPr>
                <w:b/>
                <w:i/>
              </w:rPr>
              <w:t>het ondersteunt een geïnformeerde openbare beraadslaging, verstrekt burgers en beleidsmakers betrouwbaar bewijsmateriaal en biedt de kritische toetsing waarvan zelfbestuur afhankelijk is.</w:t>
            </w:r>
            <w:r>
              <w:t xml:space="preserve"> </w:t>
            </w:r>
            <w:r>
              <w:rPr>
                <w:b/>
                <w:i/>
              </w:rPr>
              <w:t>Het kaderprogramma moet bijdragen aan de verwezenlijking van de doelstellingen van het Europees schild voor de democratie door steun te verlenen aan onderzoek naar de dreigingen waarmee hedendaagse democratieën worden geconfronteerd — waaronder desinformatie, buitenlandse informatiemanipulatie en inmenging, polarisatie en het afnemende vertrouwen van burgers — en door het bevorderen van het wetenschappelijk inzicht, de instrumenten en de empirische onderbouwing die nodig zijn om de Europese democratie, haar instellingen en de grondrechten en waarden waarop de Unie is gegrondvest, te beschermen en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Het programma zal worden uitgevoerd via werkprogramma’s die door de Europese Commissie door middel van uitvoeringshandelingen worden vastgesteld.</w:t>
            </w:r>
            <w:r>
              <w:t xml:space="preserve"> </w:t>
            </w:r>
            <w:r>
              <w:rPr>
                <w:b/>
                <w:i/>
              </w:rPr>
              <w:t>In dit kader moet worden gewaarborgd dat de lidstaten en regio’s bij dit proces zijn betrokken, namelijk door deelname aan de ontwikkeling en uitvoering van de werkprogramma’s toe te staan.</w:t>
            </w:r>
            <w:r>
              <w:t xml:space="preserve"> </w:t>
            </w:r>
            <w:r>
              <w:rPr>
                <w:b/>
                <w:i/>
              </w:rPr>
              <w:t>Daarnaast moeten er instrumenten worden ingesteld waarmee de lidstaten de uitvoering van de werkprogramma’s kunnen monitoren, hetgeen zou bijdragen tot meer transparantie en een betere afstemming van het programma op de feitelijke behoeften en de uitdagingen waarmee de lidstaten en regio’s worden geconfronteerd, zodat een beter thematisch evenwicht en een doeltreffende afstemming op nationale en regionale investeringen, initiatieven en capaciteiten worden gewaarborgd.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Het programma moet de totstandbrenging, betere verspreiding en overdracht van excellente kennis, innovatie en geavanceerde technologieën in de Unie ondersteunen, onderzoeksloopbanen bevorderen, talent op alle niveaus aantrekken en behouden en bijdragen aan de volledige inzet van de talentenpool van de Unie, samenwerkingsverbanden in de hele Unie en daarbuiten vergemakkelijken en het effect van O&amp;I op de ontwikkeling, ondersteuning en uitvoering van Uniebeleid versterken, de toepassing en uitrol van innovatieve en duurzame oplossingen in de Unie ondersteunen en versterken en Europese en mondiale uitdagingen aanpakken, waaronder aan de oostelijke grens, en in de regio’s die worstelen met decarbonisatie, en zo bij te dragen tot het dichten van de O&amp;I-kloof binnen de EU en met wereldleiders.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Het programma moet erop gericht zijn de samenwerkingsbanden in Europa te versterken en zo bij te dragen tot het verkleinen van de O&amp;I-kloof, met inachtneming van het beginsel van excellentie.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O&amp;I-kloof moet als een op zichzelf staande kwestie worden aangepakt. Daarom wordt een nieuwe overweging voorgesteld.</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programma moet </w:t>
            </w:r>
            <w:r>
              <w:rPr>
                <w:b/>
                <w:i/>
              </w:rPr>
              <w:t>nauw verbonden zijn met Verordening (EU) [XXX]* van het Europees Parlement en de Raad [Europees Fonds voor concurrentievermogen]</w:t>
            </w:r>
            <w:r>
              <w:rPr>
                <w:b/>
                <w:i/>
                <w:vertAlign w:val="superscript"/>
              </w:rPr>
              <w:t>3</w:t>
            </w:r>
            <w:r>
              <w:rPr>
                <w:b/>
                <w:i/>
              </w:rPr>
              <w:t>door</w:t>
            </w:r>
            <w:r>
              <w:t xml:space="preserve"> onderzoek en innovatie centraal </w:t>
            </w:r>
            <w:r>
              <w:rPr>
                <w:b/>
                <w:i/>
              </w:rPr>
              <w:t>te</w:t>
            </w:r>
            <w:r>
              <w:t xml:space="preserve"> stellen in de economische en investeringsstrategie van de Unie.</w:t>
            </w:r>
          </w:p>
        </w:tc>
        <w:tc>
          <w:tcPr>
            <w:tcW w:w="4876" w:type="dxa"/>
            <w:tcBorders>
              <w:top w:val="nil"/>
              <w:left w:val="nil"/>
              <w:bottom w:val="nil"/>
              <w:right w:val="nil"/>
            </w:tcBorders>
          </w:tcPr>
          <w:p>
            <w:pPr>
              <w:pStyle w:val="Normal6a"/>
            </w:pPr>
            <w:r>
              <w:t>(3)</w:t>
            </w:r>
            <w:r>
              <w:tab/>
            </w:r>
            <w:r>
              <w:t xml:space="preserve">Het programma moet onderzoek en innovatie centraal stellen in de economische en investeringsstrategie van de Unie </w:t>
            </w:r>
            <w:r>
              <w:rPr>
                <w:b/>
                <w:i/>
              </w:rPr>
              <w:t>en zorgen voor samenhang en complementariteit met andere initiatieven van de Unie, waaronder het bij Verordening (EU) [XXX] opgerichte Europees Fonds voor concurrentievermogen en de bij Verordening (EU) [XXX] vastgestelde plannen voor nationaal en regionaal partnerschap</w:t>
            </w:r>
            <w:r>
              <w:t xml:space="preserve">. </w:t>
            </w:r>
            <w:r>
              <w:rPr>
                <w:b/>
                <w:i/>
              </w:rPr>
              <w:t>De Commissie zet robuuste governancemechanismen op die een permanente dialoog tussen pijler II en het Europees Fonds voor concurrentievermogen mogelijk maken, met inbegrip van gezamenlijke strategische fora, transparante coördinatiestructuren en regelmatige uitwisselingen tussen DG RTD, andere diensten van de Commissie, de lidstaten en relevante actoren, om te zorgen voor een naadloze innovatiepijplijn van vroeg onderzoek tot uitrol, zonder lacunes, overlappingen of onnodige procedurele lasten.</w:t>
            </w:r>
            <w:r>
              <w:t xml:space="preserve"> </w:t>
            </w:r>
            <w:r>
              <w:rPr>
                <w:b/>
                <w:i/>
              </w:rPr>
              <w:t>De Commissie verduidelijkt de rollen, mandaten en beslissingsrechten van het instrument voor de coördinatie van het concurrentievermogen, de raad van strategische belanghebbenden van het EFC en aanverwante adviesorganen, zorgt voor een evenwichtige vertegenwoordiging van onderzoeksactoren naast industriële belanghebbenden, bepaalt duidelijke trajecten voor vooruitgang op het gebied van TRL en stelt concrete overbruggingsinstrumenten tussen KP10 en het Europees Fonds voor concurrentievermogen vast.</w:t>
            </w:r>
            <w:r>
              <w:t xml:space="preserve"> </w:t>
            </w:r>
            <w:r>
              <w:rPr>
                <w:b/>
                <w:i/>
              </w:rPr>
              <w:t>Het specificeert ook het ontwerp van ARPA-achtige structuren en de rol van portefeuillebeheerders bij het koppelen van pijlers en het coördineren van grootschalige initiatieven, met behoud van de kerntaak, de wetenschappelijke autonomie en de integriteit van het programma Horizon Europa.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PB C  van , blz. .</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programma moet </w:t>
            </w:r>
            <w:r>
              <w:rPr>
                <w:b/>
                <w:i/>
              </w:rPr>
              <w:t>nauw verbonden zijn met Verordening (EU) [XXX]* van het Europees Parlement en de Raad [Europees Fonds voor concurrentievermogen]</w:t>
            </w:r>
            <w:r>
              <w:rPr>
                <w:b/>
                <w:i/>
                <w:vertAlign w:val="superscript"/>
              </w:rPr>
              <w:t>3</w:t>
            </w:r>
            <w:r>
              <w:rPr>
                <w:b/>
                <w:i/>
              </w:rPr>
              <w:t>door</w:t>
            </w:r>
            <w:r>
              <w:t xml:space="preserve"> onderzoek en innovatie centraal </w:t>
            </w:r>
            <w:r>
              <w:rPr>
                <w:b/>
                <w:i/>
              </w:rPr>
              <w:t>te</w:t>
            </w:r>
            <w:r>
              <w:t xml:space="preserve"> stellen in de economische en investeringsstrategie van de Unie.</w:t>
            </w:r>
          </w:p>
        </w:tc>
        <w:tc>
          <w:tcPr>
            <w:tcW w:w="4876" w:type="dxa"/>
            <w:tcBorders>
              <w:top w:val="nil"/>
              <w:left w:val="nil"/>
              <w:bottom w:val="nil"/>
              <w:right w:val="nil"/>
            </w:tcBorders>
          </w:tcPr>
          <w:p>
            <w:pPr>
              <w:pStyle w:val="Normal6a"/>
            </w:pPr>
            <w:r>
              <w:t>(3)</w:t>
            </w:r>
            <w:r>
              <w:tab/>
            </w:r>
            <w:r>
              <w:t>Het programma moet onderzoek en innovatie centraal stellen in de economische en investeringsstrategie van de Unie</w:t>
            </w:r>
            <w:r>
              <w:rPr>
                <w:b/>
                <w:i/>
              </w:rPr>
              <w:t>, waarbij wordt gezorgd voor samenhang en complementariteit met andere initiatieven van de Unie, waaronder het bij Verordening (EU) XXXXXXX opgerichte Europees Fonds voor concurrentievermogen, dat gericht zal zijn op versnelde ontwikkeling, uitvoering en industrieel concurrentievermogen en het omzetten van Europa’s sterkste O&amp;I in opschaling en uitrol op Europese schaal</w:t>
            </w:r>
            <w:r>
              <w:t xml:space="preserve">. </w:t>
            </w:r>
            <w:r>
              <w:rPr>
                <w:b/>
                <w:i/>
              </w:rPr>
              <w:t>Alle werkprogramma’s en de bijbehorende comitologieprocedures uit hoofde van deze verordening moeten uitsluitend in het kader van deze verordening worden opgesteld, beheerd en vastgesteld, onafhankelijk van andere instrumenten van de Unie.</w:t>
            </w:r>
            <w:r>
              <w:t xml:space="preserve"> </w:t>
            </w:r>
            <w:r>
              <w:rPr>
                <w:b/>
                <w:i/>
              </w:rPr>
              <w:t>Ondanks deze onafhankelijkheid moet een structurele koppeling tot stand worden gebracht om de transitie van technologieën te vergemakkelijken.</w:t>
            </w:r>
            <w:r>
              <w:t xml:space="preserve"> </w:t>
            </w:r>
            <w:r>
              <w:rPr>
                <w:b/>
                <w:i/>
              </w:rPr>
              <w:t>Voor activiteiten in het kader van het programma die een vooraf bepaald niveau van maturiteit of technologische paraatheid (TRL) bereiken, moet een specifiek coördinatiemechanisme in werking worden gesteld.</w:t>
            </w:r>
            <w:r>
              <w:t xml:space="preserve"> </w:t>
            </w:r>
            <w:r>
              <w:rPr>
                <w:b/>
                <w:i/>
              </w:rPr>
              <w:t>Dit moet regelmatige gezamenlijke vergaderingen van de respectieve comitésamenstellingen van het programma en het Europees Fonds voor concurrentievermogen omvatten om naadloze overdrachten te waarborgen, dubbel werk te voorkomen en investeringsprioriteiten te synchroniseren.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PB C  van , blz. .</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Radan Kanev, Angelika Niebler, Andrea Wechsler, Pilar del Castillo Vera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programma </w:t>
            </w:r>
            <w:r>
              <w:rPr>
                <w:b/>
                <w:i/>
              </w:rPr>
              <w:t>moet</w:t>
            </w:r>
            <w:r>
              <w:t xml:space="preserve"> nauw verbonden </w:t>
            </w:r>
            <w:r>
              <w:rPr>
                <w:b/>
                <w:i/>
              </w:rPr>
              <w:t>zijn</w:t>
            </w:r>
            <w:r>
              <w:t xml:space="preserve"> met Verordening (EU) [XXX]* van het Europees Parlement en de Raad [Europees Fonds voor concurrentievermogen]</w:t>
            </w:r>
            <w:r>
              <w:rPr>
                <w:b/>
                <w:i/>
                <w:vertAlign w:val="superscript"/>
              </w:rPr>
              <w:t>3</w:t>
            </w:r>
            <w:r>
              <w:t>door onderzoek en innovatie centraal te stellen in de economische en investeringsstrategie van de Unie.</w:t>
            </w:r>
          </w:p>
        </w:tc>
        <w:tc>
          <w:tcPr>
            <w:tcW w:w="4876" w:type="dxa"/>
            <w:tcBorders>
              <w:top w:val="nil"/>
              <w:left w:val="nil"/>
              <w:bottom w:val="nil"/>
              <w:right w:val="nil"/>
            </w:tcBorders>
          </w:tcPr>
          <w:p>
            <w:pPr>
              <w:pStyle w:val="Normal6a"/>
            </w:pPr>
            <w:r>
              <w:t>(3)</w:t>
            </w:r>
            <w:r>
              <w:tab/>
            </w:r>
            <w:r>
              <w:t xml:space="preserve">Het programma </w:t>
            </w:r>
            <w:r>
              <w:rPr>
                <w:b/>
                <w:i/>
              </w:rPr>
              <w:t>is</w:t>
            </w:r>
            <w:r>
              <w:t xml:space="preserve"> nauw verbonden met Verordening (EU) [XXX]* van het Europees Parlement en de Raad [Europees Fonds voor concurrentievermogen] door onderzoek en innovatie centraal te stellen in de economische en investeringsstrategie van de Unie. </w:t>
            </w:r>
            <w:r>
              <w:rPr>
                <w:b/>
                <w:i/>
              </w:rPr>
              <w:t>Het Europees Fonds voor concurrentievermogen zal de innovatiecapaciteit van de Unie versterken door steun te verlenen voor de uitrol van de meest succesvolle en noodzakelijke resultaten van projecten die door het programma of de voorgangers daarvan zijn gefinancierd.</w:t>
            </w:r>
            <w:r>
              <w:t xml:space="preserve"> </w:t>
            </w:r>
            <w:r>
              <w:rPr>
                <w:b/>
                <w:i/>
              </w:rPr>
              <w:t>Dit betekent ook dat alle procedures die betrekking hebben op werkprogramma’s in het kader van deze verordening uitsluitend in het kader van deze verordening moeten worden ingesteld, terwijl er regelmatig gezamenlijke vergaderingen van de samenstellingen van de comités van het programma en het Europees Fonds met verwante of overlappende onderwerpen door de Commissie moeten worden bijeengeroepen.</w:t>
            </w:r>
            <w:r>
              <w:t xml:space="preserve"> </w:t>
            </w:r>
            <w:r>
              <w:rPr>
                <w:b/>
                <w:i/>
              </w:rPr>
              <w:t>Deze vergaderingen moeten gebaseerd zijn op inhoudelijke beraadslagingen en documentatie, zodat doeltreffende coördinatie, afstemming van werkprogramma’s en, in voorkomend geval, gezamenlijke strategische planning mogelijk worden.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PB C  van , blz. .</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Ter verduidelijking van amendement 2 van het ontwerpverslag.</w:t>
      </w:r>
      <w:r>
        <w:t xml:space="preserve"> </w:t>
      </w:r>
      <w:r>
        <w:t>Verduidelijkt de formulering door deze geschikt te maken voor zowel uitvoeringshandelingen als gedelegeerde handelingen, aangezien de werkprogramma’s van pijler 2 gedelegeerde handelingen moeten zijn.</w:t>
      </w:r>
      <w:r>
        <w:t xml:space="preserve"> </w:t>
      </w:r>
      <w:r>
        <w:t>Verduidelijkt ook waar de verantwoordelijkheid ligt voor het bijeenroepen van gezamenlijke vergaderingen en dat dit inhoudelijke vergaderingen moeten zijn, en geen pro-formavergaderingen.</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programma </w:t>
            </w:r>
            <w:r>
              <w:rPr>
                <w:b/>
                <w:i/>
              </w:rPr>
              <w:t>moet</w:t>
            </w:r>
            <w:r>
              <w:t xml:space="preserve"> nauw verbonden </w:t>
            </w:r>
            <w:r>
              <w:rPr>
                <w:b/>
                <w:i/>
              </w:rPr>
              <w:t>zijn</w:t>
            </w:r>
            <w:r>
              <w:t xml:space="preserve"> met Verordening (EU) [XXX]* van het Europees Parlement en de Raad [Europees Fonds voor concurrentievermogen]</w:t>
            </w:r>
            <w:r>
              <w:rPr>
                <w:vertAlign w:val="superscript"/>
              </w:rPr>
              <w:t>3</w:t>
            </w:r>
            <w:r>
              <w:t>door onderzoek en innovatie centraal te stellen in de economische en investeringsstrategie van de Unie.</w:t>
            </w:r>
          </w:p>
        </w:tc>
        <w:tc>
          <w:tcPr>
            <w:tcW w:w="4876" w:type="dxa"/>
            <w:tcBorders>
              <w:top w:val="nil"/>
              <w:left w:val="nil"/>
              <w:bottom w:val="nil"/>
              <w:right w:val="nil"/>
            </w:tcBorders>
          </w:tcPr>
          <w:p>
            <w:pPr>
              <w:pStyle w:val="Normal6a"/>
            </w:pPr>
            <w:r>
              <w:t>(3)</w:t>
            </w:r>
            <w:r>
              <w:tab/>
            </w:r>
            <w:r>
              <w:t xml:space="preserve">Het programma </w:t>
            </w:r>
            <w:r>
              <w:rPr>
                <w:b/>
                <w:i/>
              </w:rPr>
              <w:t>is</w:t>
            </w:r>
            <w:r>
              <w:t xml:space="preserve"> nauw verbonden met Verordening (EU) [XXX]* van het Europees Parlement en de Raad [Europees Fonds voor concurrentievermogen]</w:t>
            </w:r>
            <w:r>
              <w:rPr>
                <w:vertAlign w:val="superscript"/>
              </w:rPr>
              <w:t>3</w:t>
            </w:r>
            <w:r>
              <w:t xml:space="preserve"> door onderzoek en innovatie centraal te stellen in de economische en investeringsstrategie van de Unie. </w:t>
            </w:r>
            <w:r>
              <w:rPr>
                <w:b/>
                <w:i/>
              </w:rPr>
              <w:t>Het Europees Fonds voor concurrentievermogen moet onder andere de innovatiecapaciteit van de Unie versterken door invoering van een regeling voor de toewijzing van financiering voor de valorisatie van de meest succesvolle en noodzakelijke resultaten van projecten die door het programma of de voorgangers ervan zijn gefinancierd.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PB C</w:t>
            </w:r>
            <w:r>
              <w:rPr>
                <w:b/>
                <w:i/>
              </w:rPr>
              <w:t xml:space="preserve">  van , blz.</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PB C </w:t>
            </w:r>
            <w:r>
              <w:rPr>
                <w:b/>
                <w:i/>
              </w:rPr>
              <w:t>[…] van […], blz.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programma moet nauw verbonden zijn met Verordening (EU) [XXX]* van het Europees Parlement en de Raad [Europees Fonds voor concurrentievermogen]</w:t>
            </w:r>
            <w:r>
              <w:rPr>
                <w:vertAlign w:val="superscript"/>
              </w:rPr>
              <w:t>3</w:t>
            </w:r>
            <w:r>
              <w:t>door onderzoek en innovatie centraal te stellen in de economische en investeringsstrategie van de Unie.</w:t>
            </w:r>
          </w:p>
        </w:tc>
        <w:tc>
          <w:tcPr>
            <w:tcW w:w="4876" w:type="dxa"/>
            <w:tcBorders>
              <w:top w:val="nil"/>
              <w:left w:val="nil"/>
              <w:bottom w:val="nil"/>
              <w:right w:val="nil"/>
            </w:tcBorders>
          </w:tcPr>
          <w:p>
            <w:pPr>
              <w:pStyle w:val="Normal6a"/>
            </w:pPr>
            <w:r>
              <w:t>(3)</w:t>
            </w:r>
            <w:r>
              <w:tab/>
            </w:r>
            <w:r>
              <w:t>Het programma moet nauw verbonden zijn met Verordening (EU) [XXX]* van het Europees Parlement en de Raad [Europees Fonds voor concurrentievermogen]</w:t>
            </w:r>
            <w:r>
              <w:rPr>
                <w:vertAlign w:val="superscript"/>
              </w:rPr>
              <w:t>3</w:t>
            </w:r>
            <w:r>
              <w:rPr>
                <w:b/>
                <w:i/>
              </w:rPr>
              <w:t> op basis van duidelijke en transparante governanceregels en</w:t>
            </w:r>
            <w:r>
              <w:t xml:space="preserve"> door onderzoek en innovatie centraal te stellen in de economische en investeringsstrategie van de Unie. </w:t>
            </w:r>
            <w:r>
              <w:rPr>
                <w:b/>
                <w:i/>
              </w:rPr>
              <w:t>Een dergelijke verbinding moet ervoor zorgen dat de resultaten van onderzoek en innovatie doeltreffend worden omgezet in uitrol en toepassing binnen strategische waardeketens, met inbegrip van waardeketens in de agrovoedingssector en in plattelandsgebieden.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PB C</w:t>
            </w:r>
            <w:r>
              <w:rPr>
                <w:b/>
                <w:i/>
              </w:rPr>
              <w:t xml:space="preserve">  van , blz.</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PB C </w:t>
            </w:r>
            <w:r>
              <w:rPr>
                <w:b/>
                <w:i/>
              </w:rPr>
              <w:t>[…] van […], blz. […]</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verbinding tussen het Europees klimaatfonds en Horizon Europa moet worden geschraagd door duidelijke en transparante governanceregels, waarbij eerlijke en gelijke voorwaarden voor alle deelnemers worden gewaarborgd.</w:t>
      </w:r>
      <w:r>
        <w:t xml:space="preserve"> </w:t>
      </w:r>
      <w:r>
        <w:t>Een welomschreven governancekader is van essentieel belang om rechtszekerheid te waarborgen, overlapping of inconsistentie tussen de twee instrumenten te voorkomen en ervoor te zorgen dat de resultaten van onderzoek en innovatie doeltreffend worden omgezet in uitrol en toepassing in strategische waardeketens.</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Lara Magoni, Francesco Torselli, Pietro Fiocchi,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Het programma moet nauw verbonden zijn met Verordening (EU) [XXX]* van het Europees Parlement en de Raad [Europees Fonds voor concurrentievermogen]</w:t>
            </w:r>
            <w:r>
              <w:rPr>
                <w:vertAlign w:val="superscript"/>
              </w:rPr>
              <w:t>3</w:t>
            </w:r>
            <w:r>
              <w:t>door onderzoek en innovatie centraal te stellen in de economische en investeringsstrategie van de Unie.</w:t>
            </w:r>
          </w:p>
        </w:tc>
        <w:tc>
          <w:tcPr>
            <w:tcW w:w="4876" w:type="dxa"/>
            <w:tcBorders>
              <w:top w:val="nil"/>
              <w:left w:val="nil"/>
              <w:bottom w:val="nil"/>
              <w:right w:val="nil"/>
            </w:tcBorders>
          </w:tcPr>
          <w:p>
            <w:pPr>
              <w:pStyle w:val="Normal6a"/>
            </w:pPr>
            <w:r>
              <w:t>(3)</w:t>
            </w:r>
            <w:r>
              <w:tab/>
            </w:r>
            <w:r>
              <w:t xml:space="preserve">Het programma moet nauw </w:t>
            </w:r>
            <w:r>
              <w:rPr>
                <w:b/>
                <w:i/>
              </w:rPr>
              <w:t>en door middel van duidelijke en transparante governanceregels</w:t>
            </w:r>
            <w:r>
              <w:t xml:space="preserve"> verbonden zijn met Verordening (EU) [XXX]* van het Europees Parlement en de Raad [Europees Fonds voor concurrentievermogen]</w:t>
            </w:r>
            <w:r>
              <w:rPr>
                <w:vertAlign w:val="superscript"/>
              </w:rPr>
              <w:t>3</w:t>
            </w:r>
            <w:r>
              <w:t xml:space="preserve"> door onderzoek en innovatie centraal te stellen in de economische en investeringsstrategie van de Unie. </w:t>
            </w:r>
            <w:r>
              <w:rPr>
                <w:b/>
                <w:i/>
              </w:rPr>
              <w:t>Deze verbinding moet ervoor zorgen dat de resultaten van onderzoek en innovatie doeltreffend worden omgezet in uitrol en toepassing binnen strategische waardeketens, met inbegrip van waardeketens in de agrovoedingssector en in plattelandsgebieden.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PB C</w:t>
            </w:r>
            <w:r>
              <w:rPr>
                <w:b/>
                <w:i/>
              </w:rPr>
              <w:t xml:space="preserve">  van , blz.</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PB C </w:t>
            </w:r>
            <w:r>
              <w:rPr>
                <w:b/>
                <w:i/>
              </w:rPr>
              <w:t>[…] van […], blz.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programma </w:t>
            </w:r>
            <w:r>
              <w:rPr>
                <w:b/>
                <w:i/>
              </w:rPr>
              <w:t>moet</w:t>
            </w:r>
            <w:r>
              <w:t xml:space="preserve"> nauw verbonden zijn met Verordening (EU) [XXX]* van het Europees Parlement en de Raad [Europees Fonds voor concurrentievermogen]</w:t>
            </w:r>
            <w:r>
              <w:rPr>
                <w:b/>
                <w:i/>
                <w:vertAlign w:val="superscript"/>
              </w:rPr>
              <w:t>3</w:t>
            </w:r>
            <w:r>
              <w:rPr>
                <w:b/>
                <w:i/>
              </w:rPr>
              <w:t>door onderzoek en innovatie centraal te stellen in</w:t>
            </w:r>
            <w:r>
              <w:t xml:space="preserve"> de economische en investeringsstrategie van de Unie.</w:t>
            </w:r>
          </w:p>
        </w:tc>
        <w:tc>
          <w:tcPr>
            <w:tcW w:w="4876" w:type="dxa"/>
            <w:tcBorders>
              <w:top w:val="nil"/>
              <w:left w:val="nil"/>
              <w:bottom w:val="nil"/>
              <w:right w:val="nil"/>
            </w:tcBorders>
          </w:tcPr>
          <w:p>
            <w:pPr>
              <w:pStyle w:val="Normal6a"/>
            </w:pPr>
            <w:r>
              <w:t>(3)</w:t>
            </w:r>
            <w:r>
              <w:tab/>
            </w:r>
            <w:r>
              <w:rPr>
                <w:b/>
                <w:i/>
              </w:rPr>
              <w:t>Gezien de fundamentele rol van wetenschappelijke kennis voor technologische soevereiniteit, duurzaamheid en concurrentievermogen, moet</w:t>
            </w:r>
            <w:r>
              <w:t xml:space="preserve"> het programma </w:t>
            </w:r>
            <w:r>
              <w:rPr>
                <w:b/>
                <w:i/>
              </w:rPr>
              <w:t>bovendien</w:t>
            </w:r>
            <w:r>
              <w:t xml:space="preserve"> nauw verbonden zijn met Verordening (EU) [XXX] * van het Europees Parlement en de Raad [Europees Fonds voor concurrentievermogen] </w:t>
            </w:r>
            <w:r>
              <w:rPr>
                <w:b/>
                <w:i/>
              </w:rPr>
              <w:t>om ervoor te zorgen dat</w:t>
            </w:r>
            <w:r>
              <w:t xml:space="preserve"> de economische en investeringsstrategie van de Unie </w:t>
            </w:r>
            <w:r>
              <w:rPr>
                <w:b/>
                <w:i/>
              </w:rPr>
              <w:t>de uitstekende resultaten die in het kader van het programma in de Unie zijn behaald, uitbreidt en verder valoriseert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PB C  van , blz. .</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programma </w:t>
            </w:r>
            <w:r>
              <w:rPr>
                <w:b/>
                <w:i/>
              </w:rPr>
              <w:t>moet nauw verbonden zijn met</w:t>
            </w:r>
            <w:r>
              <w:t xml:space="preserve"> Verordening (EU) [XXX]* van het Europees Parlement en de Raad [Europees Fonds voor concurrentievermogen]</w:t>
            </w:r>
            <w:r>
              <w:rPr>
                <w:vertAlign w:val="superscript"/>
              </w:rPr>
              <w:t>3</w:t>
            </w:r>
            <w:r>
              <w:t>door onderzoek en innovatie centraal te stellen in de economische en investeringsstrategie van de Unie.</w:t>
            </w:r>
          </w:p>
        </w:tc>
        <w:tc>
          <w:tcPr>
            <w:tcW w:w="4876" w:type="dxa"/>
            <w:tcBorders>
              <w:top w:val="nil"/>
              <w:left w:val="nil"/>
              <w:bottom w:val="nil"/>
              <w:right w:val="nil"/>
            </w:tcBorders>
          </w:tcPr>
          <w:p>
            <w:pPr>
              <w:pStyle w:val="Normal6a"/>
            </w:pPr>
            <w:r>
              <w:t>(3)</w:t>
            </w:r>
            <w:r>
              <w:tab/>
            </w:r>
            <w:r>
              <w:rPr>
                <w:b/>
                <w:i/>
              </w:rPr>
              <w:t>Gezamenlijke onderzoeks- en innovatieactiviteiten in het kader van</w:t>
            </w:r>
            <w:r>
              <w:t xml:space="preserve"> het programma </w:t>
            </w:r>
            <w:r>
              <w:rPr>
                <w:b/>
                <w:i/>
              </w:rPr>
              <w:t>kunnen worden aangevuld met activiteiten in het kader van andere programma’s en fondsen van de Unie, zoals</w:t>
            </w:r>
            <w:r>
              <w:t xml:space="preserve"> Verordening (EU) [XXX] * van het Europees Parlement en de Raad [Europees Fonds voor concurrentievermogen]</w:t>
            </w:r>
            <w:r>
              <w:rPr>
                <w:vertAlign w:val="superscript"/>
              </w:rPr>
              <w:t>3</w:t>
            </w:r>
            <w:r>
              <w:rPr>
                <w:b/>
                <w:i/>
              </w:rPr>
              <w:t> </w:t>
            </w:r>
            <w:r>
              <w:t>door onderzoek en innovatie centraal te stellen in de economische en investeringsstrategie van de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PB C</w:t>
            </w:r>
            <w:r>
              <w:rPr>
                <w:b/>
                <w:i/>
              </w:rPr>
              <w:t xml:space="preserve">  van , blz.</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PB C </w:t>
            </w:r>
            <w:r>
              <w:rPr>
                <w:b/>
                <w:i/>
              </w:rPr>
              <w:t>[…] van […], blz.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Het programma moet </w:t>
            </w:r>
            <w:r>
              <w:rPr>
                <w:b/>
                <w:i/>
              </w:rPr>
              <w:t>nauw</w:t>
            </w:r>
            <w:r>
              <w:t xml:space="preserve"> verbonden </w:t>
            </w:r>
            <w:r>
              <w:rPr>
                <w:b/>
                <w:i/>
              </w:rPr>
              <w:t>zijn</w:t>
            </w:r>
            <w:r>
              <w:t xml:space="preserve"> met Verordening (EU) [XXX]* van het Europees Parlement en de Raad [Europees Fonds voor concurrentievermogen]</w:t>
            </w:r>
            <w:r>
              <w:rPr>
                <w:vertAlign w:val="superscript"/>
              </w:rPr>
              <w:t>3</w:t>
            </w:r>
            <w:r>
              <w:rPr>
                <w:b/>
                <w:i/>
              </w:rPr>
              <w:t>door onderzoek en</w:t>
            </w:r>
            <w:r>
              <w:t xml:space="preserve"> innovatie centraal te stellen in de economische en investeringsstrategie van de Unie.</w:t>
            </w:r>
          </w:p>
        </w:tc>
        <w:tc>
          <w:tcPr>
            <w:tcW w:w="4876" w:type="dxa"/>
            <w:tcBorders>
              <w:top w:val="nil"/>
              <w:left w:val="nil"/>
              <w:bottom w:val="nil"/>
              <w:right w:val="nil"/>
            </w:tcBorders>
          </w:tcPr>
          <w:p>
            <w:pPr>
              <w:pStyle w:val="Normal6a"/>
            </w:pPr>
            <w:r>
              <w:t>(3)</w:t>
            </w:r>
            <w:r>
              <w:tab/>
            </w:r>
            <w:r>
              <w:t xml:space="preserve">Het programma moet </w:t>
            </w:r>
            <w:r>
              <w:rPr>
                <w:b/>
                <w:i/>
              </w:rPr>
              <w:t>worden</w:t>
            </w:r>
            <w:r>
              <w:t xml:space="preserve"> verbonden met Verordening (EU) [XXX]* van het Europees Parlement en de Raad [Europees Fonds voor concurrentievermogen]</w:t>
            </w:r>
            <w:r>
              <w:rPr>
                <w:vertAlign w:val="superscript"/>
              </w:rPr>
              <w:t>3</w:t>
            </w:r>
            <w:r>
              <w:t xml:space="preserve"> </w:t>
            </w:r>
            <w:r>
              <w:rPr>
                <w:b/>
                <w:i/>
              </w:rPr>
              <w:t>door technologische</w:t>
            </w:r>
            <w:r>
              <w:t xml:space="preserve"> innovatie centraal te stellen in de economische en investeringsstrategie van de Unie </w:t>
            </w:r>
            <w:r>
              <w:rPr>
                <w:b/>
                <w:i/>
              </w:rPr>
              <w:t>die het best is aangepast aan de markt, gezien het belang van de overgang van lage naar hoge niveaus van technologische paraatheid</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PB C</w:t>
            </w:r>
            <w:r>
              <w:rPr>
                <w:b/>
                <w:i/>
              </w:rPr>
              <w:t xml:space="preserve">  van , blz.</w:t>
            </w:r>
            <w:r>
              <w:t xml:space="preserve"> .</w:t>
            </w:r>
          </w:p>
        </w:tc>
        <w:tc>
          <w:tcPr>
            <w:tcW w:w="4876" w:type="dxa"/>
            <w:tcBorders>
              <w:top w:val="nil"/>
              <w:left w:val="nil"/>
              <w:bottom w:val="nil"/>
              <w:right w:val="nil"/>
            </w:tcBorders>
          </w:tcPr>
          <w:p>
            <w:pPr>
              <w:pStyle w:val="Normal6a"/>
            </w:pPr>
            <w:r>
              <w:rPr>
                <w:vertAlign w:val="superscript"/>
              </w:rPr>
              <w:t>3</w:t>
            </w:r>
            <w:r>
              <w:t xml:space="preserve"> </w:t>
            </w:r>
            <w:r>
              <w:t xml:space="preserve">PB C </w:t>
            </w:r>
            <w:r>
              <w:rPr>
                <w:b/>
                <w:i/>
              </w:rPr>
              <w:t>[…] van […], blz.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Een dergelijk verband mag de autonomie, integriteit, zichtbaarheid en voorspelbaarheid van het programma niet ondermijnen.</w:t>
            </w:r>
            <w:r>
              <w:t xml:space="preserve"> </w:t>
            </w:r>
            <w:r>
              <w:rPr>
                <w:b/>
                <w:i/>
              </w:rPr>
              <w:t>KP10 moet daarom een op zichzelf staand programma blijven met een eigen rechtsgrondslag, begroting, branding en onafhankelijk bestuur, dat uitsluitend gericht is op de financiering van onderzoek en innovatie.</w:t>
            </w:r>
            <w:r>
              <w:t xml:space="preserve"> </w:t>
            </w:r>
            <w:r>
              <w:rPr>
                <w:b/>
                <w:i/>
              </w:rPr>
              <w:t>Hoewel nauwere coördinatie en gemeenschappelijke regels de administratieve efficiëntie kunnen verbeteren, kan KP10 worden verbonden met, maar mag niet worden opgenomen in of beheerd door, het Europees Fonds voor concurrentievermogen.</w:t>
            </w:r>
            <w:r>
              <w:t xml:space="preserve"> </w:t>
            </w:r>
            <w:r>
              <w:rPr>
                <w:b/>
                <w:i/>
              </w:rPr>
              <w:t>Dit is noodzakelijk om rechtsonzekerheid, vertragingen, verlies van duidelijkheid over de opdracht en het risico dat financiering wordt onttrokken aan universiteiten, kmo’s en door onderzoekers aangestuurde wetenschap te voorkomen.</w:t>
            </w:r>
            <w:r>
              <w:t xml:space="preserve"> </w:t>
            </w:r>
            <w:r>
              <w:rPr>
                <w:b/>
                <w:i/>
              </w:rPr>
              <w:t>Het is ook van essentieel belang om de identiteit van Horizon Europa te behouden als een wetenschappelijk aangestuurd kader ter ondersteuning van de volledige keten van onderzoek naar innovatie in het algemeen belang.</w:t>
            </w:r>
            <w:r>
              <w:t xml:space="preserve"> </w:t>
            </w:r>
            <w:r>
              <w:rPr>
                <w:b/>
                <w:i/>
              </w:rPr>
              <w:t>Bijzondere voorzichtigheid is geboden om ervoor te zorgen dat politieke sturing en afhankelijkheid van overeenkomstige beleidsterreinen binnen het Europees Fonds voor concurrentievermogen niet leiden tot meer overregulering.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De samenhang tussen het EFC en het KP10 moet een institutionele brug vormen tussen upstream-onderzoek en downstream-instrumenten voor concurrentievermogen en moet dienen als middel om het innovatiebeleid vorm te geven als een belangrijke hefboom voor het concurrentievermogen van de EU.</w:t>
            </w:r>
            <w:r>
              <w:t xml:space="preserve"> </w:t>
            </w:r>
            <w:r>
              <w:rPr>
                <w:b/>
                <w:i/>
              </w:rPr>
              <w:t>Een passende betrokkenheid van het bedrijfsleven bij thematische platforms en projectevaluatiecriteria die de commerciële relevantie, de industriële impact en sectorspecifieke beperkingen van de waardeketen weerspiegelen, blijft noodzakelijk om de strategische autonomie te versterken, versnippering te verminderen en routekaarten voor industrieel onderzoek en innovatie op lange termijn te ondersteunen.</w:t>
            </w:r>
            <w:r>
              <w:t xml:space="preserve"> </w:t>
            </w:r>
            <w:r>
              <w:rPr>
                <w:b/>
                <w:i/>
              </w:rPr>
              <w:t>Een dergelijke verbinding kan de hele innovatiecyclus helpen bestrijken door onderzoeksfinanciering te koppelen aan uitrolinstrumenten, marktintroductiemechanismen en industriële beleidsinstrumenten, en door een coherente pijplijn van fundamenteel onderzoek tot markttoegang te ondersteunen, op voorwaarde dat governanceregelingen zorgen voor continuïteit in alle programmeringscycli, gecoördineerde vooruitgang op het gebied van TRL en afstemming tussen beleidsterreinen en activiteiten in het kader van pijler II van Horizon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De governance van pijler II, in nauwe samenhang met het Europees Fonds voor concurrentievermogen, moet gebaseerd zijn op een open kader dat elke vorm van poortwachterschap rond niet-representatieve consortia voorkomt en tegelijkertijd zorgt voor een voortdurende en gestructureerde betrokkenheid van, in de eerste plaats, de lidstaten, grote industriële federaties en universitaire federaties, naast kmo’s, regionale actoren, filantropie en het maatschappelijk middenveld.</w:t>
            </w:r>
            <w:r>
              <w:t xml:space="preserve"> </w:t>
            </w:r>
            <w:r>
              <w:rPr>
                <w:b/>
                <w:i/>
              </w:rPr>
              <w:t>Vroegtijdige, gestructureerde en regelmatige raadpleging in alle fasen, met inbegrip van het ontwerp, de werkprogramma’s en de uitvoering van de strategie is van essentieel belang om relevantie, toepassing en impact te waarborgen.</w:t>
            </w:r>
            <w:r>
              <w:t xml:space="preserve"> </w:t>
            </w:r>
            <w:r>
              <w:rPr>
                <w:b/>
                <w:i/>
              </w:rPr>
              <w:t>In dit verband spelen instrumenten zoals Europese technologieplatforms een belangrijke rol bij het afstemmen van onderzoeksprioriteiten op sectorale behoeften en bij het slaan van een brug tussen beleidsmakers, onderzoekers en mensen uit de praktijk.</w:t>
            </w:r>
            <w:r>
              <w:t xml:space="preserve"> </w:t>
            </w:r>
            <w:r>
              <w:rPr>
                <w:b/>
                <w:i/>
              </w:rPr>
              <w:t>Er moet worden gezorgd voor een duidelijke rol voor het bedrijfsleven bij het vormgeven van prioriteiten, het opstellen van oproepen en het toezicht op de uitvoering, met behoud van openheid, concurrentie en toegankelijkheid.</w:t>
            </w:r>
            <w:r>
              <w:t xml:space="preserve"> </w:t>
            </w:r>
            <w:r>
              <w:rPr>
                <w:b/>
                <w:i/>
              </w:rPr>
              <w:t>Tegelijkertijd wordt in deze governance-architectuur rekening gehouden met universiteiten en allianties van universiteiten, gezien hun centrale rol bij het structureren van het Europese onderzoeks- en innovatie-ecosysteem.</w:t>
            </w:r>
            <w:r>
              <w:t xml:space="preserve"> </w:t>
            </w:r>
            <w:r>
              <w:rPr>
                <w:b/>
                <w:i/>
              </w:rPr>
              <w:t>Deze allianties bevorderen grensoverschrijdende samenwerking, mobiliteit van studenten en onderzoekers en het delen van kennis en infrastructuur, en hebben aangetoond dat zij kunnen fungeren als platforms voor pan-Europese experimenten en diepere integratie van onderzoeks- en innovatieactiviteiten, ondanks versnipperde governance en projectgebaseerde 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quinquies)</w:t>
            </w:r>
            <w:r>
              <w:tab/>
            </w:r>
            <w:r>
              <w:rPr>
                <w:b/>
                <w:i/>
              </w:rPr>
              <w:t>De onafhankelijkheid van pijler I moet volledig worden gehandhaafd en de invoering van top-down thematische sturing mag de bottom-up- en op nieuwsgierigheid gebaseerde aard ervan niet ondermijnen.</w:t>
            </w:r>
            <w:r>
              <w:t xml:space="preserve"> </w:t>
            </w:r>
            <w:r>
              <w:rPr>
                <w:b/>
                <w:i/>
              </w:rPr>
              <w:t>Oproepen die speciaal gericht zijn op specifieke behoeften aan vaardigheden kunnen nuttig zijn indien zij zorgvuldig worden beheerd, maar mogen de kernlogica van de ERC en de MSCA's, die essentieel is voor het behoud van excellentie op het gebied van fundamenteel onderzoek en het vermogen van Europa om disruptieve kennis te genereren, niet verzwakken.</w:t>
            </w:r>
            <w:r>
              <w:t xml:space="preserve"> </w:t>
            </w:r>
            <w:r>
              <w:rPr>
                <w:b/>
                <w:i/>
              </w:rPr>
              <w:t>Daartoe kan het gebruik van subsidies van het bedrijfsleven worden uitgebreid om het verband tussen fundamenteel onderzoek en concurrentievermogen te versterken, met behoud van de autonomie van het onderzoek.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Overeenkomstig artikel 8 en artikel 10 van het Verdrag betreffende de werking van de Europese Unie (VWEU) en het Handvest van de grondrechten van de Europese Unie moet de Unie er daarnaast naar streven de ongelijkheden tussen mannen en vrouwen weg te nemen, de gelijkheid van mannen en vrouwen te bevorderen en discriminatie te bestrijden.</w:t>
            </w:r>
          </w:p>
        </w:tc>
        <w:tc>
          <w:tcPr>
            <w:tcW w:w="4876" w:type="dxa"/>
            <w:tcBorders>
              <w:top w:val="nil"/>
              <w:left w:val="nil"/>
              <w:bottom w:val="nil"/>
              <w:right w:val="nil"/>
            </w:tcBorders>
          </w:tcPr>
          <w:p>
            <w:pPr>
              <w:pStyle w:val="Normal6a"/>
            </w:pPr>
            <w:r>
              <w:t>(4)</w:t>
            </w:r>
            <w:r>
              <w:tab/>
            </w:r>
            <w:r>
              <w:t>Overeenkomstig artikel 8 en artikel 10 van het Verdrag betreffende de werking van de Europese Unie (VWEU) en het Handvest van de grondrechten van de Europese Unie moet de Unie er daarnaast naar streven de ongelijkheden tussen mannen en vrouwen weg te nemen, de gelijkheid van mannen en vrouwen te bevorderen en discriminatie te bestrijden</w:t>
            </w:r>
            <w:r>
              <w:rPr>
                <w:b/>
                <w:i/>
              </w:rPr>
              <w:t>, onder meer door het genderperspectief en het beginsel van non-discriminatie te integreren in alle fasen van het programma, van ontwerp en uitvoering tot monitoring en evaluatie, en tegelijkertijd te zorgen voor billijke toegang tot financiering, met name voor vrouwen, inclusieve participatie van alle relevante actoren, en voor inachtneming van diversiteit in de inhoud van onderzoek en innovatie</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Onderzoek is een gebied waartoe vrouwen minder toegang hebben dan mannen, met name als het gaat om financiering voor door vrouwen geleide kleine en middelgrote ondernemingen, die op dit gebied ook een belangrijke rol spelen en kunnen spelen als ze worden ondersteund.</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Overeenkomstig artikel 8 en artikel 10 van het Verdrag betreffende de werking van de Europese Unie (VWEU) en het Handvest van de grondrechten van de Europese Unie moet de Unie er daarnaast naar streven de ongelijkheden tussen mannen en vrouwen weg te nemen, </w:t>
            </w:r>
            <w:r>
              <w:rPr>
                <w:b/>
                <w:i/>
              </w:rPr>
              <w:t>de gelijkheid van mannen en vrouwen te bevorderen</w:t>
            </w:r>
            <w:r>
              <w:t xml:space="preserve"> en discriminatie te bestrijden.</w:t>
            </w:r>
          </w:p>
        </w:tc>
        <w:tc>
          <w:tcPr>
            <w:tcW w:w="4876" w:type="dxa"/>
            <w:tcBorders>
              <w:top w:val="nil"/>
              <w:left w:val="nil"/>
              <w:bottom w:val="nil"/>
              <w:right w:val="nil"/>
            </w:tcBorders>
          </w:tcPr>
          <w:p>
            <w:pPr>
              <w:pStyle w:val="Normal6a"/>
            </w:pPr>
            <w:r>
              <w:t>(4)</w:t>
            </w:r>
            <w:r>
              <w:tab/>
            </w:r>
            <w:r>
              <w:t xml:space="preserve">Overeenkomstig artikel 8 en artikel 10 van het Verdrag betreffende de werking van de Europese Unie (VWEU) en het Handvest van de grondrechten van de Europese Unie moet de Unie er daarnaast naar streven de ongelijkheden tussen mannen en vrouwen weg te nemen, </w:t>
            </w:r>
            <w:r>
              <w:rPr>
                <w:b/>
                <w:i/>
              </w:rPr>
              <w:t>te zorgen voor gendergelijkheid</w:t>
            </w:r>
            <w:r>
              <w:t xml:space="preserve"> en discriminatie te bestrijden. </w:t>
            </w:r>
            <w:r>
              <w:rPr>
                <w:b/>
                <w:i/>
              </w:rPr>
              <w:t xml:space="preserve">Daartoe moet het programma gender op horizontale en verplichte wijze mainstreamen, met inbegrip van de genderdimensie in O&amp;I-inhoud, om de structurele oorzaken van intersectionele gendergelijkheden uit te bannen. </w:t>
            </w:r>
            <w:r>
              <w:t xml:space="preserve"> </w:t>
            </w:r>
            <w:r>
              <w:rPr>
                <w:b/>
                <w:i/>
              </w:rPr>
              <w:t>Bovendien moet genderevenwicht vereist zijn in evaluatiepanels, raden van bestuur en deskundigengroepen, waarbij een gelijke vertegenwoordiging in besluitvormingsorganen wordt gewaarborgd.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Overeenkomstig artikel 8 en artikel 10 van het Verdrag betreffende de werking van de Europese Unie (VWEU) en het Handvest van de grondrechten van de Europese Unie </w:t>
            </w:r>
            <w:r>
              <w:rPr>
                <w:b/>
                <w:i/>
              </w:rPr>
              <w:t>moet de Unie er daarnaast naar streven de ongelijkheden tussen mannen en vrouwen weg te nemen, de gelijkheid van mannen en vrouwen te bevorderen en discriminatie te bestrijden</w:t>
            </w:r>
            <w:r>
              <w:t>.</w:t>
            </w:r>
          </w:p>
        </w:tc>
        <w:tc>
          <w:tcPr>
            <w:tcW w:w="4876" w:type="dxa"/>
            <w:tcBorders>
              <w:top w:val="nil"/>
              <w:left w:val="nil"/>
              <w:bottom w:val="nil"/>
              <w:right w:val="nil"/>
            </w:tcBorders>
          </w:tcPr>
          <w:p>
            <w:pPr>
              <w:pStyle w:val="Normal6a"/>
            </w:pPr>
            <w:r>
              <w:t>(4)</w:t>
            </w:r>
            <w:r>
              <w:tab/>
            </w:r>
            <w:r>
              <w:rPr>
                <w:b/>
                <w:i/>
              </w:rPr>
              <w:t>Op het gebied van onderzoek en innovatie zet de Unie zich in voor een strikt op verdiensten gebaseerde aanpak, waarbij de toegang tot financiering, de deelname aan activiteiten en de loopbaanontwikkeling uitsluitend worden bepaald op basis van wetenschappelijke excellentie, bekwaamheid en prestaties, ongeacht gender of enig ander op identiteit gebaseerd kenmerk,</w:t>
            </w:r>
            <w:r>
              <w:t xml:space="preserve"> overeenkomstig artikel 8 en artikel 10 van het Verdrag betreffende de werking van de Europese Unie (VWEU) en het Handvest van de grondrechten van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Overeenkomstig artikel 8 en artikel 10 van het Verdrag betreffende de werking van de Europese Unie (VWEU) en het Handvest van de grondrechten van de Europese Unie moet de Unie er daarnaast naar streven de ongelijkheden tussen mannen en vrouwen weg te nemen, </w:t>
            </w:r>
            <w:r>
              <w:rPr>
                <w:b/>
                <w:i/>
              </w:rPr>
              <w:t>de gelijkheid van mannen en vrouwen</w:t>
            </w:r>
            <w:r>
              <w:t xml:space="preserve"> te bevorderen en discriminatie te bestrijden.</w:t>
            </w:r>
          </w:p>
        </w:tc>
        <w:tc>
          <w:tcPr>
            <w:tcW w:w="4876" w:type="dxa"/>
            <w:tcBorders>
              <w:top w:val="nil"/>
              <w:left w:val="nil"/>
              <w:bottom w:val="nil"/>
              <w:right w:val="nil"/>
            </w:tcBorders>
          </w:tcPr>
          <w:p>
            <w:pPr>
              <w:pStyle w:val="Normal6a"/>
            </w:pPr>
            <w:r>
              <w:t>(4)</w:t>
            </w:r>
            <w:r>
              <w:tab/>
            </w:r>
            <w:r>
              <w:t xml:space="preserve">Overeenkomstig artikel 8 en artikel 10 van het Verdrag betreffende de werking van de Europese Unie (VWEU) en het Handvest van de grondrechten van de Europese Unie moet de Unie er daarnaast naar streven de ongelijkheden tussen mannen en vrouwen weg te nemen, </w:t>
            </w:r>
            <w:r>
              <w:rPr>
                <w:b/>
                <w:i/>
              </w:rPr>
              <w:t>gendergelijkheid in O&amp;I</w:t>
            </w:r>
            <w:r>
              <w:t xml:space="preserve"> te bevorderen en discriminatie te bestrijden.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Christophe Grudler, Sophie Wilmès, Barry Andrews,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Overeenkomstig artikel 8 en artikel 10 van het Verdrag betreffende de werking van de Europese Unie (VWEU) en het Handvest van de grondrechten van de Europese Unie moet de Unie er daarnaast naar streven de ongelijkheden tussen mannen en vrouwen weg te nemen, </w:t>
            </w:r>
            <w:r>
              <w:rPr>
                <w:b/>
                <w:i/>
              </w:rPr>
              <w:t>de gelijkheid van mannen en vrouwen</w:t>
            </w:r>
            <w:r>
              <w:t xml:space="preserve"> te bevorderen en discriminatie te bestrijden.</w:t>
            </w:r>
          </w:p>
        </w:tc>
        <w:tc>
          <w:tcPr>
            <w:tcW w:w="4876" w:type="dxa"/>
            <w:tcBorders>
              <w:top w:val="nil"/>
              <w:left w:val="nil"/>
              <w:bottom w:val="nil"/>
              <w:right w:val="nil"/>
            </w:tcBorders>
          </w:tcPr>
          <w:p>
            <w:pPr>
              <w:pStyle w:val="Normal6a"/>
            </w:pPr>
            <w:r>
              <w:t>(4)</w:t>
            </w:r>
            <w:r>
              <w:tab/>
            </w:r>
            <w:r>
              <w:t xml:space="preserve">Overeenkomstig artikel 8 en artikel 10 van het Verdrag betreffende de werking van de Europese Unie (VWEU) en het Handvest van de grondrechten van de Europese Unie moet de Unie er daarnaast naar streven de ongelijkheden tussen mannen en vrouwen weg te nemen, </w:t>
            </w:r>
            <w:r>
              <w:rPr>
                <w:b/>
                <w:i/>
              </w:rPr>
              <w:t>gendergelijkheid</w:t>
            </w:r>
            <w:r>
              <w:t xml:space="preserve"> te bevorderen en discriminatie te bestrijden.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Anna Stürgkh, Christophe Grudler, Sophie Wilmès, Barry Andrews, Morten Løkkegaard, Michał Kobosko,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(nieuw) Academische vrijheid is een van de fundamentele waarden van de Unie, verankerd in artikel 13 van het Handvest van de grondrechten van de Europese Unie, en blijft essentieel voor de integriteit en de toekomst van de onderzoeks- en innovatiesystemen van de Europese Unie.</w:t>
            </w:r>
            <w:r>
              <w:t xml:space="preserve"> </w:t>
            </w:r>
            <w:r>
              <w:rPr>
                <w:b/>
                <w:i/>
              </w:rPr>
              <w:t>In een context waarin deze vrijheid zowel binnen Europa als wereldwijd steeds meer onder druk komt te staan — door druk op onderzoekers, beperkingen op academische expressie en toenemende politieke en institutionele inmenging — moet de bescherming en bevordering ervan als strategische prioriteit worden behandeld.</w:t>
            </w:r>
            <w:r>
              <w:t xml:space="preserve"> </w:t>
            </w:r>
            <w:r>
              <w:rPr>
                <w:b/>
                <w:i/>
              </w:rPr>
              <w:t>Elke verzwakking van de academische vrijheid, hetzij door externe druk, hetzij door interne erosie, ondermijnt de fundamenten van democratie, open onderzoek en empirisch onderbouwde beleidsvorming.</w:t>
            </w:r>
            <w:r>
              <w:t xml:space="preserve"> </w:t>
            </w:r>
            <w:r>
              <w:rPr>
                <w:b/>
                <w:i/>
              </w:rPr>
              <w:t>Academische vrijheid moet worden opgevat als de vrijheid om onderzoek te doen, les te geven en te leren, en zich academisch uit te spreken, en is afhankelijk van belangrijke randvoorwaarden zoals institutionele autonomie, zelfbestuur, veilige arbeidsomstandigheden en adequate financiering.</w:t>
            </w:r>
            <w:r>
              <w:t xml:space="preserve"> </w:t>
            </w:r>
            <w:r>
              <w:rPr>
                <w:b/>
                <w:i/>
              </w:rPr>
              <w:t>Het garanderen van robuuste juridische waarborgen en institutionele steun voor academische vrijheid in alle landen die geassocieerd zijn met programma’s van de Unie is daarom onontbeerlijk om de democratische waarden te handhaven, wetenschappelijke excellentie in stand te houden en het vertrouwen in internationale samenwerking op het gebied van onderzoek te behouden.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Wetenschap, technologie en sociale structuren zijn onlosmakelijk met elkaar verbonden, waarbij hun ontwikkeling wederzijds wordt gevormd en onderling afhankelijk is.</w:t>
            </w:r>
            <w:r>
              <w:t xml:space="preserve"> </w:t>
            </w:r>
            <w:r>
              <w:rPr>
                <w:b/>
                <w:i/>
              </w:rPr>
              <w:t>De ontwikkeling, verspreiding en invoering van technologieën worden aanzienlijk beïnvloed door sociale factoren en kunnen leiden tot onbedoelde transformaties van maatschappelijke structuren.</w:t>
            </w:r>
            <w:r>
              <w:t xml:space="preserve"> </w:t>
            </w:r>
            <w:r>
              <w:rPr>
                <w:b/>
                <w:i/>
              </w:rPr>
              <w:t>Om deze dynamiek aan te pakken, moet het programma zorgen voor een sterke interdisciplinariteit, met name door een betere integratie van de sociale en geesteswetenschappen in het hele onderzoeks- en innovatieproces, ook vanaf de vroegste stadia van de technologische ontwikkeling, en moet het daarvoor voldoende middelen en inspanningen uittrekken.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Aangezien vrouwen worden getroffen door een reeks genderspecifieke belemmeringen voor de toegang tot gezondheidszorg en te kampen hebben met een gebrek aan genderbewust medisch onderzoek, wat leidt tot vertragingen in de diagnostiek en tijdige toegang tot doeltreffende behandelingen, zijn meer inspanningen en investeringen nodig in onderzoeks- en innovatieactiviteiten die gericht zijn op het dichten van de genderkloof op gezondheidsgebied, door de ontwikkeling van nieuwe en verbeterde gezondheidsinstrumenten voor aandoeningen die vrouwen specifiek, verschillend en onevenredig treffen, en moeten deze systematisch in het Horizon-programma worden geïntegreerd.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Het programma moet het gebruik van de resultaten van onderzoek en innovatie die door de overheid zijn gefinancierd, en van wetenschappelijk bewijs in het algemeen, actief bevorderen om de ontwikkeling van empirisch onderbouwd overheidsbeleid op alle niveaus te bevorderen.</w:t>
            </w:r>
            <w:r>
              <w:t xml:space="preserve"> </w:t>
            </w:r>
            <w:r>
              <w:rPr>
                <w:b/>
                <w:i/>
              </w:rPr>
              <w:t>Bijzondere nadruk moet worden gelegd op het waarborgen dat wetenschappelijke inzichten toegankelijk en relevant zijn voor besluitvormers en burgers.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w:t>
            </w:r>
            <w:r>
              <w:rPr>
                <w:b/>
                <w:i/>
              </w:rPr>
              <w:t>en haar lidstaten,</w:t>
            </w:r>
            <w:r>
              <w:t xml:space="preserve"> zoals vastgesteld in relevante door de Commissie gepubliceerde documenten, resoluties van het Europees Parlement en conclusies van de Raad, en moet </w:t>
            </w:r>
            <w:r>
              <w:rPr>
                <w:b/>
                <w:i/>
              </w:rPr>
              <w:t>de financiering worden afgestemd op de prioriteiten die de lidstaten in hun respectieve meerjarige programmeringskaders hebben vastgesteld, met volledige inachtneming van hun institutionele modellen, nationale bevoegdheden en academische stelsels en universitaire tradities, en moet</w:t>
            </w:r>
            <w:r>
              <w:t xml:space="preserve"> tegelijkertijd worden gezorgd voor voldoende voorspelbaarheid voor de uitvoering van de begroting.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Eszter Lakos, Radan Kanev, Pilar del Castillo Vera, Angelika Winzig, Aura Salla,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w:t>
            </w:r>
            <w:r>
              <w:rPr>
                <w:b/>
                <w:i/>
              </w:rPr>
              <w:t>financiering</w:t>
            </w:r>
            <w:r>
              <w:t xml:space="preserve">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w:t>
            </w:r>
            <w:r>
              <w:rPr>
                <w:b/>
                <w:i/>
              </w:rPr>
              <w:t>financieringsbesluiten</w:t>
            </w:r>
            <w:r>
              <w:t xml:space="preserve"> voldoende rekening worden gehouden met </w:t>
            </w:r>
            <w:r>
              <w:rPr>
                <w:b/>
                <w:i/>
              </w:rPr>
              <w:t>de wijze waarop wetenschap, onderzoek en innovatie het beste kunnen bijdragen aan</w:t>
            </w:r>
            <w:r>
              <w:t xml:space="preserve">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 </w:t>
            </w:r>
            <w:r>
              <w:rPr>
                <w:b/>
                <w:i/>
              </w:rPr>
              <w:t>Deze overweging moet gebaseerd zijn op de realiteit dat investeringen in wetenschap, onderzoek en innovatie nu de basis vormen voor het vermogen van de Unie om in de toekomst op beleidsbehoeften te reageren.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Niels Flemming Hansen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w:t>
            </w:r>
            <w:r>
              <w:rPr>
                <w:b/>
                <w:i/>
              </w:rPr>
              <w:t>het meerjarig financieel kader en de bijbehorende uitgavenprogramma’s van de Unie flexibeler moeten zijn</w:t>
            </w:r>
            <w:r>
              <w:t xml:space="preserve">. Daartoe, en in overeenstemming met de doelstellingen van het programma, moet </w:t>
            </w:r>
            <w:r>
              <w:rPr>
                <w:b/>
                <w:i/>
              </w:rPr>
              <w:t>bij</w:t>
            </w:r>
            <w:r>
              <w:t xml:space="preserve"> de financiering </w:t>
            </w:r>
            <w:r>
              <w:rPr>
                <w:b/>
                <w:i/>
              </w:rPr>
              <w:t>voldoende rekening</w:t>
            </w:r>
            <w:r>
              <w:t xml:space="preserve"> worden </w:t>
            </w:r>
            <w:r>
              <w:rPr>
                <w:b/>
                <w:i/>
              </w:rPr>
              <w:t>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r>
              <w:t>.</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w:t>
            </w:r>
            <w:r>
              <w:rPr>
                <w:b/>
                <w:i/>
              </w:rPr>
              <w:t>er behoefte is aan een meer responsief en minder normatief programma</w:t>
            </w:r>
            <w:r>
              <w:t xml:space="preserve">. Daartoe, en in overeenstemming met de doelstellingen van het programma, moet de financiering </w:t>
            </w:r>
            <w:r>
              <w:rPr>
                <w:b/>
                <w:i/>
              </w:rPr>
              <w:t>zodanig</w:t>
            </w:r>
            <w:r>
              <w:t xml:space="preserve"> worden </w:t>
            </w:r>
            <w:r>
              <w:rPr>
                <w:b/>
                <w:i/>
              </w:rPr>
              <w:t>ontworpen dat deze wordt aangestuurd door deskundigen en een kortere omzet heeft dan in vorige kaderprogramma’s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w:t>
            </w:r>
            <w:r>
              <w:rPr>
                <w:b/>
                <w:i/>
              </w:rPr>
              <w:t>bij</w:t>
            </w:r>
            <w:r>
              <w:t xml:space="preserve"> de financiering </w:t>
            </w:r>
            <w:r>
              <w:rPr>
                <w:b/>
                <w:i/>
              </w:rPr>
              <w:t>voldoende rekening worden gehouden met de veranderende</w:t>
            </w:r>
            <w:r>
              <w:t xml:space="preserv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de financiering </w:t>
            </w:r>
            <w:r>
              <w:rPr>
                <w:b/>
                <w:i/>
              </w:rPr>
              <w:t>voorzien in de mogelijke ontwikkeling van</w:t>
            </w:r>
            <w:r>
              <w:t xml:space="preserv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 </w:t>
            </w:r>
            <w:r>
              <w:rPr>
                <w:b/>
                <w:i/>
              </w:rPr>
              <w:t>en voor de ondersteuning van fundamenteel onderzoek en van onderzoeks- en innovatieactiviteiten in verband met de belangrijkste mondiale maatschappelijke uitdagingen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w:t>
            </w:r>
            <w:r>
              <w:rPr>
                <w:b/>
                <w:i/>
              </w:rPr>
              <w:t>de</w:t>
            </w:r>
            <w:r>
              <w:t xml:space="preserv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w:t>
            </w:r>
            <w:r>
              <w:rPr>
                <w:b/>
                <w:i/>
              </w:rPr>
              <w:t>met de prioriteiten en behoeften van individuele lidstaten en regio’s, en</w:t>
            </w:r>
            <w:r>
              <w:t xml:space="preserve"> moet tegelijkertijd worden gezorgd voor voldoende voorspelbaarheid voor </w:t>
            </w:r>
            <w:r>
              <w:rPr>
                <w:b/>
                <w:i/>
              </w:rPr>
              <w:t>begunstigden om een doeltreffende</w:t>
            </w:r>
            <w:r>
              <w:t xml:space="preserve"> uitvoering van de begroting </w:t>
            </w:r>
            <w:r>
              <w:rPr>
                <w:b/>
                <w:i/>
              </w:rPr>
              <w:t>mogelijk te maken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w:t>
            </w:r>
            <w:r>
              <w:rPr>
                <w:b/>
                <w:i/>
              </w:rPr>
              <w:t>O&amp;I-activiteiten op lange en korte termijn, met name op het gebied van fundamenteel onderzoek, en voor de uitvoering van</w:t>
            </w:r>
            <w:r>
              <w:t xml:space="preserve"> de begroting.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Morten Løkkegaard,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w:t>
            </w:r>
            <w:r>
              <w:rPr>
                <w:b/>
                <w:i/>
              </w:rPr>
              <w:t>het meerjarig financieel kader en de bijbehorende uitgavenprogramma’s van de Unie flexibeler moeten zijn</w:t>
            </w:r>
            <w:r>
              <w:t xml:space="preserve">. Daartoe, en in overeenstemming met de doelstellingen van het programma, moet </w:t>
            </w:r>
            <w:r>
              <w:rPr>
                <w:b/>
                <w:i/>
              </w:rPr>
              <w:t>bij</w:t>
            </w:r>
            <w:r>
              <w:t xml:space="preserve"> de financiering voldoende rekening worden gehouden met de veranderende beleidsbehoeften en prioriteiten van de Unie </w:t>
            </w:r>
            <w:r>
              <w:rPr>
                <w:b/>
                <w:i/>
              </w:rPr>
              <w:t>zoals vastgesteld in relevante door de Commissie gepubliceerde documenten, resoluties van het Europees Parlement en conclusies van de Raad</w:t>
            </w:r>
            <w:r>
              <w:t>,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w:t>
            </w:r>
            <w:r>
              <w:rPr>
                <w:b/>
                <w:i/>
              </w:rPr>
              <w:t>er behoefte is aan een meer flexibel, wendbaar en minder prescriptief programma</w:t>
            </w:r>
            <w:r>
              <w:t xml:space="preserve">. Daartoe, en in overeenstemming met de doelstellingen van het programma, moet de </w:t>
            </w:r>
            <w:r>
              <w:rPr>
                <w:b/>
                <w:i/>
              </w:rPr>
              <w:t>toewijzing van</w:t>
            </w:r>
            <w:r>
              <w:t xml:space="preserve"> financiering </w:t>
            </w:r>
            <w:r>
              <w:rPr>
                <w:b/>
                <w:i/>
              </w:rPr>
              <w:t>door deskundigen worden aangestuurd en moet</w:t>
            </w:r>
            <w:r>
              <w:t xml:space="preserve"> voldoende rekening worden gehouden met de veranderende beleidsbehoeften en prioriteiten van de Unie, en moet tegelijkertijd worden gezorgd voor voldoende voorspelbaarheid voor de uitvoering van de begroting.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w:t>
            </w:r>
            <w:r>
              <w:rPr>
                <w:b/>
                <w:i/>
              </w:rPr>
              <w:t>door deskundigen en</w:t>
            </w:r>
            <w:r>
              <w:t xml:space="preserve"> in relevante door de Commissie gepubliceerde documenten, resoluties van het Europees Parlement en conclusies van de Raad, en moet tegelijkertijd worden gezorgd voor voldoende voorspelbaarheid voor de uitvoering van de begroting </w:t>
            </w:r>
            <w:r>
              <w:rPr>
                <w:b/>
                <w:i/>
              </w:rPr>
              <w:t>en de vaststelling van een minimale jaarlijkse begroting voor elk onderdeel van het programma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 een snel veranderende economische, sociale en geopolitieke situatie is uit recente ervaring gebleken dat het meerjarig financieel kader en de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de bijbehorende uitgavenprogramma’s van de Unie flexibeler moeten zijn </w:t>
            </w:r>
            <w:r>
              <w:rPr>
                <w:b/>
                <w:i/>
              </w:rPr>
              <w:t>en moeten worden vereenvoudigd</w:t>
            </w:r>
            <w:r>
              <w:t xml:space="preserve">.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w:t>
            </w:r>
            <w:r>
              <w:rPr>
                <w:b/>
                <w:i/>
              </w:rPr>
              <w:t>en flexibiliteit</w:t>
            </w:r>
            <w:r>
              <w:t xml:space="preserve"> van de begroting.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w:t>
            </w:r>
            <w:r>
              <w:rPr>
                <w:b/>
                <w:i/>
              </w:rPr>
              <w:t>de</w:t>
            </w:r>
            <w:r>
              <w:t xml:space="preserv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w:t>
            </w:r>
            <w:r>
              <w:rPr>
                <w:b/>
                <w:i/>
              </w:rPr>
              <w:t>alle</w:t>
            </w:r>
            <w:r>
              <w:t xml:space="preserv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Flexibiliteit in de uitgaven moet horizontaal worden toegepast in alle sectoren wanneer de omstandigheden dat vereisen.</w:t>
      </w:r>
      <w:r>
        <w:t xml:space="preserve"> </w:t>
      </w:r>
      <w:r>
        <w:t>Een sectorneutrale aanpak zorgt ervoor dat de steun kan worden gericht op de gebieden waar deze het hardst nodig is, rekening houdend met de diversiteit van de begunstigden en de operationele realiteit, en voorkomt dat er ongerechtvaardigde verschillen ontstaan in de behandeling van deelnemers op verschillende gebieden.</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w:t>
            </w:r>
            <w:r>
              <w:rPr>
                <w:b/>
                <w:i/>
              </w:rPr>
              <w:t>de</w:t>
            </w:r>
            <w:r>
              <w:t xml:space="preserv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c>
          <w:tcPr>
            <w:tcW w:w="4876" w:type="dxa"/>
            <w:tcBorders>
              <w:top w:val="nil"/>
              <w:left w:val="nil"/>
              <w:bottom w:val="nil"/>
              <w:right w:val="nil"/>
            </w:tcBorders>
          </w:tcPr>
          <w:p>
            <w:pPr>
              <w:pStyle w:val="Normal6a"/>
            </w:pPr>
            <w:r>
              <w:t>(5)</w:t>
            </w:r>
            <w:r>
              <w:tab/>
            </w:r>
            <w:r>
              <w:t xml:space="preserve">In een snel veranderende economische, sociale en geopolitieke situatie is uit recente ervaring gebleken dat het meerjarig financieel kader en </w:t>
            </w:r>
            <w:r>
              <w:rPr>
                <w:b/>
                <w:i/>
              </w:rPr>
              <w:t>alle</w:t>
            </w:r>
            <w:r>
              <w:t xml:space="preserve"> bijbehorende uitgavenprogramma’s van de Unie flexibeler moeten zijn. Daartoe, en in overeenstemming met de doelstellingen van het programma, moet bij de financiering voldoende rekening worden gehouden met de veranderende beleidsbehoeften en prioriteiten van de Unie zoals vastgesteld in relevante door de Commissie gepubliceerde documenten, resoluties van het Europees Parlement en conclusies van de Raad, en moet tegelijkertijd worden gezorgd voor voldoende voorspelbaarheid voor de uitvoering van de begroting.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Er moeten voldoende middelen worden uitgetrokken voor gezamenlijke onderzoeks- en innovatieactiviteiten in het kader van hoofdstuk V (Gezondheid, biotechnologie, landbouw, voedselproductie, voedselzekerheid en bio-economie) van het Europees Fonds voor concurrentievermogen.</w:t>
            </w:r>
            <w:r>
              <w:t xml:space="preserve"> </w:t>
            </w:r>
            <w:r>
              <w:rPr>
                <w:b/>
                <w:i/>
              </w:rPr>
              <w:t>Om het aandeel van de financiering voor landbouw- en voedselgerelateerde activiteiten in hoofdstuk V op hetzelfde niveau te houden als in het vorige programma, moet het bedrag worden verhoogd om recht te doen aan de algehele groei van het instrument en de strategische uitdagingen van de sector. In het licht van de voorgestelde verlagingen van de GLB- en landbouwgerelateerde middelen in het MFK dreigt de landbouw strategische zichtbaarheid te verliezen binnen het cluster. Gezien het strategische belang van landbouw en voedselzekerheid voor het concurrentievermogen, de veerkracht en de strategische autonomie van de Unie, moet het programma zorgen voor stabiele en voorspelbare financiering door middel van een specifieke en beschermde toewijzing.</w:t>
            </w:r>
            <w:r>
              <w:t xml:space="preserve"> </w:t>
            </w:r>
            <w:r>
              <w:rPr>
                <w:b/>
                <w:i/>
              </w:rPr>
              <w:t>Om de stabiliteit en voorspelbaarheid van de financiering te waarborgen en ervoor te zorgen dat geen prioriteit wordt nagestreefd ten nadele van andere onderdelen, moet ten minste 50 % van de middelen in hoofdstuk V worden gereserveerd voor acties die rechtstreeks verband houden met landbouw, voedsel en voedselzekerheid, met inbegrip van primaire productie, landbouwsystemen, vee, plantaardige productie, voedselvoorzieningsketens en veerkracht op voedselgebied, waterinnovatie en digitalisering.</w:t>
            </w:r>
            <w:r>
              <w:t xml:space="preserve"> </w:t>
            </w:r>
            <w:r>
              <w:rPr>
                <w:b/>
                <w:i/>
              </w:rPr>
              <w:t>De toewijzing moet een bindend minimumbedrag omvatten en mag tijdens de uitvoering van het programma niet opnieuw toegewezen worden aan andere beleidsterreinen.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 regels van het programma voor deelname en verspreiding zijn bedoeld om de toegang verder te vereenvoudigen, meer openheid te bieden en het effect van Uniefinanciering te maximaliseren.</w:t>
            </w:r>
          </w:p>
        </w:tc>
        <w:tc>
          <w:tcPr>
            <w:tcW w:w="4876" w:type="dxa"/>
            <w:tcBorders>
              <w:top w:val="nil"/>
              <w:left w:val="nil"/>
              <w:bottom w:val="nil"/>
              <w:right w:val="nil"/>
            </w:tcBorders>
          </w:tcPr>
          <w:p>
            <w:pPr>
              <w:pStyle w:val="Normal6a"/>
            </w:pPr>
            <w:r>
              <w:t>(6)</w:t>
            </w:r>
            <w:r>
              <w:tab/>
            </w:r>
            <w:r>
              <w:t xml:space="preserve">De regels van het programma voor deelname en verspreiding zijn bedoeld om de toegang verder te vereenvoudigen, meer openheid te bieden en het effect van Uniefinanciering te maximaliseren. </w:t>
            </w:r>
            <w:r>
              <w:rPr>
                <w:b/>
                <w:i/>
              </w:rPr>
              <w:t>Het beginsel van openheid moet worden opgevat als van toepassing waar passend en voor zover mogelijk, met een voorkeur voor samenwerking met lidstaten en geassocieerde landen boven kandidaat-lidstaten en andere derde landen, met inbegrip van die waarmee de Unie vrijhandelsovereenkomsten, partnerschaps- en samenwerkingsovereenkomsten of economische partnerschapsovereenkomsten heeft gesloten.</w:t>
            </w:r>
            <w:r>
              <w:t xml:space="preserve"> </w:t>
            </w:r>
            <w:r>
              <w:rPr>
                <w:b/>
                <w:i/>
              </w:rPr>
              <w:t>Door een genuanceerde, gedetailleerde en doelgerichte aanpak van internationale samenwerking te hanteren, en rekening houdend met de kwetsbaarheid van onderzoek en innovatie voor buitenlandse inmenging en veiligheidsrisico’s, moet openheid ten aanzien van geassocieerde en derde landen voorwaardelijk en evenredig blijven, in overeenstemming met het beginsel “zo open als mogelijk, zo gesloten als nodig”, en met inachtneming van de strategische belangen, de veiligheid en de openbare orde van de Unie en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 regels van het programma voor deelname en verspreiding zijn bedoeld om de toegang verder te vereenvoudigen, meer openheid te bieden en het effect van Uniefinanciering te maximaliseren.</w:t>
            </w:r>
          </w:p>
        </w:tc>
        <w:tc>
          <w:tcPr>
            <w:tcW w:w="4876" w:type="dxa"/>
            <w:tcBorders>
              <w:top w:val="nil"/>
              <w:left w:val="nil"/>
              <w:bottom w:val="nil"/>
              <w:right w:val="nil"/>
            </w:tcBorders>
          </w:tcPr>
          <w:p>
            <w:pPr>
              <w:pStyle w:val="Normal6a"/>
            </w:pPr>
            <w:r>
              <w:t>(6)</w:t>
            </w:r>
            <w:r>
              <w:tab/>
            </w:r>
            <w:r>
              <w:t>De regels van het programma voor deelname en verspreiding zijn bedoeld om de toegang verder te vereenvoudigen, meer openheid te bieden en het effect van Uniefinanciering te maximaliseren</w:t>
            </w:r>
            <w:r>
              <w:rPr>
                <w:b/>
                <w:i/>
              </w:rPr>
              <w:t>, door transnationale samenwerking te stimuleren, de transparantie bij de selectie en uitvoering van projecten te bevorderen en de toegang tot resultaten voor een zo breed mogelijk publiek, waaronder de academische wereld, de particuliere sector en het maatschappelijk middenveld, te vergemakkelijken</w:t>
            </w:r>
            <w:r>
              <w:t>.</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Uitgebreide samenwerking tussen regio’s en lidstaten op verschillende gebieden is gunstig voor de Europese Unie en voor de snelle uitvoering van projecten en de verspreiding van resultaten ten behoeve van alle actoren.</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De regels van het programma voor deelname en verspreiding zijn bedoeld om de toegang verder te vereenvoudigen, meer openheid te bieden en het effect van Uniefinanciering te maximaliseren.</w:t>
            </w:r>
          </w:p>
        </w:tc>
        <w:tc>
          <w:tcPr>
            <w:tcW w:w="4876" w:type="dxa"/>
            <w:tcBorders>
              <w:top w:val="nil"/>
              <w:left w:val="nil"/>
              <w:bottom w:val="nil"/>
              <w:right w:val="nil"/>
            </w:tcBorders>
          </w:tcPr>
          <w:p>
            <w:pPr>
              <w:pStyle w:val="Normal6a"/>
            </w:pPr>
            <w:r>
              <w:t>(6)</w:t>
            </w:r>
            <w:r>
              <w:tab/>
            </w:r>
            <w:r>
              <w:t xml:space="preserve">De regels van het programma voor deelname en verspreiding zijn bedoeld om de toegang verder te vereenvoudigen, meer openheid te bieden en het effect van Uniefinanciering te maximaliseren. </w:t>
            </w:r>
            <w:r>
              <w:rPr>
                <w:b/>
                <w:i/>
              </w:rPr>
              <w:t>Bovendien moet de deelname van nieuwkomers en kmo’s worden vergemakkelijkt om nieuwe ideeën op te nemen en de dominantie van gevestigde ondernemingen te voorkomen.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Increasing the participation of newcomers and SMEs is crucial to create new ideas and approaches for research and innovation and avoid a dominance of incumbents as beneficiaries.</w:t>
      </w:r>
      <w:r>
        <w:t xml:space="preserve"> </w:t>
      </w:r>
      <w:r>
        <w:t>Therefore, the European Commission should be forced to facilitate their participation in supported projects by providing bonuses, calls targeted specifically towards newcomers and SMEs or by providing other forms of incentives ensuring that more SMEs become part of project consortia.</w:t>
      </w:r>
      <w:r>
        <w:t xml:space="preserve"> </w:t>
      </w:r>
      <w:r>
        <w:t>The 20% target for SMEs in the former Horizon 2020 program worked well in this direction and increased the participation of newcomers and SMEs.</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programma moet bijdragen aan het verhogen van de publieke en private investeringen in O&amp;I in de lidstaten,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c>
          <w:tcPr>
            <w:tcW w:w="4876" w:type="dxa"/>
            <w:tcBorders>
              <w:top w:val="nil"/>
              <w:left w:val="nil"/>
              <w:bottom w:val="nil"/>
              <w:right w:val="nil"/>
            </w:tcBorders>
          </w:tcPr>
          <w:p>
            <w:pPr>
              <w:pStyle w:val="Normal6a"/>
            </w:pPr>
            <w:r>
              <w:t>(7)</w:t>
            </w:r>
            <w:r>
              <w:tab/>
            </w:r>
            <w:r>
              <w:t xml:space="preserve">Het programma moet bijdragen aan het verhogen van de publieke en private investeringen in O&amp;I in de lidstaten, en aldus tot het bereiken van een totaal investeringsdoel van ten minste 3 % van het bruto binnenlands product (bbp) van de Unie in onderzoek en ontwikkeling </w:t>
            </w:r>
            <w:r>
              <w:rPr>
                <w:b/>
                <w:i/>
              </w:rPr>
              <w:t>tegen het einde van het programma</w:t>
            </w:r>
            <w:r>
              <w:t xml:space="preserve">.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 </w:t>
            </w:r>
            <w:r>
              <w:rPr>
                <w:b/>
                <w:i/>
              </w:rPr>
              <w:t>Aangezien het kaderprogramma volgens statistieken uit het verleden slechts 7 % van de overheidsuitgaven voor O&amp;I in de Unie vertegenwoordigt, moet het programma zodanig worden uitgevoerd dat het tot wederzijds versterkende synergieën leidt en nauw wordt gecoördineerd met andere relevante nationale programma’s en met relevante EU-instrumenten, met name het Europees Fonds voor concurrentievermogen, het NRPP en het Innovatiefonds.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programma moet bijdragen aan het verhogen van de publieke en private investeringen in O&amp;I in de lidstaten,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w:t>
            </w:r>
            <w:r>
              <w:rPr>
                <w:b/>
                <w:i/>
              </w:rPr>
              <w:t>.</w:t>
            </w:r>
            <w:r>
              <w:t xml:space="preserve"> </w:t>
            </w:r>
            <w:r>
              <w:rPr>
                <w:b/>
                <w:i/>
              </w:rPr>
              <w:t>Om die doelstelling</w:t>
            </w:r>
            <w:r>
              <w:t xml:space="preserve"> te realiseren zouden de lidstaten en de particuliere sector het programma moeten aanvullen met meer eigen investeringsacties op het gebied van onderzoek, ontwikkeling en innovatie. </w:t>
            </w:r>
            <w:r>
              <w:rPr>
                <w:b/>
                <w:i/>
              </w:rPr>
              <w:t>De Unie heeft gestage vooruitgang geboekt bij het opvoeren van de investeringen in onderzoek en ontwikkeling, maar blijft achter bij andere wereldleiders.</w:t>
            </w:r>
            <w:r>
              <w:t xml:space="preserve"> </w:t>
            </w:r>
            <w:r>
              <w:rPr>
                <w:b/>
                <w:i/>
              </w:rPr>
              <w:t>Toen het voornoemde streefcijfer van 3 % meer dan twee decennia geleden werd vastgesteld, werd het belang van onderzoek en ontwikkeling als basis voor een kennismaatschappij erkend.</w:t>
            </w:r>
            <w:r>
              <w:t xml:space="preserve"> </w:t>
            </w:r>
            <w:r>
              <w:rPr>
                <w:b/>
                <w:i/>
              </w:rPr>
              <w:t>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c>
          <w:tcPr>
            <w:tcW w:w="4876" w:type="dxa"/>
            <w:tcBorders>
              <w:top w:val="nil"/>
              <w:left w:val="nil"/>
              <w:bottom w:val="nil"/>
              <w:right w:val="nil"/>
            </w:tcBorders>
          </w:tcPr>
          <w:p>
            <w:pPr>
              <w:pStyle w:val="Normal6a"/>
            </w:pPr>
            <w:r>
              <w:t>(7)</w:t>
            </w:r>
            <w:r>
              <w:tab/>
            </w:r>
            <w:r>
              <w:t xml:space="preserve">Het programma moet bijdragen aan het verhogen van de publieke en private investeringen in O&amp;I in de lidstaten, en aldus tot het bereiken van een totaal investeringsdoel van ten minste 3 % van het bruto binnenlands product (bbp) van de Unie in onderzoek en ontwikkeling </w:t>
            </w:r>
            <w:r>
              <w:rPr>
                <w:b/>
                <w:i/>
              </w:rPr>
              <w:t>en tot het dichten van de innovatiekloof binnen de Unie en met wereldwijde concurrenten</w:t>
            </w:r>
            <w:r>
              <w:t xml:space="preserve">. De investeringen van de lidstaten in O&amp;I moeten worden beoordeeld met behulp van het kader voor de coördinatie van het economisch, begrotings-, werkgelegenheids- en sociaal beleid in de Unie: het proces van het Europees semester </w:t>
            </w:r>
            <w:r>
              <w:rPr>
                <w:b/>
                <w:i/>
              </w:rPr>
              <w:t>en met gebruikmaking van de bestaande statistische kaders op Unieniveau.</w:t>
            </w:r>
            <w:r>
              <w:t xml:space="preserve"> </w:t>
            </w:r>
            <w:r>
              <w:rPr>
                <w:b/>
                <w:i/>
              </w:rPr>
              <w:t>Om het bbp-streefdoel voor O&amp;O</w:t>
            </w:r>
            <w:r>
              <w:t> te realiseren zouden de lidstaten en de particuliere sector het programma moeten aanvullen met meer eigen investeringsacties op het gebied van onderzoek, ontwikkeling en innovatie.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programma moet bijdragen aan het verhogen van de publieke en private investeringen in O&amp;I in de lidstaten,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c>
          <w:tcPr>
            <w:tcW w:w="4876" w:type="dxa"/>
            <w:tcBorders>
              <w:top w:val="nil"/>
              <w:left w:val="nil"/>
              <w:bottom w:val="nil"/>
              <w:right w:val="nil"/>
            </w:tcBorders>
          </w:tcPr>
          <w:p>
            <w:pPr>
              <w:pStyle w:val="Normal6a"/>
            </w:pPr>
            <w:r>
              <w:t>(7)</w:t>
            </w:r>
            <w:r>
              <w:tab/>
            </w:r>
            <w:r>
              <w:t>Het programma moet bijdragen aan het verhogen van de publieke en private investeringen in O&amp;I in de lidstaten, en aldus tot het bereiken van een totaal investeringsdoel van ten minste 3 % van het bruto binnenlands product (bbp) van de Unie in onderzoek en ontwikkeling</w:t>
            </w:r>
            <w:r>
              <w:rPr>
                <w:b/>
                <w:i/>
              </w:rPr>
              <w:t>, en het dichten van de innovatiekloof binnen de Unie en met wereldwijde concurrenten</w:t>
            </w:r>
            <w:r>
              <w:t>. De investeringen van de lidstaten in O&amp;I moeten worden beoordeeld met behulp van het kader voor de coördinatie van het economisch, begrotings-, werkgelegenheids- en sociaal beleid in de Unie: het proces van het Europees Semester</w:t>
            </w:r>
            <w:r>
              <w:rPr>
                <w:b/>
                <w:i/>
              </w:rPr>
              <w:t>, en met gebruikmaking van de bestaande statistische kaders op Unieniveau</w:t>
            </w:r>
            <w:r>
              <w:t xml:space="preserve">. Om die doelstelling te realiseren zouden de lidstaten en de particuliere sector het programma moeten aanvullen met meer eigen investeringsacties op het gebied van onderzoek, ontwikkeling en innovatie.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w:t>
            </w:r>
            <w:r>
              <w:rPr>
                <w:b/>
                <w:i/>
              </w:rPr>
              <w:t>alsmede als belangrijke motor voor economische groei, productiviteit en mondiaal concurrentievermogen op lange termijn</w:t>
            </w:r>
            <w:r>
              <w:t>.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Nikos Pappas, 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Het programma moet bijdragen aan het verhogen van de publieke </w:t>
            </w:r>
            <w:r>
              <w:rPr>
                <w:b/>
                <w:i/>
              </w:rPr>
              <w:t>en private</w:t>
            </w:r>
            <w:r>
              <w:t xml:space="preserve"> investeringen in O&amp;I in de lidstaten,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c>
          <w:tcPr>
            <w:tcW w:w="4876" w:type="dxa"/>
            <w:tcBorders>
              <w:top w:val="nil"/>
              <w:left w:val="nil"/>
              <w:bottom w:val="nil"/>
              <w:right w:val="nil"/>
            </w:tcBorders>
          </w:tcPr>
          <w:p>
            <w:pPr>
              <w:pStyle w:val="Normal6a"/>
            </w:pPr>
            <w:r>
              <w:t>(7)</w:t>
            </w:r>
            <w:r>
              <w:tab/>
            </w:r>
            <w:r>
              <w:t xml:space="preserve">Het programma moet </w:t>
            </w:r>
            <w:r>
              <w:rPr>
                <w:b/>
                <w:i/>
              </w:rPr>
              <w:t>prioritair</w:t>
            </w:r>
            <w:r>
              <w:t xml:space="preserve"> bijdragen aan het verhogen van de publieke </w:t>
            </w:r>
            <w:r>
              <w:rPr>
                <w:b/>
                <w:i/>
              </w:rPr>
              <w:t>investeringen, en, in voorkomend geval, aanvullende particuliere</w:t>
            </w:r>
            <w:r>
              <w:t xml:space="preserve"> investeringen in O&amp;I</w:t>
            </w:r>
            <w:r>
              <w:rPr>
                <w:b/>
                <w:i/>
              </w:rPr>
              <w:t>, waarbij ervoor moet worden gezorgd dat de steun van de Unie niet in de eerste plaats dient om de risico's van particulier kapitaal zonder passend sociaal, territoriaal en ecologisch rendement</w:t>
            </w:r>
            <w:r>
              <w:t xml:space="preserve"> in de lidstaten </w:t>
            </w:r>
            <w:r>
              <w:rPr>
                <w:b/>
                <w:i/>
              </w:rPr>
              <w:t>te verminderen</w:t>
            </w:r>
            <w:r>
              <w:t>,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Letizia Moratti, Massimiliano Salini,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programma moet bijdragen aan het verhogen van de publieke en private investeringen in O&amp;I in de lidstaten,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c>
          <w:tcPr>
            <w:tcW w:w="4876" w:type="dxa"/>
            <w:tcBorders>
              <w:top w:val="nil"/>
              <w:left w:val="nil"/>
              <w:bottom w:val="nil"/>
              <w:right w:val="nil"/>
            </w:tcBorders>
          </w:tcPr>
          <w:p>
            <w:pPr>
              <w:pStyle w:val="Normal6a"/>
            </w:pPr>
            <w:r>
              <w:t>(7)</w:t>
            </w:r>
            <w:r>
              <w:tab/>
            </w:r>
            <w:r>
              <w:t xml:space="preserve">Het programma moet bijdragen aan het verhogen van de publieke en private investeringen in O&amp;I in de lidstaten,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 </w:t>
            </w:r>
            <w:r>
              <w:rPr>
                <w:b/>
                <w:i/>
              </w:rPr>
              <w:t>Het programma moet door middel van specifieke acties de ontwikkeling van technologische infrastructuur aanmoedigen, met inbegrip van proefoproepen tot het indienen van voorstellen.</w:t>
            </w:r>
            <w:r>
              <w:t xml:space="preserv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programma moet bijdragen aan het verhogen van de publieke en private investeringen in O&amp;I in de lidstaten,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c>
          <w:tcPr>
            <w:tcW w:w="4876" w:type="dxa"/>
            <w:tcBorders>
              <w:top w:val="nil"/>
              <w:left w:val="nil"/>
              <w:bottom w:val="nil"/>
              <w:right w:val="nil"/>
            </w:tcBorders>
          </w:tcPr>
          <w:p>
            <w:pPr>
              <w:pStyle w:val="Normal6a"/>
            </w:pPr>
            <w:r>
              <w:t>(7)</w:t>
            </w:r>
            <w:r>
              <w:tab/>
            </w:r>
            <w:r>
              <w:t>Het programma moet bijdragen aan het verhogen van de publieke en private investeringen in O&amp;I in de lidstaten, en aldus tot het bereiken van een totaal investeringsdoel van ten minste 3 % van het bruto binnenlands product (bbp) van de Unie in onderzoek en ontwikkeling. De investeringen van de lidstaten in O&amp;I moeten worden beoordeeld met behulp van het kader voor de coördinatie van het economisch, begrotings-, werkgelegenheids- en sociaal beleid in de Unie: het proces van het Europees semester. Om die doelstelling te realiseren zouden de lidstaten en de particuliere sector het programma moeten aanvullen met meer eigen investeringsacties op het gebied van onderzoek, ontwikkeling en innovatie</w:t>
            </w:r>
            <w:r>
              <w:rPr>
                <w:b/>
                <w:i/>
              </w:rPr>
              <w:t>, ook door grensoverschrijdende en transnationale samenwerkingsacties waarbij de capaciteiten van alle actoren worden benut</w:t>
            </w:r>
            <w:r>
              <w:t>. De Unie heeft gestage vooruitgang geboekt bij het opvoeren van de investeringen in onderzoek en ontwikkeling, maar blijft achter bij andere wereldleiders. Toen het voornoemde streefcijfer van 3 % meer dan twee decennia geleden werd vastgesteld, werd het belang van onderzoek en ontwikkeling als basis voor een kennismaatschappij erkend. Hoewel de doelstelling verschillende lidstaten heeft aangemoedigd hun eigen doelstellingen inzake onderzoeks- en ontwikkelingsintensiteit vast te stellen, blijft er sprake van aanzienlijke verschillen en hebben slechts enkele lidstaten hun investeringsambitie bereikt of overtroffen.</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is belangrijk dat de lidstaten via de bevoegde autoriteiten samenwerken met de particuliere sector om het programma te verbeteren door middel van investeringsacties in onderzoek, ontwikkeling en innovatie, met inbegrip van grensoverschrijdende en transnationale samenwerkingsacties, waarbij de capaciteiten van alle actoren worden benut.</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Het programma moet bijdragen aan het verhogen van de publieke en private investeringen in O&amp;I in de lidstaten</w:t>
            </w:r>
            <w:r>
              <w:rPr>
                <w:b/>
                <w:i/>
              </w:rPr>
              <w:t>, en aldus tot het bereiken van een totaal investeringsdoel van ten minste 3 % van het bruto binnenlands product (bbp) van de Unie in</w:t>
            </w:r>
            <w:r>
              <w:t xml:space="preserve"> onderzoek en </w:t>
            </w:r>
            <w:r>
              <w:rPr>
                <w:b/>
                <w:i/>
              </w:rPr>
              <w:t>ontwikkeling.</w:t>
            </w:r>
            <w:r>
              <w:t xml:space="preserve"> </w:t>
            </w:r>
            <w:r>
              <w:rPr>
                <w:b/>
                <w:i/>
              </w:rPr>
              <w:t>De investeringen van de lidstaten in O&amp;I moeten</w:t>
            </w:r>
            <w:r>
              <w:t xml:space="preserve"> worden beoordeeld </w:t>
            </w:r>
            <w:r>
              <w:rPr>
                <w:b/>
                <w:i/>
              </w:rPr>
              <w:t>met behulp van het kader voor de coördinatie van het economisch, begrotings-, werkgelegenheids- en sociaal beleid in de Unie:</w:t>
            </w:r>
            <w:r>
              <w:t xml:space="preserve"> </w:t>
            </w:r>
            <w:r>
              <w:rPr>
                <w:b/>
                <w:i/>
              </w:rPr>
              <w:t>het proces van het Europees semester.</w:t>
            </w:r>
            <w:r>
              <w:t xml:space="preserve"> </w:t>
            </w:r>
            <w:r>
              <w:rPr>
                <w:b/>
                <w:i/>
              </w:rPr>
              <w:t>Om die doelstelling te realiseren zouden</w:t>
            </w:r>
            <w:r>
              <w:t xml:space="preserve"> de lidstaten en de particuliere sector het programma </w:t>
            </w:r>
            <w:r>
              <w:rPr>
                <w:b/>
                <w:i/>
              </w:rPr>
              <w:t>moeten aanvullen</w:t>
            </w:r>
            <w:r>
              <w:t xml:space="preserve"> met meer eigen investeringsacties op het gebied van onderzoek, ontwikkeling en innovatie</w:t>
            </w:r>
            <w:r>
              <w:rPr>
                <w:b/>
                <w:i/>
              </w:rPr>
              <w:t>.</w:t>
            </w:r>
            <w:r>
              <w:t xml:space="preserve"> </w:t>
            </w:r>
            <w:r>
              <w:rPr>
                <w:b/>
                <w:i/>
              </w:rPr>
              <w:t>De Unie heeft gestage vooruitgang geboekt bij het opvoeren</w:t>
            </w:r>
            <w:r>
              <w:t xml:space="preserve"> van de </w:t>
            </w:r>
            <w:r>
              <w:rPr>
                <w:b/>
                <w:i/>
              </w:rPr>
              <w:t>investeringen in onderzoek en ontwikkeling, maar blijft achter bij andere wereldleiders</w:t>
            </w:r>
            <w:r>
              <w:t xml:space="preserve">. </w:t>
            </w:r>
            <w:r>
              <w:rPr>
                <w:b/>
                <w:i/>
              </w:rPr>
              <w:t>Toen het voornoemde streefcijfer van 3 % meer dan twee decennia geleden werd vastgesteld, werd het belang van onderzoek en ontwikkeling als basis voor een kennismaatschappij erkend.</w:t>
            </w:r>
            <w:r>
              <w:t xml:space="preserve"> </w:t>
            </w:r>
            <w:r>
              <w:rPr>
                <w:b/>
                <w:i/>
              </w:rPr>
              <w:t>Hoewel de doelstelling verschillende</w:t>
            </w:r>
            <w:r>
              <w:t xml:space="preserve"> lidstaten </w:t>
            </w:r>
            <w:r>
              <w:rPr>
                <w:b/>
                <w:i/>
              </w:rPr>
              <w:t>heeft aangemoedigd</w:t>
            </w:r>
            <w:r>
              <w:t xml:space="preserve"> hun eigen doelstellingen inzake onderzoeks- en ontwikkelingsintensiteit vast </w:t>
            </w:r>
            <w:r>
              <w:rPr>
                <w:b/>
                <w:i/>
              </w:rPr>
              <w:t>te stellen, blijft er sprake van aanzienlijke verschillen en hebben slechts enkele lidstaten hun investeringsambitie bereikt of overtroffen</w:t>
            </w:r>
            <w:r>
              <w:t>.</w:t>
            </w:r>
          </w:p>
        </w:tc>
        <w:tc>
          <w:tcPr>
            <w:tcW w:w="4876" w:type="dxa"/>
            <w:tcBorders>
              <w:top w:val="nil"/>
              <w:left w:val="nil"/>
              <w:bottom w:val="nil"/>
              <w:right w:val="nil"/>
            </w:tcBorders>
          </w:tcPr>
          <w:p>
            <w:pPr>
              <w:pStyle w:val="Normal6a"/>
            </w:pPr>
            <w:r>
              <w:t>(7)</w:t>
            </w:r>
            <w:r>
              <w:tab/>
            </w:r>
            <w:r>
              <w:t xml:space="preserve">Het programma moet bijdragen aan het verhogen van de publieke en private investeringen in O&amp;I in de lidstaten </w:t>
            </w:r>
            <w:r>
              <w:rPr>
                <w:b/>
                <w:i/>
              </w:rPr>
              <w:t>door wetenschappelijke en technologische prestaties op lange termijn te ondersteunen en de voorwaarden voor een doeltreffende valorisatie van onderzoeksresultaten te versterken.</w:t>
            </w:r>
            <w:r>
              <w:t xml:space="preserve"> </w:t>
            </w:r>
            <w:r>
              <w:rPr>
                <w:b/>
                <w:i/>
              </w:rPr>
              <w:t>Kwantitatieve uitgavendoelstellingen alleen volstaan niet om de prestaties op het gebied van</w:t>
            </w:r>
            <w:r>
              <w:t xml:space="preserve"> onderzoek en </w:t>
            </w:r>
            <w:r>
              <w:rPr>
                <w:b/>
                <w:i/>
              </w:rPr>
              <w:t>innovatie weer te geven en mogen niet prevaleren boven kwalitatieve, effect- en resultaatgerichte indicatoren.</w:t>
            </w:r>
            <w:r>
              <w:t xml:space="preserve"> </w:t>
            </w:r>
            <w:r>
              <w:rPr>
                <w:b/>
                <w:i/>
              </w:rPr>
              <w:t>De vooruitgang moet daarom</w:t>
            </w:r>
            <w:r>
              <w:t xml:space="preserve"> worden beoordeeld </w:t>
            </w:r>
            <w:r>
              <w:rPr>
                <w:b/>
                <w:i/>
              </w:rPr>
              <w:t>op basis van een evenwichtige reeks indicatoren, waaronder wetenschappelijke excellentie, kwaliteit en impact van publicaties, octrooieringsactiviteiten, technologisch leiderschap, doeltreffendheid van kennisoverdracht, trajecten tussen laboratoria en markten, industriële toepassing en het vermogen van innovatieve bedrijven om op te schalen en wereldwijd te concurreren.</w:t>
            </w:r>
            <w:r>
              <w:t xml:space="preserve"> </w:t>
            </w:r>
            <w:r>
              <w:rPr>
                <w:b/>
                <w:i/>
              </w:rPr>
              <w:t>Het programma moet</w:t>
            </w:r>
            <w:r>
              <w:t xml:space="preserve"> de lidstaten en de particuliere sector </w:t>
            </w:r>
            <w:r>
              <w:rPr>
                <w:b/>
                <w:i/>
              </w:rPr>
              <w:t>stimuleren om</w:t>
            </w:r>
            <w:r>
              <w:t xml:space="preserve"> het programma </w:t>
            </w:r>
            <w:r>
              <w:rPr>
                <w:b/>
                <w:i/>
              </w:rPr>
              <w:t>aan te vullen</w:t>
            </w:r>
            <w:r>
              <w:t xml:space="preserve"> met meer eigen investeringsacties op het gebied van onderzoek, ontwikkeling en innovatie</w:t>
            </w:r>
            <w:r>
              <w:rPr>
                <w:b/>
                <w:i/>
              </w:rPr>
              <w:t>, met inachtneming</w:t>
            </w:r>
            <w:r>
              <w:t xml:space="preserve"> van de </w:t>
            </w:r>
            <w:r>
              <w:rPr>
                <w:b/>
                <w:i/>
              </w:rPr>
              <w:t>nationale onderzoeksstrategieën, institutionele modellen en financieringsprioriteiten</w:t>
            </w:r>
            <w:r>
              <w:t xml:space="preserve">. </w:t>
            </w:r>
            <w:r>
              <w:rPr>
                <w:b/>
                <w:i/>
              </w:rPr>
              <w:t>De</w:t>
            </w:r>
            <w:r>
              <w:t xml:space="preserve"> lidstaten </w:t>
            </w:r>
            <w:r>
              <w:rPr>
                <w:b/>
                <w:i/>
              </w:rPr>
              <w:t>stellen</w:t>
            </w:r>
            <w:r>
              <w:t xml:space="preserve"> hun eigen doelstellingen inzake onderzoeks- en ontwikkelingsintensiteit vast.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Radan Kanev,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beheer van de gezamenlijke onderzoeks- en innovatieactiviteiten van het programma moet worden geleid door raden bestaande uit prominente deskundigen uit de wetenschap, innovatie, het bedrijfsleven en het maatschappelijk middenveld, en worden uitgevoerd door deskundigenteams die bevoegd zijn om oproepen tot het indienen van voorstellen in het kader van de algemene thematische prioriteiten te ontwerpen;</w:t>
            </w:r>
            <w:r>
              <w:t xml:space="preserve"> </w:t>
            </w:r>
            <w:r>
              <w:rPr>
                <w:b/>
                <w:i/>
              </w:rPr>
              <w:t>de algemene thematische prioriteiten, met inbegrip van de voor elke prioriteit beschikbare begroting, zullen worden uiteengezet in de werkprogramma’s die door de Commissie door middel van gedelegeerde handelingen worden vastgesteld.</w:t>
            </w:r>
            <w:r>
              <w:t xml:space="preserve"> </w:t>
            </w:r>
            <w:r>
              <w:rPr>
                <w:b/>
                <w:i/>
              </w:rPr>
              <w:t>Deze worden vastgesteld overeenkomstig het Gezamenlijk akkoord over gedelegeerde handelingen en met name het tweede hoofdstuk van het akkoord inzake raadpleging bij de voorbereiding en opstelling van gedelegeerde handelingen.</w:t>
            </w:r>
            <w:r>
              <w:t xml:space="preserve"> </w:t>
            </w:r>
            <w:r>
              <w:rPr>
                <w:b/>
                <w:i/>
              </w:rPr>
              <w:t>Dit zorgt voor een gestructureerde en vroegtijdige betrokkenheid van deskundigen van de lidstaten, het Parlement en de Raad.</w:t>
            </w:r>
            <w:r>
              <w:t xml:space="preserve"> </w:t>
            </w:r>
            <w:r>
              <w:rPr>
                <w:b/>
                <w:i/>
              </w:rPr>
              <w:t>De werkprogramma’s bestrijken drie jaar, waarbij elk laatste jaar overlapt met het eerste jaar van het volgende werkprogramma.</w:t>
            </w:r>
            <w:r>
              <w:t xml:space="preserve"> </w:t>
            </w:r>
            <w:r>
              <w:rPr>
                <w:b/>
                <w:i/>
              </w:rPr>
              <w:t>Dit geeft de deskundigenteams genoeg tijd om te werken en biedt voorspelbaarheid aan aanvragers, terwijl de benodigde flexibiliteit in de loop van de tijd behouden blijft.</w:t>
            </w:r>
            <w:r>
              <w:t xml:space="preserve"> </w:t>
            </w:r>
            <w:r>
              <w:rPr>
                <w:b/>
                <w:i/>
              </w:rPr>
              <w:t>De waarnemingspost voor opkomende technologieën die in het kader van het Europees Fonds voor concurrentievermogen is opgericht, moet een belangrijke rol spelen bij het opstellen van de werkprogramma’s.</w:t>
            </w:r>
            <w:r>
              <w:t xml:space="preserve"> </w:t>
            </w:r>
            <w:r>
              <w:rPr>
                <w:b/>
                <w:i/>
              </w:rPr>
              <w:t>Deze aanpak weerspiegelt de aanbeveling uit het Draghi-verslag om het beheer van het programma over te laten aan mensen met een bewezen staat van dienst die voorop lopen op het gebied van innovatie en is in overeenstemming met de aanbeveling uit het verslag van de deskundigengroep van de Commissie over de tussentijdse evaluatie van Horizon Europa van 6 december 2024 (het “Heitor-verslag”) om speciale raden op te richten om onderzoek en innovatie in samenwerkingsverband te sturen.</w:t>
            </w:r>
            <w:r>
              <w:t xml:space="preserve"> </w:t>
            </w:r>
            <w:r>
              <w:rPr>
                <w:b/>
                <w:i/>
              </w:rPr>
              <w:t>De wisselwerking tussen de Commissie, de raden, de deskundigenteams en de programmacomités zorgt voor een systeem dat overheidsinstanties de volledige controle over de toewijzing van financiering laat behouden, terwijl deskundigen een grensverleggend en flexibel programma kunnen leveren.</w:t>
            </w:r>
            <w:r>
              <w:t xml:space="preserve"> </w:t>
            </w:r>
            <w:r>
              <w:rPr>
                <w:b/>
                <w:i/>
              </w:rPr>
              <w:t>Om hun rol effectief te kunnen vervullen, moeten hoofddeskundigen en hun deskundigenteams voltijds in dienst worden genomen, zodat ze zich voldoende kunnen inzetten en de continuïteit van deskundigheid kunnen garanderen die nodig is om oproepen van hoge kwaliteit te ontwerpen en om zinvol samen te werken met het bredere onderzoeks- en innovatie-ecosysteem.</w:t>
            </w:r>
            <w:r>
              <w:t xml:space="preserve"> </w:t>
            </w:r>
            <w:r>
              <w:rPr>
                <w:b/>
                <w:i/>
              </w:rPr>
              <w:t>Deskundigenteams moeten proactief samenwerken met relevante actoren uit de industrie, de academische wereld, het maatschappelijk middenveld en de investeringsgemeenschap om strategische informatie te verzamelen over opkomende behoeften, technologische ontwikkelingen en marktdynamiek, zodat de oproepen de kansen en uitdagingen uit de echte wereld weerspiegelen.</w:t>
            </w:r>
            <w:r>
              <w:t xml:space="preserve"> </w:t>
            </w:r>
            <w:r>
              <w:rPr>
                <w:b/>
                <w:i/>
              </w:rPr>
              <w:t>Bovendien moeten deskundigenteams de projecten die geselecteerd zijn in het kader van de oproepen waarvoor zij verantwoordelijk zijn gedurende de hele levenscyclus van het project begeleiden door ondersteuning te bieden, de toegang tot relevante netwerken te vergemakkelijken en verbindingen tussen projecten te bevorderen wanneer er gemeenschappelijke belangen zijn of wanneer een nauwere coördinatie een meerwaarde voor de Unie zou opleveren.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amendement is identiek aan amendement 5 van het ontwerpverslag, maar corrigeert één fout in dat amendement.</w:t>
      </w:r>
      <w:r>
        <w:t xml:space="preserve"> </w:t>
      </w:r>
      <w:r>
        <w:t>Amendement 5 heeft betrekking op de onderzoeksprocedure, die van toepassing is op uitvoeringshandelingen, terwijl de werkprogramma’s moeten worden vastgesteld als gedelegeerde handelingen, in overeenstemming met het Gezamenlijk akkoord om te zorgen voor raadpleging van deskundigen van de lidstaten alsmede betrokkenheid van het Parlement en de Raad, voorafgaand aan de vaststelling van de gedelegeerde handeling.</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beheer van de gezamenlijke onderzoeks- en innovatieactiviteiten van het programma moet worden geleid door raden die bestaan uit vooraanstaande deskundigen uit de wetenschap, op het gebied van innovatie, uit het bedrijfsleven en uit het maatschappelijk middenveld, afkomstig uit verschillende disciplines en sectoren, en uitgevoerd door deskundigenteams.</w:t>
            </w:r>
            <w:r>
              <w:t xml:space="preserve"> </w:t>
            </w:r>
            <w:r>
              <w:rPr>
                <w:b/>
                <w:i/>
              </w:rPr>
              <w:t>De algemene thematische prioriteiten, met inbegrip van de voor elke prioriteit beschikbare begroting, zullen worden uiteengezet in de werkprogramma’s die door de Commissie in het kader van de onderzoeksprocedure worden vastgesteld.</w:t>
            </w:r>
            <w:r>
              <w:t xml:space="preserve"> </w:t>
            </w:r>
            <w:r>
              <w:rPr>
                <w:b/>
                <w:i/>
              </w:rPr>
              <w:t>De werkprogramma’s bestrijken drie jaar, waarbij elk laatste jaar overlapt met het eerste jaar van het volgende werkprogramma.</w:t>
            </w:r>
            <w:r>
              <w:t xml:space="preserve"> </w:t>
            </w:r>
            <w:r>
              <w:rPr>
                <w:b/>
                <w:i/>
              </w:rPr>
              <w:t>Dit geeft de deskundigenteams genoeg tijd om te werken en biedt voorspelbaarheid aan aanvragers, terwijl de benodigde flexibiliteit in de loop van de tijd behouden blijft.</w:t>
            </w:r>
            <w:r>
              <w:t xml:space="preserve"> </w:t>
            </w:r>
            <w:r>
              <w:rPr>
                <w:b/>
                <w:i/>
              </w:rPr>
              <w:t>De waarnemingspost voor opkomende technologieën die in het kader van het Europees Fonds voor concurrentievermogen is opgericht, moet ook een belangrijke rol spelen bij het opstellen van de werkprogramma’s.</w:t>
            </w:r>
            <w:r>
              <w:t xml:space="preserve"> </w:t>
            </w:r>
            <w:r>
              <w:rPr>
                <w:b/>
                <w:i/>
              </w:rPr>
              <w:t>De wisselwerking tussen de Commissie, de raden, de deskundigenteams en de programmacomités zorgt voor een systeem dat overheidsinstanties de volledige controle over de toewijzing van financiering laat behouden, terwijl deskundigen een grensverleggend en flexibel programma kunnen leveren.</w:t>
            </w:r>
            <w:r>
              <w:t xml:space="preserve"> </w:t>
            </w:r>
            <w:r>
              <w:rPr>
                <w:b/>
                <w:i/>
              </w:rPr>
              <w:t>Het governancekader moet ervoor zorgen dat de Commissie de volledige en daadwerkelijke verantwoordelijkheid behoudt om aan de vertegenwoordigers van het programmacomité de vaststelling van prioriteiten, de inhoud van oproepen tot het indienen van voorstellen en de toewijzing van financiering voor te stellen, in overeenstemming met de doelstellingen van het programma.</w:t>
            </w:r>
            <w:r>
              <w:t xml:space="preserve"> </w:t>
            </w:r>
            <w:r>
              <w:rPr>
                <w:b/>
                <w:i/>
              </w:rPr>
              <w:t>Raden en deskundigenteams moeten onafhankelijke adviserende input en strategische analyses leveren en mogen geen besluitvormingsbevoegdheden uitoefenen bij de voorbereiding of vaststelling van werkprogramma’s of oproepen tot het indienen van voorstellen.</w:t>
            </w:r>
            <w:r>
              <w:t xml:space="preserve"> </w:t>
            </w:r>
            <w:r>
              <w:rPr>
                <w:b/>
                <w:i/>
              </w:rPr>
              <w:t>Hun werk moet een evenwichtige overweging van wetenschappelijke excellentie, onderzoeksbehoeften op lange termijn en maatschappelijke uitdagingen weerspiegelen, en mag niet uitsluitend worden gestuurd door industriële of marktoverwegingen op korte termijn.</w:t>
            </w:r>
            <w:r>
              <w:t xml:space="preserve"> </w:t>
            </w:r>
            <w:r>
              <w:rPr>
                <w:b/>
                <w:i/>
              </w:rPr>
              <w:t>Deskundigenteams moeten proactief samenwerken met relevante actoren uit de industrie, de academische wereld, het maatschappelijk middenveld en de investeringsgemeenschap om strategische informatie te verzamelen over opkomende behoeften, technologische en maatschappelijke ontwikkelingen waaronder marktdynamiek, zodat de oproepen de kansen en uitdagingen uit de echte wereld weerspiegelen met inbegrip van die met betrekking tot de duurzameontwikkelingsdoelstellingen.</w:t>
            </w:r>
            <w:r>
              <w:t xml:space="preserve"> </w:t>
            </w:r>
            <w:r>
              <w:rPr>
                <w:b/>
                <w:i/>
              </w:rPr>
              <w:t>Bovendien moeten deskundigenteams de projecten die geselecteerd zijn in het kader van de oproepen waarvoor zij verantwoordelijk zijn gedurende de hele levenscyclus van het project begeleiden door ondersteuning te bieden, de toegang tot relevante netwerken te vergemakkelijken en verbindingen tussen projecten te bevorderen wanneer er gemeenschappelijke belangen zijn of wanneer een nauwere coördinatie een meerwaarde voor de Unie zou opleveren.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 synergieën tussen het programma en andere relevante EU-, nationale en regionale programma’s en instrumenten moeten ook worden versterkt.</w:t>
            </w:r>
            <w:r>
              <w:t xml:space="preserve"> </w:t>
            </w:r>
            <w:r>
              <w:rPr>
                <w:b/>
                <w:i/>
              </w:rPr>
              <w:t>Daartoe moet het programma de erkenning vergemakkelijken van excellente acties die prioriteit verdienen op EU-, nationaal of regionaal niveau, met name voor acties die vanwege budgettaire beperkingen niet konden worden gefinancierd, door de toekenning van een excellentiekeurmerk.</w:t>
            </w:r>
            <w:r>
              <w:t xml:space="preserve"> </w:t>
            </w:r>
            <w:r>
              <w:rPr>
                <w:b/>
                <w:i/>
              </w:rPr>
              <w:t>Om de banden tussen lokale innovatie-ecosystemen en het programma verder aan te halen en de benutting van excellente projecten die op nationaal en regionaal niveau worden ondersteund, verder te vergemakkelijken, moet het programma bovendien zorgen voor een gemakkelijkere toegang tot excellente activiteiten die reeds worden ondersteund door specifieke innovatieprogramma’s op nationaal of regionaal niveau in het kader van de EIC-transitieactiviteiten.</w:t>
            </w:r>
            <w:r>
              <w:t xml:space="preserve"> </w:t>
            </w:r>
            <w:r>
              <w:rPr>
                <w:b/>
                <w:i/>
              </w:rPr>
              <w:t>Om billijkheid, transparantie en een gelijk speelveld in de hele Unie te waarborgen, moet de erkenning van nationale en regionale programma’s voor dat doel worden onderworpen aan een certificering door de Commissie op basis van transparante, objectieve en verifieerbare criteria.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Bij het versterken van het concurrentievermogen en de veerkracht op lange termijn van de Unie moet prioriteit worden gegeven aan excellentie op het gebied van O&amp;I, in combinatie met het stimuleren van de territoriale capaciteit om innovatie voort te brengen, te absorberen en toe te passen in de hele Unie.</w:t>
            </w:r>
            <w:r>
              <w:t xml:space="preserve"> </w:t>
            </w:r>
            <w:r>
              <w:rPr>
                <w:b/>
                <w:i/>
              </w:rPr>
              <w:t>In dit verband vormen investeringen in het kader van het cohesiebeleid een belangrijke motor achter economische transformatie en convergentie, waardoor regio’s werkende innovatie-ecosystemen kunnen bouwen, industriële waardeketens kunnen verbeteren en onderzoeksresultaten kunnen omzetten in productiviteit, hoogwaardige banen en een productiviteitsstijging op de lange termijn.</w:t>
            </w:r>
            <w:r>
              <w:t xml:space="preserve"> </w:t>
            </w:r>
            <w:r>
              <w:rPr>
                <w:b/>
                <w:i/>
              </w:rPr>
              <w:t>Derhalve moet in het volgende meerjarig financieel kader bijzondere aandacht worden besteed aan een sterkere coördinatie en complementariteit tussen Horizon Europa en het cohesiebeleid om versnippering, overlapping of niet-optimaal gebruik van overheidsmiddelen te vermijden.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Ivars Ijabs, Elisabetta Gualmini, Anna Stürgkh, Christophe Grudler, Barry Andrews,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(nieuw) (7 ter) Door deskundigen geleid beheer van het programma, onder meer via specifieke raden en deskundigenteams die bevoegd zijn om oproepen tot het indienen van voorstellen te ontwerpen en samen te werken met het onderzoeks- en innovatie-ecosysteem, is van essentieel belang om de wetenschappelijke kwaliteit en de strategische relevantie van gefinancierde acties te waarborgen.</w:t>
            </w:r>
            <w:r>
              <w:t xml:space="preserve"> </w:t>
            </w:r>
            <w:r>
              <w:rPr>
                <w:b/>
                <w:i/>
              </w:rPr>
              <w:t>De nabijheid tussen degenen die verantwoordelijk zijn voor het opstellen van oproepen en degenen die de in het kader daarvan ingediende voorstellen evalueren, brengt echter een structureel risico op belangenconflicten met zich mee dat moet worden aangepakt door middel van robuuste procedurele waarborgen.</w:t>
            </w:r>
            <w:r>
              <w:t xml:space="preserve"> </w:t>
            </w:r>
            <w:r>
              <w:rPr>
                <w:b/>
                <w:i/>
              </w:rPr>
              <w:t>De beoordeling van de voorstellen wordt daarom blind uitgevoerd, waarbij ervoor wordt gezorgd dat de beoordelaars tijdens de beoordeling van excellentie geen toegang hebben tot de identiteit van de aanvragers of hun institutionele banden.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In het programma wordt rekening gehouden met het snelle ontwikkelings- en transformatiepotentieel van artificiële-intelligentietechnologieën op alle onderzoeks- en innovatiegebieden.</w:t>
            </w:r>
            <w:r>
              <w:t xml:space="preserve"> </w:t>
            </w:r>
            <w:r>
              <w:rPr>
                <w:b/>
                <w:i/>
              </w:rPr>
              <w:t>Het bevordert een verantwoord, ethisch, betrouwbaar en mensgericht gebruik ervan in overeenstemming met de waarden van de Unie en de toepasselijke rechtskaders.</w:t>
            </w:r>
            <w:r>
              <w:t xml:space="preserve"> </w:t>
            </w:r>
            <w:r>
              <w:rPr>
                <w:b/>
                <w:i/>
              </w:rPr>
              <w:t>Gezien de snel evoluerende aard van artificiële intelligentie moet het programma zorgen voor een flexibele en toekomstgerichte aanpak, met inbegrip van passende monitoring van het gebruik en de effecten ervan, om excellentie te ondersteunen, de integriteit van onderzoek te waarborgen en de maatschappelijke en economische voordelen in de loop van de tijd te maximaliseren.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Excellentie in onderzoek en innovatie is van fundamenteel belang voor het concurrentievermogen van Europa en kan alleen volledig worden bereikt als alle lidstaten in staat worden gesteld een bijdrage te leveren, hetgeen een sterkere en meer samenhangende Europese Onderzoeksruimte vereist die hardnekkige innovatiekloven dicht, inclusieve participatie bevordert en de ontwikkeling, commercialisering en internationalisering van belangrijke strategische technologieën bevordert in overeenstemming met de doelstellingen van het Europees Fonds voor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Morten Løkkegaard, Emma Wiesner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Het beheer van de gezamenlijke onderzoeks- en innovatieactiviteiten van het programma moet worden uitgevoerd door interdisciplinaire deskundigenteams, onder meer uit de fundamentele en toegepaste wetenschappen.</w:t>
            </w:r>
            <w:r>
              <w:t xml:space="preserve"> </w:t>
            </w:r>
            <w:r>
              <w:rPr>
                <w:b/>
                <w:i/>
              </w:rPr>
              <w:t>Deze deskundigenteams moeten de bevoegdheid krijgen om oproepen tot het indienen van voorstellen op te stellen in het kader van de algemene thematische prioriteiten.</w:t>
            </w:r>
            <w:r>
              <w:t xml:space="preserve"> </w:t>
            </w:r>
            <w:r>
              <w:rPr>
                <w:b/>
                <w:i/>
              </w:rPr>
              <w:t>De algemene thematische prioriteiten moeten in de werkprogramma’s van de Commissie worden vastgesteld.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De governance van de gezamenlijke onderzoeks- en innovatieactiviteiten van het programma moet gebaseerd zijn op het beginsel dat overheidsfinanciering van onderzoek doelstellingen van algemeen belang dient die verder gaan dan commerciële valorisatie.</w:t>
            </w:r>
            <w:r>
              <w:t xml:space="preserve"> </w:t>
            </w:r>
            <w:r>
              <w:rPr>
                <w:b/>
                <w:i/>
              </w:rPr>
              <w:t>Hoewel het programma de toepassing en uitrol van onderzoeksresultaten moet vergemakkelijken, onder meer door synergieën met het Europees Fonds voor concurrentievermogen, worden oproepen tot het indienen van voorstellen in het kader van de beleidsterreinen op het gebied van onderzoek in samenwerkingsverband niet in de eerste plaats ontworpen om het commerciële risico voor particuliere investeerders te verminderen of om de marktpositie van gevestigde industriële exploitanten te consolideren.</w:t>
            </w:r>
            <w:r>
              <w:t xml:space="preserve"> </w:t>
            </w:r>
            <w:r>
              <w:rPr>
                <w:b/>
                <w:i/>
              </w:rPr>
              <w:t>De Commissie moet ervoor zorgen dat elk werkprogramma volgens het regionale innovatiescorebord een expliciete beoordeling bevat van de wijze waarop de thematische prioriteiten en het ontwerp van de oproepen ten dienste staan van een zo breed mogelijk scala aan publieke begunstigden, waaronder burgers, overheidsinstellingen, kleine en middelgrote ondernemingen en onderzoekers uit verbredingslanden en uit gematigde en opkomende regio’s.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Zoals in het Horizon Europa-programma moet ook in dit programma verder</w:t>
            </w:r>
            <w:r>
              <w:t xml:space="preserve"> rekening worden gehouden met de OESO-definities betreffende gereedheidsniveaus van een technologie (Technological Readiness Levels, TRL’s) bij de classificatie van activiteiten op het gebied van </w:t>
            </w:r>
            <w:r>
              <w:rPr>
                <w:b/>
                <w:i/>
              </w:rPr>
              <w:t>technologisch</w:t>
            </w:r>
            <w:r>
              <w:t xml:space="preserve"> onderzoek, productontwikkeling en demonstratie, alsmede bij het bepalen van de soorten acties die in oproepen tot het indienen van voorstellen kunnen worden gebruikt. Er mogen geen subsidies worden toegekend aan acties waarvan de activiteiten TRL 8 overschrijden. </w:t>
            </w:r>
            <w:r>
              <w:rPr>
                <w:b/>
                <w:i/>
              </w:rPr>
              <w:t>Het werkprogramma moet voorzien in de mogelijkheid subsidies toe te kennen voor grootschalige productvalidatie en marktreplicatie naar aanleiding van oproepen in het kader van het deel “Concurrentievermogen en samenleving”.</w:t>
            </w:r>
          </w:p>
        </w:tc>
        <w:tc>
          <w:tcPr>
            <w:tcW w:w="4876" w:type="dxa"/>
            <w:tcBorders>
              <w:top w:val="nil"/>
              <w:left w:val="nil"/>
              <w:bottom w:val="nil"/>
              <w:right w:val="nil"/>
            </w:tcBorders>
          </w:tcPr>
          <w:p>
            <w:pPr>
              <w:pStyle w:val="Normal6a"/>
            </w:pPr>
            <w:r>
              <w:t>(8)</w:t>
            </w:r>
            <w:r>
              <w:tab/>
            </w:r>
            <w:r>
              <w:rPr>
                <w:b/>
                <w:i/>
              </w:rPr>
              <w:t>In voorkomend geval moet er</w:t>
            </w:r>
            <w:r>
              <w:t xml:space="preserve"> rekening worden gehouden met de OESO-definities betreffende gereedheidsniveaus van een technologie (Technological Readiness Levels, TRL’s) bij de classificatie van activiteiten op het gebied van onderzoek </w:t>
            </w:r>
            <w:r>
              <w:rPr>
                <w:b/>
                <w:i/>
              </w:rPr>
              <w:t>en innovatie op basis van hun niveau van technologische maturiteit</w:t>
            </w:r>
            <w:r>
              <w:t>, productontwikkeling en demonstratie, alsmede bij het bepalen van de soorten acties die in oproepen tot het indienen van voorstellen kunnen worden gebruikt. Er mogen geen subsidies worden toegekend aan acties waarvan de activiteiten TRL 8 overschrijden.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Het programma moet alle stadia van onderzoeks- en innovatieactiviteiten en -initiatieven ondersteunen, met name in het kader van samenwerkingsprojecten en Europese partnerschappen.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Hélder Sousa Silva, Wouter Beke, Willemien Koning, Seán Kelly, Radan Kanev,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Het moet</w:t>
            </w:r>
            <w:r>
              <w:t xml:space="preserve"> mogelijk zijn om delen van de begroting uit te voeren via Europese partnerschappen met andere publieke en particuliere entiteiten indien </w:t>
            </w:r>
            <w:r>
              <w:rPr>
                <w:b/>
                <w:i/>
              </w:rPr>
              <w:t>dit de meest doeltreffende manier is om de beleidsdoelstellingen</w:t>
            </w:r>
            <w:r>
              <w:t xml:space="preserve"> te verwezenlijken</w:t>
            </w:r>
            <w:r>
              <w:rPr>
                <w:b/>
                <w:i/>
              </w:rPr>
              <w:t>.</w:t>
            </w:r>
            <w:r>
              <w:t xml:space="preserve"> </w:t>
            </w:r>
            <w:r>
              <w:rPr>
                <w:b/>
                <w:i/>
              </w:rPr>
              <w:t>Europese partnerschappen moeten worden opgezet wanneer een nauwe betrokkenheid van de Unie vereist is en moeten voorzien in passende stemrechten voor de Unie en</w:t>
            </w:r>
            <w:r>
              <w:t xml:space="preserve"> voldoende </w:t>
            </w:r>
            <w:r>
              <w:rPr>
                <w:b/>
                <w:i/>
              </w:rPr>
              <w:t>mede-investeringen door andere partners</w:t>
            </w:r>
            <w:r>
              <w:t xml:space="preserve"> om de </w:t>
            </w:r>
            <w:r>
              <w:rPr>
                <w:b/>
                <w:i/>
              </w:rPr>
              <w:t>Uniefinanciering ten volle te benutten.</w:t>
            </w:r>
            <w:r>
              <w:t xml:space="preserve"> </w:t>
            </w:r>
            <w:r>
              <w:rPr>
                <w:b/>
                <w:i/>
              </w:rPr>
              <w:t>Om synergieën en efficiëntie te bevorderen,</w:t>
            </w:r>
            <w:r>
              <w:t xml:space="preserve"> moet worden </w:t>
            </w:r>
            <w:r>
              <w:rPr>
                <w:b/>
                <w:i/>
              </w:rPr>
              <w:t>voorzien in geharmoniseerde regels.</w:t>
            </w:r>
            <w:r>
              <w:t xml:space="preserve"> </w:t>
            </w:r>
            <w:r>
              <w:rPr>
                <w:b/>
                <w:i/>
              </w:rPr>
              <w:t>Daarom moet een</w:t>
            </w:r>
            <w:r>
              <w:t xml:space="preserve"> strategische </w:t>
            </w:r>
            <w:r>
              <w:rPr>
                <w:b/>
                <w:i/>
              </w:rPr>
              <w:t>en coherente portefeuille</w:t>
            </w:r>
            <w:r>
              <w:t xml:space="preserve"> van een </w:t>
            </w:r>
            <w:r>
              <w:rPr>
                <w:b/>
                <w:i/>
              </w:rPr>
              <w:t>beperkt aantal Europese</w:t>
            </w:r>
            <w:r>
              <w:t xml:space="preserve"> partnerschappen worden </w:t>
            </w:r>
            <w:r>
              <w:rPr>
                <w:b/>
                <w:i/>
              </w:rPr>
              <w:t>gecreëerd</w:t>
            </w:r>
            <w:r>
              <w:t>.</w:t>
            </w:r>
          </w:p>
        </w:tc>
        <w:tc>
          <w:tcPr>
            <w:tcW w:w="4876" w:type="dxa"/>
            <w:tcBorders>
              <w:top w:val="nil"/>
              <w:left w:val="nil"/>
              <w:bottom w:val="nil"/>
              <w:right w:val="nil"/>
            </w:tcBorders>
          </w:tcPr>
          <w:p>
            <w:pPr>
              <w:pStyle w:val="Normal6a"/>
            </w:pPr>
            <w:r>
              <w:t>(9)</w:t>
            </w:r>
            <w:r>
              <w:tab/>
            </w:r>
            <w:r>
              <w:rPr>
                <w:b/>
                <w:i/>
              </w:rPr>
              <w:t>Als aanvulling op de door deskundigen geleide aanpak moet het</w:t>
            </w:r>
            <w:r>
              <w:t xml:space="preserve"> mogelijk zijn om delen van de begroting uit te voeren via Europese partnerschappen met andere publieke en particuliere entiteiten indien </w:t>
            </w:r>
            <w:r>
              <w:rPr>
                <w:b/>
                <w:i/>
              </w:rPr>
              <w:t>er voldoende meerwaarde van de EU is die blijkt uit de bereidheid om te investeren, bij voorkeur door zowel de Unie als de lidstaten, en moeten speciale juridische instrumenten worden opgezet, inclusief die uit hoofde van de artikelen 185 en 187 VWEU.</w:t>
            </w:r>
            <w:r>
              <w:t xml:space="preserve"> </w:t>
            </w:r>
            <w:r>
              <w:rPr>
                <w:b/>
                <w:i/>
              </w:rPr>
              <w:t>Het moet mogelijk zijn deze juridische instrumenten te voorzien van een aanzienlijke begroting om in de hele Unie een kritische massa te creëren om haar doelstellingen</w:t>
            </w:r>
            <w:r>
              <w:t xml:space="preserve"> te verwezenlijken</w:t>
            </w:r>
            <w:r>
              <w:rPr>
                <w:b/>
                <w:i/>
              </w:rPr>
              <w:t>, alsook van</w:t>
            </w:r>
            <w:r>
              <w:t xml:space="preserve"> voldoende </w:t>
            </w:r>
            <w:r>
              <w:rPr>
                <w:b/>
                <w:i/>
              </w:rPr>
              <w:t>operationele autonomie</w:t>
            </w:r>
            <w:r>
              <w:t xml:space="preserve"> om de </w:t>
            </w:r>
            <w:r>
              <w:rPr>
                <w:b/>
                <w:i/>
              </w:rPr>
              <w:t>doelstellingen na te streven in een snel veranderende wereld.</w:t>
            </w:r>
            <w:r>
              <w:t xml:space="preserve"> </w:t>
            </w:r>
            <w:r>
              <w:rPr>
                <w:b/>
                <w:i/>
              </w:rPr>
              <w:t>De schaalgrootte van een partnerschap</w:t>
            </w:r>
            <w:r>
              <w:t xml:space="preserve"> moet worden </w:t>
            </w:r>
            <w:r>
              <w:rPr>
                <w:b/>
                <w:i/>
              </w:rPr>
              <w:t>bereikt door aanzienlijke financiering te verstrekken aan een duidelijk omschreven sector of technologiegebied, niet door uiteenlopende sectoren of onderwerpen samen te voegen tot één enkel instrument, aangezien een dergelijke consolidatie de</w:t>
            </w:r>
            <w:r>
              <w:t xml:space="preserve"> strategische </w:t>
            </w:r>
            <w:r>
              <w:rPr>
                <w:b/>
                <w:i/>
              </w:rPr>
              <w:t>focus afzwakt en doeltreffende prioritering ondermijnt.</w:t>
            </w:r>
            <w:r>
              <w:t xml:space="preserve"> </w:t>
            </w:r>
            <w:r>
              <w:rPr>
                <w:b/>
                <w:i/>
              </w:rPr>
              <w:t>Indien relevant kunnen deze instrumenten begrotingen van andere programma’s van de Unie uitvoeren.</w:t>
            </w:r>
            <w:r>
              <w:t xml:space="preserve"> </w:t>
            </w:r>
            <w:r>
              <w:rPr>
                <w:b/>
                <w:i/>
              </w:rPr>
              <w:t>Deze instrumenten zouden met name gebruikt kunnen worden wanneer de prioriteiten van het Europees Fonds voor concurrentievermogen de uitvoering vereisen</w:t>
            </w:r>
            <w:r>
              <w:t xml:space="preserve"> van een </w:t>
            </w:r>
            <w:r>
              <w:rPr>
                <w:b/>
                <w:i/>
              </w:rPr>
              <w:t>gezamenlijke onderzoeks- en toepassingsagenda voor een bepaald ecosysteem waarvoor financiering uit zowel het programma als het Europees Fonds voor concurrentievermogen nodig is.</w:t>
            </w:r>
            <w:r>
              <w:t xml:space="preserve"> </w:t>
            </w:r>
            <w:r>
              <w:rPr>
                <w:b/>
                <w:i/>
              </w:rPr>
              <w:t>Wanneer zij bevoegd zijn om delen van het Europees Fonds voor concurrentievermogen uit te voeren, moet dit naar behoren worden gemotiveerd, bijvoorbeeld door de structuur van de wereldmarkt.</w:t>
            </w:r>
            <w:r>
              <w:t xml:space="preserve"> </w:t>
            </w:r>
            <w:r>
              <w:rPr>
                <w:b/>
                <w:i/>
              </w:rPr>
              <w:t>Besluiten over het opzetten van</w:t>
            </w:r>
            <w:r>
              <w:t xml:space="preserve"> partnerschappen</w:t>
            </w:r>
            <w:r>
              <w:rPr>
                <w:b/>
                <w:i/>
              </w:rPr>
              <w:t>, met inbegrip van deze juridische instrumenten, zullen per geval en in het kader van de relevante beleidsprocedures, met inbegrip van wetgevingsprocedures,</w:t>
            </w:r>
            <w:r>
              <w:t xml:space="preserve"> worden </w:t>
            </w:r>
            <w:r>
              <w:rPr>
                <w:b/>
                <w:i/>
              </w:rPr>
              <w:t>genomen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Grotendeels identiek aan amendement 6 van het ontwerpverslag, maar met twee nieuwe punten.</w:t>
      </w:r>
      <w:r>
        <w:t xml:space="preserve"> </w:t>
      </w:r>
      <w:r>
        <w:t>Ten eerste verduidelijkt de opening nu dat de partnerschappen een andere manier zijn om pijler 2 uit te voeren, naast de door deskundigen geleide aanpak.</w:t>
      </w:r>
      <w:r>
        <w:t xml:space="preserve"> </w:t>
      </w:r>
      <w:r>
        <w:t>Ten tweede verduidelijkt de tekst nu dat consolidatie om schaalgrootte te bereiken niet de juiste aanpak is.</w:t>
      </w:r>
      <w:r>
        <w:t xml:space="preserve"> </w:t>
      </w:r>
      <w:r>
        <w:t>Te lezen in samenhang met overweging 8 bis.</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Het moet mogelijk zijn om delen van de begroting uit te voeren via</w:t>
            </w:r>
            <w:r>
              <w:t xml:space="preserve"> Europese partnerschappen </w:t>
            </w:r>
            <w:r>
              <w:rPr>
                <w:b/>
                <w:i/>
              </w:rPr>
              <w:t>met andere publieke en particuliere entiteiten indien dit de meest doeltreffende manier is</w:t>
            </w:r>
            <w:r>
              <w:t xml:space="preserve"> om de </w:t>
            </w:r>
            <w:r>
              <w:rPr>
                <w:b/>
                <w:i/>
              </w:rPr>
              <w:t>beleidsdoelstellingen te verwezenlijken</w:t>
            </w:r>
            <w:r>
              <w:t xml:space="preserve">. Europese partnerschappen moeten </w:t>
            </w:r>
            <w:r>
              <w:rPr>
                <w:b/>
                <w:i/>
              </w:rPr>
              <w:t>worden opgezet wanneer een nauwe betrokkenheid</w:t>
            </w:r>
            <w:r>
              <w:t xml:space="preserve"> van de Unie </w:t>
            </w:r>
            <w:r>
              <w:rPr>
                <w:b/>
                <w:i/>
              </w:rPr>
              <w:t>vereist is en</w:t>
            </w:r>
            <w:r>
              <w:t xml:space="preserve"> moeten </w:t>
            </w:r>
            <w:r>
              <w:rPr>
                <w:b/>
                <w:i/>
              </w:rPr>
              <w:t>voorzien in passende stemrechten voor de Unie en voldoende mede-investeringen door</w:t>
            </w:r>
            <w:r>
              <w:t xml:space="preserve"> andere partners </w:t>
            </w:r>
            <w:r>
              <w:rPr>
                <w:b/>
                <w:i/>
              </w:rPr>
              <w:t>om de Uniefinanciering ten volle te benutten.</w:t>
            </w:r>
            <w:r>
              <w:t xml:space="preserve"> </w:t>
            </w:r>
            <w:r>
              <w:rPr>
                <w:b/>
                <w:i/>
              </w:rPr>
              <w:t>Om synergieën en efficiëntie te bevorderen, moet</w:t>
            </w:r>
            <w:r>
              <w:t xml:space="preserve"> worden </w:t>
            </w:r>
            <w:r>
              <w:rPr>
                <w:b/>
                <w:i/>
              </w:rPr>
              <w:t>voorzien in geharmoniseerde regels.</w:t>
            </w:r>
            <w:r>
              <w:t xml:space="preserve"> </w:t>
            </w:r>
            <w:r>
              <w:rPr>
                <w:b/>
                <w:i/>
              </w:rPr>
              <w:t>Daarom moet een strategische en coherente portefeuille van een beperkt aantal Europese partnerschappen</w:t>
            </w:r>
            <w:r>
              <w:t xml:space="preserve"> worden </w:t>
            </w:r>
            <w:r>
              <w:rPr>
                <w:b/>
                <w:i/>
              </w:rPr>
              <w:t>gecreëerd</w:t>
            </w:r>
            <w:r>
              <w:t>.</w:t>
            </w:r>
          </w:p>
        </w:tc>
        <w:tc>
          <w:tcPr>
            <w:tcW w:w="4876" w:type="dxa"/>
            <w:tcBorders>
              <w:top w:val="nil"/>
              <w:left w:val="nil"/>
              <w:bottom w:val="nil"/>
              <w:right w:val="nil"/>
            </w:tcBorders>
          </w:tcPr>
          <w:p>
            <w:pPr>
              <w:pStyle w:val="Normal6a"/>
            </w:pPr>
            <w:r>
              <w:t>(9)</w:t>
            </w:r>
            <w:r>
              <w:tab/>
            </w:r>
            <w:r>
              <w:t xml:space="preserve">Europese partnerschappen </w:t>
            </w:r>
            <w:r>
              <w:rPr>
                <w:b/>
                <w:i/>
              </w:rPr>
              <w:t>zijn een belangrijk instrument voor de uitvoering van de onderzoeks- en innovatieprioriteiten van de Unie.</w:t>
            </w:r>
            <w:r>
              <w:t xml:space="preserve"> </w:t>
            </w:r>
            <w:r>
              <w:rPr>
                <w:b/>
                <w:i/>
              </w:rPr>
              <w:t>Om versnippering en overlappingen aan te pakken, moeten Europese partnerschappen een strategische, portefeuillegebaseerde aanpak volgen</w:t>
            </w:r>
            <w:r>
              <w:t xml:space="preserve"> om de </w:t>
            </w:r>
            <w:r>
              <w:rPr>
                <w:b/>
                <w:i/>
              </w:rPr>
              <w:t>samenhang te vergroten, complementariteit te waarborgen, een pan-Europese schaal voor O&amp;I-acties te waarborgen en het gebruik van middelen van de Unie te optimaliseren.</w:t>
            </w:r>
            <w:r>
              <w:t xml:space="preserve"> </w:t>
            </w:r>
            <w:r>
              <w:rPr>
                <w:b/>
                <w:i/>
              </w:rPr>
              <w:t>De Europese partnerschappen moeten strategisch bijdragen tot de versterking van de evenwichtige ontwikkeling van de Europese Onderzoeksruimte (EOR) in de hele Unie.</w:t>
            </w:r>
            <w:r>
              <w:t xml:space="preserve"> </w:t>
            </w:r>
            <w:r>
              <w:rPr>
                <w:b/>
                <w:i/>
              </w:rPr>
              <w:t>De lidstaten moeten in belangrijke mate bijdragen aan de ontwikkeling en uitvoering van de portefeuille van Europese partnerschappen en aan de uitvoering en beoordeling van de geboekte vooruitgang</w:t>
            </w:r>
            <w:r>
              <w:t xml:space="preserve">. Europese partnerschappen moeten </w:t>
            </w:r>
            <w:r>
              <w:rPr>
                <w:b/>
                <w:i/>
              </w:rPr>
              <w:t>gebaseerd zijn op strategische onderzoeks- en innovatieagenda’s die de prioriteiten</w:t>
            </w:r>
            <w:r>
              <w:t xml:space="preserve"> van de Unie </w:t>
            </w:r>
            <w:r>
              <w:rPr>
                <w:b/>
                <w:i/>
              </w:rPr>
              <w:t>weerspiegelen en deze omzetten in concrete acties in de hele waardeketen, met name uitrol.</w:t>
            </w:r>
            <w:r>
              <w:t xml:space="preserve"> </w:t>
            </w:r>
            <w:r>
              <w:rPr>
                <w:b/>
                <w:i/>
              </w:rPr>
              <w:t>De oprichtingsdocumenten</w:t>
            </w:r>
            <w:r>
              <w:t xml:space="preserve"> moeten </w:t>
            </w:r>
            <w:r>
              <w:rPr>
                <w:b/>
                <w:i/>
              </w:rPr>
              <w:t>een duidelijk en juridisch solide kader bieden voor samenwerking tussen partners, met inbegrip van hun respectieve rollen, rechten en verplichtingen, met meer gedetailleerde juridische en financiële regelingen, met name met betrekking tot bijdragen van</w:t>
            </w:r>
            <w:r>
              <w:t xml:space="preserve"> andere partners </w:t>
            </w:r>
            <w:r>
              <w:rPr>
                <w:b/>
                <w:i/>
              </w:rPr>
              <w:t>dan de Unie, die in voorkomend geval in aanvullende overeenkomsten</w:t>
            </w:r>
            <w:r>
              <w:t xml:space="preserve"> worden </w:t>
            </w:r>
            <w:r>
              <w:rPr>
                <w:b/>
                <w:i/>
              </w:rPr>
              <w:t>vastgesteld. </w:t>
            </w:r>
            <w:r>
              <w:t xml:space="preserve"> </w:t>
            </w:r>
            <w:r>
              <w:rPr>
                <w:b/>
                <w:i/>
              </w:rPr>
              <w:t>Hun centrale financiële beheer moet flexibele regelingen voor de deelname van partners mogelijk maken.</w:t>
            </w:r>
            <w:r>
              <w:t xml:space="preserve"> </w:t>
            </w:r>
            <w:r>
              <w:rPr>
                <w:b/>
                <w:i/>
              </w:rPr>
              <w:t>Tevens moet in dergelijke overeenkomsten</w:t>
            </w:r>
            <w:r>
              <w:t xml:space="preserve"> worden </w:t>
            </w:r>
            <w:r>
              <w:rPr>
                <w:b/>
                <w:i/>
              </w:rPr>
              <w:t>verduidelijk wat de rechten en plichten zijn van de partners uit geassocieerde en niet-geassocieerde derde landen, met inachtneming van de doelstellingen inzake onderzoeksveiligheid en technologische soevereiniteit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p>
        </w:tc>
        <w:tc>
          <w:tcPr>
            <w:tcW w:w="4876" w:type="dxa"/>
            <w:tcBorders>
              <w:top w:val="nil"/>
              <w:left w:val="nil"/>
              <w:bottom w:val="nil"/>
              <w:right w:val="nil"/>
            </w:tcBorders>
          </w:tcPr>
          <w:p>
            <w:pPr>
              <w:pStyle w:val="Normal6a"/>
            </w:pPr>
            <w:r>
              <w:t>(9)</w:t>
            </w:r>
            <w:r>
              <w:tab/>
            </w:r>
            <w:r>
              <w:t xml:space="preserve">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 </w:t>
            </w:r>
            <w:r>
              <w:rPr>
                <w:b/>
                <w:i/>
              </w:rPr>
              <w:t>Daarnaast moeten deze partnerschappen zo worden opgezet dat versnippering van initiatieven en dubbel werk worden voorkomen door ze duidelijk af te stemmen op de strategische prioriteiten van de Unie en de vastgestelde behoeften op Europees en nationaal niveau.</w:t>
            </w:r>
            <w:r>
              <w:t xml:space="preserve"> </w:t>
            </w:r>
            <w:r>
              <w:rPr>
                <w:b/>
                <w:i/>
              </w:rPr>
              <w:t>Zij moeten langetermijnplanning mogelijk maken, op basis van meetbare doelstellingen en welomschreven prestatie-indicatoren, ter waarborging van een efficiënt gebruik van middelen en rigoureuze effectbeoordelingen.</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planning van alle partnerschappen op middellange en lange termijn en de vaststelling van strategische prioriteiten zullen bevorderlijk zijn voor een efficiënt gebruik van de middelen en de verwezenlijking van de doelstellingen.</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Het moet</w:t>
            </w:r>
            <w:r>
              <w:t xml:space="preserve"> mogelijk zijn om delen van de begroting uit te voeren via Europese partnerschappen met andere publieke en particuliere entiteiten </w:t>
            </w:r>
            <w:r>
              <w:rPr>
                <w:b/>
                <w:i/>
              </w:rPr>
              <w:t>indien dit de meest doeltreffende manier is om de beleidsdoelstellingen te verwezenlijken</w:t>
            </w:r>
            <w:r>
              <w:t xml:space="preserve">. Europese partnerschappen </w:t>
            </w:r>
            <w:r>
              <w:rPr>
                <w:b/>
                <w:i/>
              </w:rPr>
              <w:t>moeten worden opgezet wanneer een nauwe betrokkenheid van de Unie vereist is en</w:t>
            </w:r>
            <w:r>
              <w:t xml:space="preserve"> moeten voorzien in passende stemrechten voor de Unie en voldoende mede-investeringen door andere partners om de Uniefinanciering ten volle te benutten. </w:t>
            </w:r>
            <w:r>
              <w:rPr>
                <w:b/>
                <w:i/>
              </w:rPr>
              <w:t>Om synergieën en efficiëntie te bevorderen, moet worden voorzien in geharmoniseerde regels.</w:t>
            </w:r>
            <w:r>
              <w:t xml:space="preserve"> </w:t>
            </w:r>
            <w:r>
              <w:rPr>
                <w:b/>
                <w:i/>
              </w:rPr>
              <w:t>Daarom moet een strategische en coherente portefeuille van een beperkt aantal</w:t>
            </w:r>
            <w:r>
              <w:t xml:space="preserve"> Europese partnerschappen worden </w:t>
            </w:r>
            <w:r>
              <w:rPr>
                <w:b/>
                <w:i/>
              </w:rPr>
              <w:t>gecreëerd</w:t>
            </w:r>
            <w:r>
              <w:t>.</w:t>
            </w:r>
          </w:p>
        </w:tc>
        <w:tc>
          <w:tcPr>
            <w:tcW w:w="4876" w:type="dxa"/>
            <w:tcBorders>
              <w:top w:val="nil"/>
              <w:left w:val="nil"/>
              <w:bottom w:val="nil"/>
              <w:right w:val="nil"/>
            </w:tcBorders>
          </w:tcPr>
          <w:p>
            <w:pPr>
              <w:pStyle w:val="Normal6a"/>
            </w:pPr>
            <w:r>
              <w:t>(9)</w:t>
            </w:r>
            <w:r>
              <w:tab/>
            </w:r>
            <w:r>
              <w:rPr>
                <w:b/>
                <w:i/>
              </w:rPr>
              <w:t>Aangezien er reeds partnerschappen tot stand zijn gebracht die goed functioneren, moet het</w:t>
            </w:r>
            <w:r>
              <w:t xml:space="preserve"> mogelijk zijn om delen van de begroting uit te voeren via Europese partnerschappen met andere publieke en particuliere entiteiten </w:t>
            </w:r>
            <w:r>
              <w:rPr>
                <w:b/>
                <w:i/>
              </w:rPr>
              <w:t>wanneer een groep lidstaten vrijwillig overeenkomt om nationale prioriteiten, middelen en governanceregelingen binnen het kader van het programma op elkaar af te stemmen</w:t>
            </w:r>
            <w:r>
              <w:t>. Europese partnerschappen moeten voorzien in passende stemrechten voor de Unie</w:t>
            </w:r>
            <w:r>
              <w:rPr>
                <w:b/>
                <w:i/>
              </w:rPr>
              <w:t>, die strikt beperkt blijven tot datgene wat noodzakelijk is om haar financiële, juridische en budgettaire belangen te waarborgen,</w:t>
            </w:r>
            <w:r>
              <w:t xml:space="preserve"> en voldoende mede-investeringen door andere partners om de Uniefinanciering ten volle te benutten. Europese partnerschappen </w:t>
            </w:r>
            <w:r>
              <w:rPr>
                <w:b/>
                <w:i/>
              </w:rPr>
              <w:t>en missies spelen een strategische rol bij het bevorderen van gezamenlijk onderzoek, het bundelen van nationale en particuliere middelen en het overwinnen van de “vallei des doods” tussen onderzoek en marktacceptatie.</w:t>
            </w:r>
            <w:r>
              <w:t xml:space="preserve"> </w:t>
            </w:r>
            <w:r>
              <w:rPr>
                <w:b/>
                <w:i/>
              </w:rPr>
              <w:t>De Unie moet onderkennen dat het legitiem is dat de lidstaten prioriteiten stellen, deelnemen aan governance en middelen bijdragen en daar een centrale rol bij spelen, maar dat tegelijkertijd het aantal en de complexiteit van de partnerschappen voortdurend moeten</w:t>
            </w:r>
            <w:r>
              <w:t xml:space="preserve"> worden </w:t>
            </w:r>
            <w:r>
              <w:rPr>
                <w:b/>
                <w:i/>
              </w:rPr>
              <w:t>geëvalueerd om onnodige administratieve lasten te vermijden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p>
        </w:tc>
        <w:tc>
          <w:tcPr>
            <w:tcW w:w="4876" w:type="dxa"/>
            <w:tcBorders>
              <w:top w:val="nil"/>
              <w:left w:val="nil"/>
              <w:bottom w:val="nil"/>
              <w:right w:val="nil"/>
            </w:tcBorders>
          </w:tcPr>
          <w:p>
            <w:pPr>
              <w:pStyle w:val="Normal6a"/>
            </w:pPr>
            <w:r>
              <w:t>(9)</w:t>
            </w:r>
            <w:r>
              <w:tab/>
            </w:r>
            <w:r>
              <w:t>Het moet mogelijk zijn om delen van de begroting uit te voeren via Europese partnerschappen</w:t>
            </w:r>
            <w:r>
              <w:rPr>
                <w:b/>
                <w:i/>
              </w:rPr>
              <w:t>, onder meer in de vorm van op het werkprogramma gebaseerde partnerschappen,</w:t>
            </w:r>
            <w:r>
              <w:t xml:space="preserve">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w:t>
            </w:r>
            <w:r>
              <w:rPr>
                <w:b/>
                <w:i/>
              </w:rPr>
              <w:t>De lidstaten moeten in belangrijke mate bijdragen aan de ontwikkeling en uitvoering van de portefeuille van Europese partnerschappen.</w:t>
            </w:r>
            <w:r>
              <w:t xml:space="preserve"> Om synergieën en efficiëntie te bevorderen, moet worden voorzien in geharmoniseerde regels. Daarom moet een strategische en coherente portefeuille van een beperkt aantal Europese partnerschappen worden gecreëerd. </w:t>
            </w:r>
            <w:r>
              <w:rPr>
                <w:b/>
                <w:i/>
              </w:rPr>
              <w:t>Tevens moeten de rechten en plichten van de partners uit geassocieerde en niet-geassocieerde derde landen worden verduidelijkt in aanvullende overeenkomsten, waarbij de onderzoeksveiligheid en de doelstellingen op het gebied van technologische soevereiniteit in acht genomen moeten 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Morten Løkkegaard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p>
        </w:tc>
        <w:tc>
          <w:tcPr>
            <w:tcW w:w="4876" w:type="dxa"/>
            <w:tcBorders>
              <w:top w:val="nil"/>
              <w:left w:val="nil"/>
              <w:bottom w:val="nil"/>
              <w:right w:val="nil"/>
            </w:tcBorders>
          </w:tcPr>
          <w:p>
            <w:pPr>
              <w:pStyle w:val="Normal6a"/>
            </w:pPr>
            <w:r>
              <w:t>(9)</w:t>
            </w:r>
            <w:r>
              <w:tab/>
            </w:r>
            <w:r>
              <w:t xml:space="preserve">Het moet mogelijk zijn om delen van de begroting uit te voeren via </w:t>
            </w:r>
            <w:r>
              <w:rPr>
                <w:b/>
                <w:i/>
              </w:rPr>
              <w:t>een beperkt aantal</w:t>
            </w:r>
            <w:r>
              <w:t xml:space="preserve"> Europese partnerschappen met andere publieke en particuliere entiteiten indien dit de meest doeltreffende manier is om de beleidsdoelstellingen </w:t>
            </w:r>
            <w:r>
              <w:rPr>
                <w:b/>
                <w:i/>
              </w:rPr>
              <w:t>te verwezenlijken en indien er voldoende meerwaarde van de EU is die blijkt uit de bereidheid om te investeren, bij voorkeur door zowel de Unie als de lidstaten.</w:t>
            </w:r>
            <w:r>
              <w:t xml:space="preserve"> </w:t>
            </w:r>
            <w:r>
              <w:rPr>
                <w:b/>
                <w:i/>
              </w:rPr>
              <w:t>Wanneer deze meerwaarde is aangetoond, moeten speciale juridische instrumenten worden opgezet, inclusief die uit hoofde van de artikelen 185 en 187 VWEU, die een toereikende begroting moeten krijgen en de nodige operationale autonomie om de doelstellingen</w:t>
            </w:r>
            <w:r>
              <w:t xml:space="preserve">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p>
        </w:tc>
        <w:tc>
          <w:tcPr>
            <w:tcW w:w="4876" w:type="dxa"/>
            <w:tcBorders>
              <w:top w:val="nil"/>
              <w:left w:val="nil"/>
              <w:bottom w:val="nil"/>
              <w:right w:val="nil"/>
            </w:tcBorders>
          </w:tcPr>
          <w:p>
            <w:pPr>
              <w:pStyle w:val="Normal6a"/>
            </w:pPr>
            <w:r>
              <w:t>(9)</w:t>
            </w:r>
            <w:r>
              <w:tab/>
            </w:r>
            <w:r>
              <w:t xml:space="preserve">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 </w:t>
            </w:r>
            <w:r>
              <w:rPr>
                <w:b/>
                <w:i/>
              </w:rPr>
              <w:t>Europese partnerschappen moeten op een transparante manier worden beheerd en garanderen dat overheidsinstanties, universiteiten, onderzoeksorganisaties, vakbonden, maatschappelijke organisaties en sociaal-economische actoren zinvol vertegenwoordigd zijn, zodat grote zakelijke belangen niet onevenredig hun stempel drukken op financiering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p>
        </w:tc>
        <w:tc>
          <w:tcPr>
            <w:tcW w:w="4876" w:type="dxa"/>
            <w:tcBorders>
              <w:top w:val="nil"/>
              <w:left w:val="nil"/>
              <w:bottom w:val="nil"/>
              <w:right w:val="nil"/>
            </w:tcBorders>
          </w:tcPr>
          <w:p>
            <w:pPr>
              <w:pStyle w:val="Normal6a"/>
            </w:pPr>
            <w:r>
              <w:t>(9)</w:t>
            </w:r>
            <w:r>
              <w:tab/>
            </w:r>
            <w:r>
              <w:t xml:space="preserve">Het moet mogelijk zijn om delen van de begroting uit te voeren via Europese partnerschappen met andere publieke en particuliere entiteiten </w:t>
            </w:r>
            <w:r>
              <w:rPr>
                <w:b/>
                <w:i/>
              </w:rPr>
              <w:t>en partners, waaronder de industrie, onderzoeksorganisaties en lokale en regionale overheden,</w:t>
            </w:r>
            <w:r>
              <w:t xml:space="preserve">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p>
        </w:tc>
        <w:tc>
          <w:tcPr>
            <w:tcW w:w="4876" w:type="dxa"/>
            <w:tcBorders>
              <w:top w:val="nil"/>
              <w:left w:val="nil"/>
              <w:bottom w:val="nil"/>
              <w:right w:val="nil"/>
            </w:tcBorders>
          </w:tcPr>
          <w:p>
            <w:pPr>
              <w:pStyle w:val="Normal6a"/>
            </w:pPr>
            <w:r>
              <w:t>(9)</w:t>
            </w:r>
            <w:r>
              <w:tab/>
            </w:r>
            <w:r>
              <w:t>Het moet mogelijk zijn om delen van de begroting uit te voeren via Europese partnerschappen met andere publieke en particuliere entiteiten indien dit de meest doeltreffende manier is om de beleidsdoelstellingen te verwezenlijken. Europese partnerschappen moeten worden opgezet wanneer een nauwe betrokkenheid van de Unie vereist is en moeten voorzien in passende stemrechten voor de Unie en voldoende mede-investeringen door andere partners om de Uniefinanciering ten volle te benutten. Om synergieën en efficiëntie te bevorderen, moet worden voorzien in geharmoniseerde regels. Daarom moet een strategische en coherente portefeuille van een beperkt aantal Europese partnerschappen worden gecreëerd</w:t>
            </w:r>
            <w:r>
              <w:rPr>
                <w:b/>
                <w:i/>
              </w:rPr>
              <w:t>, rekening houdend met reeds bestaande, goed functionerende partnerschappen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Michał Kobosko,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Werkprogramma’s in het kader van deel II (Concurrentievermogen en samenleving) moeten gezamenlijke bottom-up-onderzoeksconsortia aanmoedigen met ten minste zes onafhankelijke deelnemers die in verschillende lidstaten of geassocieerde landen zijn gevestigd.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De Europese partnerschappen, die ook de vorm van gemeenschappelijke ondernemingen kunnen aannemen, moeten, als essentieel instrument om industriële betrokkenheid en investeringen om te zetten in gezamenlijk onderzoek en gezamenlijke innovatie, bijdragen tot de specifieke beleidsdoelstellingen van de beleidsterreinen van het Europees Fonds voor concurrentievermogen en waar nodig daarmee worden ondersteund om deze doelstellingen te verwezenlijken.</w:t>
            </w:r>
          </w:p>
        </w:tc>
        <w:tc>
          <w:tcPr>
            <w:tcW w:w="4876" w:type="dxa"/>
            <w:tcBorders>
              <w:top w:val="nil"/>
              <w:left w:val="nil"/>
              <w:bottom w:val="nil"/>
              <w:right w:val="nil"/>
            </w:tcBorders>
          </w:tcPr>
          <w:p>
            <w:pPr>
              <w:pStyle w:val="Normal6a"/>
            </w:pPr>
            <w:r>
              <w:t>(10)</w:t>
            </w:r>
            <w:r>
              <w:tab/>
            </w:r>
            <w:r>
              <w:t xml:space="preserve">De Europese partnerschappen, die ook de vorm van gemeenschappelijke ondernemingen kunnen aannemen, moeten, als essentieel instrument om industriële betrokkenheid en investeringen om te zetten in gezamenlijk onderzoek en gezamenlijke innovatie, bijdragen tot de specifieke beleidsdoelstellingen van de beleidsterreinen van het Europees Fonds voor concurrentievermogen en waar nodig daarmee worden ondersteund om deze doelstellingen te verwezenlijken. </w:t>
            </w:r>
            <w:r>
              <w:rPr>
                <w:b/>
                <w:i/>
              </w:rPr>
              <w:t>Innovatieve kmo’s, start-ups, scale-ups en kleine midcaps zijn drijvende krachten achter onderzoek, innovatie en concurrentievermogen en moeten daarom een leidende rol kunnen spelen in samenwerkingsprojecten, waarbij zij toegang krijgen tot toegankelijker, meer rechtstreekse en gerichte financieringsmechanismen.</w:t>
            </w:r>
            <w:r>
              <w:t xml:space="preserve"> </w:t>
            </w:r>
            <w:r>
              <w:rPr>
                <w:b/>
                <w:i/>
              </w:rPr>
              <w:t>Met het oog op verbetering van de kwaliteit, samenhang en toegankelijkheid van de samenwerking moet de complexiteit van de samenwerkingsactiviteiten in het kader van het programma worden verminderd, met name door partnerschappen, clusters, missies en onderwerpen voor het werkprogramma te stroomlijnen.</w:t>
            </w:r>
            <w:r>
              <w:t xml:space="preserve"> </w:t>
            </w:r>
            <w:r>
              <w:rPr>
                <w:b/>
                <w:i/>
              </w:rPr>
              <w:t>Benaderingen zoals de benadering met meerdere actoren, cascadefinanciering en instrumenten voor vereenvoudigde toegang spelen een waardevolle rol, aangezien ze ervoor zorgen dat kmo’s, adviseurs en het maatschappelijk middenveld bij alle stadia van projecten betrokken zijn, dat onderzoek aansluit bij werkelijke behoeften, en dat onderzoek en innovatie breder worden toegepast.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De Europese partnerschappen, die ook de vorm van gemeenschappelijke ondernemingen kunnen aannemen, moeten, als essentieel instrument om industriële betrokkenheid en investeringen om te zetten in gezamenlijk onderzoek en gezamenlijke innovatie, bijdragen tot de specifieke beleidsdoelstellingen van de beleidsterreinen van het Europees Fonds voor concurrentievermogen en waar nodig daarmee worden ondersteund om deze doelstellingen te verwezenlijken.</w:t>
            </w:r>
          </w:p>
        </w:tc>
        <w:tc>
          <w:tcPr>
            <w:tcW w:w="4876" w:type="dxa"/>
            <w:tcBorders>
              <w:top w:val="nil"/>
              <w:left w:val="nil"/>
              <w:bottom w:val="nil"/>
              <w:right w:val="nil"/>
            </w:tcBorders>
          </w:tcPr>
          <w:p>
            <w:pPr>
              <w:pStyle w:val="Normal6a"/>
            </w:pPr>
            <w:r>
              <w:t>(10)</w:t>
            </w:r>
            <w:r>
              <w:tab/>
            </w:r>
            <w:r>
              <w:t xml:space="preserve">De Europese partnerschappen, die ook de vorm van gemeenschappelijke ondernemingen kunnen aannemen, moeten, als essentieel instrument om industriële betrokkenheid en investeringen om te zetten in gezamenlijk onderzoek en gezamenlijke innovatie, bijdragen tot de specifieke beleidsdoelstellingen van de beleidsterreinen van het Europees Fonds voor concurrentievermogen en waar nodig daarmee worden ondersteund om deze doelstellingen te verwezenlijken. </w:t>
            </w:r>
            <w:r>
              <w:rPr>
                <w:b/>
                <w:i/>
              </w:rPr>
              <w:t>Tegelijkertijd is het belangrijk dat deze partnerschappen bijdragen tot de versterking van de Europese Onderzoeksruimte door het delen van kennis, de mobiliteit van onderzoekers en de interoperabiliteit van infrastructuur te bevorderen.</w:t>
            </w:r>
            <w:r>
              <w:t xml:space="preserve"> </w:t>
            </w:r>
            <w:r>
              <w:rPr>
                <w:b/>
                <w:i/>
              </w:rPr>
              <w:t>Synergieën met andere programma’s en financieringsinstrumenten van de Unie moeten ten volle worden benut om het hefboomeffect van investeringen te maximaliseren en de groene en de digitale transitie te versnellen.</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versterken van de Europese onderzoeksruimte is van essentieel belang voor de Europese Unie om wereldleider te blijven, en het bevorderen van het delen van kennis, de mobiliteit van onderzoekers en de interoperabiliteit van infrastructuur zijn de middelen om dit te bereiken.</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De Europese partnerschappen, die ook de vorm van gemeenschappelijke ondernemingen kunnen aannemen, moeten, als essentieel instrument om </w:t>
            </w:r>
            <w:r>
              <w:rPr>
                <w:b/>
                <w:i/>
              </w:rPr>
              <w:t>industriële</w:t>
            </w:r>
            <w:r>
              <w:t xml:space="preserve"> betrokkenheid en investeringen om te zetten in gezamenlijk onderzoek en gezamenlijke innovatie, bijdragen tot de specifieke beleidsdoelstellingen van </w:t>
            </w:r>
            <w:r>
              <w:rPr>
                <w:b/>
                <w:i/>
              </w:rPr>
              <w:t>de</w:t>
            </w:r>
            <w:r>
              <w:t xml:space="preserve"> beleidsterreinen van het Europees Fonds voor concurrentievermogen en waar nodig daarmee worden ondersteund om deze doelstellingen te verwezenlijken.</w:t>
            </w:r>
          </w:p>
        </w:tc>
        <w:tc>
          <w:tcPr>
            <w:tcW w:w="4876" w:type="dxa"/>
            <w:tcBorders>
              <w:top w:val="nil"/>
              <w:left w:val="nil"/>
              <w:bottom w:val="nil"/>
              <w:right w:val="nil"/>
            </w:tcBorders>
          </w:tcPr>
          <w:p>
            <w:pPr>
              <w:pStyle w:val="Normal6a"/>
            </w:pPr>
            <w:r>
              <w:t>(10)</w:t>
            </w:r>
            <w:r>
              <w:tab/>
            </w:r>
            <w:r>
              <w:t xml:space="preserve">De Europese partnerschappen, die ook de vorm van gemeenschappelijke ondernemingen kunnen aannemen, moeten, als essentieel instrument om betrokkenheid </w:t>
            </w:r>
            <w:r>
              <w:rPr>
                <w:b/>
                <w:i/>
              </w:rPr>
              <w:t>van de particuliere sector</w:t>
            </w:r>
            <w:r>
              <w:t xml:space="preserve"> en investeringen om te zetten in gezamenlijk onderzoek en gezamenlijke innovatie, bijdragen tot de specifieke beleidsdoelstellingen van </w:t>
            </w:r>
            <w:r>
              <w:rPr>
                <w:b/>
                <w:i/>
              </w:rPr>
              <w:t>alle</w:t>
            </w:r>
            <w:r>
              <w:t xml:space="preserve"> beleidsterreinen van </w:t>
            </w:r>
            <w:r>
              <w:rPr>
                <w:b/>
                <w:i/>
              </w:rPr>
              <w:t>Horizon Europa en</w:t>
            </w:r>
            <w:r>
              <w:t xml:space="preserve"> het Europees Fonds voor concurrentievermogen en waar nodig daarmee worden ondersteund om deze doelstellingen te verwezenlijken.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Dario Nardella, Stefano Bonaccini, Giorgio Gori,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De Europese partnerschappen, die ook de vorm van gemeenschappelijke ondernemingen kunnen aannemen, moeten, als essentieel instrument om </w:t>
            </w:r>
            <w:r>
              <w:rPr>
                <w:b/>
                <w:i/>
              </w:rPr>
              <w:t>industriële</w:t>
            </w:r>
            <w:r>
              <w:t xml:space="preserve"> betrokkenheid en investeringen om te zetten in gezamenlijk onderzoek en gezamenlijke innovatie, bijdragen tot de specifieke beleidsdoelstellingen van </w:t>
            </w:r>
            <w:r>
              <w:rPr>
                <w:b/>
                <w:i/>
              </w:rPr>
              <w:t>de</w:t>
            </w:r>
            <w:r>
              <w:t xml:space="preserve"> beleidsterreinen van het Europees Fonds voor concurrentievermogen en waar nodig daarmee worden ondersteund om deze doelstellingen te verwezenlijken.</w:t>
            </w:r>
          </w:p>
        </w:tc>
        <w:tc>
          <w:tcPr>
            <w:tcW w:w="4876" w:type="dxa"/>
            <w:tcBorders>
              <w:top w:val="nil"/>
              <w:left w:val="nil"/>
              <w:bottom w:val="nil"/>
              <w:right w:val="nil"/>
            </w:tcBorders>
          </w:tcPr>
          <w:p>
            <w:pPr>
              <w:pStyle w:val="Normal6a"/>
            </w:pPr>
            <w:r>
              <w:t>(10)</w:t>
            </w:r>
            <w:r>
              <w:tab/>
            </w:r>
            <w:r>
              <w:t xml:space="preserve">De Europese partnerschappen, die ook de vorm van gemeenschappelijke ondernemingen kunnen aannemen, moeten, als essentieel instrument om betrokkenheid </w:t>
            </w:r>
            <w:r>
              <w:rPr>
                <w:b/>
                <w:i/>
              </w:rPr>
              <w:t>van de particuliere sector</w:t>
            </w:r>
            <w:r>
              <w:t xml:space="preserve"> en investeringen om te zetten in gezamenlijk onderzoek en gezamenlijke innovatie, bijdragen tot de specifieke beleidsdoelstellingen van </w:t>
            </w:r>
            <w:r>
              <w:rPr>
                <w:b/>
                <w:i/>
              </w:rPr>
              <w:t>alle</w:t>
            </w:r>
            <w:r>
              <w:t xml:space="preserve"> beleidsterreinen van </w:t>
            </w:r>
            <w:r>
              <w:rPr>
                <w:b/>
                <w:i/>
              </w:rPr>
              <w:t>Horizon Europa en</w:t>
            </w:r>
            <w:r>
              <w:t xml:space="preserve"> het Europees Fonds voor concurrentievermogen en waar nodig daarmee worden ondersteund om deze doelstellingen te verwezenlijken.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Europese partnerschappen zijn een cruciaal instrument voor het stimuleren van gezamenlijk onderzoek en gezamenlijke innovatie in het kader van Horizon Europa.</w:t>
      </w:r>
      <w:r>
        <w:t xml:space="preserve"> </w:t>
      </w:r>
      <w:r>
        <w:t>Wanneer de partnerschappen slechts op enkele beleidsterreinen van toepassing worden verklaard, zouden ongerechtvaardigde verschillen ontstaan en afbreuk worden gedaan aan de algehele effectiviteit van het programma.</w:t>
      </w:r>
      <w:r>
        <w:t xml:space="preserve"> </w:t>
      </w:r>
      <w:r>
        <w:t>Doel van dit amendement is ervoor te zorgen dat alle vier beleidsterreinen toegang hebben tot de Europese partnerschappen, waarmee een consistent, inclusief en horizontaal coherent kader voor alle deelnemers wordt gewaarborgd.</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De Europese partnerschappen, die ook de vorm van gemeenschappelijke ondernemingen kunnen aannemen, </w:t>
            </w:r>
            <w:r>
              <w:rPr>
                <w:b/>
                <w:i/>
              </w:rPr>
              <w:t>moeten</w:t>
            </w:r>
            <w:r>
              <w:t>, als essentieel instrument om industriële betrokkenheid en investeringen om te zetten in gezamenlijk onderzoek en gezamenlijke innovatie, bijdragen tot de specifieke beleidsdoelstellingen van de beleidsterreinen van het Europees Fonds voor concurrentievermogen en waar nodig daarmee worden ondersteund om deze doelstellingen te verwezenlijken.</w:t>
            </w:r>
          </w:p>
        </w:tc>
        <w:tc>
          <w:tcPr>
            <w:tcW w:w="4876" w:type="dxa"/>
            <w:tcBorders>
              <w:top w:val="nil"/>
              <w:left w:val="nil"/>
              <w:bottom w:val="nil"/>
              <w:right w:val="nil"/>
            </w:tcBorders>
          </w:tcPr>
          <w:p>
            <w:pPr>
              <w:pStyle w:val="Normal6a"/>
            </w:pPr>
            <w:r>
              <w:t>(10)</w:t>
            </w:r>
            <w:r>
              <w:tab/>
            </w:r>
            <w:r>
              <w:t xml:space="preserve">De Europese partnerschappen, die ook de vorm van gemeenschappelijke ondernemingen kunnen aannemen, </w:t>
            </w:r>
            <w:r>
              <w:rPr>
                <w:b/>
                <w:i/>
              </w:rPr>
              <w:t>kunnen</w:t>
            </w:r>
            <w:r>
              <w:t>, als essentieel instrument om industriële betrokkenheid en investeringen om te zetten in gezamenlijk onderzoek en gezamenlijke innovatie, bijdragen tot de specifieke beleidsdoelstellingen van de beleidsterreinen van het Europees Fonds voor concurrentievermogen en waar nodig daarmee worden ondersteund om deze doelstellingen te verwezenlijken.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Het beheer van de partnerschappen moet transparant, inclusief en evenwichtig zijn om de deelname van alle relevante actoren, waaronder de lidstaten, de onderzoeksgemeenschap, de industrie en het maatschappelijk middenveld, door middel van uitgebreide samenwerking mogelijk te maken.</w:t>
            </w:r>
            <w:r>
              <w:t xml:space="preserve"> </w:t>
            </w:r>
            <w:r>
              <w:rPr>
                <w:b/>
                <w:i/>
              </w:rPr>
              <w:t>Tegelijkertijd moet worden onderstreept dat het van groot belang is zich open te stellen voor nieuwe deelnemers en de toegang voor kmo’s en nieuwe organisaties te vergemakkelijken, om innovatie en het concurrentievermogen te bevorderen.</w:t>
            </w:r>
            <w:r>
              <w:t xml:space="preserve"> </w:t>
            </w:r>
            <w:r>
              <w:rPr>
                <w:b/>
                <w:i/>
              </w:rPr>
              <w:t>Tot slot, maar daarom niet minder belangrijk, moet de portefeuille van partnerschappen flexibel en aanpasbaar blijven, zodat er snel kan worden ingespeeld op nieuwe uitdagingen en technologische ontwikkelingen, waarbij de samenhang en continuïteit van op Europees niveau gefinancierde acties wordt gewaarborgd.</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Europese Unie staat voor aanzienlijke uitdagingen op alle gebieden, en daarom is de deelname, door middel van uitgebreide samenwerking, van alle relevante actoren belangrijk, waaronder de lidstaten, de onderzoeksgemeenschap, de industrie en het maatschappelijk middenveld.</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De bij Verordening (EU) 2021/695 opgezette EU-missies </w:t>
            </w:r>
            <w:r>
              <w:rPr>
                <w:b/>
                <w:i/>
              </w:rPr>
              <w:t>moeten</w:t>
            </w:r>
            <w:r>
              <w:t xml:space="preserve">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en bijdragen tot het creëren van leidende markten voor nieuwe producten en diensten. De onderzoeks- en innovatieactiviteiten van de missies </w:t>
            </w:r>
            <w:r>
              <w:rPr>
                <w:b/>
                <w:i/>
              </w:rPr>
              <w:t>moeten vanuit het kaderprogramma worden gefinancierd, terwijl de</w:t>
            </w:r>
            <w:r>
              <w:t xml:space="preserve"> uitrol en opschaling door middel van andere EU-programma’s en met nationale financiering </w:t>
            </w:r>
            <w:r>
              <w:rPr>
                <w:b/>
                <w:i/>
              </w:rPr>
              <w:t>moeten plaatsvinden</w:t>
            </w:r>
            <w:r>
              <w:t>.</w:t>
            </w:r>
          </w:p>
        </w:tc>
        <w:tc>
          <w:tcPr>
            <w:tcW w:w="4876" w:type="dxa"/>
            <w:tcBorders>
              <w:top w:val="nil"/>
              <w:left w:val="nil"/>
              <w:bottom w:val="nil"/>
              <w:right w:val="nil"/>
            </w:tcBorders>
          </w:tcPr>
          <w:p>
            <w:pPr>
              <w:pStyle w:val="Normal6a"/>
            </w:pPr>
            <w:r>
              <w:t>(11)</w:t>
            </w:r>
            <w:r>
              <w:tab/>
            </w:r>
            <w:r>
              <w:rPr>
                <w:b/>
                <w:i/>
              </w:rPr>
              <w:t>Het programma moet</w:t>
            </w:r>
            <w:r>
              <w:t xml:space="preserve"> de bij Verordening (EU) 2021/695 opgezette EU-missies </w:t>
            </w:r>
            <w:r>
              <w:rPr>
                <w:b/>
                <w:i/>
              </w:rPr>
              <w:t>uitvoeren, zodat ze</w:t>
            </w:r>
            <w:r>
              <w:t xml:space="preserve">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en bijdragen tot het creëren van leidende markten voor nieuwe producten en diensten. De </w:t>
            </w:r>
            <w:r>
              <w:rPr>
                <w:b/>
                <w:i/>
              </w:rPr>
              <w:t>vijf EU-missies, te weten de missie voor aanpassing aan de klimaatverandering, die samenlevingen ondersteunt bij de aanpassing aan de onvermijdelijke gevolgen van de klimaatverandering;</w:t>
            </w:r>
            <w:r>
              <w:t xml:space="preserve"> </w:t>
            </w:r>
            <w:r>
              <w:rPr>
                <w:b/>
                <w:i/>
              </w:rPr>
              <w:t>de missie inzake kanker, die als doel heeft om tussen nu en 2030 het leven te verbeteren van meer dan 3 miljoen mensen die door kanker zijn getroffen door middel van preventie, behandeling en meer levenskwaliteit;</w:t>
            </w:r>
            <w:r>
              <w:t xml:space="preserve"> </w:t>
            </w:r>
            <w:r>
              <w:rPr>
                <w:b/>
                <w:i/>
              </w:rPr>
              <w:t>de missie voor gezonde oceanen, zeeën, kust- en binnenwateren, waarmee herstel van onze oceaan- en waterecosystemen tegen 2030 wordt beoogd;</w:t>
            </w:r>
            <w:r>
              <w:t xml:space="preserve"> </w:t>
            </w:r>
            <w:r>
              <w:rPr>
                <w:b/>
                <w:i/>
              </w:rPr>
              <w:t>de missie voor honderd klimaatneutrale en slimme steden, waarmee honderd Europese steden worden ondersteund bij hun systemische transformatie op weg naar klimaatneutraliteit tegen 2030;</w:t>
            </w:r>
            <w:r>
              <w:t xml:space="preserve"> </w:t>
            </w:r>
            <w:r>
              <w:rPr>
                <w:b/>
                <w:i/>
              </w:rPr>
              <w:t>en de missie “een bodemdeal voor Europa”, die toonaangevend moet zijn bij de transitie naar een gezonde bodem voor voedsel, mens, natuur en klimaat tussen nu en 2030, hebben er alle blijk van gegeven dat zij onderzoek, innovatie, burgers en belanghebbenden kunnen mobiliseren rond concrete en meetbare maatschappelijke doelen, en moeten daarom worden voortgezet en versterkt in het kader van het programma.</w:t>
            </w:r>
            <w:r>
              <w:t xml:space="preserve"> </w:t>
            </w:r>
            <w:r>
              <w:rPr>
                <w:b/>
                <w:i/>
              </w:rPr>
              <w:t>Het kaderprogramma moet daarom een deel van zijn begroting bestemmen voor financiering van de</w:t>
            </w:r>
            <w:r>
              <w:t xml:space="preserve"> onderzoeks- en innovatieactiviteiten van de missies</w:t>
            </w:r>
            <w:r>
              <w:rPr>
                <w:b/>
                <w:i/>
              </w:rPr>
              <w:t>, en de verdere</w:t>
            </w:r>
            <w:r>
              <w:t xml:space="preserve"> uitrol en opschaling </w:t>
            </w:r>
            <w:r>
              <w:rPr>
                <w:b/>
                <w:i/>
              </w:rPr>
              <w:t>ervan faciliteren</w:t>
            </w:r>
            <w:r>
              <w:t xml:space="preserve"> door middel van andere EU-programma’s </w:t>
            </w:r>
            <w:r>
              <w:rPr>
                <w:b/>
                <w:i/>
              </w:rPr>
              <w:t>zoals het ECF,</w:t>
            </w:r>
            <w:r>
              <w:t xml:space="preserve"> en met nationale financiering.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De bij Verordening (EU) 2021/695 opgezette </w:t>
            </w:r>
            <w:r>
              <w:rPr>
                <w:b/>
                <w:i/>
              </w:rPr>
              <w:t>EU-missies</w:t>
            </w:r>
            <w:r>
              <w:t xml:space="preserve"> moeten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en bijdragen tot het creëren van leidende markten voor nieuwe producten en diensten. De onderzoeks- en innovatieactiviteiten van de missies moeten vanuit het kaderprogramma worden gefinancierd, terwijl de uitrol en opschaling door middel van andere EU-programma’s en met nationale financiering moeten plaatsvinden.</w:t>
            </w:r>
          </w:p>
        </w:tc>
        <w:tc>
          <w:tcPr>
            <w:tcW w:w="4876" w:type="dxa"/>
            <w:tcBorders>
              <w:top w:val="nil"/>
              <w:left w:val="nil"/>
              <w:bottom w:val="nil"/>
              <w:right w:val="nil"/>
            </w:tcBorders>
          </w:tcPr>
          <w:p>
            <w:pPr>
              <w:pStyle w:val="Normal6a"/>
            </w:pPr>
            <w:r>
              <w:t>(11)</w:t>
            </w:r>
            <w:r>
              <w:tab/>
            </w:r>
            <w:r>
              <w:t xml:space="preserve">De bij Verordening (EU) 2021/695 opgezette </w:t>
            </w:r>
            <w:r>
              <w:rPr>
                <w:b/>
                <w:i/>
              </w:rPr>
              <w:t>missies zijn een belangrijk instrument voor het vinden van concrete oplossingen voor grote maatschappelijke uitdagingen door middel van duidelijk gedefinieerde en meetbare doelstellingen en een sterke impact voor burgers, en</w:t>
            </w:r>
            <w:r>
              <w:t xml:space="preserve"> moeten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en bijdragen tot het creëren van leidende markten voor nieuwe producten en diensten. De onderzoeks- en innovatieactiviteiten van de missies moeten vanuit het kaderprogramma worden gefinancierd, terwijl de uitrol en opschaling door middel van andere EU-programma’s en met nationale financiering </w:t>
            </w:r>
            <w:r>
              <w:rPr>
                <w:b/>
                <w:i/>
              </w:rPr>
              <w:t>en particuliere investeringen</w:t>
            </w:r>
            <w:r>
              <w:t xml:space="preserve"> moeten plaatsvinden.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De bij Verordening (EU) 2021/695 opgezette EU-missies moeten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w:t>
            </w:r>
            <w:r>
              <w:rPr>
                <w:b/>
                <w:i/>
              </w:rPr>
              <w:t>en bijdragen tot het creëren van leidende markten voor nieuwe</w:t>
            </w:r>
            <w:r>
              <w:t xml:space="preserve"> producten en diensten. De onderzoeks- en innovatieactiviteiten van de missies moeten vanuit het kaderprogramma worden gefinancierd, terwijl de uitrol en opschaling door middel van andere EU-programma’s en met nationale financiering moeten plaatsvinden.</w:t>
            </w:r>
          </w:p>
        </w:tc>
        <w:tc>
          <w:tcPr>
            <w:tcW w:w="4876" w:type="dxa"/>
            <w:tcBorders>
              <w:top w:val="nil"/>
              <w:left w:val="nil"/>
              <w:bottom w:val="nil"/>
              <w:right w:val="nil"/>
            </w:tcBorders>
          </w:tcPr>
          <w:p>
            <w:pPr>
              <w:pStyle w:val="Normal6a"/>
            </w:pPr>
            <w:r>
              <w:t>(11)</w:t>
            </w:r>
            <w:r>
              <w:tab/>
            </w:r>
            <w:r>
              <w:t xml:space="preserve">De bij Verordening (EU) 2021/695 opgezette EU-missies moeten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w:t>
            </w:r>
            <w:r>
              <w:rPr>
                <w:b/>
                <w:i/>
              </w:rPr>
              <w:t>om te kunnen voorzien in dringende sociale en regionale behoeften en behoeften op het gebied van gezondheid en milieu, en, indien van toepassing, de verspreiding van toegankelijke en betaalbare</w:t>
            </w:r>
            <w:r>
              <w:t xml:space="preserve"> producten en diensten</w:t>
            </w:r>
            <w:r>
              <w:rPr>
                <w:b/>
                <w:i/>
              </w:rPr>
              <w:t>, waarbij marktcreatie geen doel op zich mag worden</w:t>
            </w:r>
            <w:r>
              <w:t>. De onderzoeks- en innovatieactiviteiten van de missies moeten vanuit het kaderprogramma worden gefinancierd, terwijl de uitrol en opschaling door middel van andere EU-programma’s en met nationale financiering moeten plaatsvinden.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De bij Verordening (EU) 2021/695 opgezette EU-missies moeten </w:t>
            </w:r>
            <w:r>
              <w:rPr>
                <w:b/>
                <w:i/>
              </w:rPr>
              <w:t>een transformerend systeemeffect hebben op de maatschappij</w:t>
            </w:r>
            <w:r>
              <w:t xml:space="preserve"> door samenwerking tussen de disciplines, sectoren, beleidsterreinen en landen te bevorderen. Zij moeten door middel van onderzoek en innovatie de baanbrekende technologieën, diensten, producten en </w:t>
            </w:r>
            <w:r>
              <w:rPr>
                <w:b/>
                <w:i/>
              </w:rPr>
              <w:t>sociale</w:t>
            </w:r>
            <w:r>
              <w:t xml:space="preserve"> innovaties ontwikkelen die nodig zijn om hun ambitieuze doelstellingen te verwezenlijken. Anderzijds moeten de EU-missies de ontwikkeling, schaalvergroting en toepassing van innovatieve oplossingen versnellen </w:t>
            </w:r>
            <w:r>
              <w:rPr>
                <w:b/>
                <w:i/>
              </w:rPr>
              <w:t>en bijdragen tot het creëren van</w:t>
            </w:r>
            <w:r>
              <w:t xml:space="preserve"> leidende markten voor nieuwe producten en diensten. De onderzoeks- en innovatieactiviteiten van de missies moeten vanuit het kaderprogramma worden gefinancierd, terwijl de uitrol en opschaling door middel van andere EU-programma’s en met nationale financiering moeten plaatsvinden.</w:t>
            </w:r>
          </w:p>
        </w:tc>
        <w:tc>
          <w:tcPr>
            <w:tcW w:w="4876" w:type="dxa"/>
            <w:tcBorders>
              <w:top w:val="nil"/>
              <w:left w:val="nil"/>
              <w:bottom w:val="nil"/>
              <w:right w:val="nil"/>
            </w:tcBorders>
          </w:tcPr>
          <w:p>
            <w:pPr>
              <w:pStyle w:val="Normal6a"/>
            </w:pPr>
            <w:r>
              <w:t>(11)</w:t>
            </w:r>
            <w:r>
              <w:tab/>
            </w:r>
            <w:r>
              <w:t xml:space="preserve">De bij Verordening (EU) 2021/695 opgezette EU-missies moeten </w:t>
            </w:r>
            <w:r>
              <w:rPr>
                <w:b/>
                <w:i/>
              </w:rPr>
              <w:t>wetenschappelijke en technologische doorbraken van strategisch belang mogelijk maken</w:t>
            </w:r>
            <w:r>
              <w:t xml:space="preserve"> door samenwerking tussen de disciplines, sectoren, beleidsterreinen en landen te bevorderen. Zij moeten door middel van onderzoek en innovatie de baanbrekende technologieën, diensten, producten en innovaties ontwikkelen die nodig zijn om hun ambitieuze doelstellingen te verwezenlijken. Anderzijds moeten de EU-missies de ontwikkeling, schaalvergroting en toepassing van innovatieve oplossingen versnellen </w:t>
            </w:r>
            <w:r>
              <w:rPr>
                <w:b/>
                <w:i/>
              </w:rPr>
              <w:t>met als doel de Europese industriële en technologische capaciteiten te versterken, de leidende rol van Europa op wetenschapsgebied te herstellen en</w:t>
            </w:r>
            <w:r>
              <w:t xml:space="preserve"> leidende markten voor nieuwe producten en diensten </w:t>
            </w:r>
            <w:r>
              <w:rPr>
                <w:b/>
                <w:i/>
              </w:rPr>
              <w:t>te helpen creëren</w:t>
            </w:r>
            <w:r>
              <w:t>. De onderzoeks- en innovatieactiviteiten van de missies moeten vanuit het kaderprogramma worden gefinancierd, terwijl de uitrol en opschaling door middel van andere EU-programma’s en met nationale financiering moeten plaatsvinden.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 bij Verordening (EU) 2021/695 opgezette EU-missies moeten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en bijdragen tot het creëren van leidende markten voor nieuwe producten en diensten. De onderzoeks- en innovatieactiviteiten van de missies moeten vanuit het kaderprogramma worden gefinancierd, terwijl de uitrol en opschaling door middel van andere EU-programma’s en met nationale financiering moeten plaatsvinden.</w:t>
            </w:r>
          </w:p>
        </w:tc>
        <w:tc>
          <w:tcPr>
            <w:tcW w:w="4876" w:type="dxa"/>
            <w:tcBorders>
              <w:top w:val="nil"/>
              <w:left w:val="nil"/>
              <w:bottom w:val="nil"/>
              <w:right w:val="nil"/>
            </w:tcBorders>
          </w:tcPr>
          <w:p>
            <w:pPr>
              <w:pStyle w:val="Normal6a"/>
            </w:pPr>
            <w:r>
              <w:t>(11)</w:t>
            </w:r>
            <w:r>
              <w:tab/>
            </w:r>
            <w:r>
              <w:t>De bij Verordening (EU) 2021/695 opgezette EU-missies moeten een transformerend systeemeffect hebben op de maatschappij door samenwerking tussen de disciplines, sectoren, beleidsterreinen en landen te bevorderen</w:t>
            </w:r>
            <w:r>
              <w:rPr>
                <w:b/>
                <w:i/>
              </w:rPr>
              <w:t>, alsook de strategische autonomie van de Unie op het gebied van gezondheidsgerelateerd(e) onderzoek en innovatie in de EU</w:t>
            </w:r>
            <w:r>
              <w:t>.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en bijdragen tot het creëren van leidende markten voor nieuwe producten en diensten. De onderzoeks- en innovatieactiviteiten van de missies moeten vanuit het kaderprogramma worden gefinancierd, terwijl de uitrol en opschaling door middel van andere EU-programma’s en met nationale financiering moeten plaatsvinden.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De bij Verordening (EU) 2021/695 opgezette EU-missies moeten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en bijdragen tot het creëren van leidende markten voor nieuwe producten en diensten. De onderzoeks- en innovatieactiviteiten van de missies moeten vanuit het kaderprogramma worden gefinancierd, terwijl de uitrol en opschaling door middel van andere EU-programma’s en met nationale financiering moeten plaatsvinden.</w:t>
            </w:r>
          </w:p>
        </w:tc>
        <w:tc>
          <w:tcPr>
            <w:tcW w:w="4876" w:type="dxa"/>
            <w:tcBorders>
              <w:top w:val="nil"/>
              <w:left w:val="nil"/>
              <w:bottom w:val="nil"/>
              <w:right w:val="nil"/>
            </w:tcBorders>
          </w:tcPr>
          <w:p>
            <w:pPr>
              <w:pStyle w:val="Normal6a"/>
            </w:pPr>
            <w:r>
              <w:t>(11)</w:t>
            </w:r>
            <w:r>
              <w:tab/>
            </w:r>
            <w:r>
              <w:t xml:space="preserve">De bij Verordening (EU) 2021/695 opgezette EU-missies moeten een transformerend systeemeffect hebben op de maatschappij door samenwerking tussen de disciplines, sectoren, beleidsterreinen en landen te bevorderen. Zij moeten door middel van onderzoek en innovatie de baanbrekende technologieën, diensten, producten en sociale innovaties ontwikkelen die nodig zijn om hun ambitieuze doelstellingen te verwezenlijken. Anderzijds moeten de EU-missies de ontwikkeling, schaalvergroting en toepassing van innovatieve oplossingen versnellen en bijdragen tot het creëren van leidende markten voor nieuwe producten en diensten. De onderzoeks- en innovatieactiviteiten van de missies moeten vanuit het kaderprogramma worden gefinancierd </w:t>
            </w:r>
            <w:r>
              <w:rPr>
                <w:b/>
                <w:i/>
              </w:rPr>
              <w:t>en samenwerking tussen onderzoeksinstellingen en universiteiten stimuleren</w:t>
            </w:r>
            <w:r>
              <w:t>, terwijl de uitrol en opschaling door middel van andere EU-programma’s en met nationale financiering moeten plaatsvinden.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en is een meerjarig financieringsinstrument dat bedoeld is om de transformatie van wijken te versnellen door middel van duurzaam en inclusief ontwerp. De O&amp;I-component daarvan moet door Horizon Europa worden gefinancierd, terwijl de uitrolcomponent door middel van andere EU-programma’s en met nationale financiering moet worden gerealiseerd.</w:t>
            </w:r>
          </w:p>
        </w:tc>
        <w:tc>
          <w:tcPr>
            <w:tcW w:w="4876" w:type="dxa"/>
            <w:tcBorders>
              <w:top w:val="nil"/>
              <w:left w:val="nil"/>
              <w:bottom w:val="nil"/>
              <w:right w:val="nil"/>
            </w:tcBorders>
          </w:tcPr>
          <w:p>
            <w:pPr>
              <w:pStyle w:val="Normal6a"/>
            </w:pPr>
            <w:r>
              <w:t>(12)</w:t>
            </w:r>
            <w:r>
              <w:tab/>
            </w:r>
            <w:r>
              <w:rPr>
                <w:b/>
                <w:i/>
              </w:rPr>
              <w:t>De faciliteit voor het Nieuw Europees Bauhaus (NEB) is verankerd in het strategisch plan van Horizon Europa voor de periode 2025-2027</w:t>
            </w:r>
            <w:r>
              <w:rPr>
                <w:b/>
                <w:i/>
                <w:vertAlign w:val="superscript"/>
              </w:rPr>
              <w:t>4</w:t>
            </w:r>
            <w:r>
              <w:t xml:space="preserve"> en is een meerjarig financieringsinstrument dat bedoeld is om de transformatie van wijken te versnellen door middel van duurzaam</w:t>
            </w:r>
            <w:r>
              <w:rPr>
                <w:b/>
                <w:i/>
              </w:rPr>
              <w:t>, innovatief, creatief</w:t>
            </w:r>
            <w:r>
              <w:t xml:space="preserve"> en inclusief ontwerp </w:t>
            </w:r>
            <w:r>
              <w:rPr>
                <w:b/>
                <w:i/>
              </w:rPr>
              <w:t>waarin ecologische, sociale en culturele dimensies met elkaar vermengd zijn</w:t>
            </w:r>
            <w:r>
              <w:t>. De O&amp;I-component daarvan moet door Horizon Europa worden gefinancierd, terwijl de uitrolcomponent door middel van andere EU-programma’s en met nationale financiering moet worden gerealiseerd.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w:t>
            </w:r>
            <w:r>
              <w:t xml:space="preserve"> </w:t>
            </w:r>
            <w:r>
              <w:rPr>
                <w:b/>
                <w:i/>
              </w:rPr>
              <w:t>Besluit C(2024) 1741 van de Commissie van 20.3.2024.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 Alicia Homs Ginel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en is een meerjarig financieringsinstrument dat bedoeld is om de transformatie van wijken te versnellen door middel van duurzaam en inclusief ontwerp. De O&amp;I-component daarvan moet door Horizon Europa worden gefinancierd, terwijl de uitrolcomponent door middel van andere EU-programma’s en met nationale financiering moet worden gerealiseerd.</w:t>
            </w:r>
          </w:p>
        </w:tc>
        <w:tc>
          <w:tcPr>
            <w:tcW w:w="4876" w:type="dxa"/>
            <w:tcBorders>
              <w:top w:val="nil"/>
              <w:left w:val="nil"/>
              <w:bottom w:val="nil"/>
              <w:right w:val="nil"/>
            </w:tcBorders>
          </w:tcPr>
          <w:p>
            <w:pPr>
              <w:pStyle w:val="Normal6a"/>
            </w:pPr>
            <w:r>
              <w:t>(12)</w:t>
            </w:r>
            <w:r>
              <w:tab/>
            </w:r>
            <w:r>
              <w:rPr>
                <w:b/>
                <w:i/>
              </w:rPr>
              <w:t>De faciliteit voor het Nieuw Europees Bauhaus (NEB) is verankerd in het strategisch plan van Horizon Europa voor de periode 2025-2027</w:t>
            </w:r>
            <w:r>
              <w:rPr>
                <w:b/>
                <w:i/>
                <w:vertAlign w:val="superscript"/>
              </w:rPr>
              <w:t>4</w:t>
            </w:r>
            <w:r>
              <w:t xml:space="preserve"> en is een meerjarig financieringsinstrument dat bedoeld is om de transformatie van wijken te versnellen door middel van duurzaam en inclusief ontwerp. De O&amp;I-component daarvan</w:t>
            </w:r>
            <w:r>
              <w:rPr>
                <w:b/>
                <w:i/>
              </w:rPr>
              <w:t>, met inbegrip van energie-efficiëntie en de decarbonisatie van gebouwen,</w:t>
            </w:r>
            <w:r>
              <w:t xml:space="preserve"> moet door Horizon Europa worden gefinancierd, terwijl de uitrolcomponent door middel van andere EU-programma’s en met nationale financiering moet worden gerealiseerd.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w:t>
            </w:r>
            <w:r>
              <w:t xml:space="preserve"> </w:t>
            </w:r>
            <w:r>
              <w:rPr>
                <w:b/>
                <w:i/>
              </w:rPr>
              <w:t>Besluit C(2024) 1741 van de Commissie van 20.3.2024.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Jens Geier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Het Europese vervoerssysteem ondervindt steeds grotere capaciteitsbeperkingen, aangezien de vraag naar personen- en goederenvervoer de komende decennia naar verwachting sterk zal stijgen en de structurele grenzen van bestaande vervoerswijzen nu al in zicht komen.</w:t>
            </w:r>
            <w:r>
              <w:t xml:space="preserve"> </w:t>
            </w:r>
            <w:r>
              <w:rPr>
                <w:b/>
                <w:i/>
              </w:rPr>
              <w:t>Zonder aanvullende infrastructuur en technologische innovatie bestaat het risico dat deze druk de mobiliteit en de klimaatdoelstellingen ondermijnt, en daarmee het economisch concurrentievermogen van Europa in ruimere zin, alsook de cohesie binnen Europa.</w:t>
            </w:r>
            <w:r>
              <w:t xml:space="preserve"> </w:t>
            </w:r>
            <w:r>
              <w:rPr>
                <w:b/>
                <w:i/>
              </w:rPr>
              <w:t>In dit verband is geavanceerd, emissievrij, op infrastructuur gebaseerd vervoer van de volgende generatie — van onderzoek en demonstratie tot toepassing — illustratief voor het soort Europese “moonshoot”-kansen die baanbrekende verbeteringen kunnen brengen op het gebied van snelheid, capaciteit en energie-efficiëntie, die de klimaatbestendigheid kunnen vergroten door middel van systemen die zodanig zijn ontworpen dat ze bestand zijn tegen extreem weer, en die ontbrekende grensoverschrijdende verbindingen in het trans-Europese vervoersnetwerk kunnen aanpakken, waarbij tegelijk verdere integratie van de interne markt wordt ondersteund en het concurrentievermogen, de veerkracht en de technologische soevereiniteit van Europa een impuls krijgen.</w:t>
            </w:r>
            <w:r>
              <w:t xml:space="preserve"> </w:t>
            </w:r>
            <w:r>
              <w:rPr>
                <w:b/>
                <w:i/>
              </w:rPr>
              <w:t>Afgezien van vervoer kan dergelijke innovatie op systeemniveau, waaronder de hyperloop, een drijvende kracht zijn achter sleuteltechnologieën, waaronder vacuümtechniek, elektromagnetische systemen, AI-gestuurde systemen en geavanceerde materialen, die een aanzienlijk potentieel hebben voor overloopeffecten naar andere industrieën en strategische sectoren.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Jens Gieseke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Het Europese vervoerssysteem ondervindt steeds grotere capaciteitsbeperkingen, aangezien de vraag naar personen- en goederenvervoer de komende decennia naar verwachting sterk zal stijgen en de structurele grenzen van bestaande vervoerswijzen nu al in zicht komen.</w:t>
            </w:r>
            <w:r>
              <w:t xml:space="preserve"> </w:t>
            </w:r>
            <w:r>
              <w:rPr>
                <w:b/>
                <w:i/>
              </w:rPr>
              <w:t>Zonder aanvullende infrastructuur en technologische innovatie bestaat het risico dat deze druk de mobiliteit en de klimaatdoelstellingen ondermijnt, en daarmee het economisch concurrentievermogen van Europa in ruimere zin, alsook de cohesie binnen Europa.</w:t>
            </w:r>
            <w:r>
              <w:t xml:space="preserve"> </w:t>
            </w:r>
            <w:r>
              <w:rPr>
                <w:b/>
                <w:i/>
              </w:rPr>
              <w:t>In dit verband is geavanceerd, emissievrij, op infrastructuur gebaseerd vervoer van de volgende generatie — van onderzoek en demonstratie tot toepassing — illustratief voor het soort Europese “moonshoot”-kansen die baanbrekende verbeteringen kunnen brengen op het gebied van snelheid, capaciteit en energie-efficiëntie, die de klimaatbestendigheid kunnen vergroten door middel van systemen die zodanig zijn ontworpen dat ze bestand zijn tegen extreem weer, en die ontbrekende grensoverschrijdende verbindingen in het trans-Europese vervoersnetwerk kunnen aanpakken, waarbij tegelijk verdere integratie van de interne markt wordt ondersteund en het concurrentievermogen, de veerkracht en de technologische soevereiniteit van Europa een impuls krijgen.</w:t>
            </w:r>
            <w:r>
              <w:t xml:space="preserve"> </w:t>
            </w:r>
            <w:r>
              <w:rPr>
                <w:b/>
                <w:i/>
              </w:rPr>
              <w:t>Afgezien van vervoer kan dergelijke innovatie op systeemniveau, waaronder de hyperloop, een drijvende kracht zijn achter sleuteltechnologieën, waaronder vacuümtechniek, elektromagnetische systemen, AI-gestuurde systemen en geavanceerde materialen, die een aanzienlijk potentieel hebben voor overloopeffecten naar andere industrieën en strategische sectoren.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Eszter Lakos, Pilar del Castillo Vera,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Het programma kan worden uitgevoerd door middel van Europese “moonshots”.</w:t>
            </w:r>
            <w:r>
              <w:t xml:space="preserve"> </w:t>
            </w:r>
            <w:r>
              <w:rPr>
                <w:b/>
                <w:i/>
              </w:rPr>
              <w:t>Moonshots zijn geen financieringsinstrumenten, maar eerder een beleidsaanpak die beleids-, wetgevings- en financieringsinstrumenten combineert om een specifieke doelstelling op middellange termijn te halen, waarbij de resultaten van het huidige kaderprogramma worden benut.</w:t>
            </w:r>
            <w:r>
              <w:t xml:space="preserve"> </w:t>
            </w:r>
            <w:r>
              <w:rPr>
                <w:b/>
                <w:i/>
              </w:rPr>
              <w:t>Deze doelstelling moet worden gedefinieerd in overeenstemming met de SMART-methodologie.</w:t>
            </w:r>
            <w:r>
              <w:t xml:space="preserve"> </w:t>
            </w:r>
            <w:r>
              <w:rPr>
                <w:b/>
                <w:i/>
              </w:rPr>
              <w:t>De doelstelling moet geworteld zijn in onderzoek en innovatie, maar moet leiden tot effecten die verder gaan dan de resultaten van onderzoeks- en innovatieactiviteiten.</w:t>
            </w:r>
            <w:r>
              <w:t xml:space="preserve"> </w:t>
            </w:r>
            <w:r>
              <w:rPr>
                <w:b/>
                <w:i/>
              </w:rPr>
              <w:t>Een moonshot kan daarom alleen worden vastgesteld door een mededeling van de Commissie met de inzet van alle diensten van de Commissie en met steun van de lidstaten.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Christophe Clergeau, Michalis Hadjipantela, Tilly Metz, Ondřej Krutílek, Alicia Homs Ginel, Thomas Pellerin-Carlin, André Franqueira Rodrigues, Marta Temido, Isabella Lövin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bis)</w:t>
            </w:r>
            <w:r>
              <w:tab/>
            </w:r>
            <w:r>
              <w:rPr>
                <w:b/>
                <w:i/>
              </w:rPr>
              <w:t>Teneinde de toonaangevende rol van de Unie op het gebied van wetenschap, technologische capaciteit, weerbaarheid, duurzaamheid en industrieel concurrentievermogen te versterken, moet het programma ambitieuze initiatieven op het gebied van onderzoek en innovatie ondersteunen, waarmee grote maatschappelijke uitdagingen kunnen worden aangepakt.</w:t>
            </w:r>
            <w:r>
              <w:t xml:space="preserve"> </w:t>
            </w:r>
            <w:r>
              <w:rPr>
                <w:b/>
                <w:i/>
              </w:rPr>
              <w:t>Missies in het kader van Horizon Europa zijn een belangrijk instrument voor het vinden van concrete oplossingen voor grote maatschappelijke uitdagingen door middel van duidelijk gedefinieerde en meetbare doelstellingen en een sterke impact voor burgers.</w:t>
            </w:r>
            <w:r>
              <w:t xml:space="preserve"> </w:t>
            </w:r>
            <w:r>
              <w:rPr>
                <w:b/>
                <w:i/>
              </w:rPr>
              <w:t>Missies moeten activiteiten binnen de hele onderzoeks- en innovatiecyclus mobiliseren en zorgen voor synergieën met andere Unieprogramma’s, nationale initiatieven en particuliere investeringen.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 Europese Onderzoeksraad (ERC) </w:t>
            </w:r>
            <w:r>
              <w:rPr>
                <w:b/>
                <w:i/>
              </w:rPr>
              <w:t>moet</w:t>
            </w:r>
            <w:r>
              <w:t xml:space="preserve"> voorzien in aantrekkelijke en flexibele financiering, zodat getalenteerde en creatieve individuele onderzoekers de meest veelbelovende richtingen op de wetenschappelijke grensgebieden kunnen verkennen, met een doelbewuste nadruk op de vorming van beginnende onderzoekers. Deze inzet voor door onderzoekers zelf aangestuurd onderzoek, dat wordt geselecteerd door middel van EU-brede concurrentie die uitsluitend gebaseerd is op het criterium van excellentie en openstaat voor talent, ongeacht nationaliteit of herkomst, is van fundamenteel belang om de knapste koppen ter wereld aan te trekken en van Europa nog meer een wereldwijd toonaangevend centrum voor onderzoek en innovatie te maken.</w:t>
            </w:r>
          </w:p>
        </w:tc>
        <w:tc>
          <w:tcPr>
            <w:tcW w:w="4876" w:type="dxa"/>
            <w:tcBorders>
              <w:top w:val="nil"/>
              <w:left w:val="nil"/>
              <w:bottom w:val="nil"/>
              <w:right w:val="nil"/>
            </w:tcBorders>
          </w:tcPr>
          <w:p>
            <w:pPr>
              <w:pStyle w:val="Normal6a"/>
            </w:pPr>
            <w:r>
              <w:t>(13)</w:t>
            </w:r>
            <w:r>
              <w:tab/>
            </w:r>
            <w:r>
              <w:rPr>
                <w:b/>
                <w:i/>
              </w:rPr>
              <w:t>De selectiecriteria voor financiering door</w:t>
            </w:r>
            <w:r>
              <w:t xml:space="preserve"> de Europese Onderzoeksraad (ERC) </w:t>
            </w:r>
            <w:r>
              <w:rPr>
                <w:b/>
                <w:i/>
              </w:rPr>
              <w:t>moeten duidelijk en streng zijn en alleen op het beginsel van wetenschappelijke excellentie gebaseerd zijn, zodat de ERC kan</w:t>
            </w:r>
            <w:r>
              <w:t xml:space="preserve"> voorzien in aantrekkelijke en flexibele financiering, zodat getalenteerde en creatieve individuele onderzoekers de meest veelbelovende richtingen op de wetenschappelijke grensgebieden kunnen verkennen, met een doelbewuste nadruk op de vorming van beginnende onderzoekers</w:t>
            </w:r>
            <w:r>
              <w:rPr>
                <w:b/>
                <w:i/>
              </w:rPr>
              <w:t>.</w:t>
            </w:r>
            <w:r>
              <w:t xml:space="preserve"> </w:t>
            </w:r>
            <w:r>
              <w:rPr>
                <w:b/>
                <w:i/>
              </w:rPr>
              <w:t>Hieruit volgt dat de evaluatie van voorstellen in beginsel gebaseerd moet zijn op twee complementaire aspecten:</w:t>
            </w:r>
            <w:r>
              <w:t xml:space="preserve"> </w:t>
            </w:r>
            <w:r>
              <w:rPr>
                <w:b/>
                <w:i/>
              </w:rPr>
              <w:t>de uitmuntendheid van onderzoekers en de uitmuntendheid van projecten.</w:t>
            </w:r>
            <w:r>
              <w:t xml:space="preserve"> </w:t>
            </w:r>
            <w:r>
              <w:rPr>
                <w:b/>
                <w:i/>
              </w:rPr>
              <w:t>Wat de onderzoekers betreft, moet de ERC eerdere wetenschappelijke prestaties, het vermogen om met innovatieve en onafhankelijke ideeën te komen en het potentieel om leiders op hun vakgebied te worden of te blijven, analyseren.</w:t>
            </w:r>
            <w:r>
              <w:t xml:space="preserve"> </w:t>
            </w:r>
            <w:r>
              <w:rPr>
                <w:b/>
                <w:i/>
              </w:rPr>
              <w:t>Voor beginnende onderzoekers daarentegen moet de nadruk liggen op hun aangetoonde potentieel, hun creativiteit en hun vermogen om een eigen onderzoeksagenda te ontwikkelen, in plaats van alleen op een uitgebreide lijst van publicaties.</w:t>
            </w:r>
            <w:r>
              <w:t xml:space="preserve"> </w:t>
            </w:r>
            <w:r>
              <w:rPr>
                <w:b/>
                <w:i/>
              </w:rPr>
              <w:t>Anderzijds moeten de projectcriteria het innovatieve en ambitieuze karakter van het idee, het potentieel voor aanzienlijke vooruitgang aan de grenzen van onze kennis en de haalbaarheid van de voorgestelde aanpak omvatten</w:t>
            </w:r>
            <w:r>
              <w:t>. Deze inzet voor door onderzoekers zelf aangestuurd onderzoek, dat wordt geselecteerd door middel van EU-brede concurrentie die uitsluitend gebaseerd is op het criterium van excellentie en openstaat voor talent, ongeacht nationaliteit of herkomst, is van fundamenteel belang om de knapste koppen ter wereld aan te trekken en van Europa nog meer een wereldwijd toonaangevend centrum voor onderzoek en innovatie te maken.</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Onderzoek vereist duidelijke, strenge criteria voor de selectie van projecten die uitsluitend gericht zijn op het beginsel van wetenschappelijke excellentie om innovatieve en onafhankelijke ideeën voor Europa te genereren zodat het een leider op dit gebied kan blijven.</w:t>
      </w:r>
    </w:p>
    <w:p>
      <w:r>
        <w:rPr>
          <w:rStyle w:val="HideTWBExt"/>
        </w:rPr>
        <w:t>&lt;/Amend&gt;</w:t>
      </w:r>
    </w:p>
    <w:p>
      <w:pPr>
        <w:pStyle w:val="AmNumberTabs"/>
      </w:pPr>
      <w:r>
        <w:rPr>
          <w:rStyle w:val="HideTWBExt"/>
        </w:rPr>
        <w:t>&lt;Amend&gt;</w:t>
      </w:r>
      <w:r>
        <w:t>Amendement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 Europese Onderzoeksraad (ERC) moet voorzien in aantrekkelijke en flexibele financiering, zodat getalenteerde en creatieve individuele onderzoekers de meest veelbelovende richtingen op </w:t>
            </w:r>
            <w:r>
              <w:rPr>
                <w:b/>
                <w:i/>
              </w:rPr>
              <w:t>de</w:t>
            </w:r>
            <w:r>
              <w:t xml:space="preserve"> wetenschappelijke grensgebieden kunnen verkennen, met een doelbewuste nadruk op de vorming van beginnende onderzoekers. Deze inzet voor door onderzoekers zelf aangestuurd </w:t>
            </w:r>
            <w:r>
              <w:rPr>
                <w:b/>
                <w:i/>
              </w:rPr>
              <w:t>onderzoek</w:t>
            </w:r>
            <w:r>
              <w:t xml:space="preserve">, dat wordt geselecteerd door middel van EU-brede concurrentie die </w:t>
            </w:r>
            <w:r>
              <w:rPr>
                <w:b/>
                <w:i/>
              </w:rPr>
              <w:t>uitsluitend</w:t>
            </w:r>
            <w:r>
              <w:t xml:space="preserve"> gebaseerd is op het criterium van excellentie en openstaat voor talent</w:t>
            </w:r>
            <w:r>
              <w:rPr>
                <w:b/>
                <w:i/>
              </w:rPr>
              <w:t>, ongeacht nationaliteit of herkomst</w:t>
            </w:r>
            <w:r>
              <w:t xml:space="preserve">, is van fundamenteel belang om de knapste koppen ter wereld aan te trekken en van Europa </w:t>
            </w:r>
            <w:r>
              <w:rPr>
                <w:b/>
                <w:i/>
              </w:rPr>
              <w:t>nog meer een</w:t>
            </w:r>
            <w:r>
              <w:t xml:space="preserve"> wereldwijd toonaangevend centrum voor onderzoek en innovatie te </w:t>
            </w:r>
            <w:r>
              <w:rPr>
                <w:b/>
                <w:i/>
              </w:rPr>
              <w:t>maken</w:t>
            </w:r>
            <w:r>
              <w:t>.</w:t>
            </w:r>
          </w:p>
        </w:tc>
        <w:tc>
          <w:tcPr>
            <w:tcW w:w="4876" w:type="dxa"/>
            <w:tcBorders>
              <w:top w:val="nil"/>
              <w:left w:val="nil"/>
              <w:bottom w:val="nil"/>
              <w:right w:val="nil"/>
            </w:tcBorders>
          </w:tcPr>
          <w:p>
            <w:pPr>
              <w:pStyle w:val="Normal6a"/>
            </w:pPr>
            <w:r>
              <w:t>(13)</w:t>
            </w:r>
            <w:r>
              <w:tab/>
            </w:r>
            <w:r>
              <w:t xml:space="preserve">De Europese Onderzoeksraad (ERC) moet voorzien in aantrekkelijke en flexibele financiering, zodat getalenteerde en creatieve individuele onderzoekers de meest veelbelovende richtingen op </w:t>
            </w:r>
            <w:r>
              <w:rPr>
                <w:b/>
                <w:i/>
              </w:rPr>
              <w:t>alle</w:t>
            </w:r>
            <w:r>
              <w:t xml:space="preserve"> wetenschappelijke grensgebieden kunnen verkennen, met een doelbewuste nadruk op de vorming van beginnende onderzoekers. Deze inzet voor door onderzoekers zelf aangestuurd </w:t>
            </w:r>
            <w:r>
              <w:rPr>
                <w:b/>
                <w:i/>
              </w:rPr>
              <w:t>bottom-uponderzoek</w:t>
            </w:r>
            <w:r>
              <w:t xml:space="preserve">, dat wordt geselecteerd door middel van EU-brede concurrentie die gebaseerd is op het criterium van excellentie en openstaat voor talent, is van fundamenteel belang om de knapste koppen ter wereld aan te trekken en </w:t>
            </w:r>
            <w:r>
              <w:rPr>
                <w:b/>
                <w:i/>
              </w:rPr>
              <w:t>de positie</w:t>
            </w:r>
            <w:r>
              <w:t xml:space="preserve"> van Europa </w:t>
            </w:r>
            <w:r>
              <w:rPr>
                <w:b/>
                <w:i/>
              </w:rPr>
              <w:t>als</w:t>
            </w:r>
            <w:r>
              <w:t xml:space="preserve"> wereldwijd toonaangevend centrum voor onderzoek en innovatie te </w:t>
            </w:r>
            <w:r>
              <w:rPr>
                <w:b/>
                <w:i/>
              </w:rPr>
              <w:t>versterken</w:t>
            </w:r>
            <w:r>
              <w:t xml:space="preserve">. </w:t>
            </w:r>
            <w:r>
              <w:rPr>
                <w:b/>
                <w:i/>
              </w:rPr>
              <w:t>De ERC moet outreach- en samenwerkingsactiviteiten blijven ontwikkelen en versterken, zodat hij zichtbaarder wordt voor de beste onderzoekers in de Unie en in de rest van de wereld. De ERC moet actief helpen de deelname te verbreden door de prestatiekloof op het gebied van O&amp;I binnen de EU te dichten, waarbij specifiek aandacht moet uitgaan naar landen met lagere succespercentages en waarbij de deelname van onderzoekers uit deze gebieden moet worden versterkt.</w:t>
            </w:r>
            <w:r>
              <w:t xml:space="preserve"> </w:t>
            </w:r>
            <w:r>
              <w:rPr>
                <w:b/>
                <w:i/>
              </w:rPr>
              <w:t>In dit verband moeten de voorlichtings-, begeleidings- en ondersteuningsactiviteiten van de ERC die zijn gericht op onderzoeksgemeenschappen in de minder goed presterende landen, worden versterkt en gestructureerd.</w:t>
            </w:r>
            <w:r>
              <w:t xml:space="preserve"> </w:t>
            </w:r>
            <w:r>
              <w:rPr>
                <w:b/>
                <w:i/>
              </w:rPr>
              <w:t>Er moeten ERC-beurzen voor onderzoekers uit verbredingslanden in het leven worden geroepen.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De Europese Onderzoeksraad (ERC) moet voorzien in aantrekkelijke en flexibele financiering, zodat getalenteerde en creatieve individuele onderzoekers de meest veelbelovende richtingen op de wetenschappelijke grensgebieden kunnen verkennen</w:t>
            </w:r>
            <w:r>
              <w:rPr>
                <w:b/>
                <w:i/>
              </w:rPr>
              <w:t>, met een doelbewuste nadruk op de vorming van beginnende onderzoekers</w:t>
            </w:r>
            <w:r>
              <w:t xml:space="preserve">. Deze inzet voor door onderzoekers zelf aangestuurd </w:t>
            </w:r>
            <w:r>
              <w:rPr>
                <w:b/>
                <w:i/>
              </w:rPr>
              <w:t>onderzoek</w:t>
            </w:r>
            <w:r>
              <w:t xml:space="preserve">, dat wordt geselecteerd door middel van EU-brede concurrentie die uitsluitend gebaseerd is op het criterium van excellentie en openstaat voor talent, ongeacht nationaliteit of herkomst, is van fundamenteel belang om de </w:t>
            </w:r>
            <w:r>
              <w:rPr>
                <w:b/>
                <w:i/>
              </w:rPr>
              <w:t>knapste koppen ter wereld aan te trekken en</w:t>
            </w:r>
            <w:r>
              <w:t xml:space="preserve"> van Europa </w:t>
            </w:r>
            <w:r>
              <w:rPr>
                <w:b/>
                <w:i/>
              </w:rPr>
              <w:t>nog meer</w:t>
            </w:r>
            <w:r>
              <w:t xml:space="preserve"> een wereldwijd toonaangevend centrum voor onderzoek en innovatie te </w:t>
            </w:r>
            <w:r>
              <w:rPr>
                <w:b/>
                <w:i/>
              </w:rPr>
              <w:t>maken</w:t>
            </w:r>
            <w:r>
              <w:t>.</w:t>
            </w:r>
          </w:p>
        </w:tc>
        <w:tc>
          <w:tcPr>
            <w:tcW w:w="4876" w:type="dxa"/>
            <w:tcBorders>
              <w:top w:val="nil"/>
              <w:left w:val="nil"/>
              <w:bottom w:val="nil"/>
              <w:right w:val="nil"/>
            </w:tcBorders>
          </w:tcPr>
          <w:p>
            <w:pPr>
              <w:pStyle w:val="Normal6a"/>
            </w:pPr>
            <w:r>
              <w:t>(13)</w:t>
            </w:r>
            <w:r>
              <w:tab/>
            </w:r>
            <w:r>
              <w:t>De Europese Onderzoeksraad (ERC) moet voorzien in aantrekkelijke en flexibele financiering, zodat getalenteerde en creatieve individuele onderzoekers</w:t>
            </w:r>
            <w:r>
              <w:rPr>
                <w:b/>
                <w:i/>
              </w:rPr>
              <w:t>, waaronder onderzoekers aan het begin van hun loopbaan en aanvragers uit ondervertegenwoordigde lidstaten en regio’s, op alle vakgebieden</w:t>
            </w:r>
            <w:r>
              <w:t xml:space="preserve"> de meest veelbelovende richtingen op de wetenschappelijke grensgebieden kunnen verkennen. Deze inzet voor door onderzoekers zelf aangestuurd </w:t>
            </w:r>
            <w:r>
              <w:rPr>
                <w:b/>
                <w:i/>
              </w:rPr>
              <w:t>bottom-uponderzoek</w:t>
            </w:r>
            <w:r>
              <w:t xml:space="preserve">, dat wordt geselecteerd door middel van EU-brede concurrentie die uitsluitend gebaseerd is op het criterium van excellentie en openstaat voor talent, ongeacht nationaliteit of herkomst, is van fundamenteel belang om de </w:t>
            </w:r>
            <w:r>
              <w:rPr>
                <w:b/>
                <w:i/>
              </w:rPr>
              <w:t>de positie</w:t>
            </w:r>
            <w:r>
              <w:t xml:space="preserve"> van Europa </w:t>
            </w:r>
            <w:r>
              <w:rPr>
                <w:b/>
                <w:i/>
              </w:rPr>
              <w:t>als</w:t>
            </w:r>
            <w:r>
              <w:t xml:space="preserve"> een wereldwijd toonaangevend centrum voor onderzoek en innovatie te </w:t>
            </w:r>
            <w:r>
              <w:rPr>
                <w:b/>
                <w:i/>
              </w:rPr>
              <w:t>versterken en de knapste koppen ter wereld aan te trekken en te behouden</w:t>
            </w:r>
            <w:r>
              <w:t xml:space="preserve">. </w:t>
            </w:r>
            <w:r>
              <w:rPr>
                <w:b/>
                <w:i/>
              </w:rPr>
              <w:t>De ERC moet activiteiten ontwikkelen op het gebied van outreach, mentorschap en capaciteitsopbouw om een gelijk speelveld voor alle aanvragers uit de hele Unie te waarborgen.</w:t>
            </w:r>
            <w:r>
              <w:t xml:space="preserve"> </w:t>
            </w:r>
            <w:r>
              <w:rPr>
                <w:b/>
                <w:i/>
              </w:rPr>
              <w:t>Deze maatregelen zijn belangrijk om het potentieel te verbreden, de inclusiviteit te vergroten en de positie van Europa als wereldwijd toonaangevend centrum van wetenschappelijke excellentie en innovatie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De Europese Onderzoeksraad (ERC) moet voorzien in aantrekkelijke en flexibele financiering, zodat getalenteerde en creatieve individuele onderzoekers de meest veelbelovende richtingen op de wetenschappelijke grensgebieden kunnen verkennen, met een doelbewuste nadruk op de vorming van beginnende onderzoekers. Deze inzet voor door onderzoekers zelf aangestuurd onderzoek, dat wordt geselecteerd door middel van EU-brede concurrentie die uitsluitend gebaseerd is op het criterium van excellentie en openstaat voor talent, ongeacht nationaliteit of herkomst, is van fundamenteel belang om de knapste koppen ter wereld aan te trekken en van Europa nog meer een wereldwijd toonaangevend centrum voor onderzoek en innovatie te maken.</w:t>
            </w:r>
          </w:p>
        </w:tc>
        <w:tc>
          <w:tcPr>
            <w:tcW w:w="4876" w:type="dxa"/>
            <w:tcBorders>
              <w:top w:val="nil"/>
              <w:left w:val="nil"/>
              <w:bottom w:val="nil"/>
              <w:right w:val="nil"/>
            </w:tcBorders>
          </w:tcPr>
          <w:p>
            <w:pPr>
              <w:pStyle w:val="Normal6a"/>
            </w:pPr>
            <w:r>
              <w:t>(13)</w:t>
            </w:r>
            <w:r>
              <w:tab/>
            </w:r>
            <w:r>
              <w:t xml:space="preserve">De Europese Onderzoeksraad (ERC) moet voorzien in aantrekkelijke en flexibele financiering, zodat getalenteerde en creatieve individuele onderzoekers de meest veelbelovende richtingen op de wetenschappelijke grensgebieden kunnen verkennen, met een doelbewuste nadruk op de vorming van beginnende onderzoekers. Deze inzet voor door onderzoekers zelf aangestuurd onderzoek, dat wordt geselecteerd door middel van EU-brede concurrentie die uitsluitend gebaseerd is op het criterium van excellentie en openstaat voor talent, ongeacht nationaliteit of herkomst, is van fundamenteel belang om de knapste koppen ter wereld aan te trekken en van Europa nog meer een wereldwijd toonaangevend centrum voor onderzoek en innovatie te maken. </w:t>
            </w:r>
            <w:r>
              <w:rPr>
                <w:b/>
                <w:i/>
              </w:rPr>
              <w:t>In dit opzicht moet ook bijzondere aandacht worden besteed aan de territoriale dimensie, waarvoor passende investeringen gericht op het versterken van ecosystemen voor O&amp;I in diverse regio’s van de Unie nodig zijn.</w:t>
            </w:r>
            <w:r>
              <w:t xml:space="preserve"> </w:t>
            </w:r>
            <w:r>
              <w:rPr>
                <w:b/>
                <w:i/>
              </w:rPr>
              <w:t>Hierdoor zou een breder scala aan actoren kunnen bijdragen aan onderzoek en innovatie in Europa, hetgeen de algehele capaciteit van het concurrentievermogen van de Unie vergroot.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 Europese Onderzoeksraad (ERC) moet voorzien in aantrekkelijke en flexibele financiering, zodat getalenteerde en creatieve individuele onderzoekers de meest veelbelovende richtingen op de wetenschappelijke grensgebieden kunnen verkennen, met een doelbewuste nadruk op de vorming van beginnende onderzoekers. Deze inzet voor door onderzoekers zelf aangestuurd onderzoek, dat wordt geselecteerd door middel van EU-brede concurrentie die uitsluitend gebaseerd is op het criterium van excellentie </w:t>
            </w:r>
            <w:r>
              <w:rPr>
                <w:b/>
                <w:i/>
              </w:rPr>
              <w:t>en</w:t>
            </w:r>
            <w:r>
              <w:t xml:space="preserve"> openstaat voor talent</w:t>
            </w:r>
            <w:r>
              <w:rPr>
                <w:b/>
                <w:i/>
              </w:rPr>
              <w:t>, ongeacht nationaliteit of herkomst</w:t>
            </w:r>
            <w:r>
              <w:t xml:space="preserve">, is van fundamenteel belang om </w:t>
            </w:r>
            <w:r>
              <w:rPr>
                <w:b/>
                <w:i/>
              </w:rPr>
              <w:t>de knapste koppen ter wereld</w:t>
            </w:r>
            <w:r>
              <w:t xml:space="preserve"> aan te trekken en van Europa nog meer een wereldwijd toonaangevend centrum voor onderzoek en innovatie te maken.</w:t>
            </w:r>
          </w:p>
        </w:tc>
        <w:tc>
          <w:tcPr>
            <w:tcW w:w="4876" w:type="dxa"/>
            <w:tcBorders>
              <w:top w:val="nil"/>
              <w:left w:val="nil"/>
              <w:bottom w:val="nil"/>
              <w:right w:val="nil"/>
            </w:tcBorders>
          </w:tcPr>
          <w:p>
            <w:pPr>
              <w:pStyle w:val="Normal6a"/>
            </w:pPr>
            <w:r>
              <w:t>(13)</w:t>
            </w:r>
            <w:r>
              <w:tab/>
            </w:r>
            <w:r>
              <w:t>De Europese Onderzoeksraad (ERC) moet voorzien in aantrekkelijke en flexibele financiering, zodat getalenteerde en creatieve individuele onderzoekers de meest veelbelovende richtingen op de wetenschappelijke grensgebieden kunnen verkennen, met een doelbewuste nadruk op de vorming van beginnende onderzoekers. Deze inzet voor door onderzoekers zelf aangestuurd onderzoek, dat wordt geselecteerd door middel van EU-brede concurrentie die uitsluitend gebaseerd is op het criterium van excellentie</w:t>
            </w:r>
            <w:r>
              <w:rPr>
                <w:b/>
                <w:i/>
              </w:rPr>
              <w:t>, dat bij voorkeur wordt uitgevoerd door in de lidstaten of in geassocieerde landen gevestigde onderzoekers en dat slechts dan</w:t>
            </w:r>
            <w:r>
              <w:t xml:space="preserve"> openstaat voor talent </w:t>
            </w:r>
            <w:r>
              <w:rPr>
                <w:b/>
                <w:i/>
              </w:rPr>
              <w:t>van buiten de Unie wanneer dit nodig is vanwege duidelijk vastgestelde en gekwantificeerde vaardigheidstekorten en nadat alle mogelijkheden om een project van gelijkwaardige excellentie binnen het Uniekader te ondersteunen grondig zijn verkend</w:t>
            </w:r>
            <w:r>
              <w:t xml:space="preserve">, is van fundamenteel belang om </w:t>
            </w:r>
            <w:r>
              <w:rPr>
                <w:b/>
                <w:i/>
              </w:rPr>
              <w:t>prominente wetenschappers</w:t>
            </w:r>
            <w:r>
              <w:t xml:space="preserve"> aan te trekken </w:t>
            </w:r>
            <w:r>
              <w:rPr>
                <w:b/>
                <w:i/>
              </w:rPr>
              <w:t>en te behouden,</w:t>
            </w:r>
            <w:r>
              <w:t xml:space="preserve"> en van Europa nog meer een wereldwijd toonaangevend centrum voor onderzoek en innovatie te maken.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 Europese Onderzoeksraad (ERC) moet voorzien in aantrekkelijke en flexibele financiering, zodat getalenteerde en creatieve individuele onderzoekers de meest veelbelovende richtingen op </w:t>
            </w:r>
            <w:r>
              <w:rPr>
                <w:b/>
                <w:i/>
              </w:rPr>
              <w:t>de</w:t>
            </w:r>
            <w:r>
              <w:t xml:space="preserve"> wetenschappelijke grensgebieden kunnen verkennen</w:t>
            </w:r>
            <w:r>
              <w:rPr>
                <w:b/>
                <w:i/>
              </w:rPr>
              <w:t>, met een doelbewuste nadruk op de vorming van beginnende onderzoekers</w:t>
            </w:r>
            <w:r>
              <w:t xml:space="preserve">. Deze inzet voor door onderzoekers zelf aangestuurd </w:t>
            </w:r>
            <w:r>
              <w:rPr>
                <w:b/>
                <w:i/>
              </w:rPr>
              <w:t>onderzoek</w:t>
            </w:r>
            <w:r>
              <w:t xml:space="preserve">, dat wordt geselecteerd door middel van EU-brede concurrentie die uitsluitend gebaseerd is op het criterium van excellentie en openstaat voor talent, ongeacht nationaliteit of herkomst, is van fundamenteel belang om de </w:t>
            </w:r>
            <w:r>
              <w:rPr>
                <w:b/>
                <w:i/>
              </w:rPr>
              <w:t>knapste koppen ter wereld aan te trekken en</w:t>
            </w:r>
            <w:r>
              <w:t xml:space="preserve"> van Europa </w:t>
            </w:r>
            <w:r>
              <w:rPr>
                <w:b/>
                <w:i/>
              </w:rPr>
              <w:t>nog meer</w:t>
            </w:r>
            <w:r>
              <w:t xml:space="preserve"> een wereldwijd toonaangevend centrum voor onderzoek en innovatie te maken.</w:t>
            </w:r>
          </w:p>
        </w:tc>
        <w:tc>
          <w:tcPr>
            <w:tcW w:w="4876" w:type="dxa"/>
            <w:tcBorders>
              <w:top w:val="nil"/>
              <w:left w:val="nil"/>
              <w:bottom w:val="nil"/>
              <w:right w:val="nil"/>
            </w:tcBorders>
          </w:tcPr>
          <w:p>
            <w:pPr>
              <w:pStyle w:val="Normal6a"/>
            </w:pPr>
            <w:r>
              <w:t>(13)</w:t>
            </w:r>
            <w:r>
              <w:tab/>
            </w:r>
            <w:r>
              <w:t xml:space="preserve">De Europese Onderzoeksraad (ERC) moet voorzien in aantrekkelijke en flexibele financiering, zodat getalenteerde en creatieve individuele onderzoekers </w:t>
            </w:r>
            <w:r>
              <w:rPr>
                <w:b/>
                <w:i/>
              </w:rPr>
              <w:t>— met een nadruk op beginnende onderzoekers —</w:t>
            </w:r>
            <w:r>
              <w:t xml:space="preserve"> de meest veelbelovende richtingen op </w:t>
            </w:r>
            <w:r>
              <w:rPr>
                <w:b/>
                <w:i/>
              </w:rPr>
              <w:t>alle</w:t>
            </w:r>
            <w:r>
              <w:t xml:space="preserve"> wetenschappelijke grensgebieden kunnen verkennen. Deze inzet voor door onderzoekers zelf aangestuurd </w:t>
            </w:r>
            <w:r>
              <w:rPr>
                <w:b/>
                <w:i/>
              </w:rPr>
              <w:t>bottom-uponderzoek</w:t>
            </w:r>
            <w:r>
              <w:t xml:space="preserve">, dat wordt geselecteerd door middel van EU-brede concurrentie die uitsluitend gebaseerd is op het criterium van excellentie en openstaat voor talent, ongeacht nationaliteit of herkomst, is van fundamenteel belang om de </w:t>
            </w:r>
            <w:r>
              <w:rPr>
                <w:b/>
                <w:i/>
              </w:rPr>
              <w:t>de positie</w:t>
            </w:r>
            <w:r>
              <w:t xml:space="preserve"> van Europa </w:t>
            </w:r>
            <w:r>
              <w:rPr>
                <w:b/>
                <w:i/>
              </w:rPr>
              <w:t>als</w:t>
            </w:r>
            <w:r>
              <w:t xml:space="preserve"> een wereldwijd toonaangevend centrum voor onderzoek en innovatie te </w:t>
            </w:r>
            <w:r>
              <w:rPr>
                <w:b/>
                <w:i/>
              </w:rPr>
              <w:t>versterken en de knapste koppen ter wereld te blijven aantrekken en te behouden.</w:t>
            </w:r>
            <w:r>
              <w:t xml:space="preserve"> </w:t>
            </w:r>
            <w:r>
              <w:rPr>
                <w:b/>
                <w:i/>
              </w:rPr>
              <w:t>De ERC moet activiteiten op het gebied van outreach, mentorschap, capaciteitsopbouw en samenwerking blijven ontwikkelen en versterken, zodat de beste onderzoekers in de Unie vaker gebruik gaan</w:t>
            </w:r>
            <w:r>
              <w:t xml:space="preserve"> maken </w:t>
            </w:r>
            <w:r>
              <w:rPr>
                <w:b/>
                <w:i/>
              </w:rPr>
              <w:t>van ERC-instrumenten, voor alle aanvragers een gelijk speelveld wordt gecreëerd en het potentieel wordt verbreed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De Europese Onderzoeksraad (ERC) moet voorzien in aantrekkelijke en flexibele financiering, zodat getalenteerde en creatieve individuele onderzoekers de meest veelbelovende richtingen op </w:t>
            </w:r>
            <w:r>
              <w:rPr>
                <w:b/>
                <w:i/>
              </w:rPr>
              <w:t>de</w:t>
            </w:r>
            <w:r>
              <w:t xml:space="preserve"> wetenschappelijke grensgebieden kunnen verkennen, met een doelbewuste nadruk op de vorming van beginnende onderzoekers. Deze inzet voor door onderzoekers zelf aangestuurd onderzoek, dat wordt geselecteerd door middel van EU-brede concurrentie die uitsluitend gebaseerd is op het criterium van excellentie en openstaat voor talent, ongeacht nationaliteit of herkomst, is van fundamenteel belang om de knapste koppen ter wereld aan te trekken en van Europa nog meer een wereldwijd toonaangevend centrum voor onderzoek en innovatie te maken.</w:t>
            </w:r>
          </w:p>
        </w:tc>
        <w:tc>
          <w:tcPr>
            <w:tcW w:w="4876" w:type="dxa"/>
            <w:tcBorders>
              <w:top w:val="nil"/>
              <w:left w:val="nil"/>
              <w:bottom w:val="nil"/>
              <w:right w:val="nil"/>
            </w:tcBorders>
          </w:tcPr>
          <w:p>
            <w:pPr>
              <w:pStyle w:val="Normal6a"/>
            </w:pPr>
            <w:r>
              <w:t>(13)</w:t>
            </w:r>
            <w:r>
              <w:tab/>
            </w:r>
            <w:r>
              <w:t xml:space="preserve">De Europese Onderzoeksraad (ERC) moet voorzien in aantrekkelijke en flexibele financiering, zodat getalenteerde en creatieve individuele onderzoekers de meest veelbelovende richtingen op wetenschappelijke grensgebieden kunnen verkennen </w:t>
            </w:r>
            <w:r>
              <w:rPr>
                <w:b/>
                <w:i/>
              </w:rPr>
              <w:t>en innovatieve technologieën kunnen worden bevorderd</w:t>
            </w:r>
            <w:r>
              <w:t>, met een doelbewuste nadruk op de vorming van beginnende onderzoekers. Deze inzet voor door onderzoekers zelf aangestuurd onderzoek, dat wordt geselecteerd door middel van EU-brede concurrentie die uitsluitend gebaseerd is op het criterium van excellentie en openstaat voor talent, ongeacht nationaliteit of herkomst, is van fundamenteel belang om de knapste koppen ter wereld aan te trekken en van Europa nog meer een wereldwijd toonaangevend centrum voor onderzoek en innovatie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Dan Nica, 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Klinisch onderzoek is een belangrijk onderdeel van het onderzoeks- en innovatie-ecosysteem van de Unie en draagt in grote mate bij tot haar mondiale concurrentievermogen in de biowetenschappen en de gezondheidssector, alsook tot verbetering van de volksgezondheid.</w:t>
            </w:r>
            <w:r>
              <w:t xml:space="preserve"> </w:t>
            </w:r>
            <w:r>
              <w:rPr>
                <w:b/>
                <w:i/>
              </w:rPr>
              <w:t>Een beter gecoördineerde benadering van de organisatie en uitvoering van klinische proeven in de hele Unie, ook via samenwerkingsnetwerken van klinische locaties, gespecialiseerde laboratoria en community’s van patiënten, biedt de mogelijkheid om de fragmentatie te verminderen, de efficiëntie te verbeteren en de ontwikkeling van innovatieve therapieën te versnellen, en daarmee de capaciteiten van de Unie om grote uitdagingen op gezondheidsgebied aan te gaan, te versterken.</w:t>
            </w:r>
            <w:r>
              <w:t xml:space="preserve"> </w:t>
            </w:r>
            <w:r>
              <w:rPr>
                <w:b/>
                <w:i/>
              </w:rPr>
              <w:t>Onderzoek en innovatie kunnen een belangrijke rol spelen bij het verkennen en ontwikkelen van dergelijke benaderingen, waaronder het uitwerken van methoden, governancemodellen, datainfrastructuur en strategieën voor patiëntbetrokkenheid, waarbij tegelijk in acht genomen moet worden dat het programma een instrument voor onderzoek en innovatie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r>
              <w:rPr>
                <w:b/>
                <w:i/>
              </w:rPr>
              <w:t>.</w:t>
            </w:r>
          </w:p>
        </w:tc>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w:t>
            </w:r>
            <w:r>
              <w:rPr>
                <w:b/>
                <w:i/>
              </w:rPr>
              <w:t>Een van de uitdagingen van de Unie bestaat uit braindrain en de eenrichtingsmobiliteit van onderzoekers, hetgeen de economische, sociale en territoriale cohesie, en uiteindelijk de Europese Onderzoeksruimte, ondermijnt door excellentie te concentreren in een beperkt aantal centra in de Unie.</w:t>
            </w:r>
            <w:r>
              <w:t xml:space="preserve"> </w:t>
            </w:r>
            <w:r>
              <w:rPr>
                <w:b/>
                <w:i/>
              </w:rPr>
              <w:t>Op de lange termijn dreigt een dergelijke concentratie het concurrentievermogen en de veerkracht in het algemeen te ondermijnen.</w:t>
            </w:r>
            <w:r>
              <w:t xml:space="preserve"> Strategische investeringen in toponderzoekers en in hun opleiding, mobiliteit en loopbaanvooruitzichten binnen en buiten de academische wereld zijn </w:t>
            </w:r>
            <w:r>
              <w:rPr>
                <w:b/>
                <w:i/>
              </w:rPr>
              <w:t>derhalve</w:t>
            </w:r>
            <w:r>
              <w:t xml:space="preserve">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w:t>
            </w:r>
            <w:r>
              <w:rPr>
                <w:b/>
                <w:i/>
              </w:rPr>
              <w:t>Om deze trend te keren, in synergie met het kaderprogramma, moeten de investeringen uit hoofde van het cohesiebeleid in onderzoek en innovatie worden versterkt en beter worden gecoördineerd teneinde in alle regio’s te bouwen aan aantrekkelijke plaatsgebonden innovatie-ecosystemen, het “recht om te blijven” te ondersteunen en de eenrichtingsmobiliteit van onderzoekers te beperken.</w:t>
            </w:r>
            <w:r>
              <w:t xml:space="preserve"> Het programma moet de banden tussen universiteiten en innovatie-ecosystemen, met inbegrip van de particuliere sector, </w:t>
            </w:r>
            <w:r>
              <w:rPr>
                <w:b/>
                <w:i/>
              </w:rPr>
              <w:t>op nationaal, regionaal en lokaal niveau</w:t>
            </w:r>
            <w:r>
              <w:t xml:space="preserve"> versterken</w:t>
            </w:r>
            <w:r>
              <w:rPr>
                <w:b/>
                <w:i/>
              </w:rPr>
              <w:t>, hetgeen een echte braincirculation zou bevorderen door mobiliteitsmogelijkheden te combineren met maatregelen ter versterking van de regionale innovatie-ecosystemen en hun vermogen om O&amp;I-resultaten te absorberen en toe te passen</w:t>
            </w:r>
            <w:r>
              <w:t xml:space="preserve">. Het moet de voltooiing van de Europese onderzoeksruimte mogelijk maken, onder meer door de ontwikkeling van de capaciteit van de Europese hogeronderwijssector </w:t>
            </w:r>
            <w:r>
              <w:rPr>
                <w:b/>
                <w:i/>
              </w:rPr>
              <w:t>in alle regio’s van de Unie</w:t>
            </w:r>
            <w:r>
              <w:t xml:space="preserve">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w:t>
            </w:r>
            <w:r>
              <w:rPr>
                <w:b/>
                <w:i/>
              </w:rPr>
              <w:t>om</w:t>
            </w:r>
            <w:r>
              <w:t xml:space="preserve"> innovatie, economische veerkracht en maatschappelijk welzijn </w:t>
            </w:r>
            <w:r>
              <w:rPr>
                <w:b/>
                <w:i/>
              </w:rPr>
              <w:t>te ondersteunen</w:t>
            </w:r>
            <w:r>
              <w:t xml:space="preserve">.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w:t>
            </w:r>
            <w:r>
              <w:rPr>
                <w:b/>
                <w:i/>
              </w:rPr>
              <w:t>versterken</w:t>
            </w:r>
            <w:r>
              <w:t xml:space="preserve">. Het moet de voltooiing van de Europese onderzoeksruimte </w:t>
            </w:r>
            <w:r>
              <w:rPr>
                <w:b/>
                <w:i/>
              </w:rPr>
              <w:t>mogelijk maken</w:t>
            </w:r>
            <w:r>
              <w:t xml:space="preserve">, onder meer </w:t>
            </w:r>
            <w:r>
              <w:rPr>
                <w:b/>
                <w:i/>
              </w:rPr>
              <w:t>door</w:t>
            </w:r>
            <w:r>
              <w:t xml:space="preserve"> de ontwikkeling van de capaciteit van de Europese hogeronderwijssector om te concurreren met mondiale tegenhangers door middel van samenwerking, het koesteren </w:t>
            </w:r>
            <w:r>
              <w:rPr>
                <w:b/>
                <w:i/>
              </w:rPr>
              <w:t>en</w:t>
            </w:r>
            <w:r>
              <w:t xml:space="preserve"> aantrekken van talent en het aantrekken van meer particuliere investeringen </w:t>
            </w:r>
            <w:r>
              <w:rPr>
                <w:b/>
                <w:i/>
              </w:rPr>
              <w:t>en onder meer via initiatieven op het gebied van hoger onderwijs, zoals allianties van Europese universiteiten, in synergie met Erasmus+ en in overeenstemming met de doelstellingen en activiteiten van deze verordening</w:t>
            </w:r>
            <w:r>
              <w:t>.</w:t>
            </w:r>
          </w:p>
        </w:tc>
        <w:tc>
          <w:tcPr>
            <w:tcW w:w="4876" w:type="dxa"/>
            <w:tcBorders>
              <w:top w:val="nil"/>
              <w:left w:val="nil"/>
              <w:bottom w:val="nil"/>
              <w:right w:val="nil"/>
            </w:tcBorders>
          </w:tcPr>
          <w:p>
            <w:pPr>
              <w:pStyle w:val="Normal6a"/>
            </w:pPr>
            <w:r>
              <w:t>(14)</w:t>
            </w:r>
            <w:r>
              <w:tab/>
            </w:r>
            <w:r>
              <w:t xml:space="preserve">In een op kennis gebaseerde wereldeconomie moeten het concurrentievermogen, het </w:t>
            </w:r>
            <w:r>
              <w:rPr>
                <w:b/>
                <w:i/>
              </w:rPr>
              <w:t>wetenschappelijke en</w:t>
            </w:r>
            <w:r>
              <w:t xml:space="preserve"> technologische leiderschap en het vermogen van de Unie om </w:t>
            </w:r>
            <w:r>
              <w:rPr>
                <w:b/>
                <w:i/>
              </w:rPr>
              <w:t>Europese en</w:t>
            </w:r>
            <w:r>
              <w:t xml:space="preserve"> mondiale uitdagingen aan te pakken op lange termijn met name afhangen van haar vermogen om te zorgen voor het ontwikkelen, het aantrekken en het behouden van hooggekwalificeerde onderzoekers met internationale connecties </w:t>
            </w:r>
            <w:r>
              <w:rPr>
                <w:b/>
                <w:i/>
              </w:rPr>
              <w:t>in de hele Unie</w:t>
            </w:r>
            <w:r>
              <w:t xml:space="preserve">. Strategische investeringen in toponderzoekers en in hun opleiding, mobiliteit en loopbaanvooruitzichten binnen en buiten de academische wereld zijn van essentieel belang </w:t>
            </w:r>
            <w:r>
              <w:rPr>
                <w:b/>
                <w:i/>
              </w:rPr>
              <w:t>voor de bevordering van wetenschappelijke doorbraken op het gebied van O&amp;I die leiden tot</w:t>
            </w:r>
            <w:r>
              <w:t xml:space="preserve"> innovatie, economische veerkracht en maatschappelijk welzijn. Overeenkomstig de beginselen van het Europees Handvest voor onderzoekers zijn de Marie Skłodowska-Curie-acties (MSCA’s) van groot belang om de verwezenlijking van deze doelstelling dichterbij te brengen </w:t>
            </w:r>
            <w:r>
              <w:rPr>
                <w:b/>
                <w:i/>
              </w:rPr>
              <w:t>en deze acties hebben vanwege hun sterke opleidingscomponent een enorm potentieel om de onderzoeksbasis te versterken in lidstaten en regio’s waar minder onderzoek wordt gedaan</w:t>
            </w:r>
            <w:r>
              <w:t xml:space="preserve">. Het programma moet de banden </w:t>
            </w:r>
            <w:r>
              <w:rPr>
                <w:b/>
                <w:i/>
              </w:rPr>
              <w:t>versterken</w:t>
            </w:r>
            <w:r>
              <w:t xml:space="preserve"> tussen </w:t>
            </w:r>
            <w:r>
              <w:rPr>
                <w:b/>
                <w:i/>
              </w:rPr>
              <w:t>onderzoeksorganisaties,</w:t>
            </w:r>
            <w:r>
              <w:t xml:space="preserve"> universiteiten </w:t>
            </w:r>
            <w:r>
              <w:rPr>
                <w:b/>
                <w:i/>
              </w:rPr>
              <w:t>en andere hogeronderwijs- en opleidingsinstellingen,</w:t>
            </w:r>
            <w:r>
              <w:t xml:space="preserve"> en innovatie-ecosystemen, met inbegrip van de particuliere sector, </w:t>
            </w:r>
            <w:r>
              <w:rPr>
                <w:b/>
                <w:i/>
              </w:rPr>
              <w:t>waarbij specifiek de nadruk moet liggen op kmo’s en innovatieve start-ups, en waarbij de veiligheid, onderzoeksveiligheid en de doelstellingen op het gebied van technologische soevereiniteit in acht genomen moeten worden</w:t>
            </w:r>
            <w:r>
              <w:t xml:space="preserve">. Het moet </w:t>
            </w:r>
            <w:r>
              <w:rPr>
                <w:b/>
                <w:i/>
              </w:rPr>
              <w:t>bijdragen tot</w:t>
            </w:r>
            <w:r>
              <w:t xml:space="preserve"> de voltooiing van de Europese onderzoeksruimte </w:t>
            </w:r>
            <w:r>
              <w:rPr>
                <w:b/>
                <w:i/>
              </w:rPr>
              <w:t>en tot de ontwikkeling van synergieën met de hogeronderwijsdimensie van de Europese onderzoeksruimte</w:t>
            </w:r>
            <w:r>
              <w:t xml:space="preserve">, onder meer </w:t>
            </w:r>
            <w:r>
              <w:rPr>
                <w:b/>
                <w:i/>
              </w:rPr>
              <w:t>via de allianties van Europese universiteiten en Erasmus+.</w:t>
            </w:r>
            <w:r>
              <w:t xml:space="preserve"> </w:t>
            </w:r>
            <w:r>
              <w:rPr>
                <w:b/>
                <w:i/>
              </w:rPr>
              <w:t>Dit met het oog op het bevorderen van</w:t>
            </w:r>
            <w:r>
              <w:t> de ontwikkeling van de capaciteit van de Europese hogeronderwijssector om te concurreren met mondiale tegenhangers</w:t>
            </w:r>
            <w:r>
              <w:rPr>
                <w:b/>
                <w:i/>
              </w:rPr>
              <w:t>, het versterken van gezamenlijk onderzoek</w:t>
            </w:r>
            <w:r>
              <w:t xml:space="preserve"> door middel van samenwerking, het koesteren</w:t>
            </w:r>
            <w:r>
              <w:rPr>
                <w:b/>
                <w:i/>
              </w:rPr>
              <w:t>,</w:t>
            </w:r>
            <w:r>
              <w:t xml:space="preserve"> aantrekken </w:t>
            </w:r>
            <w:r>
              <w:rPr>
                <w:b/>
                <w:i/>
              </w:rPr>
              <w:t>en behouden</w:t>
            </w:r>
            <w:r>
              <w:t xml:space="preserve"> van talent</w:t>
            </w:r>
            <w:r>
              <w:rPr>
                <w:b/>
                <w:i/>
              </w:rPr>
              <w:t>,</w:t>
            </w:r>
            <w:r>
              <w:t xml:space="preserve"> en het aantrekken van meer particuliere investeringen.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Morten Løkkegaard, Brigitte van den Berg,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 </w:t>
            </w:r>
            <w:r>
              <w:rPr>
                <w:b/>
                <w:i/>
              </w:rPr>
              <w:t>Synergieën met Erasmus+ moeten ervoor zorgen dat Europese hogeronderwijsinstellingen worden versterkt en gemoderniseerd met middelen uit beide programma’s.</w:t>
            </w:r>
            <w:r>
              <w:t xml:space="preserve"> </w:t>
            </w:r>
            <w:r>
              <w:rPr>
                <w:b/>
                <w:i/>
              </w:rPr>
              <w:t>Horizon Europa kan Erasmus+-acties aanvullen, waaronder de allianties van Europese universiteiten, door bij te dragen aan geïntegreerde langetermijnstrategieën voor onderwijs, onderzoek en innovatie, en daarmee te bevorderen dat er nauwere banden ontstaan tussen onderwijs en onderzoek, met name binnen hogeronderwijsinstellingen.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w:t>
            </w:r>
            <w:r>
              <w:rPr>
                <w:b/>
                <w:i/>
              </w:rPr>
              <w:t>en maatschappelijk welzijn</w:t>
            </w:r>
            <w:r>
              <w:t xml:space="preserve">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w:t>
            </w:r>
            <w:r>
              <w:rPr>
                <w:b/>
                <w:i/>
              </w:rPr>
              <w:t>de voltooiing van</w:t>
            </w:r>
            <w:r>
              <w:t xml:space="preserve"> de Europese onderzoeksruimte mogelijk maken, onder meer door de ontwikkeling van de capaciteit van de Europese hogeronderwijssector om te concurreren met mondiale tegenhangers door middel van samenwerking, het koesteren en </w:t>
            </w:r>
            <w:r>
              <w:rPr>
                <w:b/>
                <w:i/>
              </w:rPr>
              <w:t>aantrekken</w:t>
            </w:r>
            <w:r>
              <w:t xml:space="preserve">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w:t>
            </w:r>
            <w:r>
              <w:rPr>
                <w:b/>
                <w:i/>
              </w:rPr>
              <w:t>, als prioriteit,</w:t>
            </w:r>
            <w:r>
              <w:t xml:space="preserve"> het behouden van hooggekwalificeerde onderzoekers met internationale connecties</w:t>
            </w:r>
            <w:r>
              <w:rPr>
                <w:b/>
                <w:i/>
              </w:rPr>
              <w:t>, waarbij er tegelijk op wordt toegezien dat het aantrekken van talent uit derde landen strikt beperkt blijft tot het hoogste niveau van wetenschappelijke excellentie, gericht is op duidelijk vastgestelde en gekwantificeerde vaardigheidstekorten, en niet leidt tot grootschalige of ongedifferentieerde academische migratie</w:t>
            </w:r>
            <w:r>
              <w:t>. Strategische investeringen in toponderzoekers en in hun opleiding, mobiliteit en loopbaanvooruitzichten binnen en buiten de academische wereld zijn van essentieel belang om innovatie, economische veerkracht</w:t>
            </w:r>
            <w:r>
              <w:rPr>
                <w:b/>
                <w:i/>
              </w:rPr>
              <w:t>, wetenschappelijk leiderschap, een technologische inhaalslag en innovatiecapaciteit</w:t>
            </w:r>
            <w:r>
              <w:t xml:space="preserve">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w:t>
            </w:r>
            <w:r>
              <w:rPr>
                <w:b/>
                <w:i/>
              </w:rPr>
              <w:t>betere coördinatie en interoperabiliteit binnen</w:t>
            </w:r>
            <w:r>
              <w:t xml:space="preserve"> de Europese onderzoeksruimte mogelijk maken</w:t>
            </w:r>
            <w:r>
              <w:rPr>
                <w:b/>
                <w:i/>
              </w:rPr>
              <w:t>, zonder afbreuk te doen aan de bevoegdheden van de lidstaten</w:t>
            </w:r>
            <w:r>
              <w:t xml:space="preserve">, onder meer door de ontwikkeling van de capaciteit van de Europese hogeronderwijssector om te concurreren met mondiale tegenhangers door middel van samenwerking, het koesteren en </w:t>
            </w:r>
            <w:r>
              <w:rPr>
                <w:b/>
                <w:i/>
              </w:rPr>
              <w:t>behouden</w:t>
            </w:r>
            <w:r>
              <w:t xml:space="preserve">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w:t>
            </w:r>
            <w:r>
              <w:rPr>
                <w:b/>
                <w:i/>
              </w:rPr>
              <w:t>om</w:t>
            </w:r>
            <w:r>
              <w:t xml:space="preserve"> innovatie, economische veerkracht en maatschappelijk welzijn </w:t>
            </w:r>
            <w:r>
              <w:rPr>
                <w:b/>
                <w:i/>
              </w:rPr>
              <w:t>te ondersteunen</w:t>
            </w:r>
            <w:r>
              <w:t xml:space="preserve">.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w:t>
            </w:r>
            <w:r>
              <w:rPr>
                <w:b/>
                <w:i/>
              </w:rPr>
              <w:t>versterken</w:t>
            </w:r>
            <w:r>
              <w:t xml:space="preserve">. Het moet de voltooiing van de Europese onderzoeksruimte </w:t>
            </w:r>
            <w:r>
              <w:rPr>
                <w:b/>
                <w:i/>
              </w:rPr>
              <w:t>mogelijk maken</w:t>
            </w:r>
            <w:r>
              <w:t xml:space="preserve">, onder meer </w:t>
            </w:r>
            <w:r>
              <w:rPr>
                <w:b/>
                <w:i/>
              </w:rPr>
              <w:t>door</w:t>
            </w:r>
            <w:r>
              <w:t xml:space="preserve"> de ontwikkeling van de capaciteit van de Europese hogeronderwijssector om te concurreren met mondiale tegenhangers door middel van samenwerking, het koesteren </w:t>
            </w:r>
            <w:r>
              <w:rPr>
                <w:b/>
                <w:i/>
              </w:rPr>
              <w:t>en</w:t>
            </w:r>
            <w:r>
              <w:t xml:space="preserve"> aantrekken van talent en het aantrekken van meer particuliere investeringen </w:t>
            </w:r>
            <w:r>
              <w:rPr>
                <w:b/>
                <w:i/>
              </w:rPr>
              <w:t>en onder meer via initiatieven op het gebied van hoger onderwijs, zoals allianties van Europese universiteiten, in synergie met Erasmus+ en in overeenstemming met de doelstellingen en activiteiten van deze verordening</w:t>
            </w:r>
            <w:r>
              <w:t>.</w:t>
            </w:r>
          </w:p>
        </w:tc>
        <w:tc>
          <w:tcPr>
            <w:tcW w:w="4876" w:type="dxa"/>
            <w:tcBorders>
              <w:top w:val="nil"/>
              <w:left w:val="nil"/>
              <w:bottom w:val="nil"/>
              <w:right w:val="nil"/>
            </w:tcBorders>
          </w:tcPr>
          <w:p>
            <w:pPr>
              <w:pStyle w:val="Normal6a"/>
            </w:pPr>
            <w:r>
              <w:t>(14)</w:t>
            </w:r>
            <w:r>
              <w:tab/>
            </w:r>
            <w:r>
              <w:t xml:space="preserve">In een op kennis gebaseerde wereldeconomie moeten het concurrentievermogen, het </w:t>
            </w:r>
            <w:r>
              <w:rPr>
                <w:b/>
                <w:i/>
              </w:rPr>
              <w:t>wetenschappelijke en</w:t>
            </w:r>
            <w:r>
              <w:t xml:space="preserve"> technologische leiderschap en het vermogen van de Unie om </w:t>
            </w:r>
            <w:r>
              <w:rPr>
                <w:b/>
                <w:i/>
              </w:rPr>
              <w:t>Europese en</w:t>
            </w:r>
            <w:r>
              <w:t xml:space="preserve"> mondiale uitdagingen aan te pakken op lange termijn met name afhangen van haar vermogen om te zorgen voor het ontwikkelen, het aantrekken en het behouden van hooggekwalificeerde onderzoekers met internationale connecties </w:t>
            </w:r>
            <w:r>
              <w:rPr>
                <w:b/>
                <w:i/>
              </w:rPr>
              <w:t>in de hele Unie</w:t>
            </w:r>
            <w:r>
              <w:t xml:space="preserve">. Strategische investeringen in toponderzoekers en in hun opleiding, mobiliteit en loopbaanvooruitzichten binnen en buiten de academische wereld zijn van essentieel belang </w:t>
            </w:r>
            <w:r>
              <w:rPr>
                <w:b/>
                <w:i/>
              </w:rPr>
              <w:t>voor de bevordering van wetenschappelijke doorbraken op het gebied van O&amp;I die leiden tot</w:t>
            </w:r>
            <w:r>
              <w:t xml:space="preserve"> innovatie, economische</w:t>
            </w:r>
            <w:r>
              <w:rPr>
                <w:b/>
                <w:i/>
              </w:rPr>
              <w:t>, maatschappelijke en ecologische</w:t>
            </w:r>
            <w:r>
              <w:t xml:space="preserve"> veerkracht</w:t>
            </w:r>
            <w:r>
              <w:rPr>
                <w:b/>
                <w:i/>
              </w:rPr>
              <w:t>,</w:t>
            </w:r>
            <w:r>
              <w:t xml:space="preserve"> en maatschappelijk welzijn. Overeenkomstig de beginselen van het Europees Handvest voor onderzoekers zijn de Marie Skłodowska-Curie-acties (MSCA’s) van groot belang om de verwezenlijking van deze doelstelling dichterbij te brengen. Het programma moet de banden </w:t>
            </w:r>
            <w:r>
              <w:rPr>
                <w:b/>
                <w:i/>
              </w:rPr>
              <w:t>versterken</w:t>
            </w:r>
            <w:r>
              <w:t xml:space="preserve"> tussen </w:t>
            </w:r>
            <w:r>
              <w:rPr>
                <w:b/>
                <w:i/>
              </w:rPr>
              <w:t>onderzoeksorganisaties,</w:t>
            </w:r>
            <w:r>
              <w:t xml:space="preserve"> universiteiten </w:t>
            </w:r>
            <w:r>
              <w:rPr>
                <w:b/>
                <w:i/>
              </w:rPr>
              <w:t>en andere hogeronderwijs- en opleidingsinstellingen,</w:t>
            </w:r>
            <w:r>
              <w:t xml:space="preserve"> en innovatie-ecosystemen, met inbegrip van de particuliere sector, </w:t>
            </w:r>
            <w:r>
              <w:rPr>
                <w:b/>
                <w:i/>
              </w:rPr>
              <w:t>waarbij de veiligheid, onderzoeksveiligheid en de doelstellingen op het gebied van technologische soevereiniteit in acht genomen moeten worden</w:t>
            </w:r>
            <w:r>
              <w:t xml:space="preserve">. Het moet </w:t>
            </w:r>
            <w:r>
              <w:rPr>
                <w:b/>
                <w:i/>
              </w:rPr>
              <w:t>bijdragen tot</w:t>
            </w:r>
            <w:r>
              <w:t xml:space="preserve"> de voltooiing van de Europese onderzoeksruimte </w:t>
            </w:r>
            <w:r>
              <w:rPr>
                <w:b/>
                <w:i/>
              </w:rPr>
              <w:t>en tot de ontwikkeling van synergieën met de hogeronderwijsdimensie van de Europese onderzoeksruimte</w:t>
            </w:r>
            <w:r>
              <w:t xml:space="preserve">, onder meer </w:t>
            </w:r>
            <w:r>
              <w:rPr>
                <w:b/>
                <w:i/>
              </w:rPr>
              <w:t>via de allianties van Europese universiteiten en Erasmus+.</w:t>
            </w:r>
            <w:r>
              <w:t xml:space="preserve"> </w:t>
            </w:r>
            <w:r>
              <w:rPr>
                <w:b/>
                <w:i/>
              </w:rPr>
              <w:t>Dit met het oog op het bevorderen van</w:t>
            </w:r>
            <w:r>
              <w:t xml:space="preserve"> de ontwikkeling van de capaciteit van de Europese hogeronderwijssector om te concurreren met mondiale tegenhangers</w:t>
            </w:r>
            <w:r>
              <w:rPr>
                <w:b/>
                <w:i/>
              </w:rPr>
              <w:t>,</w:t>
            </w:r>
            <w:r>
              <w:t xml:space="preserve"> door middel van samenwerking, het koesteren</w:t>
            </w:r>
            <w:r>
              <w:rPr>
                <w:b/>
                <w:i/>
              </w:rPr>
              <w:t>,</w:t>
            </w:r>
            <w:r>
              <w:t xml:space="preserve"> aantrekken </w:t>
            </w:r>
            <w:r>
              <w:rPr>
                <w:b/>
                <w:i/>
              </w:rPr>
              <w:t>en behouden</w:t>
            </w:r>
            <w:r>
              <w:t xml:space="preserve"> van talent</w:t>
            </w:r>
            <w:r>
              <w:rPr>
                <w:b/>
                <w:i/>
              </w:rPr>
              <w:t>,</w:t>
            </w:r>
            <w:r>
              <w:t xml:space="preserve"> en het aantrekken van meer particuliere investeringen.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w:t>
            </w:r>
            <w:r>
              <w:rPr>
                <w:b/>
                <w:i/>
              </w:rPr>
              <w:t>om</w:t>
            </w:r>
            <w:r>
              <w:t xml:space="preserve"> innovatie, economische veerkracht en maatschappelijk welzijn </w:t>
            </w:r>
            <w:r>
              <w:rPr>
                <w:b/>
                <w:i/>
              </w:rPr>
              <w:t>te ondersteunen</w:t>
            </w:r>
            <w:r>
              <w:t xml:space="preserve">.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w:t>
            </w:r>
            <w:r>
              <w:rPr>
                <w:b/>
                <w:i/>
              </w:rPr>
              <w:t>mogelijk maken</w:t>
            </w:r>
            <w:r>
              <w:t xml:space="preserve">, onder meer </w:t>
            </w:r>
            <w:r>
              <w:rPr>
                <w:b/>
                <w:i/>
              </w:rPr>
              <w:t>door</w:t>
            </w:r>
            <w:r>
              <w:t xml:space="preserve"> de ontwikkeling van de capaciteit van de Europese hogeronderwijssector om te concurreren met mondiale tegenhangers door middel van samenwerking, het koesteren en aantrekken van talent en het aantrekken van meer particuliere investeringen </w:t>
            </w:r>
            <w:r>
              <w:rPr>
                <w:b/>
                <w:i/>
              </w:rPr>
              <w:t>en onder meer via initiatieven op het gebied van hoger onderwijs, zoals allianties van Europese universiteiten, in synergie met Erasmus+ en in overeenstemming met de doelstellingen en activiteiten van deze verordening</w:t>
            </w:r>
            <w:r>
              <w:t>.</w:t>
            </w:r>
          </w:p>
        </w:tc>
        <w:tc>
          <w:tcPr>
            <w:tcW w:w="4876" w:type="dxa"/>
            <w:tcBorders>
              <w:top w:val="nil"/>
              <w:left w:val="nil"/>
              <w:bottom w:val="nil"/>
              <w:right w:val="nil"/>
            </w:tcBorders>
          </w:tcPr>
          <w:p>
            <w:pPr>
              <w:pStyle w:val="Normal6a"/>
            </w:pPr>
            <w:r>
              <w:t>(14)</w:t>
            </w:r>
            <w:r>
              <w:tab/>
            </w:r>
            <w:r>
              <w:t xml:space="preserve">In een op kennis gebaseerde wereldeconomie moeten het concurrentievermogen, het </w:t>
            </w:r>
            <w:r>
              <w:rPr>
                <w:b/>
                <w:i/>
              </w:rPr>
              <w:t>wetenschappelijke en</w:t>
            </w:r>
            <w:r>
              <w:t xml:space="preserve"> technologische leiderschap en het vermogen van de Unie om mondiale uitdagingen aan te pakken op lange termijn met name afhangen van haar vermogen om te zorgen voor het ontwikkelen, het aantrekken en het behouden </w:t>
            </w:r>
            <w:r>
              <w:rPr>
                <w:b/>
                <w:i/>
              </w:rPr>
              <w:t>in de hele Unie</w:t>
            </w:r>
            <w:r>
              <w:t xml:space="preserve"> van hooggekwalificeerde onderzoekers met internationale connecties</w:t>
            </w:r>
            <w:r>
              <w:rPr>
                <w:b/>
                <w:i/>
              </w:rPr>
              <w:t>, waarbij veiligheidsoverwegingen in acht genomen moeten worden</w:t>
            </w:r>
            <w:r>
              <w:t xml:space="preserve">. Strategische investeringen in toponderzoekers en in hun opleiding, mobiliteit en loopbaanvooruitzichten binnen en buiten de academische wereld zijn van essentieel belang </w:t>
            </w:r>
            <w:r>
              <w:rPr>
                <w:b/>
                <w:i/>
              </w:rPr>
              <w:t>voor de bevordering van wetenschappelijke doorbraken die leiden tot</w:t>
            </w:r>
            <w:r>
              <w:t xml:space="preserve"> innovatie, economische veerkracht en maatschappelijk welzijn. Overeenkomstig de beginselen van het Europees Handvest voor onderzoekers zijn de Marie Skłodowska-Curie-acties (MSCA’s) van groot belang om de verwezenlijking van deze doelstelling dichterbij te brengen. Het programma moet de banden tussen </w:t>
            </w:r>
            <w:r>
              <w:rPr>
                <w:b/>
                <w:i/>
              </w:rPr>
              <w:t>onderzoeksorganisaties,</w:t>
            </w:r>
            <w:r>
              <w:t xml:space="preserve"> universiteiten en innovatie-ecosystemen, met inbegrip van de particuliere sector, versterken. Het moet </w:t>
            </w:r>
            <w:r>
              <w:rPr>
                <w:b/>
                <w:i/>
              </w:rPr>
              <w:t>bijdragen tot</w:t>
            </w:r>
            <w:r>
              <w:t xml:space="preserve"> de voltooiing van de Europese onderzoeksruimte </w:t>
            </w:r>
            <w:r>
              <w:rPr>
                <w:b/>
                <w:i/>
              </w:rPr>
              <w:t>en ondervertegenwoordigde regio’s en landen en tot de ontwikkeling van synergieën met de hogeronderwijsdimensie van de Europese onderzoeksruimte</w:t>
            </w:r>
            <w:r>
              <w:t xml:space="preserve">, onder meer </w:t>
            </w:r>
            <w:r>
              <w:rPr>
                <w:b/>
                <w:i/>
              </w:rPr>
              <w:t>via het Europees Instituut voor innovatie en technologie, de allianties van Europese universiteiten en Erasmus+.</w:t>
            </w:r>
            <w:r>
              <w:t xml:space="preserve"> </w:t>
            </w:r>
            <w:r>
              <w:rPr>
                <w:b/>
                <w:i/>
              </w:rPr>
              <w:t>Dit met het oog op het bevorderen van</w:t>
            </w:r>
            <w:r>
              <w:t xml:space="preserve"> de ontwikkeling van de capaciteit van de Europese hogeronderwijssector om te concurreren met mondiale tegenhangers</w:t>
            </w:r>
            <w:r>
              <w:rPr>
                <w:b/>
                <w:i/>
              </w:rPr>
              <w:t>,</w:t>
            </w:r>
            <w:r>
              <w:t xml:space="preserve"> door middel van samenwerking, het koesteren en aantrekken van talent</w:t>
            </w:r>
            <w:r>
              <w:rPr>
                <w:b/>
                <w:i/>
              </w:rPr>
              <w:t>,</w:t>
            </w:r>
            <w:r>
              <w:t xml:space="preserve"> en het aantrekken van meer particuliere investeringen.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w:t>
            </w:r>
            <w:r>
              <w:rPr>
                <w:b/>
                <w:i/>
              </w:rPr>
              <w:t>en</w:t>
            </w:r>
            <w:r>
              <w:t xml:space="preserve"> onder meer via initiatieven op het gebied van hoger onderwijs, zoals allianties van Europese universiteiten, in synergie met Erasmus+ en in overeenstemming met de doelstellingen en activiteiten van deze verordening.</w:t>
            </w:r>
          </w:p>
        </w:tc>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w:t>
            </w:r>
            <w:r>
              <w:rPr>
                <w:b/>
                <w:i/>
              </w:rPr>
              <w:t>en permanente bijscholing om te waarborgen dat de benodigde professionals op de middellange en lange termijn beschikbaar zijn, alsook</w:t>
            </w:r>
            <w:r>
              <w:t xml:space="preserve">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w:t>
            </w:r>
            <w:r>
              <w:rPr>
                <w:b/>
                <w:i/>
              </w:rPr>
              <w:t>, ook door restrictieve geografische of institutionele criteria te vermijden teneinde te zorgen voor volledige openheid voor talent uit de hele wereld,</w:t>
            </w:r>
            <w:r>
              <w:t xml:space="preserve"> </w:t>
            </w:r>
            <w:r>
              <w:rPr>
                <w:b/>
                <w:i/>
              </w:rPr>
              <w:t>en door meer particuliere investeringen aan te trekken,</w:t>
            </w:r>
            <w:r>
              <w:t xml:space="preserve"> onder meer via initiatieven op het gebied van hoger onderwijs, zoals allianties van Europese universiteiten, in synergie met Erasmus+ en in overeenstemming met de doelstellingen en activiteiten van deze verordening.</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Permanente opleiding en bijscholing van onderzoekers op alle gebieden is van essentieel belang om te voorzien in de behoeften aan professionals op middellange en lange termijn, alsook voor hun mobiliteit en loopbaanvooruitzichten, zowel binnen als buiten de academische wereld.</w:t>
      </w:r>
    </w:p>
    <w:p>
      <w:r>
        <w:rPr>
          <w:rStyle w:val="HideTWBExt"/>
        </w:rPr>
        <w:t>&lt;/Amend&gt;</w:t>
      </w:r>
    </w:p>
    <w:p>
      <w:pPr>
        <w:pStyle w:val="AmNumberTabs"/>
      </w:pPr>
      <w:r>
        <w:rPr>
          <w:rStyle w:val="HideTWBExt"/>
        </w:rPr>
        <w:t>&lt;Amend&gt;</w:t>
      </w:r>
      <w:r>
        <w:t>Amendement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w:t>
            </w:r>
            <w:r>
              <w:rPr>
                <w:b/>
                <w:i/>
              </w:rPr>
              <w:t>.</w:t>
            </w:r>
            <w:r>
              <w:t xml:space="preserve"> </w:t>
            </w:r>
            <w:r>
              <w:rPr>
                <w:b/>
                <w:i/>
              </w:rPr>
              <w:t>Deze strategische investering moet tevens bijdragen tot stabiele en aantrekkelijke loopbanen, een billijke vergoeding, fatsoenlijke arbeidsvoorwaarden, collectieve rechten, gelijke behandeling en maatregelen tegen onzekere banen in de onderzoekssector en het hoger onderwijs</w:t>
            </w:r>
            <w:r>
              <w:t>.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w:t>
            </w:r>
            <w:r>
              <w:rPr>
                <w:b/>
                <w:i/>
              </w:rPr>
              <w:t>fundamenteel en toegepast onderzoek,</w:t>
            </w:r>
            <w:r>
              <w:t xml:space="preserve">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w:t>
            </w:r>
            <w:r>
              <w:rPr>
                <w:b/>
                <w:i/>
              </w:rPr>
              <w:t>publiek-private partnerschappen,</w:t>
            </w:r>
            <w:r>
              <w:t xml:space="preserve"> onder meer via initiatieven op het gebied van hoger onderwijs, zoals allianties van Europese universiteiten, </w:t>
            </w:r>
            <w:r>
              <w:rPr>
                <w:b/>
                <w:i/>
              </w:rPr>
              <w:t>waarbij duurzame stedelijke ontwikkeling, klimaatadaptatie en territoriale innovatie centraal staan,</w:t>
            </w:r>
            <w:r>
              <w:t xml:space="preserve"> in synergie met Erasmus+ en in overeenstemming met de doelstellingen en activiteiten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c>
          <w:tcPr>
            <w:tcW w:w="4876" w:type="dxa"/>
            <w:tcBorders>
              <w:top w:val="nil"/>
              <w:left w:val="nil"/>
              <w:bottom w:val="nil"/>
              <w:right w:val="nil"/>
            </w:tcBorders>
          </w:tcPr>
          <w:p>
            <w:pPr>
              <w:pStyle w:val="Normal6a"/>
            </w:pPr>
            <w:r>
              <w:t>(14)</w:t>
            </w:r>
            <w:r>
              <w:tab/>
            </w:r>
            <w:r>
              <w:t xml:space="preserve">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w:t>
            </w:r>
            <w:r>
              <w:rPr>
                <w:b/>
                <w:i/>
              </w:rPr>
              <w:t>aantrekkelijke</w:t>
            </w:r>
            <w:r>
              <w:t xml:space="preserve"> loopbaanvooruitzichten binnen en buiten de academische wereld zijn van essentieel belang om </w:t>
            </w:r>
            <w:r>
              <w:rPr>
                <w:b/>
                <w:i/>
              </w:rPr>
              <w:t>fundamenteel en toegepast onderzoek,</w:t>
            </w:r>
            <w:r>
              <w:t xml:space="preserve">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w:t>
            </w:r>
            <w:r>
              <w:rPr>
                <w:b/>
                <w:i/>
              </w:rPr>
              <w:t>publiek-private partnerschappen,</w:t>
            </w:r>
            <w:r>
              <w:t xml:space="preserve"> onder meer via initiatieven op het gebied van hoger onderwijs, zoals allianties van Europese universiteiten, in synergie met Erasmus+ en in overeenstemming met de doelstellingen en activiteiten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c>
          <w:tcPr>
            <w:tcW w:w="4876" w:type="dxa"/>
            <w:tcBorders>
              <w:top w:val="nil"/>
              <w:left w:val="nil"/>
              <w:bottom w:val="nil"/>
              <w:right w:val="nil"/>
            </w:tcBorders>
          </w:tcPr>
          <w:p>
            <w:pPr>
              <w:pStyle w:val="Normal6a"/>
            </w:pPr>
            <w:r>
              <w:t>(14)</w:t>
            </w:r>
            <w:r>
              <w:tab/>
            </w:r>
            <w:r>
              <w:t>In een op kennis gebaseerde wereldeconomie moeten het concurrentievermogen, het technologische leiderschap en het vermogen van de Unie om mondiale uitdagingen aan te pakken op lange termijn met name afhangen van haar vermogen om te zorgen voor het ontwikkelen, het aantrekken en het behouden van hooggekwalificeerde onderzoekers met internationale connecties. Strategische investeringen in toponderzoekers en in hun opleiding, mobiliteit en loopbaanvooruitzichten binnen en buiten de academische wereld zijn van essentieel belang om innovatie, economische veerkracht en maatschappelijk welzijn te ondersteunen. Overeenkomstig de beginselen van het Europees Handvest voor onderzoekers zijn de Marie Skłodowska-Curie-acties (MSCA’s) van groot belang om de verwezenlijking van deze doelstelling dichterbij te brengen. Het programma moet de banden tussen universiteiten en innovatie-ecosystemen, met inbegrip van de particuliere sector, versterken</w:t>
            </w:r>
            <w:r>
              <w:rPr>
                <w:b/>
                <w:i/>
              </w:rPr>
              <w:t>, en lokale en regionale ecosystemen met elkaar verbinden</w:t>
            </w:r>
            <w:r>
              <w:t>. Het moet de voltooiing van de Europese onderzoeksruimte mogelijk maken, onder meer door de ontwikkeling van de capaciteit van de Europese hogeronderwijssector om te concurreren met mondiale tegenhangers door middel van samenwerking, het koesteren en aantrekken van talent en het aantrekken van meer particuliere investeringen en onder meer via initiatieven op het gebied van hoger onderwijs, zoals allianties van Europese universiteiten, in synergie met Erasmus+ en in overeenstemming met de doelstellingen en activiteiten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Brigitte van den Berg, Ivars Ijabs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Met het oog op een maximale maatschappelijke en economische impact van onderzoek en innovatie in de Unie moet het programma de effectieve verspreiding, toepassing en valorisatie van resultaten bevorderen, onder meer door de ontwikkeling van relevante vaardigheden die niet-onderzoeksactoren in staat stellen deze resultaten te gebruiken.</w:t>
            </w:r>
            <w:r>
              <w:t xml:space="preserve"> </w:t>
            </w:r>
            <w:r>
              <w:rPr>
                <w:b/>
                <w:i/>
              </w:rPr>
              <w:t>In dit verband moeten onderzoeks- en innovatieacties, met name acties met een sterke toegepaste dimensie, indien van toepassing, een benadering met meerdere actoren volgen door veel verschillende belanghebbenden bij alle fasen van het project te betrekken.</w:t>
            </w:r>
            <w:r>
              <w:t xml:space="preserve"> </w:t>
            </w:r>
            <w:r>
              <w:rPr>
                <w:b/>
                <w:i/>
              </w:rPr>
              <w:t>Voorts moet het programma instellingen voor beroepsonderwijs en -opleiding, waaronder kenniscentra voor beroepsopleiding en andere opleidingscentra, in het kader van samenwerkingsprojecten stimuleren tot deelname.</w:t>
            </w:r>
            <w:r>
              <w:t xml:space="preserve"> </w:t>
            </w:r>
            <w:r>
              <w:rPr>
                <w:b/>
                <w:i/>
              </w:rPr>
              <w:t>Hun betrokkenheid kan het gemakkelijker maken om onderzoeksresultaten te vertalen in praktische toepassingen, de ontwikkeling van op behoeften afgestemde vaardigheden te ondersteunen en te zorgen voor meer verspreiding en toepassing van innovatieve oplossingen in alle sectoren en regio’s.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Om de langetermijnvisie voor leiderschap van de Unie op het gebied van O&amp;I te kunnen realiseren, moet het programma steun bieden aan grootschalige, door onderzoekers aangestuurde bottom-up-samenwerkingsinitiatieven die de hele EU bestrijken, met inbegrip van het thematische gebied buiten de EFC-beleidsterreinen.</w:t>
            </w:r>
            <w:r>
              <w:t xml:space="preserve"> </w:t>
            </w:r>
            <w:r>
              <w:rPr>
                <w:b/>
                <w:i/>
              </w:rPr>
              <w:t>Deze initiatieven moeten gebaseerd zijn op institutionele capaciteiten, zoals, maar niet uitsluitend, laboratoria, excellentiehubs en onderzoeks- en technologie-infrastructuur, en ze moeten internationaal erkend worden.</w:t>
            </w:r>
            <w:r>
              <w:t xml:space="preserve"> </w:t>
            </w:r>
            <w:r>
              <w:rPr>
                <w:b/>
                <w:i/>
              </w:rPr>
              <w:t>De ondersteunde initiatieven moeten een looptijd hebben van ten minste vijf jaar en entiteiten uit een groot aantal lidstaten omvatten met als doel de omvang, interdisciplinariteit en een veelzijdig wetenschappelijk perspectief te waarborgen, teneinde zinvolle vooruitgang te boeken, nieuwe, brede vormen van samenwerking te stimuleren en een tegenwicht te bieden aan versnippering van de wetenschap 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Voorts moet de integratie van de kennisdriehoek (het bedrijfsleven, onderzoek en hoger onderwijs) en de onderlinge verbondenheid van innovatie-ecosystemen op pan-Europees niveau ertoe bijdragen dat de Europese innovatiecapaciteit in de hele Unie wordt versterkt.</w:t>
            </w:r>
            <w:r>
              <w:t xml:space="preserve"> </w:t>
            </w:r>
            <w:r>
              <w:rPr>
                <w:b/>
                <w:i/>
              </w:rPr>
              <w:t>In dit verband hebben kennis- en innovatiegemeenschappen aangetoond meerwaarde te hebben voor het mobiliseren van de kennisdriehoek, het bevorderen van ondernemerschap en de ontwikkeling van vaardigheden, alsook voor de opbouw van sterke innovatie-ecosystemen, waardoor ze de ontwikkeling, opschaling en marktintroductie van innovatie op strategische gebieden gemakkelijker maken, wat betekent dat het programma deze gemeenschappen moet blijven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De EIC moet deze </w:t>
            </w:r>
            <w:r>
              <w:rPr>
                <w:b/>
                <w:i/>
              </w:rPr>
              <w:t>deeptech-innovaties</w:t>
            </w:r>
            <w:r>
              <w:t xml:space="preserve">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w:t>
            </w:r>
            <w:r>
              <w:rPr>
                <w:b/>
                <w:i/>
              </w:rPr>
              <w:t>om haar sociale en economische doelstellingen te verwezenlijken en afhankelijkheid van andere regio’s te voorkomen</w:t>
            </w:r>
            <w:r>
              <w:t xml:space="preserve">.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Daarbij moet onder meer gebruik worden gemaakt van een met DARPA vergelijkbare aanpak, die gericht is op de ondersteuning en opschaling van start-ups op het gebied van defensie </w:t>
            </w:r>
            <w:r>
              <w:rPr>
                <w:b/>
                <w:i/>
              </w:rPr>
              <w:t>of</w:t>
            </w:r>
            <w:r>
              <w:t xml:space="preserve"> van tweeërlei gebruik en volledig complementair is aan het InvestEU-instrument van het EFC, de EU-regeling voor defensie-innovatie (Eudis) en de activiteiten van het initiatief voor ruimtevaartondernemerschap Cassini. De uitvoering moet plaatsvinden in nauwe synergie en coördinatie met het Europees Fonds voor concurrentievermogen.</w:t>
            </w:r>
          </w:p>
        </w:tc>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w:t>
            </w:r>
            <w:r>
              <w:rPr>
                <w:b/>
                <w:i/>
              </w:rPr>
              <w:t>door middel van een systematische koppeling van excellente onderzoekscapaciteit en sterke industriële toepassingscapaciteit</w:t>
            </w:r>
            <w:r>
              <w:t xml:space="preserve">. De EIC moet deze </w:t>
            </w:r>
            <w:r>
              <w:rPr>
                <w:b/>
                <w:i/>
              </w:rPr>
              <w:t>deeptechinnovaties</w:t>
            </w:r>
            <w:r>
              <w:t xml:space="preserve"> door middel van haar instrumenten identificeren, ontwikkelen en uitrollen. Door middel van samenhangende en gestroomlijnde ondersteuning moet de EIC het gebrek aan overheidssteun en particuliere investeringen voor baanbrekende technologieën en deeptechinnovatie verhelpen</w:t>
            </w:r>
            <w:r>
              <w:rPr>
                <w:b/>
                <w:i/>
              </w:rPr>
              <w:t>, onder meer door het durfkapitaalecosysteem te versterken, investeringen van business angels te ondersteunen en de toegang tot aandelenfinanciering te verbeteren</w:t>
            </w:r>
            <w:r>
              <w:t>.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w:t>
            </w:r>
            <w:r>
              <w:rPr>
                <w:b/>
                <w:i/>
              </w:rPr>
              <w:t>, onder meer door de banden tussen universiteiten, onderzoeksorganisaties en start-upecosystemen te versterken door middel van initiatieven als het Lab-to-Unicorn-programma, ondersteuning van bureaus voor technologieoverdracht en betere kaders voor licentieverlening en spin-offs.</w:t>
            </w:r>
            <w:r>
              <w:t xml:space="preserve"> </w:t>
            </w:r>
            <w:r>
              <w:rPr>
                <w:b/>
                <w:i/>
              </w:rPr>
              <w:t>De EIC moet testomgevingen voor regelgeving, innovatiegericht aanbesteden en verbetering van het kader voor de waardering van intellectuele eigendom bevorderen met als doel de toegang tot financiering en marktintroductie te faciliteren en de toegang van start-ups en scale-ups tot onderzoek en technologie-infrastructuur te verbeteren, alsook de deelname van innovatieve kmo’s aan overheidsopdrachten uit te breiden</w:t>
            </w:r>
            <w:r>
              <w:t xml:space="preserve">.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w:t>
            </w:r>
            <w:r>
              <w:rPr>
                <w:b/>
                <w:i/>
              </w:rPr>
              <w:t>waaronder bredere toepassing van een aanpak op basis van specifieke uitdagingen en een met ARPA vergelijkbare aanpak,</w:t>
            </w:r>
            <w:r>
              <w:t xml:space="preserve"> in nauwe coördinatie en synergie met het Europees Fonds voor concurrentievermogen en de beleidsterreinen daarvan. Daarbij moet onder meer gebruik worden gemaakt van een met DARPA vergelijkbare aanpak, die gericht is op de ondersteuning en opschaling van start-ups op het gebied van defensie </w:t>
            </w:r>
            <w:r>
              <w:rPr>
                <w:b/>
                <w:i/>
              </w:rPr>
              <w:t>en</w:t>
            </w:r>
            <w:r>
              <w:t xml:space="preserve"> van tweeërlei gebruik en volledig complementair is aan het InvestEU-instrument van het EFC, de EU-regeling voor defensie-innovatie (Eudis) en de activiteiten van het initiatief voor ruimtevaartondernemerschap Cassini. De </w:t>
            </w:r>
            <w:r>
              <w:rPr>
                <w:b/>
                <w:i/>
              </w:rPr>
              <w:t>EIC moet er tevens toe bijdragen dat de Unie de beste plaats wordt voor het opstarten en laten groeien van technologiegedreven bedrijven, waaronder deeptech-bedrijven, en daarbij tegelijkertijd onderwijs op het gebied van ondernemerschap, vereenvoudiging en versnelling van zijn procedures ondersteunen, alsook het concurrentievermogen, de technologische soevereiniteit en de innovatiecapaciteit van Europa versterken.</w:t>
            </w:r>
            <w:r>
              <w:t xml:space="preserve"> </w:t>
            </w:r>
            <w:r>
              <w:rPr>
                <w:b/>
                <w:i/>
              </w:rPr>
              <w:t>De</w:t>
            </w:r>
            <w:r>
              <w:t xml:space="preserve"> uitvoering moet plaatsvinden in nauwe synergie en coördinatie met het Europees Fonds voor concurrentievermogen. </w:t>
            </w:r>
            <w:r>
              <w:rPr>
                <w:b/>
                <w:i/>
              </w:rPr>
              <w:t>Een dergelijke vorm van coördinatie moet zorgen voor een duidelijke rolverdeling, waarbij de EIC de hypothetische fase (TRL 1–4), de conceptfase (TRL 3–6) en de beginfase voor haar rekening neemt door middel van de EIC Accelerator, en het Europees Fonds voor concurrentievermogen zich concentreert op de opschalingsfase en het voorbereiden van toepassing.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Met de Europese Innovatieraad (EIC) moet marktcreërende deeptechinnovatie worden gestimuleerd. De EIC moet deze deeptech-innovaties door middel van haar instrumenten identificeren</w:t>
            </w:r>
            <w:r>
              <w:rPr>
                <w:b/>
                <w:i/>
              </w:rPr>
              <w:t>, ontwikkelen</w:t>
            </w:r>
            <w:r>
              <w:t xml:space="preserve">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nauwe synergie en coördinatie met het Europees Fonds voor concurrentievermogen.</w:t>
            </w:r>
          </w:p>
        </w:tc>
        <w:tc>
          <w:tcPr>
            <w:tcW w:w="4876" w:type="dxa"/>
            <w:tcBorders>
              <w:top w:val="nil"/>
              <w:left w:val="nil"/>
              <w:bottom w:val="nil"/>
              <w:right w:val="nil"/>
            </w:tcBorders>
          </w:tcPr>
          <w:p>
            <w:pPr>
              <w:pStyle w:val="Normal6a"/>
            </w:pPr>
            <w:r>
              <w:t>(15)</w:t>
            </w:r>
            <w:r>
              <w:tab/>
            </w:r>
            <w:r>
              <w:t>Met de Europese Innovatieraad (EIC) moet marktcreërende deeptechinnovatie worden gestimuleerd. De EIC moet deze deeptech-innovaties door middel van haar instrumenten identificeren en uitrollen</w:t>
            </w:r>
            <w:r>
              <w:rPr>
                <w:b/>
                <w:i/>
              </w:rPr>
              <w:t>, alsook baanbrekende en disruptieve innovatie ontwikkelen, met inbegrip van deeptech, waarbij hij tevens alle soorten innovatie, ook creatieve, culturele en sociale innovatie, door middel van zijn instrumenten ondersteunt</w:t>
            </w:r>
            <w:r>
              <w:t xml:space="preserve">. Door middel van samenhangende en gestroomlijnde ondersteuning moet de EIC het gebrek aan overheidssteun en particuliere investeringen voor baanbrekende technologieën en </w:t>
            </w:r>
            <w:r>
              <w:rPr>
                <w:b/>
                <w:i/>
              </w:rPr>
              <w:t>disruptieve</w:t>
            </w:r>
            <w:r>
              <w:t xml:space="preserve"> deeptechinnovatie verhelpen </w:t>
            </w:r>
            <w:r>
              <w:rPr>
                <w:b/>
                <w:i/>
              </w:rPr>
              <w:t>door de beginfases van het innovatietraject intensief te ondersteunen wanneer geen particuliere investeringen worden gedaan</w:t>
            </w:r>
            <w:r>
              <w:t xml:space="preserve">. De EIC moet ernaar streven door middel van zijn instrumenten een brug te slaan wat betreft de weg die de innovator van onderzoek naar de markt moet afleggen, en deze te integreren en te versnellen </w:t>
            </w:r>
            <w:r>
              <w:rPr>
                <w:b/>
                <w:i/>
              </w:rPr>
              <w:t>door de banden tussen de ERC en de EIC te versterken</w:t>
            </w:r>
            <w:r>
              <w:t>,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nauwe synergie en coördinatie met het Europees Fonds voor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Met de Europese Innovatieraad (EIC) moet marktcreërende deeptechinnovatie worden gestimuleerd.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Daarbij moet onder meer gebruik worden gemaakt van een met DARPA vergelijkbare aanpak</w:t>
            </w:r>
            <w:r>
              <w:rPr>
                <w:b/>
                <w:i/>
              </w:rPr>
              <w:t>, die gericht is op de ondersteuning en opschaling van start-ups op het gebied van defensie of van tweeërlei gebruik en</w:t>
            </w:r>
            <w:r>
              <w:t xml:space="preserve"> volledig complementair is aan het InvestEU-instrument van het EFC</w:t>
            </w:r>
            <w:r>
              <w:rPr>
                <w:b/>
                <w:i/>
              </w:rPr>
              <w:t>,</w:t>
            </w:r>
            <w:r>
              <w:t xml:space="preserve"> de EU-regeling voor defensie-innovatie (Eudis) en de activiteiten van het initiatief voor ruimtevaartondernemerschap Cassini. De uitvoering moet plaatsvinden in nauwe synergie en coördinatie met het Europees Fonds voor concurrentievermogen.</w:t>
            </w:r>
          </w:p>
        </w:tc>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w:t>
            </w:r>
            <w:r>
              <w:rPr>
                <w:b/>
                <w:i/>
              </w:rPr>
              <w:t>milieu-,</w:t>
            </w:r>
            <w:r>
              <w:t xml:space="preserve"> sociale en economische doelstellingen te verwezenlijken en afhankelijkheid van andere regio’s</w:t>
            </w:r>
            <w:r>
              <w:rPr>
                <w:b/>
                <w:i/>
              </w:rPr>
              <w:t>, met inbegrip van technische afhankelijkheid,</w:t>
            </w:r>
            <w:r>
              <w:t xml:space="preserve">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Daarbij moet onder meer gebruik worden gemaakt van een met DARPA vergelijkbare aanpak </w:t>
            </w:r>
            <w:r>
              <w:rPr>
                <w:b/>
                <w:i/>
              </w:rPr>
              <w:t>op alle gebieden die</w:t>
            </w:r>
            <w:r>
              <w:t xml:space="preserve"> volledig complementair is aan het InvestEU-instrument van het EFC </w:t>
            </w:r>
            <w:r>
              <w:rPr>
                <w:b/>
                <w:i/>
              </w:rPr>
              <w:t>en die</w:t>
            </w:r>
            <w:r>
              <w:t xml:space="preserve"> de EU-regeling voor defensie-innovatie (Eudis) en de activiteiten van het initiatief voor ruimtevaartondernemerschap Cassini </w:t>
            </w:r>
            <w:r>
              <w:rPr>
                <w:b/>
                <w:i/>
              </w:rPr>
              <w:t>omvat</w:t>
            </w:r>
            <w:r>
              <w:t xml:space="preserve">. De uitvoering moet </w:t>
            </w:r>
            <w:r>
              <w:rPr>
                <w:b/>
                <w:i/>
              </w:rPr>
              <w:t>derhalve</w:t>
            </w:r>
            <w:r>
              <w:t xml:space="preserve"> plaatsvinden in nauwe synergie en coördinatie met het Europees Fonds voor concurrentievermogen</w:t>
            </w:r>
            <w:r>
              <w:rPr>
                <w:b/>
                <w:i/>
              </w:rPr>
              <w:t>, waarbij met name gezorgd moet worden voor consistentie tussen start-ups die toepassingen voor uitsluitend defensie ontwikkelen die ondersteund zouden kunnen worden in het kader van het specifieke programma voor defensieonderzoek dat is vastgesteld bij het EFC, en start-ups die relevante civiele toepassingen of toepassingen voor tweeërlei gebruik ontwikkelen die ondersteund zouden kunnen worden in het kader van de EIC en die waardevol kunnen zijn voor de defensie-industrie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Met de Europese Innovatieraad (EIC) moet marktcreërende deeptechinnovatie worden gestimuleerd.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nauwe synergie en coördinatie met het Europees Fonds voor concurrentievermogen.</w:t>
            </w:r>
          </w:p>
        </w:tc>
        <w:tc>
          <w:tcPr>
            <w:tcW w:w="4876" w:type="dxa"/>
            <w:tcBorders>
              <w:top w:val="nil"/>
              <w:left w:val="nil"/>
              <w:bottom w:val="nil"/>
              <w:right w:val="nil"/>
            </w:tcBorders>
          </w:tcPr>
          <w:p>
            <w:pPr>
              <w:pStyle w:val="Normal6a"/>
            </w:pPr>
            <w:r>
              <w:t>(15)</w:t>
            </w:r>
            <w:r>
              <w:tab/>
            </w:r>
            <w:r>
              <w:t>Met de Europese Innovatieraad (EIC) moet marktcreërende deeptechinnovatie worden gestimuleerd. De EIC moet deze deeptech-innovaties door middel van haar instrumenten identificeren, ontwikkelen en uitrollen</w:t>
            </w:r>
            <w:r>
              <w:rPr>
                <w:b/>
                <w:i/>
              </w:rPr>
              <w:t>.</w:t>
            </w:r>
            <w:r>
              <w:t xml:space="preserve"> </w:t>
            </w:r>
            <w:r>
              <w:rPr>
                <w:b/>
                <w:i/>
              </w:rPr>
              <w:t>De EIC moet voortdurend bijdragen tot het dichten van de innovatiekloof binnen de EU en het voorkomen van een “innovation drain”, onder meer via zijn pre-Accelerator en verbeterde mogelijkheden voor risicofinanciering voor opkomende innovatiehubs</w:t>
            </w:r>
            <w:r>
              <w:t>.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te voorkomen</w:t>
            </w:r>
            <w:r>
              <w:rPr>
                <w:b/>
                <w:i/>
              </w:rPr>
              <w:t>, met bijzondere aandacht voor innovatieve start-ups, onder meer uit de academische wereld, en kmo’s</w:t>
            </w:r>
            <w:r>
              <w:t>.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nauwe synergie en coördinatie met het Europees Fonds voor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De EIC moet deze </w:t>
            </w:r>
            <w:r>
              <w:rPr>
                <w:b/>
                <w:i/>
              </w:rPr>
              <w:t>deeptech-innovaties</w:t>
            </w:r>
            <w:r>
              <w:t xml:space="preserve">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w:t>
            </w:r>
            <w:r>
              <w:rPr>
                <w:b/>
                <w:i/>
              </w:rPr>
              <w:t>nauwe coördinatie en</w:t>
            </w:r>
            <w:r>
              <w:t xml:space="preserve"> synergie met het Europees Fonds voor concurrentievermogen en de beleidsterreinen daarvan. 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w:t>
            </w:r>
            <w:r>
              <w:rPr>
                <w:b/>
                <w:i/>
              </w:rPr>
              <w:t>nauwe</w:t>
            </w:r>
            <w:r>
              <w:t xml:space="preserve"> synergie </w:t>
            </w:r>
            <w:r>
              <w:rPr>
                <w:b/>
                <w:i/>
              </w:rPr>
              <w:t>en coördinatie</w:t>
            </w:r>
            <w:r>
              <w:t xml:space="preserve"> met het Europees Fonds voor concurrentievermogen.</w:t>
            </w:r>
          </w:p>
        </w:tc>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De EIC moet deze </w:t>
            </w:r>
            <w:r>
              <w:rPr>
                <w:b/>
                <w:i/>
              </w:rPr>
              <w:t>deeptechinnovaties</w:t>
            </w:r>
            <w:r>
              <w:t xml:space="preserve">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w:t>
            </w:r>
            <w:r>
              <w:rPr>
                <w:b/>
                <w:i/>
              </w:rPr>
              <w:t>in de wereld</w:t>
            </w:r>
            <w:r>
              <w:t xml:space="preserve"> te voorkomen</w:t>
            </w:r>
            <w:r>
              <w:rPr>
                <w:b/>
                <w:i/>
              </w:rPr>
              <w:t>.</w:t>
            </w:r>
            <w:r>
              <w:t xml:space="preserve"> </w:t>
            </w:r>
            <w:r>
              <w:rPr>
                <w:b/>
                <w:i/>
              </w:rPr>
              <w:t>Er moet bijzondere aandacht worden besteed aan het ondersteunen van door vrouwen en jongeren geleide disruptieve en deeptechstart-ups, en aan het faciliteren van hun toegang tot financiering en mentorschap</w:t>
            </w:r>
            <w:r>
              <w:t>.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synergie met het Europees Fonds voor concurrentievermogen en de beleidsterreinen daarvan</w:t>
            </w:r>
            <w:r>
              <w:rPr>
                <w:b/>
                <w:i/>
              </w:rPr>
              <w:t>.</w:t>
            </w:r>
            <w:r>
              <w:t xml:space="preserve"> </w:t>
            </w:r>
            <w:r>
              <w:rPr>
                <w:b/>
                <w:i/>
              </w:rPr>
              <w:t>Dit moet met DARPA vergelijkbare elementen omvatten, waarbij risicovolle projecten in fases worden ondersteund of stopgezet, en innovatieve aanbesteding mogelijk wordt gemaakt</w:t>
            </w:r>
            <w:r>
              <w:t>. 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synergie met het Europees Fonds voor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w:t>
            </w:r>
            <w:r>
              <w:rPr>
                <w:b/>
                <w:i/>
              </w:rPr>
              <w:t>Daarbij moet onder meer gebruik worden gemaakt van</w:t>
            </w:r>
            <w:r>
              <w:t xml:space="preserve">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nauwe synergie en coördinatie met het Europees Fonds voor concurrentievermogen.</w:t>
            </w:r>
          </w:p>
        </w:tc>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w:t>
            </w:r>
            <w:r>
              <w:rPr>
                <w:b/>
                <w:i/>
              </w:rPr>
              <w:t>in de wereld</w:t>
            </w:r>
            <w:r>
              <w:t xml:space="preserve">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w:t>
            </w:r>
            <w:r>
              <w:rPr>
                <w:b/>
                <w:i/>
              </w:rPr>
              <w:t>Dit moet</w:t>
            </w:r>
            <w:r>
              <w:t xml:space="preserve"> een met DARPA vergelijkbare aanpak </w:t>
            </w:r>
            <w:r>
              <w:rPr>
                <w:b/>
                <w:i/>
              </w:rPr>
              <w:t>omvatten, waarbij risicovolle projecten in fases worden ondersteund en innovatieve aanbesteding mogelijk wordt gemaakt. De EIC moet tevens een met DARPA vergelijkbare aanpak ondersteunen</w:t>
            </w:r>
            <w:r>
              <w:t>,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nauwe synergie en coördinatie met het Europees Fonds voor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w:t>
            </w:r>
            <w:r>
              <w:rPr>
                <w:b/>
                <w:i/>
              </w:rPr>
              <w:t>nauwe</w:t>
            </w:r>
            <w:r>
              <w:t xml:space="preserve"> synergie </w:t>
            </w:r>
            <w:r>
              <w:rPr>
                <w:b/>
                <w:i/>
              </w:rPr>
              <w:t>en coördinatie</w:t>
            </w:r>
            <w:r>
              <w:t xml:space="preserve"> met het Europees Fonds voor concurrentievermogen.</w:t>
            </w:r>
          </w:p>
        </w:tc>
        <w:tc>
          <w:tcPr>
            <w:tcW w:w="4876" w:type="dxa"/>
            <w:tcBorders>
              <w:top w:val="nil"/>
              <w:left w:val="nil"/>
              <w:bottom w:val="nil"/>
              <w:right w:val="nil"/>
            </w:tcBorders>
          </w:tcPr>
          <w:p>
            <w:pPr>
              <w:pStyle w:val="Normal6a"/>
            </w:pPr>
            <w:r>
              <w:t>(15)</w:t>
            </w:r>
            <w:r>
              <w:tab/>
            </w:r>
            <w:r>
              <w:t xml:space="preserve">Met de Europese Innovatieraad (EIC) moet marktcreërende deeptechinnovatie worden gestimuleerd.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door middel van zijn instrumenten een brug te slaan wat betreft de weg die de innovator van onderzoek naar de markt moet afleggen, en deze te integreren en te versnellen, zodat de Unie over toonaangevende ondernemingen op opkomende technologiegebieden kan beschikken om haar sociale en economische doelstellingen te verwezenlijken en afhankelijkheid van andere regio’s </w:t>
            </w:r>
            <w:r>
              <w:rPr>
                <w:b/>
                <w:i/>
              </w:rPr>
              <w:t>in de wereld</w:t>
            </w:r>
            <w:r>
              <w:t xml:space="preserve">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Dit moet zowel een open aanpak (“bottom-up”) als een aanpak op basis van specifieke uitdagingen omvatten, in nauwe coördinatie en synergie met het Europees Fonds voor concurrentievermogen en de beleidsterreinen daarvan. </w:t>
            </w:r>
            <w:r>
              <w:rPr>
                <w:b/>
                <w:i/>
              </w:rPr>
              <w:t>Dit moet met ARPA vergelijkbare elementen omvatten, waarbij risicovolle projecten in fases worden ondersteund of stopgezet, en innovatieve aanbesteding mogelijk wordt gemaakt.</w:t>
            </w:r>
            <w:r>
              <w:t xml:space="preserve"> 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 De uitvoering moet plaatsvinden in synergie met het Europees Fonds voor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opnemen van een ARPA-/DARPA-aanpak is een stap in de goede richting en het is raadzaam uit te leggen wat wordt verstaan onder met ARPA vergelijkbare vraaggestuurde elementen, zoals innovatieve aanbesteding.</w:t>
      </w:r>
      <w:r>
        <w:t xml:space="preserve"> </w:t>
      </w:r>
      <w:r>
        <w:t>Wel moet de nodige flexibiliteit behouden blijven om rekening te kunnen houden met de ervaringen die zijn opgedaan met de lopende proefprojecten waarbij de ARPA-/DARPA-aanpak wordt gevolgd.</w:t>
      </w:r>
    </w:p>
    <w:p>
      <w:r>
        <w:rPr>
          <w:rStyle w:val="HideTWBExt"/>
        </w:rPr>
        <w:t>&lt;/Amend&gt;</w:t>
      </w:r>
    </w:p>
    <w:p>
      <w:pPr>
        <w:pStyle w:val="AmNumberTabs"/>
      </w:pPr>
      <w:r>
        <w:rPr>
          <w:rStyle w:val="HideTWBExt"/>
        </w:rPr>
        <w:t>&lt;Amend&gt;</w:t>
      </w:r>
      <w:r>
        <w:t>Amendement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Nikos Pappas, Jussi Saramo,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Met de Europese Innovatieraad (EIC) moet </w:t>
            </w:r>
            <w:r>
              <w:rPr>
                <w:b/>
                <w:i/>
              </w:rPr>
              <w:t>marktcreërende</w:t>
            </w:r>
            <w:r>
              <w:t xml:space="preserve"> deeptechinnovatie worden gestimuleerd.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w:t>
            </w:r>
            <w:r>
              <w:rPr>
                <w:b/>
                <w:i/>
              </w:rPr>
              <w:t>door middel van zijn instrumenten</w:t>
            </w:r>
            <w:r>
              <w:t xml:space="preserve"> een brug te slaan </w:t>
            </w:r>
            <w:r>
              <w:rPr>
                <w:b/>
                <w:i/>
              </w:rPr>
              <w:t>wat betreft de weg die de innovator</w:t>
            </w:r>
            <w:r>
              <w:t xml:space="preserve"> van onderzoek </w:t>
            </w:r>
            <w:r>
              <w:rPr>
                <w:b/>
                <w:i/>
              </w:rPr>
              <w:t>naar de markt moet afleggen</w:t>
            </w:r>
            <w:r>
              <w:t xml:space="preserve">, en deze te integreren en te versnellen,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w:t>
            </w:r>
            <w:r>
              <w:rPr>
                <w:b/>
                <w:i/>
              </w:rPr>
              <w:t>Dit moet zowel een open aanpak (“bottom-up”) als een aanpak op basis van specifieke uitdagingen omvatten, in nauwe coördinatie en synergie met het Europees Fonds voor concurrentievermogen en de beleidsterreinen daarvan</w:t>
            </w:r>
            <w:r>
              <w:t xml:space="preserve">. </w:t>
            </w:r>
            <w:r>
              <w:rPr>
                <w:b/>
                <w:i/>
              </w:rPr>
              <w:t>Daarbij moet onder meer gebruik worden gemaakt van een met DARPA vergelijkbare aanpak, die gericht is op de ondersteuning en opschaling van start-ups op het gebied van defensie of van tweeërlei gebruik en volledig complementair is aan het InvestEU-instrument van het EFC, de EU-regeling voor defensie-innovatie (Eudis) en de activiteiten van het initiatief voor ruimtevaartondernemerschap Cassini.</w:t>
            </w:r>
            <w:r>
              <w:t xml:space="preserve"> </w:t>
            </w:r>
            <w:r>
              <w:rPr>
                <w:b/>
                <w:i/>
              </w:rPr>
              <w:t>De uitvoering moet plaatsvinden in nauwe synergie en coördinatie met het Europees Fonds voor concurrentievermogen.</w:t>
            </w:r>
          </w:p>
        </w:tc>
        <w:tc>
          <w:tcPr>
            <w:tcW w:w="4876" w:type="dxa"/>
            <w:tcBorders>
              <w:top w:val="nil"/>
              <w:left w:val="nil"/>
              <w:bottom w:val="nil"/>
              <w:right w:val="nil"/>
            </w:tcBorders>
          </w:tcPr>
          <w:p>
            <w:pPr>
              <w:pStyle w:val="Normal6a"/>
            </w:pPr>
            <w:r>
              <w:t>(15)</w:t>
            </w:r>
            <w:r>
              <w:tab/>
            </w:r>
            <w:r>
              <w:t xml:space="preserve">Met de Europese Innovatieraad (EIC) moet </w:t>
            </w:r>
            <w:r>
              <w:rPr>
                <w:b/>
                <w:i/>
              </w:rPr>
              <w:t>sociaal zinvolle, ecologisch duurzame en democratisch te verantwoorden</w:t>
            </w:r>
            <w:r>
              <w:t xml:space="preserve"> deeptechinnovatie worden gestimuleerd</w:t>
            </w:r>
            <w:r>
              <w:rPr>
                <w:b/>
                <w:i/>
              </w:rPr>
              <w:t>, met name wanneer markten onvoldoende voorzien in de oplossingen die nodig zijn in het algemeen belang.</w:t>
            </w:r>
            <w:r>
              <w:t xml:space="preserve"> </w:t>
            </w:r>
            <w:r>
              <w:rPr>
                <w:b/>
                <w:i/>
              </w:rPr>
              <w:t>Met de Europese Innovatieraad (EIC) moet sociaal zinvolle, ecologisch duurzame en democratisch te verantwoorden deeptechinnovatie worden gestimuleerd, met name wanneer markten onvoldoende voorzien in de oplossingen die nodig zijn in het algemeen belang</w:t>
            </w:r>
            <w:r>
              <w:t xml:space="preserve">. De EIC moet deze deeptech-innovaties door middel van haar instrumenten identificeren, ontwikkelen en uitrollen. Door middel van samenhangende en gestroomlijnde ondersteuning moet de EIC het gebrek aan overheidssteun en particuliere investeringen voor baanbrekende technologieën en deeptechinnovatie verhelpen. De EIC moet ernaar streven een brug te slaan </w:t>
            </w:r>
            <w:r>
              <w:rPr>
                <w:b/>
                <w:i/>
              </w:rPr>
              <w:t>naar de vertaling</w:t>
            </w:r>
            <w:r>
              <w:t xml:space="preserve"> van onderzoek </w:t>
            </w:r>
            <w:r>
              <w:rPr>
                <w:b/>
                <w:i/>
              </w:rPr>
              <w:t>in toegankelijke maatschappelijke voordelen, hoogwaardige banen</w:t>
            </w:r>
            <w:r>
              <w:t xml:space="preserve">, </w:t>
            </w:r>
            <w:r>
              <w:rPr>
                <w:b/>
                <w:i/>
              </w:rPr>
              <w:t>veerkrachtige openbare dienstverlening en duurzame productiesystemen</w:t>
            </w:r>
            <w:r>
              <w:t xml:space="preserve"> en deze te integreren en te versnellen, zodat de Unie over toonaangevende ondernemingen op opkomende technologiegebieden kan beschikken om haar sociale en economische doelstellingen te verwezenlijken en afhankelijkheid van andere regio’s te voorkomen. De EIC moet steun verlenen aan innovaties met een hoog risico en een groot potentieel en aan ondernemingen waaraan dusdanige technologische, wetenschappelijke, financiële, beheers- of marktrisico’s verbonden zijn dat zij nog niet als volledig bankabel worden beschouwd en daarom niet de nodige investeringen van de markt kunnen aantrekken om op wereldniveau te kunnen concurreren. </w:t>
            </w:r>
            <w:r>
              <w:rPr>
                <w:b/>
                <w:i/>
              </w:rPr>
              <w:t>Hierbij moeten civiele toepassingen prioriteit krijgen, zodat steun in het kader van Horizon Europa bestemd blijft voor zijn primaire taak als civiel programma voor onderzoek en innovatie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Het bestuur van de Europese Innovatieraad moet voornamelijk berusten op voldoende autonomie en wetenschappelijk solide structuren, zodat flexibele besluitvorming, onder meer door gekwalificeerde programmabeheerders en een evenwichtig gebruik van open en thematische oproepen, gewaarborgd kan worden.</w:t>
            </w:r>
            <w:r>
              <w:t xml:space="preserve"> </w:t>
            </w:r>
            <w:r>
              <w:rPr>
                <w:b/>
                <w:i/>
              </w:rPr>
              <w:t>Een gestructureerde, met ARPA vergelijkbare aanpak van risicovolle projecten met een lage TRL moet worden ondersteund, mits deze aanpak bestaande instrumenten aanvult, de openheid in stand houdt en voldoende tijd biedt voor projectbeoordeling.</w:t>
            </w:r>
            <w:r>
              <w:t xml:space="preserve"> </w:t>
            </w:r>
            <w:r>
              <w:rPr>
                <w:b/>
                <w:i/>
              </w:rPr>
              <w:t>Deze aanpak moet ook de samenwerking tussen start-ups, volwassen bedrijven en academische actoren versterken, de hoeveelheid particuliere co-investeringen verhogen en gebruik blijven maken van gemengde financieringsinstrumenten, waarbij tegelijkertijd de participatie van kmo’s wordt versneld en erop wordt toegezien dat projecten gebaseerd zijn op de behoeften van eindgebruikers en in de echte wereld kunnen worden toegepast.</w:t>
            </w:r>
            <w:r>
              <w:t xml:space="preserve"> </w:t>
            </w:r>
            <w:r>
              <w:rPr>
                <w:b/>
                <w:i/>
              </w:rPr>
              <w:t>De rol van universiteiten bij vroege en risicovolle innovatie moet volledig worden erkend, waarbij zij, naast de Europese Innovatieraad, fungeren als brug tussen fundamentele wetenschap en innovatie.</w:t>
            </w:r>
            <w:r>
              <w:t xml:space="preserve"> </w:t>
            </w:r>
            <w:r>
              <w:rPr>
                <w:b/>
                <w:i/>
              </w:rPr>
              <w:t>Door deskundigen geleide bestuursstructuren die zich richten op industrieel concurrentievermogen en maatschappelijke uitdagingen moeten verder worden ontwikkeld, waarbij open en niet-prescriptieve oproepen behouden moeten blijven om geavanceerde methoden en reactievermogen bij nieuwe uitdagingen mogelijk te maken.</w:t>
            </w:r>
            <w:r>
              <w:t xml:space="preserve"> </w:t>
            </w:r>
            <w:r>
              <w:rPr>
                <w:b/>
                <w:i/>
              </w:rPr>
              <w:t>Er moet meer duidelijkheid komen over de toekomstige rol en ondersteuning van instrumenten als het Europees Instituut voor innovatie en technologie en zijn kennis- en innovatiegemeenschappen.</w:t>
            </w:r>
            <w:r>
              <w:t xml:space="preserve"> </w:t>
            </w:r>
            <w:r>
              <w:rPr>
                <w:b/>
                <w:i/>
              </w:rPr>
              <w:t>Tot slot moeten territoriale onderzoeks- en innovatie-ecosystemen volledig worden geïntegreerd in deze bestuursaanpak, aangezien ze het fundament vormen onder het Europese concurrentievermogen en meer strategische en gerichte investeringen mogelijk maken.</w:t>
            </w:r>
            <w:r>
              <w:t xml:space="preserve"> </w:t>
            </w:r>
            <w:r>
              <w:rPr>
                <w:b/>
                <w:i/>
              </w:rPr>
              <w:t>Initiatieven als de regionale innovatievalleien hebben een sterk potentieel en strategieën voor slimme specialisatie zijn effectief gebleken bij het versterken van innovatiegedreven regionale ontwikkeling en het bevorderen van samenwerking binnen en tussen onderzoeks- en innovatie-ecosystemen.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In alle uitvoeringsstadia moet worden gezorgd voor synergieën tussen het EIC-fonds en het EFC.</w:t>
            </w:r>
            <w:r>
              <w:t xml:space="preserve"> </w:t>
            </w:r>
            <w:r>
              <w:rPr>
                <w:b/>
                <w:i/>
              </w:rPr>
              <w:t>Het InvestEU-instrument van het EFC moet met name worden uitgevoerd door middel van risicodelende begrotingsgaranties en financiële instrumenten door uitvoerende partners die rechtstreeks dan wel via financiële intermediairs verantwoordelijk zijn voor de keuze van investeringen.</w:t>
            </w:r>
            <w:r>
              <w:t xml:space="preserve"> </w:t>
            </w:r>
            <w:r>
              <w:rPr>
                <w:b/>
                <w:i/>
              </w:rPr>
              <w:t>Het InvestEU-instrument van het EFC kan elke economisch levensvatbare eindontvanger en investering in alle stadia van ontwikkeling ondersteunen, van start-up (startfinanciering en financiering in de beginfase) tot opschaling, en alle technologieën, met inbegrip van baanbrekende technologieën.</w:t>
            </w:r>
            <w:r>
              <w:t xml:space="preserve"> </w:t>
            </w:r>
            <w:r>
              <w:rPr>
                <w:b/>
                <w:i/>
              </w:rPr>
              <w:t>Aan eindontvangers overgedragen steun van de Unie kan een breed scala aan vormen aannemen, bijvoorbeeld leningen, garanties, quasi-eigenvermogen en investeringen in eigen vermogen.</w:t>
            </w:r>
            <w:r>
              <w:t xml:space="preserve"> </w:t>
            </w:r>
            <w:r>
              <w:rPr>
                <w:b/>
                <w:i/>
              </w:rPr>
              <w:t>Het EIC-fonds moet steun aan bedrijven verstrekken in de vorm van rechtstreekse investeringen in eigen vermogen.</w:t>
            </w:r>
            <w:r>
              <w:t xml:space="preserve"> </w:t>
            </w:r>
            <w:r>
              <w:rPr>
                <w:b/>
                <w:i/>
              </w:rPr>
              <w:t>Investeringsbelissingen van het EIC-fonds moeten een beoordeling bevatten die waarborgt dat het EIC-fonds investeert in eindontvangers (in de regel deeptechstart-ups) met financieringsbehoeften waarin de markt of het EFC niet volledig kunnen voorzien vanwege het risiconiveau van nieuwe technologieën en/of nieuwe markten.</w:t>
            </w:r>
            <w:r>
              <w:t xml:space="preserve"> </w:t>
            </w:r>
            <w:r>
              <w:rPr>
                <w:b/>
                <w:i/>
              </w:rPr>
              <w:t>EIC-diensten voor bedrijfsacceleratie kunnen niet-financiële steun verstrekken aan EIC-begunstigden en eindontvangers en zich daarbij richten op de specifieke behoeften van deeptech en disruptieve innovatie, terwijl de projectadvisering van het EFC bredere adviesdiensten kan bieden ter ondersteuning van een ruimer scala aan begunstigden.</w:t>
            </w:r>
            <w:r>
              <w:t xml:space="preserve"> </w:t>
            </w:r>
            <w:r>
              <w:rPr>
                <w:b/>
                <w:i/>
              </w:rPr>
              <w:t>Er moeten synergieën worden gecreëerd zodat eindontvangers van de EIC-Accelerator en het EIC-fonds in hun opschalingsfase kunnen worden gefinancierd door het InvestEU-instrument van het EFC, mits zij aan de voorwaarden voldoen.</w:t>
            </w:r>
            <w:r>
              <w:t xml:space="preserve"> </w:t>
            </w:r>
            <w:r>
              <w:rPr>
                <w:b/>
                <w:i/>
              </w:rPr>
              <w:t>Deze complementariteit wordt bijvoorbeeld gewaarborgd door de samenwerking tussen de adviesraad van het InvestEU-instrument van het EFC en het EIC-college.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De Commissie moet programmabeheerders aanwijzen die actief resultaten van alle onderdelen van het programma in kaart brengen die het waard zijn om verder te worden benut en gevaloriseerd in andere Unie-instrumenten, met name het Europees Fonds voor concurrentievermogen, onder meer in het kader van het specifieke programma voor defensieonderzoek om de specifieke doelstellingen daarvan te verwezenlijken.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 financiering van opschaling in het kader van het in de strategie voor start-ups en scale-ups aangekondigde Scaleup Europe-fonds ten tijde van de inwerkingtreding van deze verordening moet worden uitgevoerd onder de voorwaarden die zijn overeengekomen in het MFK 2021-2027. Alle opschalingsfinanciering in het kader van het MFK 2028-2034 moet plaatsvinden in het kader van het EFC.</w:t>
            </w:r>
          </w:p>
        </w:tc>
        <w:tc>
          <w:tcPr>
            <w:tcW w:w="4876" w:type="dxa"/>
            <w:tcBorders>
              <w:top w:val="nil"/>
              <w:left w:val="nil"/>
              <w:bottom w:val="nil"/>
              <w:right w:val="nil"/>
            </w:tcBorders>
          </w:tcPr>
          <w:p>
            <w:pPr>
              <w:pStyle w:val="Normal6a"/>
            </w:pPr>
            <w:r>
              <w:t>(16)</w:t>
            </w:r>
            <w:r>
              <w:tab/>
            </w:r>
            <w:r>
              <w:t xml:space="preserve">De financiering van opschaling in het kader van het in de strategie voor start-ups en scale-ups aangekondigde Scaleup Europe-fonds ten tijde van de inwerkingtreding van deze verordening moet worden uitgevoerd onder de voorwaarden die zijn overeengekomen in het MFK 2021-2027. Alle opschalingsfinanciering in het kader van het MFK 2028-2034 moet plaatsvinden in het kader van het EFC. </w:t>
            </w:r>
            <w:r>
              <w:rPr>
                <w:b/>
                <w:i/>
              </w:rPr>
              <w:t>Governanceregelingen waarmee de structuren, regels en coördinatie tussen en binnen Horizon Europa en het Europees Fonds voor concurrentievermogen worden vastgelegd, zullen beslissend zijn voor de vraag of het programma resultaten op het gebied van concurrentievermogen kan opleveren.</w:t>
            </w:r>
            <w:r>
              <w:t xml:space="preserve"> </w:t>
            </w:r>
            <w:r>
              <w:rPr>
                <w:b/>
                <w:i/>
              </w:rPr>
              <w:t>Deze regelingen moeten een coherente en ononderbroken voortgang waarborgen —van een lage TRL en onderzoek in een vroeg stadium dat in eerste instantie wordt ondersteund in het kader van de pijlers I en III, via een gemiddelde TRL en in het kader van pijler II ondersteunde opschalingsfases, naar een hoge TRL in een laat stadium, waarbij de toepassing en markintegratie worden ondersteund door het Europees Fonds voor concurrentievermogen.</w:t>
            </w:r>
            <w:r>
              <w:t xml:space="preserve"> </w:t>
            </w:r>
            <w:r>
              <w:rPr>
                <w:b/>
                <w:i/>
              </w:rPr>
              <w:t>Dit vereist sterke pijleroverschrijdende verbindingen en afstemming met relevante EFC-instrumenten, alsook een evenwichtige combinatie van ondersteuning voor fundamentele en toegepaste wetenschap en voor innovatie.</w:t>
            </w:r>
            <w:r>
              <w:t xml:space="preserve"> </w:t>
            </w:r>
            <w:r>
              <w:rPr>
                <w:b/>
                <w:i/>
              </w:rPr>
              <w:t>In dit verband is een robuuste methode vereist waarmee de TRL-voortgang expliciet kan worden gekoppeld aan de opeenvolgende ontwikkelingsstadia van start-ups, hetgeen continuïteit in geïntegreerde waardeketens waarborgt.</w:t>
            </w:r>
            <w:r>
              <w:t xml:space="preserve"> </w:t>
            </w:r>
            <w:r>
              <w:rPr>
                <w:b/>
                <w:i/>
              </w:rPr>
              <w:t>Een dergelijke aanpak is essentieel voor het wegwerken van de resterende lacunes in verband met de ontwikkeling van met ARPA vergelijkbare mechanismen en voor de uitvoering van grootschalige initiatieven in de gehele innovatiecyclus.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De financiering van opschaling in het kader van het in de strategie voor start-ups en scale-ups aangekondigde Scaleup Europe-fonds ten tijde van de inwerkingtreding van deze verordening moet worden uitgevoerd onder de voorwaarden die zijn overeengekomen in het MFK 2021-2027. Alle opschalingsfinanciering in het kader van het MFK 2028-2034 moet plaatsvinden in het kader van het EFC.</w:t>
            </w:r>
          </w:p>
        </w:tc>
        <w:tc>
          <w:tcPr>
            <w:tcW w:w="4876" w:type="dxa"/>
            <w:tcBorders>
              <w:top w:val="nil"/>
              <w:left w:val="nil"/>
              <w:bottom w:val="nil"/>
              <w:right w:val="nil"/>
            </w:tcBorders>
          </w:tcPr>
          <w:p>
            <w:pPr>
              <w:pStyle w:val="Normal6a"/>
            </w:pPr>
            <w:r>
              <w:t>(16)</w:t>
            </w:r>
            <w:r>
              <w:tab/>
            </w:r>
            <w:r>
              <w:t xml:space="preserve">De financiering van opschaling in het kader van het in de strategie voor start-ups en scale-ups aangekondigde Scaleup Europe-fonds ten tijde van de inwerkingtreding van deze verordening moet worden uitgevoerd onder de voorwaarden die zijn overeengekomen in het MFK 2021-2027. Alle opschalingsfinanciering in het kader van het MFK 2028-2034 moet plaatsvinden in het kader van het EFC </w:t>
            </w:r>
            <w:r>
              <w:rPr>
                <w:b/>
                <w:i/>
              </w:rPr>
              <w:t>en moet volledig complementair zijn aan de interventielogica van het EIC-fonds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Artificiële intelligentie (AI) is een fundamentele katalysator geworden achter wetenschappelijke ontdekkingen in alle disciplines en</w:t>
            </w:r>
            <w:r>
              <w:t xml:space="preserve"> </w:t>
            </w:r>
            <w:r>
              <w:rPr>
                <w:b/>
                <w:i/>
              </w:rPr>
              <w:t>het programma moet dan ook de uitvoering van de Europese strategie voor AI in de wetenschap en de bron voor AI-wetenschap in Europa (Raise) ondersteunen.</w:t>
            </w:r>
            <w:r>
              <w:t xml:space="preserve"> </w:t>
            </w:r>
            <w:r>
              <w:rPr>
                <w:b/>
                <w:i/>
              </w:rPr>
              <w:t>Door Raise in alle pijlers te integreren, beoogt het programma de transitie naar “wetenschap 5.0” te versnellen, waar samenwerking tussen AI en de mens de productiviteit, reproduceerbaarheid en excellentie van de Europese Onderzoeksruimte zal vergroten.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De integratie van AI en geautomatiseerde besluitvormingssystemen bij de beoordeling van wetenschappelijke projecten brengt aanzienlijke risico’s met zich mee voor de integriteit en diversiteit van onderzoek;</w:t>
            </w:r>
            <w:r>
              <w:t xml:space="preserve"> </w:t>
            </w:r>
            <w:r>
              <w:rPr>
                <w:b/>
                <w:i/>
              </w:rPr>
              <w:t>dergelijke systemen kunnen verborgen vooroordelen verankeren, geven de voorkeur aan conventionele methoden boven risicovolle innovatie met een hoog rendement en beschikken niet over het genuanceerde oordeel dat nodig is om origineel denken op waarde te schatten, waardoor de kwaliteit van de wetenschap en de vooruitgang van menselijke kennis op lange termijn worden ondermijnd.</w:t>
            </w:r>
            <w:r>
              <w:t xml:space="preserve"> </w:t>
            </w:r>
            <w:r>
              <w:rPr>
                <w:b/>
                <w:i/>
              </w:rPr>
              <w:t>Daarom is het van essentieel belang te garanderen dat de definitieve beoordeling van wetenschappelijke verdienste een proces blijft waarin de mens centraal staat en dat ondersteund wordt door transparante, ethische en te verantwoorden technologische tools waarmee de fundamentele beginselen van collegiale toetsing overeind blijven.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Het Gemeenschappelijk Centrum voor onderzoek (JRC) moet gedurende de hele beleidscyclus onafhankelijke wetenschappelijke gegevens en technische ondersteuning ter beschikking blijven stellen aan het Uniebeleid. De directe acties van het JRC moeten op flexibele, efficiënte en transparante wijze worden uitgevoerd, waarbij rekening moet worden gehouden met de behoeften van het Uniebeleid en de relevante behoeften van de gebruikers van het JRC en waarbij de financiële belangen van de Unie moeten worden beschermd. Het JRC moet extra middelen blijven genereren, die het kan gebruiken om zijn wetenschappelijke en technische activiteiten te ondersteunen.</w:t>
            </w:r>
          </w:p>
        </w:tc>
        <w:tc>
          <w:tcPr>
            <w:tcW w:w="4876" w:type="dxa"/>
            <w:tcBorders>
              <w:top w:val="nil"/>
              <w:left w:val="nil"/>
              <w:bottom w:val="nil"/>
              <w:right w:val="nil"/>
            </w:tcBorders>
          </w:tcPr>
          <w:p>
            <w:pPr>
              <w:pStyle w:val="Normal6a"/>
            </w:pPr>
            <w:r>
              <w:t>(17)</w:t>
            </w:r>
            <w:r>
              <w:tab/>
            </w:r>
            <w:r>
              <w:t>Het Gemeenschappelijk Centrum voor onderzoek (JRC) moet gedurende de hele beleidscyclus onafhankelijke wetenschappelijke gegevens en technische ondersteuning ter beschikking blijven stellen aan het Uniebeleid. De directe acties van het JRC moeten op flexibele, efficiënte en transparante wijze worden uitgevoerd, waarbij rekening moet worden gehouden met de behoeften van het Uniebeleid</w:t>
            </w:r>
            <w:r>
              <w:rPr>
                <w:b/>
                <w:i/>
              </w:rPr>
              <w:t>, de lidstaten en de regio’s van de Unie,</w:t>
            </w:r>
            <w:r>
              <w:t xml:space="preserve"> en de relevante behoeften van de gebruikers van het JRC en waarbij de financiële belangen van de Unie moeten worden beschermd. Het JRC moet extra middelen blijven genereren, die het kan gebruiken om zijn wetenschappelijke en technische activiteiten te ondersteunen. </w:t>
            </w:r>
            <w:r>
              <w:rPr>
                <w:b/>
                <w:i/>
              </w:rPr>
              <w:t>Het JRC moet regionale overheden blijven ondersteunen door middel van opleidingen, het delen van kennis en gegevens, analysen en modellering, en door zijn onderzoeksinfrastructuur breder open te stellen voor onderzoekers en voor het bedrijfsleven.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Het Gemeenschappelijk Centrum voor onderzoek (JRC) moet gedurende de hele beleidscyclus onafhankelijke wetenschappelijke gegevens en technische ondersteuning ter beschikking blijven stellen aan het Uniebeleid. De directe acties van het JRC moeten op flexibele, efficiënte en transparante wijze worden uitgevoerd, waarbij rekening moet worden gehouden met de behoeften van het Uniebeleid en de relevante behoeften van de gebruikers van het JRC en waarbij de financiële belangen van de Unie moeten worden beschermd. Het JRC moet extra middelen blijven genereren, die het kan gebruiken om zijn wetenschappelijke en technische activiteiten te ondersteunen.</w:t>
            </w:r>
          </w:p>
        </w:tc>
        <w:tc>
          <w:tcPr>
            <w:tcW w:w="4876" w:type="dxa"/>
            <w:tcBorders>
              <w:top w:val="nil"/>
              <w:left w:val="nil"/>
              <w:bottom w:val="nil"/>
              <w:right w:val="nil"/>
            </w:tcBorders>
          </w:tcPr>
          <w:p>
            <w:pPr>
              <w:pStyle w:val="Normal6a"/>
            </w:pPr>
            <w:r>
              <w:t>(17)</w:t>
            </w:r>
            <w:r>
              <w:tab/>
            </w:r>
            <w:r>
              <w:t>Het Gemeenschappelijk Centrum voor onderzoek (JRC) moet gedurende de hele beleidscyclus onafhankelijke wetenschappelijke gegevens en technische ondersteuning ter beschikking blijven stellen aan het Uniebeleid. De directe acties van het JRC moeten op flexibele, efficiënte en transparante wijze worden uitgevoerd, waarbij rekening moet worden gehouden met de behoeften van het Uniebeleid en de relevante behoeften van de gebruikers van het JRC</w:t>
            </w:r>
            <w:r>
              <w:rPr>
                <w:b/>
                <w:i/>
              </w:rPr>
              <w:t>, waar de lidstaten, regio’s en steden onder moeten vallen,</w:t>
            </w:r>
            <w:r>
              <w:t xml:space="preserve"> en waarbij de financiële belangen van de Unie moeten worden beschermd. Het JRC moet extra middelen blijven genereren, die het kan gebruiken om zijn wetenschappelijke en technische activiteiten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Sofie Eriksson,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Het programma moet zorgen </w:t>
            </w:r>
            <w:r>
              <w:rPr>
                <w:b/>
                <w:i/>
              </w:rPr>
              <w:t>voorde</w:t>
            </w:r>
            <w:r>
              <w:t xml:space="preserve"> doeltreffende bevordering en bescherming van de waarden en beginselen van </w:t>
            </w:r>
            <w:r>
              <w:rPr>
                <w:b/>
                <w:i/>
              </w:rPr>
              <w:t>deEuropese</w:t>
            </w:r>
            <w:r>
              <w:t xml:space="preserve"> Onderzoeksruimte en het pact voor onderzoek en innovatie</w:t>
            </w:r>
            <w:r>
              <w:rPr>
                <w:vertAlign w:val="superscript"/>
              </w:rPr>
              <w:t>5</w:t>
            </w:r>
            <w:r>
              <w:t xml:space="preserve">, met name ethiek en integriteit in onderzoek en innovatie, vrijheid van wetenschappelijk onderzoek, wetenschap voor beleid, gendergelijkheid en gelijke kansen, non-discriminatie en open wetenschap, en voor de bevordering van aantrekkelijke onderzoeksloopbanen en mobiliteit. </w:t>
            </w:r>
            <w:r>
              <w:rPr>
                <w:b/>
                <w:i/>
              </w:rPr>
              <w:t>Het programma moet met name zorgen voor de effectieve bevordering van gelijke kansen voor iedereen en voor de uitvoering van gendermainstreaming, waaronder het integreren van de genderdimensie in O&amp;I-inhoud.</w:t>
            </w:r>
            <w:r>
              <w:t xml:space="preserve"> </w:t>
            </w:r>
            <w:r>
              <w:rPr>
                <w:b/>
                <w:i/>
              </w:rPr>
              <w:t>Het moet gericht zijn op het aanpakken van de oorzaken van genderongelijkheid.</w:t>
            </w:r>
            <w:r>
              <w:t xml:space="preserve"> </w:t>
            </w:r>
            <w:r>
              <w:rPr>
                <w:b/>
                <w:i/>
              </w:rPr>
              <w:t>Er moet bijzondere aandacht worden besteed aan een zo groot mogelijk genderevenwicht in evaluatiepanels en in andere relevante adviesorganen zoals raden en deskundigengroepen.</w:t>
            </w:r>
          </w:p>
        </w:tc>
        <w:tc>
          <w:tcPr>
            <w:tcW w:w="4876" w:type="dxa"/>
            <w:tcBorders>
              <w:top w:val="nil"/>
              <w:left w:val="nil"/>
              <w:bottom w:val="nil"/>
              <w:right w:val="nil"/>
            </w:tcBorders>
          </w:tcPr>
          <w:p>
            <w:pPr>
              <w:pStyle w:val="Normal6a"/>
            </w:pPr>
            <w:r>
              <w:t>(18)</w:t>
            </w:r>
            <w:r>
              <w:tab/>
            </w:r>
            <w:r>
              <w:t xml:space="preserve">Het programma moet zorgen </w:t>
            </w:r>
            <w:r>
              <w:rPr>
                <w:b/>
                <w:i/>
              </w:rPr>
              <w:t>voor de</w:t>
            </w:r>
            <w:r>
              <w:t xml:space="preserve"> doeltreffende bevordering en bescherming van de waarden en beginselen van </w:t>
            </w:r>
            <w:r>
              <w:rPr>
                <w:b/>
                <w:i/>
              </w:rPr>
              <w:t>de Europese</w:t>
            </w:r>
            <w:r>
              <w:t xml:space="preserve"> Onderzoeksruimte en het pact voor onderzoek en innovatie</w:t>
            </w:r>
            <w:r>
              <w:rPr>
                <w:b/>
                <w:i/>
                <w:vertAlign w:val="superscript"/>
              </w:rPr>
              <w:t>5</w:t>
            </w:r>
            <w:r>
              <w:t>, met name ethiek en integriteit in onderzoek en innovatie, vrijheid van wetenschappelijk onderzoek, wetenschap voor beleid, gendergelijkheid en gelijke kansen, non-discriminatie en open wetenschap, en voor de bevordering van aantrekkelijke onderzoeksloopbanen en mobiliteit.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w:t>
            </w:r>
            <w:r>
              <w:t xml:space="preserve"> </w:t>
            </w:r>
            <w:r>
              <w:rPr>
                <w:b/>
                <w:i/>
              </w:rPr>
              <w:t>Aanbeveling (EU) 2021/2122 van de Raad van 26 november 2021 over een pact voor onderzoek en innovatie in Europa (PB L 431 van 2.12.2021, blz.</w:t>
            </w:r>
            <w:r>
              <w:t xml:space="preserve"> </w:t>
            </w:r>
            <w:r>
              <w:rPr>
                <w:b/>
                <w:i/>
              </w:rPr>
              <w:t>1, ELI:</w:t>
            </w:r>
            <w:r>
              <w:t xml:space="preserve"> </w:t>
            </w:r>
            <w:r>
              <w:rPr>
                <w:b/>
                <w:i/>
              </w:rPr>
              <w:t>http://data.europa.eu/eli/reco/2021/2122/oj.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Verplaatst naar artikel 5.</w:t>
      </w:r>
    </w:p>
    <w:p>
      <w:r>
        <w:rPr>
          <w:rStyle w:val="HideTWBExt"/>
        </w:rPr>
        <w:t>&lt;/Amend&gt;</w:t>
      </w:r>
    </w:p>
    <w:p>
      <w:pPr>
        <w:pStyle w:val="AmNumberTabs"/>
      </w:pPr>
      <w:r>
        <w:rPr>
          <w:rStyle w:val="HideTWBExt"/>
        </w:rPr>
        <w:t>&lt;Amend&gt;</w:t>
      </w:r>
      <w:r>
        <w:t>Amendement</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Het programma moet zorgen voor de doeltreffende bevordering en bescherming van de waarden en beginselen van de Europese Onderzoeksruimte en het pact voor onderzoek en innovatie</w:t>
            </w:r>
            <w:r>
              <w:rPr>
                <w:vertAlign w:val="superscript"/>
              </w:rPr>
              <w:t>5</w:t>
            </w:r>
            <w:r>
              <w:t xml:space="preserve">, met name ethiek en integriteit in onderzoek en innovatie, vrijheid van wetenschappelijk onderzoek, wetenschap voor beleid, </w:t>
            </w:r>
            <w:r>
              <w:rPr>
                <w:b/>
                <w:i/>
              </w:rPr>
              <w:t>gendergelijkheid en gelijke kansen, non-discriminatie</w:t>
            </w:r>
            <w:r>
              <w:t xml:space="preserve"> en open wetenschap, en voor de bevordering van aantrekkelijke onderzoeksloopbanen en mobiliteit. Het programma moet met name zorgen voor </w:t>
            </w:r>
            <w:r>
              <w:rPr>
                <w:b/>
                <w:i/>
              </w:rPr>
              <w:t>de effectieve bevordering van</w:t>
            </w:r>
            <w:r>
              <w:t xml:space="preserve"> gelijke kansen </w:t>
            </w:r>
            <w:r>
              <w:rPr>
                <w:b/>
                <w:i/>
              </w:rPr>
              <w:t>voor iedereen en</w:t>
            </w:r>
            <w:r>
              <w:t xml:space="preserve"> voor de </w:t>
            </w:r>
            <w:r>
              <w:rPr>
                <w:b/>
                <w:i/>
              </w:rPr>
              <w:t>uitvoering van gendermainstreaming, waaronder het integreren van de genderdimensie in O&amp;I-inhoud.</w:t>
            </w:r>
            <w:r>
              <w:t xml:space="preserve"> </w:t>
            </w:r>
            <w:r>
              <w:rPr>
                <w:b/>
                <w:i/>
              </w:rPr>
              <w:t>Het moet gericht zijn op het aanpakken van de oorzaken van genderongelijkheid</w:t>
            </w:r>
            <w:r>
              <w:t xml:space="preserve">. Er moet bijzondere aandacht worden besteed aan </w:t>
            </w:r>
            <w:r>
              <w:rPr>
                <w:b/>
                <w:i/>
              </w:rPr>
              <w:t>een zo groot mogelijk genderevenwicht in</w:t>
            </w:r>
            <w:r>
              <w:t xml:space="preserve"> evaluatiepanels en </w:t>
            </w:r>
            <w:r>
              <w:rPr>
                <w:b/>
                <w:i/>
              </w:rPr>
              <w:t>in</w:t>
            </w:r>
            <w:r>
              <w:t xml:space="preserve"> andere relevante adviesorganen zoals raden en deskundigengroepen.</w:t>
            </w:r>
          </w:p>
        </w:tc>
        <w:tc>
          <w:tcPr>
            <w:tcW w:w="4876" w:type="dxa"/>
            <w:tcBorders>
              <w:top w:val="nil"/>
              <w:left w:val="nil"/>
              <w:bottom w:val="nil"/>
              <w:right w:val="nil"/>
            </w:tcBorders>
          </w:tcPr>
          <w:p>
            <w:pPr>
              <w:pStyle w:val="Normal6a"/>
            </w:pPr>
            <w:r>
              <w:t>(18)</w:t>
            </w:r>
            <w:r>
              <w:tab/>
            </w:r>
            <w:r>
              <w:t>Het programma moet zorgen voor de doeltreffende bevordering en bescherming van de waarden en beginselen van de Europese Onderzoeksruimte en het pact voor onderzoek en innovatie</w:t>
            </w:r>
            <w:r>
              <w:rPr>
                <w:b/>
                <w:i/>
                <w:vertAlign w:val="superscript"/>
              </w:rPr>
              <w:t>5</w:t>
            </w:r>
            <w:r>
              <w:t xml:space="preserve">, met name ethiek en integriteit in onderzoek en innovatie, vrijheid van wetenschappelijk onderzoek, wetenschap voor beleid, </w:t>
            </w:r>
            <w:r>
              <w:rPr>
                <w:b/>
                <w:i/>
              </w:rPr>
              <w:t>een strikt op verdiensten gebaseerde aanpak ten aanzien van de financiering en evaluatie van onderzoek, ongeacht identiteitskenmerken,</w:t>
            </w:r>
            <w:r>
              <w:t xml:space="preserve"> en open wetenschap </w:t>
            </w:r>
            <w:r>
              <w:rPr>
                <w:b/>
                <w:i/>
              </w:rPr>
              <w:t>overeenkomstig het beginsel “zo open als mogelijk, zo gesloten als nodig”</w:t>
            </w:r>
            <w:r>
              <w:t xml:space="preserve">, en voor de bevordering van aantrekkelijke onderzoeksloopbanen en mobiliteit. Het programma moet met name zorgen voor </w:t>
            </w:r>
            <w:r>
              <w:rPr>
                <w:b/>
                <w:i/>
              </w:rPr>
              <w:t>gelijke behandeling en</w:t>
            </w:r>
            <w:r>
              <w:t xml:space="preserve"> gelijke kansen </w:t>
            </w:r>
            <w:r>
              <w:rPr>
                <w:b/>
                <w:i/>
              </w:rPr>
              <w:t>op basis van verdiensten en resultaten, zonder discriminatie of voorkeursbehandeling die verband houdt met persoons- of identiteitskenmerken.</w:t>
            </w:r>
            <w:r>
              <w:t xml:space="preserve"> </w:t>
            </w:r>
            <w:r>
              <w:rPr>
                <w:b/>
                <w:i/>
              </w:rPr>
              <w:t>Wetenschappelijke excellentie, bekwaamheid en aantoonbare resultaten blijven de enige relevante criteria</w:t>
            </w:r>
            <w:r>
              <w:t xml:space="preserve"> voor de </w:t>
            </w:r>
            <w:r>
              <w:rPr>
                <w:b/>
                <w:i/>
              </w:rPr>
              <w:t>selectie van projecten, onderzoekers en deskundigen</w:t>
            </w:r>
            <w:r>
              <w:t xml:space="preserve">. Er moet bijzondere aandacht worden besteed aan </w:t>
            </w:r>
            <w:r>
              <w:rPr>
                <w:b/>
                <w:i/>
              </w:rPr>
              <w:t>de samenstelling van</w:t>
            </w:r>
            <w:r>
              <w:t xml:space="preserve"> evaluatiepanels en andere relevante adviesorganen zoals raden en deskundigengroepen</w:t>
            </w:r>
            <w:r>
              <w:rPr>
                <w:b/>
                <w:i/>
              </w:rPr>
              <w:t>, zodat deze, voor zover mogelijk en met volledige inachtneming van op verdiensten gebaseerde beginselen, worden samengesteld op basis van deskundigheid, onafhankelijkheid en wetenschappelijke reputatie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w:t>
            </w:r>
            <w:r>
              <w:t xml:space="preserve"> </w:t>
            </w:r>
            <w:r>
              <w:rPr>
                <w:b/>
                <w:i/>
              </w:rPr>
              <w:t>Aanbeveling (EU) 2021/2122 van de Raad van 26 november 2021 over een pact voor onderzoek en innovatie in Europa (PB L 431 van 2.12.2021, blz.</w:t>
            </w:r>
            <w:r>
              <w:t xml:space="preserve"> </w:t>
            </w:r>
            <w:r>
              <w:rPr>
                <w:b/>
                <w:i/>
              </w:rPr>
              <w:t>1, ELI:</w:t>
            </w:r>
            <w:r>
              <w:t xml:space="preserve"> </w:t>
            </w:r>
            <w:r>
              <w:rPr>
                <w:b/>
                <w:i/>
              </w:rPr>
              <w:t>http://data.europa.eu/eli/reco/2021/2122/oj).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bis)</w:t>
            </w:r>
            <w:r>
              <w:tab/>
            </w:r>
            <w:r>
              <w:rPr>
                <w:b/>
                <w:i/>
              </w:rPr>
              <w:t>Het programma moet bijdragen tot de versterking van de economische, sociale en territoriale cohesie in de hele Unie.</w:t>
            </w:r>
            <w:r>
              <w:t xml:space="preserve"> </w:t>
            </w:r>
            <w:r>
              <w:rPr>
                <w:b/>
                <w:i/>
              </w:rPr>
              <w:t>Aanhoudende verschillen op het gebied van administratieve capaciteit, toegang tot netwerken en de kennis die nodig is om deel te nemen aan programma’s van de Unie dreigen te leiden tot een ongelijke geografische verdeling van de financiering, waarbij middelen in onevenredige mate ten goede komen aan een beperkt aantal lidstaten, regio’s en sectoren.</w:t>
            </w:r>
            <w:r>
              <w:t xml:space="preserve"> </w:t>
            </w:r>
            <w:r>
              <w:rPr>
                <w:b/>
                <w:i/>
              </w:rPr>
              <w:t>Het is daarom van essentieel belang om een eerlijker geografisch evenwicht bij de toegang tot financiering te waarborgen, om zo het innovatiepotentieel van alle delen van de Unie ten volle te benutten en te voorkomen dat bestaande sociaal-economische verschillen nog worden vergroot.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Het programma moet Europese onderzoeks- en technologie-infrastructuren ondersteunen om wetenschappelijke en technologische excellentie en industrieel concurrentievermogen te stimuleren</w:t>
            </w:r>
            <w:r>
              <w:rPr>
                <w:b/>
                <w:i/>
              </w:rPr>
              <w:t>, door het</w:t>
            </w:r>
            <w:r>
              <w:t xml:space="preserve"> continuüm van de onderzoeks- en innovatiecyclus van fundamenteel naar toegepast onderzoek en vervolgens naar maatschappelijke en marktintroductie </w:t>
            </w:r>
            <w:r>
              <w:rPr>
                <w:b/>
                <w:i/>
              </w:rPr>
              <w:t>te ondersteunen</w:t>
            </w:r>
            <w:r>
              <w:t>.</w:t>
            </w:r>
          </w:p>
        </w:tc>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w:t>
            </w:r>
            <w:r>
              <w:rPr>
                <w:b/>
                <w:i/>
              </w:rPr>
              <w:t>als belangrijke infrastructuren die langetermijninvesteringen vereisen, met als doel te voorzien in geavanceerde test- en experimenteeromgevingen voor Europese industrieën en onderzoeksorganisaties,</w:t>
            </w:r>
            <w:r>
              <w:t xml:space="preserve"> om wetenschappelijke en technologische excellentie en industrieel concurrentievermogen te stimuleren</w:t>
            </w:r>
            <w:r>
              <w:rPr>
                <w:b/>
                <w:i/>
              </w:rPr>
              <w:t>.</w:t>
            </w:r>
            <w:r>
              <w:t xml:space="preserve"> </w:t>
            </w:r>
            <w:r>
              <w:rPr>
                <w:b/>
                <w:i/>
              </w:rPr>
              <w:t>Het programma moet het volledige</w:t>
            </w:r>
            <w:r>
              <w:t xml:space="preserve"> continuüm van de onderzoeks- en innovatiecyclus </w:t>
            </w:r>
            <w:r>
              <w:rPr>
                <w:b/>
                <w:i/>
              </w:rPr>
              <w:t>bestrijken,</w:t>
            </w:r>
            <w:r>
              <w:t xml:space="preserve"> van fundamenteel naar toegepast onderzoek en vervolgens naar maatschappelijke en marktintroductie</w:t>
            </w:r>
            <w:r>
              <w:rPr>
                <w:b/>
                <w:i/>
              </w:rPr>
              <w:t>.</w:t>
            </w:r>
            <w:r>
              <w:t xml:space="preserve"> </w:t>
            </w:r>
            <w:r>
              <w:rPr>
                <w:b/>
                <w:i/>
              </w:rPr>
              <w:t>Om dat te bereiken moet een strategie voor Europese onderzoeks- en technologie-infrastructuren worden gestructureerd rond missiegerichte “moonshot”-projecten met een sterke wetenschappelijke component, ontworpen om EU-brede waardecreatie en strategische autonomie op verschillende belangrijke technologische en industriële gebieden te stimuleren, met inbegrip van grootschalige initiatieven op gebieden als deeltjesfysica, schone luchtvaart, kwantumcomputing, artificiële intelligentie van de volgende generatie, soevereiniteit op het gebied van onderzoeksgegevens, geautomatiseerde mobiliteit, regeneratieve behandelingen, fusie-energie, ruimteverkenning, waterweerbaarheid en oceaanobservatie, waarbij wetenschappelijke excellentie wordt gecombineerd met industriële uitrolcapaciteit door middel van gecoördineerde steun in het kader van het kaderprogramma en aanvullende instrumenten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Katri Kulmuni, 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Het programma moet Europese onderzoeks- en technologie-infrastructuren ondersteunen om wetenschappelijke en technologische excellentie en industrieel concurrentievermogen te stimuleren, door het continuüm van de onderzoeks- en innovatiecyclus van fundamenteel naar toegepast onderzoek en vervolgens naar maatschappelijke en marktintroductie te ondersteunen.</w:t>
            </w:r>
          </w:p>
        </w:tc>
        <w:tc>
          <w:tcPr>
            <w:tcW w:w="4876" w:type="dxa"/>
            <w:tcBorders>
              <w:top w:val="nil"/>
              <w:left w:val="nil"/>
              <w:bottom w:val="nil"/>
              <w:right w:val="nil"/>
            </w:tcBorders>
          </w:tcPr>
          <w:p>
            <w:pPr>
              <w:pStyle w:val="Normal6a"/>
            </w:pPr>
            <w:r>
              <w:t>(19)</w:t>
            </w:r>
            <w:r>
              <w:tab/>
            </w:r>
            <w:r>
              <w:t xml:space="preserve">Het programma moet Europese onderzoeks- en technologie-infrastructuren </w:t>
            </w:r>
            <w:r>
              <w:rPr>
                <w:b/>
                <w:i/>
              </w:rPr>
              <w:t>ondersteunen en moet bijdragen aan de strategische behoeften van de Unie en Europese meerwaarde bieden door middel van coherente langetermijnplanning en met de lidstaten gecoördineerde investeringen.</w:t>
            </w:r>
            <w:r>
              <w:t xml:space="preserve"> </w:t>
            </w:r>
            <w:r>
              <w:rPr>
                <w:b/>
                <w:i/>
              </w:rPr>
              <w:t>Er moet terdege rekening worden gehouden met de werkzaamheden van het Europees Strategieforum voor onderzoeksinfrastructuren (Esfri) en eventuele toekomstige strategische fora voor technologie-infrastructuren.</w:t>
            </w:r>
            <w:r>
              <w:t xml:space="preserve"> </w:t>
            </w:r>
            <w:r>
              <w:rPr>
                <w:b/>
                <w:i/>
              </w:rPr>
              <w:t>De bijdrage tot maximaal 20 % van de kosten van bouw of ingrijpende modernisering heeft als doel een coherente portefeuille van zowel onderzoeks- als technologie-infrastructuren te</w:t>
            </w:r>
            <w:r>
              <w:t xml:space="preserve"> ondersteunen om wetenschappelijke en technologische excellentie en industrieel concurrentievermogen te stimuleren, door het continuüm van de onderzoeks- en innovatiecyclus van fundamenteel naar toegepast onderzoek en vervolgens naar maatschappelijke en marktintroductie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Voor technologie-infrastructuren ontbreekt in het voorstel een bepaling zoals voor onderzoeksinfrastructuren met betrekking tot capex-steun en een adviesorgaan.</w:t>
      </w:r>
      <w:r>
        <w:t xml:space="preserve"> </w:t>
      </w:r>
      <w:r>
        <w:t>Daarom is er een nieuwe bepaling nodig om aan te geven dat 20 % capex-steun ook van toepassing is op technologie-infrastructuren en dat er een strategisch forum voor technologie-infrastructuren moet komen.</w:t>
      </w:r>
      <w:r>
        <w:t xml:space="preserve"> </w:t>
      </w:r>
      <w:r>
        <w:t>Dergelijke steun kan een aanzienlijke bijdrage leveren aan het probleem van opschaling in Europa.</w:t>
      </w:r>
    </w:p>
    <w:p>
      <w:r>
        <w:rPr>
          <w:rStyle w:val="HideTWBExt"/>
        </w:rPr>
        <w:t>&lt;/Amend&gt;</w:t>
      </w:r>
    </w:p>
    <w:p>
      <w:pPr>
        <w:pStyle w:val="AmNumberTabs"/>
      </w:pPr>
      <w:r>
        <w:rPr>
          <w:rStyle w:val="HideTWBExt"/>
        </w:rPr>
        <w:t>&lt;Amend&gt;</w:t>
      </w:r>
      <w:r>
        <w:t>Amendement</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Het programma moet Europese onderzoeks- en technologie-infrastructuren ondersteunen om wetenschappelijke en technologische excellentie en industrieel concurrentievermogen te stimuleren, door het continuüm van de onderzoeks- en innovatiecyclus van fundamenteel naar toegepast onderzoek en vervolgens naar maatschappelijke en marktintroductie te ondersteunen.</w:t>
            </w:r>
          </w:p>
        </w:tc>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om wetenschappelijke en technologische excellentie en industrieel concurrentievermogen te stimuleren, door het continuüm van de onderzoeks- en innovatiecyclus van fundamenteel naar toegepast onderzoek en vervolgens naar maatschappelijke en marktintroductie te ondersteunen. </w:t>
            </w:r>
            <w:r>
              <w:rPr>
                <w:b/>
                <w:i/>
              </w:rPr>
              <w:t>Als zodanig zijn selectiecriteria belangrijk, aangezien zij het nemen van wetenschappelijke risico’s en onconventionele ideeën moeten aanmoedigen, in het besef dat projecten met het grootste transformatiepotentieel vaak een hoge mate van onzekerheid met zich meebrengen.</w:t>
            </w:r>
            <w:r>
              <w:t xml:space="preserve"> </w:t>
            </w:r>
            <w:r>
              <w:rPr>
                <w:b/>
                <w:i/>
              </w:rPr>
              <w:t>Daarom moet het programma gedurfde initiatieven die kunnen leiden tot baanbrekende ontdekkingen, ondersteunen.</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 een snel veranderende en evoluerende wereld is het van essentieel belang niet alleen veilig, klassiek onderzoek te ondersteunen, maar ook gedurfde initiatieven aan te moedigen die kunnen leiden tot baanbrekende ontdekkingen.</w:t>
      </w:r>
    </w:p>
    <w:p>
      <w:r>
        <w:rPr>
          <w:rStyle w:val="HideTWBExt"/>
        </w:rPr>
        <w:t>&lt;/Amend&gt;</w:t>
      </w:r>
    </w:p>
    <w:p>
      <w:pPr>
        <w:pStyle w:val="AmNumberTabs"/>
      </w:pPr>
      <w:r>
        <w:rPr>
          <w:rStyle w:val="HideTWBExt"/>
        </w:rPr>
        <w:t>&lt;Amend&gt;</w:t>
      </w:r>
      <w:r>
        <w:t>Amendement</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Eero Heinäluoma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w:t>
            </w:r>
            <w:r>
              <w:rPr>
                <w:b/>
                <w:i/>
              </w:rPr>
              <w:t>om</w:t>
            </w:r>
            <w:r>
              <w:t xml:space="preserve"> wetenschappelijke en technologische excellentie en industrieel concurrentievermogen </w:t>
            </w:r>
            <w:r>
              <w:rPr>
                <w:b/>
                <w:i/>
              </w:rPr>
              <w:t>te stimuleren</w:t>
            </w:r>
            <w:r>
              <w:t>, door het continuüm van de onderzoeks- en innovatiecyclus van fundamenteel naar toegepast onderzoek en vervolgens naar maatschappelijke en marktintroductie te ondersteunen.</w:t>
            </w:r>
          </w:p>
        </w:tc>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w:t>
            </w:r>
            <w:r>
              <w:rPr>
                <w:b/>
                <w:i/>
              </w:rPr>
              <w:t>en moet bijdragen aan de strategische behoeften van de Unie en Europese meerwaarde bieden door middel van coherente langetermijnplanning en met de lidstaten gecoördineerde investeringen.</w:t>
            </w:r>
            <w:r>
              <w:t xml:space="preserve"> </w:t>
            </w:r>
            <w:r>
              <w:rPr>
                <w:b/>
                <w:i/>
              </w:rPr>
              <w:t>Door de kosten van bouw of ingrijpende modernisering van onderzoeks- en technologie-infrastructuren te ondersteunen, wordt</w:t>
            </w:r>
            <w:r>
              <w:t xml:space="preserve"> wetenschappelijke en technologische excellentie en industrieel concurrentievermogen </w:t>
            </w:r>
            <w:r>
              <w:rPr>
                <w:b/>
                <w:i/>
              </w:rPr>
              <w:t>gestimuleerd</w:t>
            </w:r>
            <w:r>
              <w:t>, door het continuüm van de onderzoeks- en innovatiecyclus van fundamenteel naar toegepast onderzoek en vervolgens naar maatschappelijke en marktintroductie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Het programma moet Europese onderzoeks- en technologie-infrastructuren ondersteunen om wetenschappelijke en technologische excellentie en industrieel concurrentievermogen te stimuleren, door het continuüm van de onderzoeks- en innovatiecyclus van fundamenteel naar toegepast onderzoek en vervolgens naar maatschappelijke en marktintroductie te ondersteunen.</w:t>
            </w:r>
          </w:p>
        </w:tc>
        <w:tc>
          <w:tcPr>
            <w:tcW w:w="4876" w:type="dxa"/>
            <w:tcBorders>
              <w:top w:val="nil"/>
              <w:left w:val="nil"/>
              <w:bottom w:val="nil"/>
              <w:right w:val="nil"/>
            </w:tcBorders>
          </w:tcPr>
          <w:p>
            <w:pPr>
              <w:pStyle w:val="Normal6a"/>
            </w:pPr>
            <w:r>
              <w:t>(19)</w:t>
            </w:r>
            <w:r>
              <w:tab/>
            </w:r>
            <w:r>
              <w:t>Het programma moet Europese onderzoeks- en technologie-infrastructuren ondersteunen om wetenschappelijke en technologische excellentie en industrieel concurrentievermogen te stimuleren, door het continuüm van de onderzoeks- en innovatiecyclus van fundamenteel naar toegepast onderzoek en vervolgens naar maatschappelijke en marktintroductie te ondersteunen</w:t>
            </w:r>
            <w:r>
              <w:rPr>
                <w:b/>
                <w:i/>
              </w:rPr>
              <w:t>, waarbij evenwichtige en inclusieve prestaties van de onderzoeks- en technologie-infrastructuren en bredere samenwerking met partners uit het bedrijfsleven en de academische wereld worden gewaarborgd</w:t>
            </w:r>
            <w:r>
              <w:t xml:space="preserve">. </w:t>
            </w:r>
            <w:r>
              <w:rPr>
                <w:b/>
                <w:i/>
              </w:rPr>
              <w:t>In dit licht moeten de beperkingen met betrekking tot staatssteun worden heroverwogen.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om wetenschappelijke en technologische excellentie en industrieel concurrentievermogen te stimuleren, door het continuüm van de onderzoeks- en innovatiecyclus van fundamenteel naar toegepast onderzoek </w:t>
            </w:r>
            <w:r>
              <w:rPr>
                <w:b/>
                <w:i/>
              </w:rPr>
              <w:t>en vervolgens naar</w:t>
            </w:r>
            <w:r>
              <w:t xml:space="preserve"> maatschappelijke en marktintroductie </w:t>
            </w:r>
            <w:r>
              <w:rPr>
                <w:b/>
                <w:i/>
              </w:rPr>
              <w:t>te ondersteunen</w:t>
            </w:r>
            <w:r>
              <w:t>.</w:t>
            </w:r>
          </w:p>
        </w:tc>
        <w:tc>
          <w:tcPr>
            <w:tcW w:w="4876" w:type="dxa"/>
            <w:tcBorders>
              <w:top w:val="nil"/>
              <w:left w:val="nil"/>
              <w:bottom w:val="nil"/>
              <w:right w:val="nil"/>
            </w:tcBorders>
          </w:tcPr>
          <w:p>
            <w:pPr>
              <w:pStyle w:val="Normal6a"/>
            </w:pPr>
            <w:r>
              <w:t>(19)</w:t>
            </w:r>
            <w:r>
              <w:tab/>
            </w:r>
            <w:r>
              <w:t xml:space="preserve">Het programma moet Europese onderzoeks- en technologie-infrastructuren </w:t>
            </w:r>
            <w:r>
              <w:rPr>
                <w:b/>
                <w:i/>
              </w:rPr>
              <w:t>krachtig</w:t>
            </w:r>
            <w:r>
              <w:t xml:space="preserve"> ondersteunen om wetenschappelijke en technologische excellentie en industrieel concurrentievermogen te stimuleren </w:t>
            </w:r>
            <w:r>
              <w:rPr>
                <w:b/>
                <w:i/>
              </w:rPr>
              <w:t>en moet tegelijkertijd een brede en evenwichtige territoriale toegang waarborgen</w:t>
            </w:r>
            <w:r>
              <w:t xml:space="preserve">, door het continuüm van de onderzoeks- en innovatiecyclus van fundamenteel naar toegepast onderzoek </w:t>
            </w:r>
            <w:r>
              <w:rPr>
                <w:b/>
                <w:i/>
              </w:rPr>
              <w:t>te ondersteunen en de doeltreffende verspreiding van resultaten op nationaal en regionaal niveau te bevorderen, met het oog op</w:t>
            </w:r>
            <w:r>
              <w:t xml:space="preserve"> maatschappelijke en marktintroductie.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w:t>
            </w:r>
            <w:r>
              <w:rPr>
                <w:b/>
                <w:i/>
              </w:rPr>
              <w:t>om wetenschappelijke en technologische excellentie en industrieel concurrentievermogen te stimuleren, door het continuüm</w:t>
            </w:r>
            <w:r>
              <w:t xml:space="preserve"> van de </w:t>
            </w:r>
            <w:r>
              <w:rPr>
                <w:b/>
                <w:i/>
              </w:rPr>
              <w:t>onderzoeks- en innovatiecyclus van fundamenteel naar toegepast onderzoek en vervolgens naar maatschappelijke en marktintroductie te ondersteunen</w:t>
            </w:r>
            <w:r>
              <w:t>.</w:t>
            </w:r>
          </w:p>
        </w:tc>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w:t>
            </w:r>
            <w:r>
              <w:rPr>
                <w:b/>
                <w:i/>
              </w:rPr>
              <w:t>en moet bijdragen aan de strategische prioriteiten</w:t>
            </w:r>
            <w:r>
              <w:t xml:space="preserve"> van de </w:t>
            </w:r>
            <w:r>
              <w:rPr>
                <w:b/>
                <w:i/>
              </w:rPr>
              <w:t>Unie en Europese meerwaarde bieden door middel van coherente langetermijnplanning en met de lidstaten gecoördineerde investeringen.</w:t>
            </w:r>
            <w:r>
              <w:t xml:space="preserve"> </w:t>
            </w:r>
            <w:r>
              <w:rPr>
                <w:b/>
                <w:i/>
              </w:rPr>
              <w:t>Er moet terdege rekening worden gehouden met de werkzaamheden van het Europees Strategieforum voor onderzoeksinfrastructuren (Esfri) [en eventuele toekomstige strategische fora voor technologie-infrastructuren]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Paolo Borchia, Isabella Tovaglieri, Silvia Sardone, Raffaele Stancanelli, Aldo Patriciello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om wetenschappelijke en technologische excellentie en industrieel concurrentievermogen te stimuleren, </w:t>
            </w:r>
            <w:r>
              <w:rPr>
                <w:b/>
                <w:i/>
              </w:rPr>
              <w:t>door</w:t>
            </w:r>
            <w:r>
              <w:t xml:space="preserve"> het continuüm van de onderzoeks- en innovatiecyclus van fundamenteel naar toegepast onderzoek en vervolgens naar maatschappelijke en marktintroductie </w:t>
            </w:r>
            <w:r>
              <w:rPr>
                <w:b/>
                <w:i/>
              </w:rPr>
              <w:t>te ondersteunen</w:t>
            </w:r>
            <w:r>
              <w:t>.</w:t>
            </w:r>
          </w:p>
        </w:tc>
        <w:tc>
          <w:tcPr>
            <w:tcW w:w="4876" w:type="dxa"/>
            <w:tcBorders>
              <w:top w:val="nil"/>
              <w:left w:val="nil"/>
              <w:bottom w:val="nil"/>
              <w:right w:val="nil"/>
            </w:tcBorders>
          </w:tcPr>
          <w:p>
            <w:pPr>
              <w:pStyle w:val="Normal6a"/>
            </w:pPr>
            <w:r>
              <w:t>(19)</w:t>
            </w:r>
            <w:r>
              <w:tab/>
            </w:r>
            <w:r>
              <w:t xml:space="preserve">Het programma moet Europese onderzoeks- en technologie-infrastructuren ondersteunen om wetenschappelijke en technologische excellentie en industrieel concurrentievermogen te stimuleren, </w:t>
            </w:r>
            <w:r>
              <w:rPr>
                <w:b/>
                <w:i/>
              </w:rPr>
              <w:t>waarbij wordt gezorgd voor betrokkenheid van universiteiten en onderzoeksinstellingen en ondersteuning van</w:t>
            </w:r>
            <w:r>
              <w:t xml:space="preserve"> het continuüm van de onderzoeks- en innovatiecyclus van fundamenteel naar toegepast onderzoek en vervolgens naar maatschappelijke en marktintroductie.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Christophe Clergeau, Michalis Hadjipantela, Tilly Metz, Ondřej Krutílek, 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Het programma moet Europese onderzoeks- en technologie-infrastructuren ondersteunen om wetenschappelijke en technologische excellentie en industrieel concurrentievermogen te stimuleren, door het continuüm van de onderzoeks- en innovatiecyclus van fundamenteel naar toegepast onderzoek en vervolgens naar maatschappelijke en marktintroductie te ondersteunen.</w:t>
            </w:r>
          </w:p>
        </w:tc>
        <w:tc>
          <w:tcPr>
            <w:tcW w:w="4876" w:type="dxa"/>
            <w:tcBorders>
              <w:top w:val="nil"/>
              <w:left w:val="nil"/>
              <w:bottom w:val="nil"/>
              <w:right w:val="nil"/>
            </w:tcBorders>
          </w:tcPr>
          <w:p>
            <w:pPr>
              <w:pStyle w:val="Normal6a"/>
            </w:pPr>
            <w:r>
              <w:t>(19)</w:t>
            </w:r>
            <w:r>
              <w:tab/>
            </w:r>
            <w:r>
              <w:t>Het programma moet Europese onderzoeks- en technologie-infrastructuren</w:t>
            </w:r>
            <w:r>
              <w:rPr>
                <w:b/>
                <w:i/>
              </w:rPr>
              <w:t>, met inbegrip van cohorten van Europese burgers,</w:t>
            </w:r>
            <w:r>
              <w:t xml:space="preserve"> ondersteunen om wetenschappelijke en technologische excellentie en industrieel concurrentievermogen te stimuleren, door het continuüm van de onderzoeks- en innovatiecyclus van fundamenteel naar toegepast onderzoek en vervolgens naar maatschappelijke en marktintroductie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András Gyürk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Om dubbel werk te voorkomen, ontwikkelt de Commissie, in nauwe samenwerking met het Esfri, consortia voor een Europese onderzoeksinfrastructuur (ERIC’s), open innovatieproefbanken, test- en experimenteerfaciliteiten en relevante belanghebbenden, een coherente pan-Europese strategie voor technologie-infrastructuren en moderniseert zij het beleid inzake onderzoeksinfrastructuur om rekening te houden met het toenemende belang van proeflijnen, testfaciliteiten, digitale infrastructuur en demonstratieplatforms.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ter)</w:t>
            </w:r>
            <w:r>
              <w:tab/>
            </w:r>
            <w:r>
              <w:rPr>
                <w:b/>
                <w:i/>
              </w:rPr>
              <w:t>De Commissie zorgt ervoor dat het plafond van 20 % strikt in acht wordt genomen en dat het kaderprogramma niet wordt gebruikt om de constructie van gebouwen of faciliteiten te financieren en gericht blijft op de ondersteuning van onderzoeks- en innovatieactiviteiten, terwijl voor constructiegerelateerde kosten in de eerste plaats een beroep moet worden gedaan op de structuur- en cohesiefondsen.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Aura Salla, Willemien Koning, Wouter Beke, Angelika Winzig, Tomas Tobé, Jörgen Warborn,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Er moeten concrete maatregelen in het kader van het programma worden uitgevoerd ter ondersteuning van capaciteitsopbouw in verbredingslanden en versterking van de samenwerkingsbanden in de hele Unie en ter versterking van de onderzoeks- en innovatiecapaciteit in verbredings- en overgangslanden, hetgeen moet leiden tot een samenhangender en geïntegreerder Europees O&amp;I-systeem en moet bijdragen tot de doelstelling om ten minste 3 % van het bbp in onderzoek en ontwikkeling te investeren.</w:t>
            </w:r>
            <w:r>
              <w:t xml:space="preserve"> </w:t>
            </w:r>
            <w:r>
              <w:rPr>
                <w:b/>
                <w:i/>
              </w:rPr>
              <w:t>De in aanmerking komende lidstaten uit de periode 2021-2027 moeten voor de gehele looptijd van het programma in twee groepen worden verdeeld, op basis van de index van het innovatiescorebord en het relatieve financiële rendement per bruto nationaal inkomen (bni), op basis van de volgende criteria:</w:t>
            </w:r>
            <w:r>
              <w:t xml:space="preserve"> </w:t>
            </w:r>
            <w:r>
              <w:rPr>
                <w:b/>
                <w:i/>
              </w:rPr>
              <w:t>i) “transitielanden” met (in 2023-2025) zowel een index van het innovatiescorebord van meer dan 75 % van het gemiddelde van de Unie, als een positief relatief financieel rendement per bni (2021-2025) in het kader van Horizon Europa; ii) “verbredingslanden”:</w:t>
            </w:r>
            <w:r>
              <w:t xml:space="preserve"> </w:t>
            </w:r>
            <w:r>
              <w:rPr>
                <w:b/>
                <w:i/>
              </w:rPr>
              <w:t>alle andere in aanmerking komende lidstaten in de periode 2021-2027.</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Horizon Europa, het kaderprogramma voor onderzoek en innovatie, is bedoeld om op excellentie gericht onderzoek te bevorderen.</w:t>
      </w:r>
      <w:r>
        <w:t xml:space="preserve"> </w:t>
      </w:r>
      <w:r>
        <w:t>Als onderzoeksprogramma mag het niet fungeren als cohesie-instrument.</w:t>
      </w:r>
      <w:r>
        <w:t xml:space="preserve"> </w:t>
      </w:r>
      <w:r>
        <w:t>Maatregelen voor capaciteitsopbouw in verbredings- of transitielanden vallen in de eerste plaats onder de verantwoordelijkheid van de lidstaten.</w:t>
      </w:r>
      <w:r>
        <w:t xml:space="preserve"> </w:t>
      </w:r>
      <w:r>
        <w:t>Om de kwaliteit van de onderzoeks- en innovatieresultaten te waarborgen en het concurrentievermogen te versterken, is het van essentieel belang een duidelijke focus op excellentie te bewaren.</w:t>
      </w:r>
    </w:p>
    <w:p>
      <w:r>
        <w:rPr>
          <w:rStyle w:val="HideTWBExt"/>
        </w:rPr>
        <w:t>&lt;/Amend&gt;</w:t>
      </w:r>
    </w:p>
    <w:p>
      <w:pPr>
        <w:pStyle w:val="AmNumberTabs"/>
      </w:pPr>
      <w:r>
        <w:rPr>
          <w:rStyle w:val="HideTWBExt"/>
        </w:rPr>
        <w:t>&lt;Amend&gt;</w:t>
      </w:r>
      <w:r>
        <w:t>Amendement</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Jüri Ratas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Er moeten concrete maatregelen in het kader van het programma worden uitgevoerd ter ondersteuning van capaciteitsopbouw in verbredingslanden en versterking van de samenwerkingsbanden in de hele Unie en ter versterking van de onderzoeks- en innovatiecapaciteit in verbredings- en overgangslanden, hetgeen moet leiden tot een samenhangender en geïntegreerder Europees O&amp;I-systeem en moet bijdragen tot de doelstelling om ten minste 3 % van het bbp in onderzoek en ontwikkeling te investeren. De in aanmerking komende lidstaten uit de periode 2021-2027 moeten voor de gehele looptijd van het programma in twee groepen worden verdeeld, op basis van de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w:t>
            </w:r>
          </w:p>
        </w:tc>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versterking van de samenwerkingsbanden in de hele Unie en ter versterking van de onderzoeks- en innovatiecapaciteit in verbredings- en overgangslanden, hetgeen moet leiden tot een samenhangender en geïntegreerder Europees O&amp;I-systeem en moet bijdragen tot de doelstelling om ten minste 3 % van het bbp in onderzoek en ontwikkeling te investeren. De in aanmerking komende lidstaten uit de periode 2021-2027 moeten voor de gehele looptijd van het programma in twee groepen worden verdeeld, op basis van de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 </w:t>
            </w:r>
            <w:r>
              <w:rPr>
                <w:b/>
                <w:i/>
              </w:rPr>
              <w:t>De opdeling van lidstaten in “transitielanden” en “verbredingslanden” moet fungeren als een op verdiensten gebaseerd doorgroeitraject.</w:t>
            </w:r>
            <w:r>
              <w:t xml:space="preserve"> </w:t>
            </w:r>
            <w:r>
              <w:rPr>
                <w:b/>
                <w:i/>
              </w:rPr>
              <w:t>Voor transitielanden die hebben aangetoond dat hun O&amp;I-capaciteit aanzienlijk is toegenomen, moet het programma voorzien in een op maat gesneden “pakket voor excellentie in transitie”.</w:t>
            </w:r>
            <w:r>
              <w:t xml:space="preserve"> </w:t>
            </w:r>
            <w:r>
              <w:rPr>
                <w:b/>
                <w:i/>
              </w:rPr>
              <w:t>In dit pakket moet de focus worden verlegd van basiscapaciteitsopbouw naar versterking van wetenschappelijk leiderschap, coördinerende rollen en volledige integratie in excellentienetwerken, zodat wordt voorkomen dat succes wordt bestraft en goed presterende ecosystemen een duidelijk vooruitzicht hebben om trapsgewijs op te klimmen.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 Verbredingsmaatregelen moeten bijdragen tot de geleidelijke versterking van de onderzoeks- en innovatiecapaciteit in de in aanmerking komende landen en moeten zodanig worden ontworpen dat zij de overgang van capaciteitsopbouw naar sterkere participatie, leiderschap en succes in de belangrijkste onderdelen van het programma ondersteunen.</w:t>
            </w:r>
            <w:r>
              <w:rPr>
                <w:b/>
                <w:i/>
              </w:rPr>
              <w:t>Dergelijke ondersteuning mag begunstigden niet vastzetten in permanente steuncategorieën, maar moet stimulansen bieden voor voortdurende hervorming, betere prestaties en vooruitgang in de richting van excellentie.</w:t>
            </w:r>
            <w:r>
              <w:rPr>
                <w:b/>
                <w:i/>
              </w:rPr>
              <w:t>Verbredingsmaatregelen moeten ook een gerichte faciliterende functie vervullen door de capaciteit van in aanmerking komende landen om met succes aan andere delen van het programma deel te nemen te versterken.</w:t>
            </w:r>
            <w:r>
              <w:rPr>
                <w:b/>
                <w:i/>
              </w:rPr>
              <w:t>Dergelijke maatregelen moeten zodanig worden uitgevoerd dat het op excellentie gebaseerde karakter van het programma behouden blijft en mogen niet leiden tot een verlaging van kwaliteitsnormen of wijziging van de evaluatiebeginselen die van toepassing zijn op andere delen van het programma.</w:t>
            </w:r>
            <w:r>
              <w:rPr>
                <w:b/>
                <w:i/>
              </w:rPr>
              <w:t>Bij het ontwerpen en uitvoeren van verbredingsmaatregelen moet terdege rekening worden gehouden met de verschillende niveaus van ontwikkeling, uitvoeringscapaciteit en absorptievermogen van in aanmerking komende landen.</w:t>
            </w:r>
            <w:r>
              <w:rPr>
                <w:b/>
                <w:i/>
              </w:rPr>
              <w:t>De portefeuille van instrumenten moet daarom op passende wijze worden gedifferentieerd, onder meer wat betreft de aard, de omvang en de kosten van de desbetreffende maatregelen, zodat een doeltreffend gebruik van de begroting wordt gewaarborgd met behoud van de strategische relevantie, kwaliteit en impact.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 Een evenwichtig aandeel van de middelen die worden toegewezen aan het verbreden van de deelname en het verspreiden van excellentie is beschikbaar voor progressiegerichte maatregelen ter ondersteuning van transitielanden, rekening houdend met beleidsdoelstellingen, absorptievermogen en verwachte impact.</w:t>
            </w:r>
            <w:r>
              <w:t xml:space="preserve"> </w:t>
            </w:r>
            <w:r>
              <w:rPr>
                <w:b/>
                <w:i/>
              </w:rPr>
              <w:t>Bij de beoordeling van nationale O&amp;I-investeringsinspanningen en de toepassing van voorwaarden voor toegang tot specifieke maatregelen moet de Unie rekening houden met verschuivingen in het geopolitieke landschap.</w:t>
            </w:r>
            <w:r>
              <w:t xml:space="preserve"> </w:t>
            </w:r>
            <w:r>
              <w:rPr>
                <w:b/>
                <w:i/>
              </w:rPr>
              <w:t>Lidstaten die worden geconfronteerd met buitengewone en gedocumenteerde begrotingsbehoeften in verband met nationale veiligheid en de veiligheid van de Unie moeten flexibiliteit krijgen.</w:t>
            </w:r>
            <w:r>
              <w:t xml:space="preserve"> </w:t>
            </w:r>
            <w:r>
              <w:rPr>
                <w:b/>
                <w:i/>
              </w:rPr>
              <w:t>Dergelijke omstandigheden moeten worden erkend als gerechtvaardigde gevallen om in plaats van naar louter kwantitatieve investeringsdoelstellingen te kijken naar structurele O&amp;I-hervormingen als de primaire indicator van de inzet van een lidstaat voor de Europese Onderzoeksruimte.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versterking van de samenwerkingsbanden in de hele Unie </w:t>
            </w:r>
            <w:r>
              <w:rPr>
                <w:b/>
                <w:i/>
              </w:rPr>
              <w:t>en ter versterking van</w:t>
            </w:r>
            <w:r>
              <w:t xml:space="preserve"> de onderzoeks- en innovatiecapaciteit in verbredings- en </w:t>
            </w:r>
            <w:r>
              <w:rPr>
                <w:b/>
                <w:i/>
              </w:rPr>
              <w:t>overgangslanden, hetgeen moet leiden</w:t>
            </w:r>
            <w:r>
              <w:t xml:space="preserve"> tot een </w:t>
            </w:r>
            <w:r>
              <w:rPr>
                <w:b/>
                <w:i/>
              </w:rPr>
              <w:t>samenhangender en geïntegreerder Europees O&amp;I-systeem en moet bijdragen tot</w:t>
            </w:r>
            <w:r>
              <w:t xml:space="preserve"> de doelstelling om ten minste 3 % van het bbp in onderzoek en ontwikkeling te investeren. De in aanmerking komende lidstaten uit de periode 2021-2027 moeten voor de gehele looptijd van het programma in twee groepen worden verdeeld, op basis van </w:t>
            </w:r>
            <w:r>
              <w:rPr>
                <w:b/>
                <w:i/>
              </w:rPr>
              <w:t>de</w:t>
            </w:r>
            <w:r>
              <w:t xml:space="preserv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w:t>
            </w:r>
          </w:p>
        </w:tc>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w:t>
            </w:r>
            <w:r>
              <w:rPr>
                <w:b/>
                <w:i/>
              </w:rPr>
              <w:t>-regio’s en van</w:t>
            </w:r>
            <w:r>
              <w:t xml:space="preserve"> versterking van de samenwerkingsbanden in de hele Unie</w:t>
            </w:r>
            <w:r>
              <w:rPr>
                <w:b/>
                <w:i/>
              </w:rPr>
              <w:t>, teneinde</w:t>
            </w:r>
            <w:r>
              <w:t xml:space="preserve"> de onderzoeks- en innovatiecapaciteit in verbredings- en </w:t>
            </w:r>
            <w:r>
              <w:rPr>
                <w:b/>
                <w:i/>
              </w:rPr>
              <w:t>transitielanden en -regio’s te versterken, rekening houdend met territoriale verschillen binnen lidstaten, om zo bij te dragen</w:t>
            </w:r>
            <w:r>
              <w:t xml:space="preserve"> tot een </w:t>
            </w:r>
            <w:r>
              <w:rPr>
                <w:b/>
                <w:i/>
              </w:rPr>
              <w:t>samenhangendere en geïntegreerdere Europese Onderzoeksruimte en te bevorderen dat vooruitgang wordt geboekt ter verwezenlijking van</w:t>
            </w:r>
            <w:r>
              <w:t xml:space="preserve"> de doelstelling </w:t>
            </w:r>
            <w:r>
              <w:rPr>
                <w:b/>
                <w:i/>
              </w:rPr>
              <w:t>van de Unie</w:t>
            </w:r>
            <w:r>
              <w:t xml:space="preserve"> om ten minste 3 % van het bbp in onderzoek en ontwikkeling te investeren</w:t>
            </w:r>
            <w:r>
              <w:rPr>
                <w:b/>
                <w:i/>
              </w:rPr>
              <w:t>.</w:t>
            </w:r>
            <w:r>
              <w:t xml:space="preserve"> </w:t>
            </w:r>
            <w:r>
              <w:rPr>
                <w:b/>
                <w:i/>
              </w:rPr>
              <w:t>In dit verband vormt het verbreden van de deelname aan O&amp;I een structurele uitdaging die verband houdt met reeds lang bestaande structurele, met kansen verband houdende verschillen in regionaal onderzoek en regionale innovatie-ecosystemen, en daarom mag niet worden uitgegaan van een zuiver transitionele status die uitsluitend gebaseerd is op geaggregeerde nationale prestatie-indicatoren.</w:t>
            </w:r>
            <w:r>
              <w:t xml:space="preserve"> </w:t>
            </w:r>
            <w:r>
              <w:rPr>
                <w:b/>
                <w:i/>
              </w:rPr>
              <w:t>Verbredingsclassificaties op landniveau houden het risico in dat diepe regionale verschillen worden gemaskeerd en dat de territoriale werkelijkheid verkeerd wordt weergegeven door de nadruk te leggen op nationale gemiddelden in plaats van regionale prestaties</w:t>
            </w:r>
            <w:r>
              <w:t xml:space="preserve">. De in aanmerking komende lidstaten uit de periode 2021-2027 moeten voor de gehele looptijd van het programma in twee groepen worden verdeeld, op basis van </w:t>
            </w:r>
            <w:r>
              <w:rPr>
                <w:b/>
                <w:i/>
              </w:rPr>
              <w:t>een combinatie van indicatoren, waaronder de Europese</w:t>
            </w:r>
            <w:r>
              <w:t xml:space="preserve"> index van het innovatiescorebord en het relatieve financiële rendement per bruto nationaal inkomen (bni), </w:t>
            </w:r>
            <w:r>
              <w:rPr>
                <w:b/>
                <w:i/>
              </w:rPr>
              <w:t>waarbij wordt gewaarborgd dat dergelijke indicatoren worden gebruikt als analyse-instrumenten en er niet toe leiden dat minder goed presterende regio’s worden uitgesloten van maatregelen voor capaciteitsopbouw.</w:t>
            </w:r>
            <w:r>
              <w:t xml:space="preserve"> </w:t>
            </w:r>
            <w:r>
              <w:rPr>
                <w:b/>
                <w:i/>
              </w:rPr>
              <w:t>In dit verband moeten prestaties op regionaal niveau, waaronder op NUTS 2-niveau zoals weergegeven in het regionale innovatiescorebord, op passende wijze in aanmerking worden genomen.</w:t>
            </w:r>
            <w:r>
              <w:t xml:space="preserve"> </w:t>
            </w:r>
            <w:r>
              <w:rPr>
                <w:b/>
                <w:i/>
              </w:rPr>
              <w:t>De verdeling in twee groepen moet gebeuren</w:t>
            </w:r>
            <w:r>
              <w:t xml:space="preserve"> op basis van de volgende criteria: i) “transitielanden” </w:t>
            </w:r>
            <w:r>
              <w:rPr>
                <w:b/>
                <w:i/>
              </w:rPr>
              <w:t>kunnen worden geïdentificeerd als de in aanmerking komende lidstaten</w:t>
            </w:r>
            <w:r>
              <w:t xml:space="preserve"> met (in 2023-2025) zowel een index van het innovatiescorebord van meer dan 75 % van het gemiddelde van de Unie, als een positief relatief financieel rendement per bni (2021-2025) in het kader van Horizon Europa</w:t>
            </w:r>
            <w:r>
              <w:rPr>
                <w:b/>
                <w:i/>
              </w:rPr>
              <w:t>, waarbij wordt erkend dat er binnen de transitielidstaten minder goed presterende regio’s bestaan die nog steeds in aanmerking kunnen komen voor steun voor verbreding en capaciteitsopbouw op het gebied van O&amp;I</w:t>
            </w:r>
            <w:r>
              <w:t xml:space="preserve">; ii) “verbredingslanden”: alle andere in aanmerking komende lidstaten in de periode 2021-2027. </w:t>
            </w:r>
            <w:r>
              <w:rPr>
                <w:b/>
                <w:i/>
              </w:rPr>
              <w:t>De steun die aan deze groep wordt toegewezen moet onder meer betrekking hebben op het versterken van de institutionele capaciteit van innovatieactoren, de interregionale samenwerking en het vermogen van regionale innovatie-ecosystemen om onderzoeks- en innovatieresultaten te absorberen, uit te rollen en op te schalen.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At national level, strong research and innovation performance is often concentrated in major cities, while surrounding regions lag behind.</w:t>
      </w:r>
      <w:r>
        <w:t xml:space="preserve"> </w:t>
      </w:r>
      <w:r>
        <w:t>Relying on a single, national-level measure therefore fails to capture the full picture of R&amp;I performance.</w:t>
      </w:r>
      <w:r>
        <w:t xml:space="preserve"> </w:t>
      </w:r>
      <w:r>
        <w:t>For this reason, R&amp;I assessment should go beyond national averages and adopt a place-based, regional perspective.</w:t>
      </w:r>
      <w:r>
        <w:t xml:space="preserve"> </w:t>
      </w:r>
      <w:r>
        <w:t>Therefore, this amendment ensures that the differentiation between ‘transition’ and ‘widening’ countries does not rely solely on aggregate national indicators and does not lead to the exclusion of less-performing regions from capacity-building support.</w:t>
      </w:r>
      <w:r>
        <w:t xml:space="preserve"> </w:t>
      </w:r>
      <w:r>
        <w:t>By taking regional disparities into account, it strengthens a place-based approach to widening, safeguards cohesion objectives and ensures that excellence-driven funding contributes to a more balanced and resilient European Research Area.</w:t>
      </w:r>
    </w:p>
    <w:p>
      <w:r>
        <w:rPr>
          <w:rStyle w:val="HideTWBExt"/>
        </w:rPr>
        <w:t>&lt;/Amend&gt;</w:t>
      </w:r>
    </w:p>
    <w:p>
      <w:pPr>
        <w:pStyle w:val="AmNumberTabs"/>
      </w:pPr>
      <w:r>
        <w:rPr>
          <w:rStyle w:val="HideTWBExt"/>
        </w:rPr>
        <w:t>&lt;Amend&gt;</w:t>
      </w:r>
      <w:r>
        <w:t>Amendement</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Davor Ivo Stier, Radan Kanev, Pilar del Castillo Vera, Jüri Ratas,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versterking van de samenwerkingsbanden in de hele Unie en </w:t>
            </w:r>
            <w:r>
              <w:rPr>
                <w:b/>
                <w:i/>
              </w:rPr>
              <w:t>ter versterking van</w:t>
            </w:r>
            <w:r>
              <w:t xml:space="preserve"> de onderzoeks- en innovatiecapaciteit in verbredings- en </w:t>
            </w:r>
            <w:r>
              <w:rPr>
                <w:b/>
                <w:i/>
              </w:rPr>
              <w:t>overgangslanden</w:t>
            </w:r>
            <w:r>
              <w:t xml:space="preserve">, hetgeen moet leiden tot een </w:t>
            </w:r>
            <w:r>
              <w:rPr>
                <w:b/>
                <w:i/>
              </w:rPr>
              <w:t>samenhangender en geïntegreerder Europees O&amp;I-systeem</w:t>
            </w:r>
            <w:r>
              <w:t xml:space="preserve"> en moet bijdragen tot de doelstelling om ten minste 3 % van het bbp in onderzoek en ontwikkeling te investeren. De in aanmerking komende lidstaten uit de periode 2021-2027 moeten voor de gehele looptijd van het programma in twee groepen worden verdeeld, op basis van </w:t>
            </w:r>
            <w:r>
              <w:rPr>
                <w:b/>
                <w:i/>
              </w:rPr>
              <w:t>de index van het innovatiescorebord en het relatieve financiële rendement per bruto nationaal inkomen (bni), op basis van de volgende criteria:</w:t>
            </w:r>
            <w:r>
              <w:t xml:space="preserve"> </w:t>
            </w:r>
            <w:r>
              <w:rPr>
                <w:b/>
                <w:i/>
              </w:rPr>
              <w:t>i) “</w:t>
            </w:r>
            <w:r>
              <w:t>transitielanden</w:t>
            </w:r>
            <w:r>
              <w:rPr>
                <w:b/>
                <w:i/>
              </w:rPr>
              <w:t>” met (in 2023-2025) zowel een index van het innovatiescorebord van meer dan 75 % van het gemiddelde van de Unie, als een positief relatief financieel rendement per bni (2021-2025) in het kader van Horizon Europa; ii) “</w:t>
            </w:r>
            <w:r>
              <w:t>verbredingslanden</w:t>
            </w:r>
            <w:r>
              <w:rPr>
                <w:b/>
                <w:i/>
              </w:rPr>
              <w:t>”:</w:t>
            </w:r>
            <w:r>
              <w:t xml:space="preserve"> </w:t>
            </w:r>
            <w:r>
              <w:rPr>
                <w:b/>
                <w:i/>
              </w:rPr>
              <w:t>alle andere in aanmerking komende</w:t>
            </w:r>
            <w:r>
              <w:t xml:space="preserve"> lidstaten in de </w:t>
            </w:r>
            <w:r>
              <w:rPr>
                <w:b/>
                <w:i/>
              </w:rPr>
              <w:t>periode 2021-2027</w:t>
            </w:r>
            <w:r>
              <w:t>.</w:t>
            </w:r>
          </w:p>
        </w:tc>
        <w:tc>
          <w:tcPr>
            <w:tcW w:w="4876" w:type="dxa"/>
            <w:tcBorders>
              <w:top w:val="nil"/>
              <w:left w:val="nil"/>
              <w:bottom w:val="nil"/>
              <w:right w:val="nil"/>
            </w:tcBorders>
          </w:tcPr>
          <w:p>
            <w:pPr>
              <w:pStyle w:val="Normal6a"/>
            </w:pPr>
            <w:r>
              <w:t>(20)</w:t>
            </w:r>
            <w:r>
              <w:tab/>
            </w:r>
            <w:r>
              <w:rPr>
                <w:b/>
                <w:i/>
              </w:rPr>
              <w:t>Het programma moet bijdragen tot het verkleinen van de nationale verschillen binnen de Unie op het gebied van onderzoeks- en innovatiecapaciteit en -vaardigheden.</w:t>
            </w:r>
            <w:r>
              <w:t xml:space="preserve"> </w:t>
            </w:r>
            <w:r>
              <w:rPr>
                <w:b/>
                <w:i/>
              </w:rPr>
              <w:t>Om deze doelstelling te bereiken is een partnerschapsbenadering nodig, waarbij steun op Unieniveau wordt aangevuld met aanhoudende nationale investeringen in O&amp;O en structurele hervormingen om onderzoeksecosystemen op nationaal niveau te versterken, met name in lidstaten waar dergelijke inspanningen het grootste effect kunnen sorteren.</w:t>
            </w:r>
            <w:r>
              <w:t xml:space="preserve"> Er moeten concrete maatregelen in het kader van het programma worden uitgevoerd ter ondersteuning van capaciteitsopbouw in verbredingslanden en </w:t>
            </w:r>
            <w:r>
              <w:rPr>
                <w:b/>
                <w:i/>
              </w:rPr>
              <w:t>ter ondersteuning van een</w:t>
            </w:r>
            <w:r>
              <w:t xml:space="preserve"> versterking van </w:t>
            </w:r>
            <w:r>
              <w:rPr>
                <w:b/>
                <w:i/>
              </w:rPr>
              <w:t>wetenschappelijk leiderschap en excellentie op het gebied van coördinatie in transitielanden, waarbij</w:t>
            </w:r>
            <w:r>
              <w:t xml:space="preserve"> de samenwerkingsbanden in de hele Unie en de onderzoeks- en innovatiecapaciteit in verbredings- en </w:t>
            </w:r>
            <w:r>
              <w:rPr>
                <w:b/>
                <w:i/>
              </w:rPr>
              <w:t>transitielanden worden versterkt</w:t>
            </w:r>
            <w:r>
              <w:t xml:space="preserve">, hetgeen moet leiden tot een </w:t>
            </w:r>
            <w:r>
              <w:rPr>
                <w:b/>
                <w:i/>
              </w:rPr>
              <w:t>samenhangendere en geïntegreerdere Europese Onderzoeksruimte</w:t>
            </w:r>
            <w:r>
              <w:t xml:space="preserve"> en moet bijdragen tot de doelstelling om ten minste 3 % van het bbp in onderzoek en ontwikkeling te investeren. De in aanmerking komende lidstaten uit de periode 2021-2027 moeten voor de gehele looptijd van het programma in twee groepen worden verdeeld, op basis van </w:t>
            </w:r>
            <w:r>
              <w:rPr>
                <w:b/>
                <w:i/>
              </w:rPr>
              <w:t>hun positie in de Europese Onderzoeksruimte.</w:t>
            </w:r>
            <w:r>
              <w:t xml:space="preserve"> </w:t>
            </w:r>
            <w:r>
              <w:rPr>
                <w:b/>
                <w:i/>
              </w:rPr>
              <w:t>Lidstaten waarvan de onderzoeks- en innovatie-ecosystemen volgroeid zijn en goed zijn geïntegreerd in de Europese Onderzoeksruimte zullen als</w:t>
            </w:r>
            <w:r>
              <w:t xml:space="preserve"> transitielanden </w:t>
            </w:r>
            <w:r>
              <w:rPr>
                <w:b/>
                <w:i/>
              </w:rPr>
              <w:t>worden beschouwd, terwijl andere lidstaten</w:t>
            </w:r>
            <w:r>
              <w:t xml:space="preserve"> verbredingslanden </w:t>
            </w:r>
            <w:r>
              <w:rPr>
                <w:b/>
                <w:i/>
              </w:rPr>
              <w:t>blijven.</w:t>
            </w:r>
            <w:r>
              <w:t xml:space="preserve"> </w:t>
            </w:r>
            <w:r>
              <w:rPr>
                <w:b/>
                <w:i/>
              </w:rPr>
              <w:t>Deze gedifferentieerde aanpak weerspiegelt de ambitie van het programma om alle</w:t>
            </w:r>
            <w:r>
              <w:t xml:space="preserve"> lidstaten </w:t>
            </w:r>
            <w:r>
              <w:rPr>
                <w:b/>
                <w:i/>
              </w:rPr>
              <w:t>te ondersteunen bij het geleidelijk opbouwen van de fundamenten voor sterke O&amp;I-prestaties en het vergroten van de deelname aan de Europese Onderzoeksruimte,</w:t>
            </w:r>
            <w:r>
              <w:t xml:space="preserve"> in de </w:t>
            </w:r>
            <w:r>
              <w:rPr>
                <w:b/>
                <w:i/>
              </w:rPr>
              <w:t>verwachting dat specifieke steunmaatregelen worden aangepast aan de vooruitgang die in de loop van de opeenvolgende kaderprogramma’s wordt geboekt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versterking van de samenwerkingsbanden in de hele Unie en ter versterking van de onderzoeks- en innovatiecapaciteit in verbredings- en </w:t>
            </w:r>
            <w:r>
              <w:rPr>
                <w:b/>
                <w:i/>
              </w:rPr>
              <w:t>overgangslanden, hetgeen moet leiden tot een samenhangender en geïntegreerder Europees O&amp;I-systeem en moet bijdragen tot de doelstelling om ten minste 3 % van het bbp in onderzoek en ontwikkeling te investeren</w:t>
            </w:r>
            <w:r>
              <w:t>. De in aanmerking komende lidstaten uit de periode 2021-2027 moeten voor de gehele looptijd van het programma in twee groepen worden verdeeld, op basis van de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w:t>
            </w:r>
          </w:p>
        </w:tc>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versterking van de samenwerkingsbanden in de hele Unie en ter versterking van de onderzoeks- en innovatiecapaciteit in verbredings- en </w:t>
            </w:r>
            <w:r>
              <w:rPr>
                <w:b/>
                <w:i/>
              </w:rPr>
              <w:t>transitielanden</w:t>
            </w:r>
            <w:r>
              <w:t xml:space="preserve">. De in aanmerking komende lidstaten uit de periode 2021-2027 moeten voor de gehele looptijd van het programma in twee groepen worden verdeeld, op basis van de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 </w:t>
            </w:r>
            <w:r>
              <w:rPr>
                <w:b/>
                <w:i/>
              </w:rPr>
              <w:t>In het kader van het programma moeten diverse maatregelen worden uitgevoerd om te waarborgen dat er in het volledige Horizon Europa-programma coördinatoren uit verbredings- en transitielanden zijn en om samenwerking tussen minder en meer innovatieve ecosystemen te bevorderen om versnippering tegen te gaan en de capaciteit binnen verschillende territoriale innovatie-ecosystemen te benutten, met bijzondere aandacht voor het aanpakken van structurele capaciteitstekorten door middel van tijdgebonden maatregelen, duidelijke voortgangsindicatoren en gerichte steun, met inbegrip van steunmaatregelen van lidstaten met een meer volgroeid en onderzoeksintensief stelsel voor hoger onderwijs, door middel van nauwere samenwerking en diepgaande institutionele capaciteitsopbouw.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Er</w:t>
            </w:r>
            <w:r>
              <w:t xml:space="preserve"> moeten concrete maatregelen in het kader van het programma worden uitgevoerd </w:t>
            </w:r>
            <w:r>
              <w:rPr>
                <w:b/>
                <w:i/>
              </w:rPr>
              <w:t>ter</w:t>
            </w:r>
            <w:r>
              <w:t xml:space="preserve"> ondersteuning van capaciteitsopbouw in verbredingslanden en versterking van de samenwerkingsbanden in de hele Unie en </w:t>
            </w:r>
            <w:r>
              <w:rPr>
                <w:b/>
                <w:i/>
              </w:rPr>
              <w:t>ter</w:t>
            </w:r>
            <w:r>
              <w:t xml:space="preserve"> versterking van de onderzoeks- en innovatiecapaciteit in verbredings- en </w:t>
            </w:r>
            <w:r>
              <w:rPr>
                <w:b/>
                <w:i/>
              </w:rPr>
              <w:t>overgangslanden</w:t>
            </w:r>
            <w:r>
              <w:t xml:space="preserve">, hetgeen moet leiden tot een samenhangender en geïntegreerder Europees O&amp;I-systeem en moet bijdragen tot de doelstelling om ten minste 3 % van het bbp in onderzoek en ontwikkeling te investeren. De </w:t>
            </w:r>
            <w:r>
              <w:rPr>
                <w:b/>
                <w:i/>
              </w:rPr>
              <w:t>in aanmerking komende</w:t>
            </w:r>
            <w:r>
              <w:t xml:space="preserve"> lidstaten </w:t>
            </w:r>
            <w:r>
              <w:rPr>
                <w:b/>
                <w:i/>
              </w:rPr>
              <w:t>uit de periode 2021</w:t>
            </w:r>
            <w:r>
              <w:t>-</w:t>
            </w:r>
            <w:r>
              <w:rPr>
                <w:b/>
                <w:i/>
              </w:rPr>
              <w:t>2027 moeten voor de gehele looptijd van het programma in twee groepen worden verdeeld, op basis van de index van het innovatiescorebord en het relatieve financiële rendement per bruto nationaal inkomen (bni), op basis van de volgende criteria:</w:t>
            </w:r>
            <w:r>
              <w:t xml:space="preserve"> </w:t>
            </w:r>
            <w:r>
              <w:rPr>
                <w:b/>
                <w:i/>
              </w:rPr>
              <w:t>i) “</w:t>
            </w:r>
            <w:r>
              <w:t>transitielanden</w:t>
            </w:r>
            <w:r>
              <w:rPr>
                <w:b/>
                <w:i/>
              </w:rPr>
              <w:t>” met (in 2023-2025) zowel een index van het innovatiescorebord van meer dan 75 % van het gemiddelde van de Unie, als een positief relatief financieel rendement per bni (2021-2025) in het kader van Horizon Europa; ii) “verbredingslanden”:</w:t>
            </w:r>
            <w:r>
              <w:t xml:space="preserve"> </w:t>
            </w:r>
            <w:r>
              <w:rPr>
                <w:b/>
                <w:i/>
              </w:rPr>
              <w:t>alle andere in aanmerking komende</w:t>
            </w:r>
            <w:r>
              <w:t xml:space="preserve"> lidstaten </w:t>
            </w:r>
            <w:r>
              <w:rPr>
                <w:b/>
                <w:i/>
              </w:rPr>
              <w:t>in de periode 2021-2027</w:t>
            </w:r>
            <w:r>
              <w:t>.</w:t>
            </w:r>
          </w:p>
        </w:tc>
        <w:tc>
          <w:tcPr>
            <w:tcW w:w="4876" w:type="dxa"/>
            <w:tcBorders>
              <w:top w:val="nil"/>
              <w:left w:val="nil"/>
              <w:bottom w:val="nil"/>
              <w:right w:val="nil"/>
            </w:tcBorders>
          </w:tcPr>
          <w:p>
            <w:pPr>
              <w:pStyle w:val="Normal6a"/>
            </w:pPr>
            <w:r>
              <w:t>(20)</w:t>
            </w:r>
            <w:r>
              <w:tab/>
            </w:r>
            <w:r>
              <w:rPr>
                <w:b/>
                <w:i/>
              </w:rPr>
              <w:t>Om een concentratie van onderzoek en innovatie in de goed presterende lidstaten en entiteiten te voorkomen, en gezien de aanhoudende O&amp;I-kloof binnen Europa die de Europese Onderzoeksruimte (EOR) verzwakt, de eengemaakte markt voor O&amp;I verstoort en negatieve gevolgen heeft voor het mondiale concurrentievermogen van de EU,</w:t>
            </w:r>
            <w:r>
              <w:t xml:space="preserve"> moeten concrete maatregelen in het kader van het programma worden uitgevoerd </w:t>
            </w:r>
            <w:r>
              <w:rPr>
                <w:b/>
                <w:i/>
              </w:rPr>
              <w:t>om deze negatieve resultaten te voorkomen, in heel Europa nieuwe samenwerkingsverbanden op het gebied van O&amp;I op te zetten en het potentieel en talent op het gebied van O&amp;I van de gehele Unie optimaal te benutten.</w:t>
            </w:r>
            <w:r>
              <w:t xml:space="preserve"> </w:t>
            </w:r>
            <w:r>
              <w:rPr>
                <w:b/>
                <w:i/>
              </w:rPr>
              <w:t>Het programma moet kunnen beschikken over een stabiele en toereikende begroting van ten minste 7 % van de begroting van het kaderprogramma voor de</w:t>
            </w:r>
            <w:r>
              <w:t xml:space="preserve"> ondersteuning van capaciteitsopbouw in verbredingslanden en versterking van de samenwerkingsbanden in de hele Unie en </w:t>
            </w:r>
            <w:r>
              <w:rPr>
                <w:b/>
                <w:i/>
              </w:rPr>
              <w:t>voor de</w:t>
            </w:r>
            <w:r>
              <w:t xml:space="preserve"> versterking van de onderzoeks- en innovatiecapaciteit in verbredings- en </w:t>
            </w:r>
            <w:r>
              <w:rPr>
                <w:b/>
                <w:i/>
              </w:rPr>
              <w:t>transitielanden</w:t>
            </w:r>
            <w:r>
              <w:t xml:space="preserve">, hetgeen moet leiden tot een samenhangender en geïntegreerder Europees O&amp;I-systeem en moet bijdragen tot de doelstelling om ten minste 3 % van het bbp in onderzoek en ontwikkeling te investeren. De </w:t>
            </w:r>
            <w:r>
              <w:rPr>
                <w:b/>
                <w:i/>
              </w:rPr>
              <w:t>Commissie moet de geldigheid van de indeling van</w:t>
            </w:r>
            <w:r>
              <w:t xml:space="preserve"> lidstaten </w:t>
            </w:r>
            <w:r>
              <w:rPr>
                <w:b/>
                <w:i/>
              </w:rPr>
              <w:t>als kernverbredings</w:t>
            </w:r>
            <w:r>
              <w:t xml:space="preserve">- </w:t>
            </w:r>
            <w:r>
              <w:rPr>
                <w:b/>
                <w:i/>
              </w:rPr>
              <w:t>en -</w:t>
            </w:r>
            <w:r>
              <w:t xml:space="preserve">transitielanden </w:t>
            </w:r>
            <w:r>
              <w:rPr>
                <w:b/>
                <w:i/>
              </w:rPr>
              <w:t>in 2030 controleren en, indien gerechtvaardigd, overeenkomstige aanpassingen voorstellen op basis van transparante en objectieve indicatoren die in overleg met de</w:t>
            </w:r>
            <w:r>
              <w:t xml:space="preserve"> lidstaten </w:t>
            </w:r>
            <w:r>
              <w:rPr>
                <w:b/>
                <w:i/>
              </w:rPr>
              <w:t>zijn vastgesteld.</w:t>
            </w:r>
            <w:r>
              <w:t xml:space="preserve"> </w:t>
            </w:r>
            <w:r>
              <w:rPr>
                <w:b/>
                <w:i/>
              </w:rPr>
              <w:t>Evenwel moet rekening worden gehouden met regionale verschillen binnen deze lidstaten, waaronder specifieke uitdagingen waarmee bepaalde regio’s, bijvoorbeeld regio’s aan de oostelijke buitengrenzen, worden geconfronteerd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Er moeten concrete maatregelen in het kader van het programma worden uitgevoerd ter ondersteuning van capaciteitsopbouw in verbredingslanden en versterking van de samenwerkingsbanden in de hele Unie en ter versterking van de onderzoeks- en innovatiecapaciteit in verbredings- en overgangslanden, hetgeen moet leiden tot een samenhangender en geïntegreerder Europees O&amp;I-systeem en moet bijdragen tot de doelstelling om ten minste 3 % van het bbp in onderzoek en ontwikkeling te investeren. De in aanmerking komende lidstaten uit de periode 2021-2027 moeten voor de gehele looptijd van het programma in twee groepen worden verdeeld, op basis van de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w:t>
            </w:r>
          </w:p>
        </w:tc>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versterking van de samenwerkingsbanden in de hele Unie </w:t>
            </w:r>
            <w:r>
              <w:rPr>
                <w:b/>
                <w:i/>
              </w:rPr>
              <w:t>en met inbegrip van de regio’s,</w:t>
            </w:r>
            <w:r>
              <w:t xml:space="preserve"> en ter versterking van de onderzoeks- en innovatiecapaciteit in verbredings- en overgangslanden, hetgeen moet leiden tot een samenhangender en geïntegreerder Europees O&amp;I-systeem en moet bijdragen tot de doelstelling om ten minste 3 % van het bbp in onderzoek en ontwikkeling te investeren</w:t>
            </w:r>
            <w:r>
              <w:rPr>
                <w:b/>
                <w:i/>
              </w:rPr>
              <w:t>.</w:t>
            </w:r>
            <w:r>
              <w:t xml:space="preserve"> </w:t>
            </w:r>
            <w:r>
              <w:rPr>
                <w:b/>
                <w:i/>
              </w:rPr>
              <w:t>In het kader van het programma moeten diverse maatregelen worden uitgevoerd om te waarborgen dat er in het volledige Horizon Europa-programma coördinatoren uit verbredings- en transitielanden zijn en om samenwerking tussen minder en meer innovatieve ecosystemen te bevorderen om versnippering tegen te gaan en de capaciteit binnen verschillende territoriale innovatie-ecosystemen te benutten</w:t>
            </w:r>
            <w:r>
              <w:t>. De in aanmerking komende lidstaten uit de periode 2021-2027 moeten voor de gehele looptijd van het programma in twee groepen worden verdeeld, op basis van de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versterking van de samenwerkingsbanden in de hele Unie en ter versterking van de onderzoeks- en innovatiecapaciteit in </w:t>
            </w:r>
            <w:r>
              <w:rPr>
                <w:b/>
                <w:i/>
              </w:rPr>
              <w:t>verbredings- en overgangslanden</w:t>
            </w:r>
            <w:r>
              <w:t xml:space="preserve">, hetgeen moet leiden tot een samenhangender en geïntegreerder Europees O&amp;I-systeem en moet bijdragen tot de doelstelling om ten minste 3 % van het bbp in onderzoek en ontwikkeling te investeren. De in aanmerking komende lidstaten uit de periode 2021-2027 moeten </w:t>
            </w:r>
            <w:r>
              <w:rPr>
                <w:b/>
                <w:i/>
              </w:rPr>
              <w:t>voor de gehele looptijd van het programma</w:t>
            </w:r>
            <w:r>
              <w:t xml:space="preserve"> in twee groepen worden verdeeld</w:t>
            </w:r>
            <w:r>
              <w:rPr>
                <w:b/>
                <w:i/>
              </w:rPr>
              <w:t>,</w:t>
            </w:r>
            <w:r>
              <w:t xml:space="preserve"> op basis van de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w:t>
            </w:r>
          </w:p>
        </w:tc>
        <w:tc>
          <w:tcPr>
            <w:tcW w:w="4876" w:type="dxa"/>
            <w:tcBorders>
              <w:top w:val="nil"/>
              <w:left w:val="nil"/>
              <w:bottom w:val="nil"/>
              <w:right w:val="nil"/>
            </w:tcBorders>
          </w:tcPr>
          <w:p>
            <w:pPr>
              <w:pStyle w:val="Normal6a"/>
            </w:pPr>
            <w:r>
              <w:t>(20)</w:t>
            </w:r>
            <w:r>
              <w:tab/>
            </w:r>
            <w:r>
              <w:t xml:space="preserve">Er moeten concrete maatregelen in het kader van het programma worden uitgevoerd ter ondersteuning van capaciteitsopbouw in verbredingslanden en versterking van de samenwerkingsbanden in de hele Unie en ter versterking van de onderzoeks- en innovatiecapaciteit in </w:t>
            </w:r>
            <w:r>
              <w:rPr>
                <w:b/>
                <w:i/>
              </w:rPr>
              <w:t>verbredingslanden</w:t>
            </w:r>
            <w:r>
              <w:t xml:space="preserve">, hetgeen moet leiden tot een samenhangender en geïntegreerder Europees O&amp;I-systeem en moet bijdragen tot de doelstelling om ten minste 3 % van het bbp in onderzoek en ontwikkeling te investeren. De in aanmerking komende lidstaten uit de periode 2021-2027 moeten in twee groepen worden verdeeld </w:t>
            </w:r>
            <w:r>
              <w:rPr>
                <w:b/>
                <w:i/>
              </w:rPr>
              <w:t>na een evaluatie in 2030 die wordt uitgevoerd</w:t>
            </w:r>
            <w:r>
              <w:t xml:space="preserve"> op basis van de index van het innovatiescorebord en het relatieve financiële rendement per bruto nationaal inkomen (bni), op basis van de volgende criteria: i) “transitielanden” met (in 2023-2025) zowel een index van het innovatiescorebord van meer dan 75 % van het gemiddelde van de Unie, als een positief relatief financieel rendement per bni (2021-2025) in het kader van Horizon Europa; ii) “verbredingslanden”: alle andere in aanmerking komende lidstaten in de periode 2021-2027.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Davor Ivo Stier, 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Het verkleinen van de verschillen op het gebied van onderzoeks- en innovatieprestaties in de hele Unie blijft van essentieel belang voor het versterken van de Europese Onderzoeksruimte en het waarborgen van de volledige mobilisatie van het talent en de kennisbasis van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bis)</w:t>
            </w:r>
            <w:r>
              <w:tab/>
            </w:r>
            <w:r>
              <w:rPr>
                <w:b/>
                <w:i/>
              </w:rPr>
              <w:t>Het afhankelijk maken van de toegang tot verbredingsinstrumenten op basis van overheidsinvesteringen in O&amp;O is onaanvaardbaar in het huidige geopolitieke landschap waarin lidstaten worden geconfronteerd met buitengewone begrotingsdruk.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ter)</w:t>
            </w:r>
            <w:r>
              <w:tab/>
            </w:r>
            <w:r>
              <w:rPr>
                <w:b/>
                <w:i/>
              </w:rPr>
              <w:t>De Commissie moet de mate van deelname in verbredingslanden nauwlettend monitoren en, indien blijkt dat er sprake is van aanhoudende onevenwichtigheden, aanvullende maatregelen invoeren om deze aan te pakken en een breder participatiepatroon te bereiken.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Pilar del Castillo Vera, Jüri Ratas, Angelika Niebler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Gezien de voordelen die</w:t>
            </w:r>
            <w:r>
              <w:t xml:space="preserve"> internationale samenwerking </w:t>
            </w:r>
            <w:r>
              <w:rPr>
                <w:b/>
                <w:i/>
              </w:rPr>
              <w:t>biedt voor</w:t>
            </w:r>
            <w:r>
              <w:t xml:space="preserve"> het aanpakken van onder andere gedeelde technologische, economische, milieugerelateerde en maatschappelijke problemen,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w:t>
            </w:r>
          </w:p>
        </w:tc>
        <w:tc>
          <w:tcPr>
            <w:tcW w:w="4876" w:type="dxa"/>
            <w:tcBorders>
              <w:top w:val="nil"/>
              <w:left w:val="nil"/>
              <w:bottom w:val="nil"/>
              <w:right w:val="nil"/>
            </w:tcBorders>
          </w:tcPr>
          <w:p>
            <w:pPr>
              <w:pStyle w:val="Normal6a"/>
            </w:pPr>
            <w:r>
              <w:t>(21)</w:t>
            </w:r>
            <w:r>
              <w:tab/>
            </w:r>
            <w:r>
              <w:rPr>
                <w:b/>
                <w:i/>
              </w:rPr>
              <w:t>Aangezien</w:t>
            </w:r>
            <w:r>
              <w:t xml:space="preserve"> internationale samenwerking </w:t>
            </w:r>
            <w:r>
              <w:rPr>
                <w:b/>
                <w:i/>
              </w:rPr>
              <w:t>bijdraagt tot het behoud van wetenschappelijke excellentie en excellentie op het gebied van innovatie, het stimuleren van het concurrentievermogen door middel van economische samenwerking met internationale partners en</w:t>
            </w:r>
            <w:r>
              <w:t xml:space="preserve"> het aanpakken van onder andere gedeelde technologische, economische, milieugerelateerde en maatschappelijke problemen,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w:t>
            </w:r>
            <w:r>
              <w:rPr>
                <w:b/>
                <w:i/>
              </w:rPr>
              <w:t>Besluiten over de reikwijdte van de associatie van een derde land met het programma zijn inherent uiterst politiek van aard en dit is nog toegenomen in het licht van de nauwe band tussen het programma en het Europees Fonds voor concurrentievermogen, waardoor associatie meer raakt aan kernkwesties van het industriële concurrentievermogen, de strategische autonomie en de economische veiligheid van de Unie.</w:t>
            </w:r>
            <w:r>
              <w:t xml:space="preserve"> </w:t>
            </w:r>
            <w:r>
              <w:rPr>
                <w:b/>
                <w:i/>
              </w:rPr>
              <w:t>Daarom moet de risico-batenanalyse die ten grondslag ligt aan de reikwijdte van de associatie van elk derde land substantieel, landspecifiek en empirisch onderbouwd zijn, bewijsmateriaal bevatten over de stand van de academische vrijheid in het betrokken derde land en met het Europees Parlement en de Raad worden gedeeld voordat er formele uitwisselingen met dat derde land plaatsvinden, zodat de medewetgevers zinvolle politieke controle kunnen uitoefenen in een stadium waarin hun standpunten nog kunnen worden meegenomen in het onderhandelingsstandpunt van de Unie.</w:t>
            </w:r>
            <w:r>
              <w:t xml:space="preserve"> </w:t>
            </w:r>
            <w:r>
              <w:rPr>
                <w:b/>
                <w:i/>
              </w:rPr>
              <w:t>Wanneer de bescherming en bevordering van de academische vrijheid in een derde land niet aan de Europese normen voldoet, mag associatie met het programma alleen mogelijk zijn op voorwaarde dat het betrokken derde land zich ertoe verbindt concrete maatregelen te nemen om de academische vrijheid te verbeteren.</w:t>
            </w:r>
            <w:r>
              <w:t xml:space="preserve"> </w:t>
            </w:r>
            <w:r>
              <w:rPr>
                <w:b/>
                <w:i/>
              </w:rPr>
              <w:t>Die voorwaarde moet gelden voor alle categorieën van geassocieerde landen, met inbegrip van landen die lid zijn van de Europese Economische Ruimte, toetredende landen, kandidaat-lidstaten en potentiële kandidaat-lidstaten.</w:t>
            </w:r>
            <w:r>
              <w:t xml:space="preserve"> </w:t>
            </w:r>
            <w:r>
              <w:rPr>
                <w:b/>
                <w:i/>
              </w:rPr>
              <w:t>In overeenstemming met de Overeenkomst betreffende de Europese Economische Ruimte, en met name artikel 81, punt a), moeten de EER-EVA-staten toegang hebben tot alle delen van het programma, op voet van gelijkheid met de EU-lidstaten.</w:t>
            </w:r>
            <w:r>
              <w:t xml:space="preserve">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Gezien de voordelen die internationale samenwerking biedt voor het aanpakken van onder andere gedeelde technologische, economische, milieugerelateerde en maatschappelijke problemen,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w:t>
            </w:r>
            <w:r>
              <w:rPr>
                <w:b/>
                <w:i/>
              </w:rPr>
              <w:t>Voor defensiegerelateerde activiteiten mogen in het kader</w:t>
            </w:r>
            <w:r>
              <w:t xml:space="preserve"> van de </w:t>
            </w:r>
            <w:r>
              <w:rPr>
                <w:b/>
                <w:i/>
              </w:rPr>
              <w:t>EIC alleen entiteiten in aanmerking komen voor financiering die gevestigd zijn in</w:t>
            </w:r>
            <w:r>
              <w:t xml:space="preserve"> derde landen </w:t>
            </w:r>
            <w:r>
              <w:rPr>
                <w:b/>
                <w:i/>
              </w:rPr>
              <w:t>die voor defensieactiviteiten geassocieerd zijn</w:t>
            </w:r>
            <w:r>
              <w:t xml:space="preserve"> met het </w:t>
            </w:r>
            <w:r>
              <w:rPr>
                <w:b/>
                <w:i/>
              </w:rPr>
              <w:t>Europees Fonds voor concurrentievermogen</w:t>
            </w:r>
            <w:r>
              <w:t>. Het programma kan activiteiten ondersteunen die worden gefinancierd door het programma “Europa in de wereld”, mits deze in overeenstemming zijn met de regels en doelstellingen en met de bepalingen inzake synergieën van deze verordening.</w:t>
            </w:r>
          </w:p>
        </w:tc>
        <w:tc>
          <w:tcPr>
            <w:tcW w:w="4876" w:type="dxa"/>
            <w:tcBorders>
              <w:top w:val="nil"/>
              <w:left w:val="nil"/>
              <w:bottom w:val="nil"/>
              <w:right w:val="nil"/>
            </w:tcBorders>
          </w:tcPr>
          <w:p>
            <w:pPr>
              <w:pStyle w:val="Normal6a"/>
            </w:pPr>
            <w:r>
              <w:t>(21)</w:t>
            </w:r>
            <w:r>
              <w:tab/>
            </w:r>
            <w:r>
              <w:t xml:space="preserve">Gezien </w:t>
            </w:r>
            <w:r>
              <w:rPr>
                <w:b/>
                <w:i/>
              </w:rPr>
              <w:t>de intrinsieke waarde van wetenschapsdiplomatie en</w:t>
            </w:r>
            <w:r>
              <w:t xml:space="preserve"> de voordelen die internationale samenwerking biedt voor het aanpakken van onder andere gedeelde technologische, economische, milieugerelateerde en maatschappelijke problemen,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w:t>
            </w:r>
            <w:r>
              <w:rPr>
                <w:b/>
                <w:i/>
              </w:rPr>
              <w:t>De Unie moet ernaar streven het programma zo open mogelijk te houden voor deelname van derde landen, maar zo gesloten als nodig is om de integriteit</w:t>
            </w:r>
            <w:r>
              <w:t xml:space="preserve"> van de </w:t>
            </w:r>
            <w:r>
              <w:rPr>
                <w:b/>
                <w:i/>
              </w:rPr>
              <w:t>waarden waarop het berust te behouden en bescherming te bieden tegen risico’s voor de onderzoeksveiligheid, met inbegrip van oneigenlijk gebruik van kennis, de overdracht van gevoelige technologieën en buitenlandse inmenging in het onderzoeks- en innovatie-ecosysteem van de Unie.</w:t>
            </w:r>
            <w:r>
              <w:t xml:space="preserve"> </w:t>
            </w:r>
            <w:r>
              <w:rPr>
                <w:b/>
                <w:i/>
              </w:rPr>
              <w:t>De associatie van</w:t>
            </w:r>
            <w:r>
              <w:t xml:space="preserve"> derde landen met het </w:t>
            </w:r>
            <w:r>
              <w:rPr>
                <w:b/>
                <w:i/>
              </w:rPr>
              <w:t>programma moet daarom worden voorbehouden aan landen die deze waarden daadwerkelijk delen en blijk geven van een geloofwaardige en blijvende inzet voor de handhaving ervan.</w:t>
            </w:r>
            <w:r>
              <w:t xml:space="preserve"> </w:t>
            </w:r>
            <w:r>
              <w:rPr>
                <w:b/>
                <w:i/>
              </w:rPr>
              <w:t>Een land dat zijn verplichtingen uit hoofde van het internationaal recht, met inbegrip van het internationaal recht inzake de mensenrechten, het internationaal humanitair recht en het Verdrag inzake de voorkoming en de bestraffing van genocide, niet nakomt, kan dus niet worden beschouwd als een betrouwbare partner bij het nastreven van de onderzoeks- en innovatiedoelstellingen van de Unie, noch als een land dat de waarden waarop het programma berust, deelt.</w:t>
            </w:r>
            <w:r>
              <w:t xml:space="preserve"> </w:t>
            </w:r>
            <w:r>
              <w:rPr>
                <w:b/>
                <w:i/>
              </w:rPr>
              <w:t>Indien er bewijzen van een dergelijke tekortkoming zijn, zouden de integriteit en geloofwaardigheid van het programma als instrument van het externe beleid van de Unie fundamenteel worden ondermijnd indien de associatie zou worden voortgezet.</w:t>
            </w:r>
            <w:r>
              <w:t xml:space="preserve"> </w:t>
            </w:r>
            <w:r>
              <w:rPr>
                <w:b/>
                <w:i/>
              </w:rPr>
              <w:t>De Commissie moet derhalve worden verplicht onverwijld op te treden om in dergelijke gevallen de beëindiging van de associatieovereenkomst in te leiden, onverminderd de procedurele vereisten die krachtens het Unierecht van toepassing zijn.</w:t>
            </w:r>
            <w:r>
              <w:t xml:space="preserve"> </w:t>
            </w:r>
            <w:r>
              <w:rPr>
                <w:b/>
                <w:i/>
              </w:rPr>
              <w:t>De associatieovereenkomst moet voorts voorzien in een trapsgewijze reeks maatregelen, met inbegrip van opschorting en beperking, die van toepassing zijn in geval van een ernstige schending van de associatievoorwaarden die de voor beëindiging vereiste drempel niet bereikt</w:t>
            </w:r>
            <w:r>
              <w:t>. Het programma kan activiteiten ondersteunen die worden gefinancierd door het programma “Europa in de wereld”, mits deze in overeenstemming zijn met de regels en doelstellingen en met de bepalingen inzake synergieën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Gezien de voordelen die internationale samenwerking biedt voor het aanpakken van onder andere gedeelde technologische, economische, milieugerelateerde en maatschappelijke problemen, moet het programma de samenwerking met derde landen bevorderen. Internationale samenwerking moet </w:t>
            </w:r>
            <w:r>
              <w:rPr>
                <w:b/>
                <w:i/>
              </w:rPr>
              <w:t>gericht</w:t>
            </w:r>
            <w:r>
              <w:t xml:space="preserve"> zijn op </w:t>
            </w:r>
            <w:r>
              <w:rPr>
                <w:b/>
                <w:i/>
              </w:rPr>
              <w:t>het versterken</w:t>
            </w:r>
            <w:r>
              <w:t xml:space="preserve"> van het concurrentievermogen en de </w:t>
            </w:r>
            <w:r>
              <w:rPr>
                <w:b/>
                <w:i/>
              </w:rPr>
              <w:t>excellentie van de O&amp;I</w:t>
            </w:r>
            <w:r>
              <w:t xml:space="preserve"> van de Unie, met inbegrip van haar vermogen om de beste talenten van over de hele wereld aan te trekken en te behouden. Geopolitieke overwegingen, waaronder economische </w:t>
            </w:r>
            <w:r>
              <w:rPr>
                <w:b/>
                <w:i/>
              </w:rPr>
              <w:t>veiligheid</w:t>
            </w:r>
            <w:r>
              <w:t>, moeten centraal staan in de aanpak</w:t>
            </w:r>
            <w:r>
              <w:rPr>
                <w:b/>
                <w:i/>
              </w:rPr>
              <w:t>, en</w:t>
            </w:r>
            <w:r>
              <w:t xml:space="preserve">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w:t>
            </w:r>
            <w:r>
              <w:rPr>
                <w:b/>
                <w:i/>
              </w:rPr>
              <w:t>hele</w:t>
            </w:r>
            <w:r>
              <w:t xml:space="preserve"> programma </w:t>
            </w:r>
            <w:r>
              <w:rPr>
                <w:b/>
                <w:i/>
              </w:rPr>
              <w:t>of delen daarvan</w:t>
            </w:r>
            <w:r>
              <w:t xml:space="preserve"> moet de meest uitgebreide vorm van samenwerking blijven. Voor defensiegerelateerde activiteiten mogen in het kader van de EIC alleen entiteiten in aanmerking komen voor financiering die gevestigd zijn in derde landen die voor defensieactiviteiten </w:t>
            </w:r>
            <w:r>
              <w:rPr>
                <w:b/>
                <w:i/>
              </w:rPr>
              <w:t>geassocieerd zijn met</w:t>
            </w:r>
            <w:r>
              <w:t xml:space="preserve"> het Europees Fonds voor concurrentievermogen</w:t>
            </w:r>
            <w:r>
              <w:rPr>
                <w:b/>
                <w:i/>
              </w:rPr>
              <w:t>.</w:t>
            </w:r>
            <w:r>
              <w:t xml:space="preserve"> </w:t>
            </w:r>
            <w:r>
              <w:rPr>
                <w:b/>
                <w:i/>
              </w:rPr>
              <w:t>Het programma kan activiteiten ondersteunen die worden gefinancierd door het programma “Europa in de wereld”</w:t>
            </w:r>
            <w:r>
              <w:t xml:space="preserve">, </w:t>
            </w:r>
            <w:r>
              <w:rPr>
                <w:b/>
                <w:i/>
              </w:rPr>
              <w:t>mits deze</w:t>
            </w:r>
            <w:r>
              <w:t xml:space="preserve"> in overeenstemming </w:t>
            </w:r>
            <w:r>
              <w:rPr>
                <w:b/>
                <w:i/>
              </w:rPr>
              <w:t>zijn met de regels en doelstellingen en met de bepalingen inzake synergieën van deze verordening</w:t>
            </w:r>
            <w:r>
              <w:t>.</w:t>
            </w:r>
          </w:p>
        </w:tc>
        <w:tc>
          <w:tcPr>
            <w:tcW w:w="4876" w:type="dxa"/>
            <w:tcBorders>
              <w:top w:val="nil"/>
              <w:left w:val="nil"/>
              <w:bottom w:val="nil"/>
              <w:right w:val="nil"/>
            </w:tcBorders>
          </w:tcPr>
          <w:p>
            <w:pPr>
              <w:pStyle w:val="Normal6a"/>
            </w:pPr>
            <w:r>
              <w:t>(21)</w:t>
            </w:r>
            <w:r>
              <w:tab/>
            </w:r>
            <w:r>
              <w:t>Gezien de voordelen die internationale samenwerking biedt voor het aanpakken van onder andere gedeelde technologische, economische, milieugerelateerde</w:t>
            </w:r>
            <w:r>
              <w:rPr>
                <w:b/>
                <w:i/>
              </w:rPr>
              <w:t>, geopolitieke</w:t>
            </w:r>
            <w:r>
              <w:t xml:space="preserve"> en maatschappelijke problemen, moet het programma de samenwerking met derde landen bevorderen. Internationale samenwerking moet </w:t>
            </w:r>
            <w:r>
              <w:rPr>
                <w:b/>
                <w:i/>
              </w:rPr>
              <w:t>gebaseerd</w:t>
            </w:r>
            <w:r>
              <w:t xml:space="preserve"> zijn op </w:t>
            </w:r>
            <w:r>
              <w:rPr>
                <w:b/>
                <w:i/>
              </w:rPr>
              <w:t>gedeelde waarden en beginselen en bijdragen tot de versterking</w:t>
            </w:r>
            <w:r>
              <w:t xml:space="preserve"> van het concurrentievermogen</w:t>
            </w:r>
            <w:r>
              <w:rPr>
                <w:b/>
                <w:i/>
              </w:rPr>
              <w:t>, de soevereiniteit, de veiligheid</w:t>
            </w:r>
            <w:r>
              <w:t xml:space="preserve"> en de </w:t>
            </w:r>
            <w:r>
              <w:rPr>
                <w:b/>
                <w:i/>
              </w:rPr>
              <w:t>veerkracht</w:t>
            </w:r>
            <w:r>
              <w:t xml:space="preserve"> van de Unie</w:t>
            </w:r>
            <w:r>
              <w:rPr>
                <w:b/>
                <w:i/>
              </w:rPr>
              <w:t>, om zo het leiderschap van de Unie op het gebied van O&amp;I te versterken</w:t>
            </w:r>
            <w:r>
              <w:t xml:space="preserve">, met inbegrip van </w:t>
            </w:r>
            <w:r>
              <w:rPr>
                <w:b/>
                <w:i/>
              </w:rPr>
              <w:t>haar rol in de mondiale wetenschapsdiplomatie en</w:t>
            </w:r>
            <w:r>
              <w:t xml:space="preserve"> haar vermogen om de beste talenten van over de hele wereld aan te trekken en te behouden. Geopolitieke overwegingen, waaronder </w:t>
            </w:r>
            <w:r>
              <w:rPr>
                <w:b/>
                <w:i/>
              </w:rPr>
              <w:t>veiligheid in het algemeen en</w:t>
            </w:r>
            <w:r>
              <w:t xml:space="preserve"> economische </w:t>
            </w:r>
            <w:r>
              <w:rPr>
                <w:b/>
                <w:i/>
              </w:rPr>
              <w:t>en onderzoeksveiligheid in het bijzonder</w:t>
            </w:r>
            <w:r>
              <w:t>, moeten centraal staan in de aanpak</w:t>
            </w:r>
            <w:r>
              <w:rPr>
                <w:b/>
                <w:i/>
              </w:rPr>
              <w:t>.</w:t>
            </w:r>
            <w:r>
              <w:t xml:space="preserve">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w:t>
            </w:r>
            <w:r>
              <w:rPr>
                <w:b/>
                <w:i/>
              </w:rPr>
              <w:t>Volledige of gedeeltelijke</w:t>
            </w:r>
            <w:r>
              <w:t xml:space="preserve"> associatie met </w:t>
            </w:r>
            <w:r>
              <w:rPr>
                <w:b/>
                <w:i/>
              </w:rPr>
              <w:t>het</w:t>
            </w:r>
            <w:r>
              <w:t xml:space="preserve"> programma moet de meest uitgebreide vorm van samenwerking blijven</w:t>
            </w:r>
            <w:r>
              <w:rPr>
                <w:b/>
                <w:i/>
              </w:rPr>
              <w:t>.</w:t>
            </w:r>
            <w:r>
              <w:t xml:space="preserve"> </w:t>
            </w:r>
            <w:r>
              <w:rPr>
                <w:b/>
                <w:i/>
              </w:rPr>
              <w:t>Tot de derde landen moet ook de categorie van Europese microstaten behoren (het Vorstendom Andorra, het Vorstendom Monaco, de Republiek San Marino en Vaticaanstad) wanneer er relevante internationale overeenkomsten met die staat van kracht zijn en in overeenstemming met de daarin vastgestelde voorwaarden</w:t>
            </w:r>
            <w:r>
              <w:t xml:space="preserve">. Voor defensiegerelateerde activiteiten mogen in het kader van de EIC alleen entiteiten in aanmerking komen voor financiering die gevestigd zijn in derde landen die voor defensieactiviteiten </w:t>
            </w:r>
            <w:r>
              <w:rPr>
                <w:b/>
                <w:i/>
              </w:rPr>
              <w:t>deelnemen aan</w:t>
            </w:r>
            <w:r>
              <w:t xml:space="preserve"> het Europees Fonds voor concurrentievermogen, in overeenstemming </w:t>
            </w:r>
            <w:r>
              <w:rPr>
                <w:b/>
                <w:i/>
              </w:rPr>
              <w:t>met artikel 50 daarvan.</w:t>
            </w:r>
            <w:r>
              <w:t xml:space="preserve"> </w:t>
            </w:r>
            <w:r>
              <w:rPr>
                <w:b/>
                <w:i/>
              </w:rPr>
              <w:t>Er kunnen aanvullende beperkingen worden vastgesteld op basis van de aard van gerichte defensiegerelateerde activiteiten in het kader van de EIC</w:t>
            </w:r>
            <w:r>
              <w:t xml:space="preserve">. </w:t>
            </w:r>
            <w:r>
              <w:rPr>
                <w:b/>
                <w:i/>
              </w:rPr>
              <w:t>Bij het nemen van besluiten over de deelname van derde landen aan het programma moeten de respectieve prerogatieven van het Europees Parlement, de Raad en de Commissie uit hoofde van artikel 218 VWEU in acht worden 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Gezien de voordelen die internationale samenwerking biedt voor het aanpakken van onder andere gedeelde technologische, economische, milieugerelateerde en maatschappelijke problemen,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w:t>
            </w:r>
            <w:r>
              <w:rPr>
                <w:b/>
                <w:i/>
              </w:rPr>
              <w:t>.</w:t>
            </w:r>
            <w:r>
              <w:t xml:space="preserve"> </w:t>
            </w:r>
            <w:r>
              <w:rPr>
                <w:b/>
                <w:i/>
              </w:rPr>
              <w:t>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w:t>
            </w:r>
            <w:r>
              <w:t xml:space="preserve"> </w:t>
            </w:r>
            <w:r>
              <w:rPr>
                <w:b/>
                <w:i/>
              </w:rPr>
              <w:t>Associatie met hele programma of delen daarvan moet de meest uitgebreide vorm van samenwerking blijven.</w:t>
            </w:r>
            <w:r>
              <w:t xml:space="preserve"> </w:t>
            </w:r>
            <w:r>
              <w:rPr>
                <w:b/>
                <w:i/>
              </w:rPr>
              <w:t>Voor defensiegerelateerde activiteiten mogen in het kader van de EIC alleen entiteiten in aanmerking komen voor financiering die gevestigd zijn in derde landen die voor defensieactiviteiten geassocieerd zijn met het Europees Fonds voor concurrentievermogen</w:t>
            </w:r>
            <w:r>
              <w:t>. Het programma kan activiteiten ondersteunen die worden gefinancierd door het programma “Europa in de wereld”, mits deze in overeenstemming zijn met de regels en doelstellingen en met de bepalingen inzake synergieën van deze verordening.</w:t>
            </w:r>
          </w:p>
        </w:tc>
        <w:tc>
          <w:tcPr>
            <w:tcW w:w="4876" w:type="dxa"/>
            <w:tcBorders>
              <w:top w:val="nil"/>
              <w:left w:val="nil"/>
              <w:bottom w:val="nil"/>
              <w:right w:val="nil"/>
            </w:tcBorders>
          </w:tcPr>
          <w:p>
            <w:pPr>
              <w:pStyle w:val="Normal6a"/>
            </w:pPr>
            <w:r>
              <w:t>(21)</w:t>
            </w:r>
            <w:r>
              <w:tab/>
            </w:r>
            <w:r>
              <w:t xml:space="preserve">Gezien de voordelen die internationale samenwerking biedt voor het aanpakken van onder andere gedeelde technologische, economische, milieugerelateerde en maatschappelijke problemen, moet het programma de samenwerking met derde landen bevorderen. Internationale samenwerking moet gericht zijn op het </w:t>
            </w:r>
            <w:r>
              <w:rPr>
                <w:b/>
                <w:i/>
              </w:rPr>
              <w:t>aanpakken van grote wereldwijde maatschappelijke uitdagingen en het</w:t>
            </w:r>
            <w:r>
              <w:t xml:space="preserve"> versterken van het concurrentievermogen en de excellentie van de O&amp;I van de Unie, met inbegrip van haar vermogen om de beste talenten van over de hele wereld aan te trekken en te behouden. Het programma kan activiteiten ondersteunen die worden gefinancierd door het programma “Europa in de wereld”, mits deze in overeenstemming zijn met de regels en doelstellingen en met de bepalingen inzake synergieën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Radan Kanev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Gezien de voordelen die internationale samenwerking biedt voor het aanpakken van onder andere gedeelde technologische, economische, milieugerelateerde en maatschappelijke problemen,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w:t>
            </w:r>
          </w:p>
        </w:tc>
        <w:tc>
          <w:tcPr>
            <w:tcW w:w="4876" w:type="dxa"/>
            <w:tcBorders>
              <w:top w:val="nil"/>
              <w:left w:val="nil"/>
              <w:bottom w:val="nil"/>
              <w:right w:val="nil"/>
            </w:tcBorders>
          </w:tcPr>
          <w:p>
            <w:pPr>
              <w:pStyle w:val="Normal6a"/>
            </w:pPr>
            <w:r>
              <w:t>(21)</w:t>
            </w:r>
            <w:r>
              <w:tab/>
            </w:r>
            <w:r>
              <w:t xml:space="preserve">Gezien de voordelen die internationale samenwerking biedt voor het aanpakken van onder andere gedeelde technologische, economische, milieugerelateerde en maatschappelijke problemen,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 </w:t>
            </w:r>
            <w:r>
              <w:rPr>
                <w:b/>
                <w:i/>
              </w:rPr>
              <w:t>In dit verband, en in overeenstemming met het ontstaan van een Europees kader voor wetenschapsdiplomatie, moet het programma ook stimulansen bevatten voor het aantrekken en de mobiliteit van onderzoekstalent uit landen waar aanzienlijk wordt bezuinigd op de overheidsbegrotingen voor onderzoek en innovatie op gebieden die relevant zijn voor de economische, maatschappelijke en veiligheidsbelangen van de Unie, om te voorkomen dat wetenschappelijke capaciteit onherroepelijk verloren gaat en de kennisbasis van de Unie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Gezien de voordelen die internationale samenwerking biedt voor het aanpakken van onder andere gedeelde technologische, economische, milieugerelateerde en maatschappelijke problemen,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w:t>
            </w:r>
          </w:p>
        </w:tc>
        <w:tc>
          <w:tcPr>
            <w:tcW w:w="4876" w:type="dxa"/>
            <w:tcBorders>
              <w:top w:val="nil"/>
              <w:left w:val="nil"/>
              <w:bottom w:val="nil"/>
              <w:right w:val="nil"/>
            </w:tcBorders>
          </w:tcPr>
          <w:p>
            <w:pPr>
              <w:pStyle w:val="Normal6a"/>
            </w:pPr>
            <w:r>
              <w:t>(21)</w:t>
            </w:r>
            <w:r>
              <w:tab/>
            </w:r>
            <w:r>
              <w:t>Gezien de voordelen die internationale samenwerking biedt voor het aanpakken van onder andere gedeelde technologische, economische, milieugerelateerde en maatschappelijke problemen, moet het programma de samenwerking met derde landen bevorderen</w:t>
            </w:r>
            <w:r>
              <w:rPr>
                <w:b/>
                <w:i/>
              </w:rPr>
              <w:t>, onder meer door middel van gerichte acties met lage- en middeninkomenslanden, op basis van wederzijdse voordelen en in overeenstemming met de duurzameontwikkelingsdoelstellingen en de EU-strategie voor mondiale gezondheid, en bijdragen tot de verwezenlijking van mondiaal publiek goed</w:t>
            </w:r>
            <w:r>
              <w:t>.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Krzysztof Hetman, Adam Jarubas, Borys Budka, Mirosława Nykiel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Gezien de voordelen die internationale samenwerking biedt voor het aanpakken van onder andere gedeelde technologische, economische, milieugerelateerde en maatschappelijke problemen, moet het programma de samenwerking met derde landen bevorderen. Internationale samenwerking moet gericht zijn op het versterken van het concurrentievermogen en de </w:t>
            </w:r>
            <w:r>
              <w:rPr>
                <w:b/>
                <w:i/>
              </w:rPr>
              <w:t>excellentie van de O&amp;I</w:t>
            </w:r>
            <w:r>
              <w:t xml:space="preserve">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w:t>
            </w:r>
          </w:p>
        </w:tc>
        <w:tc>
          <w:tcPr>
            <w:tcW w:w="4876" w:type="dxa"/>
            <w:tcBorders>
              <w:top w:val="nil"/>
              <w:left w:val="nil"/>
              <w:bottom w:val="nil"/>
              <w:right w:val="nil"/>
            </w:tcBorders>
          </w:tcPr>
          <w:p>
            <w:pPr>
              <w:pStyle w:val="Normal6a"/>
            </w:pPr>
            <w:r>
              <w:t>(21)</w:t>
            </w:r>
            <w:r>
              <w:tab/>
            </w:r>
            <w:r>
              <w:t>Gezien de voordelen die internationale samenwerking biedt voor het aanpakken van onder andere gedeelde technologische, economische, milieugerelateerde</w:t>
            </w:r>
            <w:r>
              <w:rPr>
                <w:b/>
                <w:i/>
              </w:rPr>
              <w:t>, geopolitieke</w:t>
            </w:r>
            <w:r>
              <w:t xml:space="preserve"> en maatschappelijke problemen, moet het programma de samenwerking met derde landen bevorderen. Internationale samenwerking moet gericht zijn op het versterken van het concurrentievermogen</w:t>
            </w:r>
            <w:r>
              <w:rPr>
                <w:b/>
                <w:i/>
              </w:rPr>
              <w:t>, de veiligheid</w:t>
            </w:r>
            <w:r>
              <w:t xml:space="preserve"> en de </w:t>
            </w:r>
            <w:r>
              <w:rPr>
                <w:b/>
                <w:i/>
              </w:rPr>
              <w:t>veerkracht</w:t>
            </w:r>
            <w:r>
              <w:t xml:space="preserve"> van de Unie </w:t>
            </w:r>
            <w:r>
              <w:rPr>
                <w:b/>
                <w:i/>
              </w:rPr>
              <w:t>en moet tegelijkertijd het leiderschap van de Unie op het gebied van O&amp;I versterken</w:t>
            </w:r>
            <w:r>
              <w:t xml:space="preserv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w:t>
            </w:r>
            <w:r>
              <w:rPr>
                <w:b/>
                <w:i/>
              </w:rPr>
              <w:t>Er kunnen aanvullende beperkingen worden vastgesteld op basis van de aard van gerichte defensiegerelateerde activiteiten in het kader van de EIC.</w:t>
            </w:r>
            <w:r>
              <w:t xml:space="preserve"> Het programma kan activiteiten ondersteunen die worden gefinancierd door het programma “Europa in de wereld”, mits deze in overeenstemming zijn met de regels en doelstellingen en met de bepalingen inzake synergieën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Gezien de voordelen die internationale samenwerking biedt voor het aanpakken van onder andere gedeelde technologische, economische</w:t>
            </w:r>
            <w:r>
              <w:rPr>
                <w:b/>
                <w:i/>
              </w:rPr>
              <w:t>, milieugerelateerde en maatschappelijke problemen</w:t>
            </w:r>
            <w:r>
              <w:t>, moet het programma de samenwerking met derde landen bevorderen.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w:t>
            </w:r>
          </w:p>
        </w:tc>
        <w:tc>
          <w:tcPr>
            <w:tcW w:w="4876" w:type="dxa"/>
            <w:tcBorders>
              <w:top w:val="nil"/>
              <w:left w:val="nil"/>
              <w:bottom w:val="nil"/>
              <w:right w:val="nil"/>
            </w:tcBorders>
          </w:tcPr>
          <w:p>
            <w:pPr>
              <w:pStyle w:val="Normal6a"/>
            </w:pPr>
            <w:r>
              <w:t>(21)</w:t>
            </w:r>
            <w:r>
              <w:tab/>
            </w:r>
            <w:r>
              <w:t xml:space="preserve">Gezien de voordelen die internationale samenwerking biedt voor het aanpakken van onder andere gedeelde technologische, economische </w:t>
            </w:r>
            <w:r>
              <w:rPr>
                <w:b/>
                <w:i/>
              </w:rPr>
              <w:t>en bio- en aardwetenschappen</w:t>
            </w:r>
            <w:r>
              <w:t>, moet het programma de samenwerking met derde landen bevorderen</w:t>
            </w:r>
            <w:r>
              <w:rPr>
                <w:b/>
                <w:i/>
              </w:rPr>
              <w:t>, indien een dergelijke samenwerking naar verwachting wederzijdse voordelen zal opleveren en gebaseerd wordt op wederkerige regels</w:t>
            </w:r>
            <w:r>
              <w:t>. Internationale samenwerking moet gericht zijn op het versterken van het concurrentievermogen en de excellentie van de O&amp;I van de Unie, met inbegrip van haar vermogen om de beste talenten van over de hele wereld aan te trekken en te behouden. Geopolitieke overwegingen, waaronder economische veiligheid, moeten centraal staan in de aanpak, en er moeten verschillende niveaus van samenwerking worden overwogen op basis van een algemene beoordeling van de voordelen voor de Unie voor het aanpakken van haar prioriteiten en mondiale uitdagingen afgezet tegen het belang van het beschermen van de waarden en belangen van de Unie. Associatie met hele programma of delen daarvan moet de meest uitgebreide vorm van samenwerking blijven. Voor defensiegerelateerde activiteiten mogen in het kader van de EIC alleen entiteiten in aanmerking komen voor financiering die gevestigd zijn in derde landen die voor defensieactiviteiten geassocieerd zijn met het Europees Fonds voor concurrentievermogen. Het programma kan activiteiten ondersteunen die worden gefinancierd door het programma “Europa in de wereld”, mits deze in overeenstemming zijn met de regels en doelstellingen en met de bepalingen inzake synergieën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Eszter Lakos, Pilar del Castillo Vera, Angelika Winzig, Jüri Ratas,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Het kaderprogramma is een van de belangrijkste instrumenten van de Unie voor wetenschapsdiplomatie, waarbij de waarden en de wetenschappelijke excellentie van de Unie en haar vermogen om mensen samen te brengen wereldwijd worden uitgedragen.</w:t>
            </w:r>
            <w:r>
              <w:t xml:space="preserve"> </w:t>
            </w:r>
            <w:r>
              <w:rPr>
                <w:b/>
                <w:i/>
              </w:rPr>
              <w:t>Door middel van zijn associatiebeleid, zijn bepalingen inzake internationale deelname en initiatieven als “Kies Europa voor wetenschap” versterkt het kaderprogramma de concurrentiepositie van de Unie als toonaangevende mondiale speler op het gebied van wetenschap en technologie, bevordert het de dialoog en het opbouwen van vertrouwen met partnerlanden, en draagt het bij aan het streven naar vrede en een op regels gebaseerde internationale orde.</w:t>
            </w:r>
            <w:r>
              <w:t xml:space="preserve"> </w:t>
            </w:r>
            <w:r>
              <w:rPr>
                <w:b/>
                <w:i/>
              </w:rPr>
              <w:t>Tegelijkertijd versterkt een doeltreffende wetenschapsdiplomatie het kaderprogramma zelf door de beste onderzoekers en innovatoren ter wereld aan te trekken en zo de wetenschappelijke excellentie die bepalend is voor de impact van het programma in stand te houden.</w:t>
            </w:r>
            <w:r>
              <w:t xml:space="preserve"> </w:t>
            </w:r>
            <w:r>
              <w:rPr>
                <w:b/>
                <w:i/>
              </w:rPr>
              <w:t>In dit verband moet het kaderprogramma ook bijdragen tot de positie van de Unie als mondiaal bolwerk voor de vrijheid van wetenschappelijk onderzoek, onder meer door ervoor te zorgen dat wetenschappelijke gegevens beschikbaar blijven als gemeenschappelijke natuurlijke rijkdommen.</w:t>
            </w:r>
            <w:r>
              <w:t xml:space="preserve"> </w:t>
            </w:r>
            <w:r>
              <w:rPr>
                <w:b/>
                <w:i/>
              </w:rPr>
              <w:t>Het kaderprogramma moet derhalve worden uitgevoerd op een wijze die in overeenstemming is met het kader van de Europese Unie voor wetenschapsdiplomatie, waarbij wordt gegarandeerd dat de nodige waarborgen op het gebied van economische en onderzoeksveiligheid worden gehandhaafd.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bepalen van de reikwijdte van de associatie van een derde land is altijd een politiek gevoelige keuze geweest, maar door de nieuwe architectuur die Horizon Europa nauw verbindt met het Europees Fonds voor concurrentievermogen is dit nog meer het geval:</w:t>
      </w:r>
      <w:r>
        <w:t xml:space="preserve"> </w:t>
      </w:r>
      <w:r>
        <w:t>associatiebesluiten hebben nu rechtstreekse gevolgen voor het industriebeleid, de strategische autonomie en de economische veiligheidspositie van de Unie.</w:t>
      </w:r>
      <w:r>
        <w:t xml:space="preserve"> </w:t>
      </w:r>
      <w:r>
        <w:t>Daarom is het van cruciaal belang dat dit besluit wordt genomen op basis van solide bewijsmateriaal en dat de medewetgevers vanaf het begin van de procedure volledig worden geïnformeerd.</w:t>
      </w:r>
    </w:p>
    <w:p>
      <w:r>
        <w:rPr>
          <w:rStyle w:val="HideTWBExt"/>
        </w:rPr>
        <w:t>&lt;/Amend&gt;</w:t>
      </w:r>
    </w:p>
    <w:p>
      <w:pPr>
        <w:pStyle w:val="AmNumberTabs"/>
      </w:pPr>
      <w:r>
        <w:rPr>
          <w:rStyle w:val="HideTWBExt"/>
        </w:rPr>
        <w:t>&lt;Amend&gt;</w:t>
      </w:r>
      <w:r>
        <w:t>Amendement</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Ivars Ijabs, Elisabetta Gualmini, Christophe Grudler, Sophie Wilmès, Barry Andrews, Morten Løkkegaard,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(nieuw) In een steeds complexer en steeds meer omstreden geopolitiek klimaat, waarin wetenschap, technologie en innovatie belangrijke drijvende factoren van economisch concurrentievermogen, veiligheid en mondiale invloed zijn geworden, moet de Unie haar rol op het gebied van wetenschapsdiplomatie versterken als integraal onderdeel van haar externe optreden en onderzoeks- en innovatiebeleid.</w:t>
            </w:r>
            <w:r>
              <w:t xml:space="preserve"> </w:t>
            </w:r>
            <w:r>
              <w:rPr>
                <w:b/>
                <w:i/>
              </w:rPr>
              <w:t>Daarom moet het programma bijdragen tot de ontwikkeling en uitvoering van een samenhangend Europees kader voor wetenschapsdiplomatie door de coördinatie tussen de instellingen van de Unie, de lidstaten en relevante belanghebbenden, waaronder de academische wereld, onderzoeksorganisaties, de industrie en het maatschappelijk middenveld, te verbeteren.</w:t>
            </w:r>
            <w:r>
              <w:t xml:space="preserve"> </w:t>
            </w:r>
            <w:r>
              <w:rPr>
                <w:b/>
                <w:i/>
              </w:rPr>
              <w:t>Bij het nastreven van die doelstellingen moet het programma zorgen voor een passend evenwicht tussen openheid en de bescherming van de strategische activa van de Unie, rekening houdend met overwegingen inzake onderzoeksveiligheid, en moet verantwoorde internationale samenwerking op basis van gedeelde waarden worden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Christophe Grudler, Bart Groothuis, Michael McNamara, Michał Kobosko,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Het programma moet ook bijdragen tot het vergroten van de aantrekkelijkheid van de Unie als mondiale hub voor onderzoek en innovatie.</w:t>
            </w:r>
            <w:r>
              <w:t xml:space="preserve"> </w:t>
            </w:r>
            <w:r>
              <w:rPr>
                <w:b/>
                <w:i/>
              </w:rPr>
              <w:t>In een context van toenemende internationale concurrentie om talent moet Horizon Europa de capaciteit van de Unie ondersteunen om de beste onderzoekers, innovatoren en hooggekwalificeerde professionals ter wereld aan te trekken, te behouden en te koesteren.</w:t>
            </w:r>
            <w:r>
              <w:t xml:space="preserve"> </w:t>
            </w:r>
            <w:r>
              <w:rPr>
                <w:b/>
                <w:i/>
              </w:rPr>
              <w:t>Daartoe moeten initiatieven die erop gericht zijn de aantrekkelijkheid van Europa te vergroten, zoals het initiatief “Kies Europa”, worden voortgezet en geleidelijk worden geïntegreerd in de doelstellingen en uitvoering van het programma, met inbegrip van de werkprogramma’s ervan.</w:t>
            </w:r>
            <w:r>
              <w:t xml:space="preserve"> </w:t>
            </w:r>
            <w:r>
              <w:rPr>
                <w:b/>
                <w:i/>
              </w:rPr>
              <w:t>Het bevorderen van de mobiliteit van talent, het bieden van uitstekende carrièremogelijkheden en het waarborgen van een open, dynamische en academisch vrije onderzoeksomgeving moeten worden erkend als essentiële elementen voor het versterken van de wetenschappelijke excellentie en het technologisch leiderschap van de Unie en haar concurrentievermogen op lange termijn.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Silvia Sardone, Isabella Tovaglieri, Raffaele Stancanelli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In de nieuwe KP10-strategie voor internationale samenwerking wordt erkend dat overwegingen in verband met strategische autonomie op gespannen voet kunnen staan met open wetenschap en een totaalaanpak ten aanzien van onderzoekssamenwerking, en wordt onderstreept dat in de programma’s van de Unie een passend evenwicht moet worden gevonden tussen openheid en een risicobewuste benadering van onderzoeksveiligheid.</w:t>
            </w:r>
            <w:r>
              <w:t xml:space="preserve"> </w:t>
            </w:r>
            <w:r>
              <w:rPr>
                <w:b/>
                <w:i/>
              </w:rPr>
              <w:t>Strategische autonomie moet een leidend beginsel worden, aangezien internationale samenwerking een genuanceerde, gedetailleerde en doelgerichte aanpak vereist waarbij wordt erkend dat landen partners, concurrenten of systemische rivalen kunnen zijn, afhankelijk van het onderzoeksdomein, en moet gebaseerd zijn op de beginselen van wederkerigheid, wederzijdse voordelen, strategische afstemming en eerlijke bedrijfspraktijken.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Nikos Pappas, Anthony Smith,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Eerbiediging van de mensenrechten behoort tot de kernbeginselen van de Europese Unie die verankerd zijn in het Handvest van de grondrechten van de Unie.</w:t>
            </w:r>
            <w:r>
              <w:t xml:space="preserve"> </w:t>
            </w:r>
            <w:r>
              <w:rPr>
                <w:b/>
                <w:i/>
              </w:rPr>
              <w:t>Alleen derde landen die zich aan dit beginsel houden, mag worden toegestaan deel te nemen aan de onderzoeks- en innovatieactiviteiten in het kader van het programma.</w:t>
            </w:r>
            <w:r>
              <w:t xml:space="preserve"> </w:t>
            </w:r>
            <w:r>
              <w:rPr>
                <w:b/>
                <w:i/>
              </w:rPr>
              <w:t>In geval van schending van de grondbeginselen van de Unie moet de associatieovereenkomst met het betrokken derde land onmiddellijk worden beëindigd of volledig worden opgeschort en moet het land worden uitgesloten van financiering in het kader van gelijk welk programma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Voorts moet de Unie, in een context van toenemende geopolitieke spanningen en een steeds grotere druk op de academische vrijheid en de vrijheid van wetenschappelijk onderzoek in bepaalde delen van de wereld, een open en veilige omgeving voor onderzoekers, innovatoren en ondernemers blijven en bijdragen tot het waarborgen van de wereldwijde verspreiding van kennis om zo haar onderzoeks- en innovatiebasis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Nikos Pappas, Anthony Smith, Hanna Gedin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ter)</w:t>
            </w:r>
            <w:r>
              <w:tab/>
            </w:r>
            <w:r>
              <w:rPr>
                <w:b/>
                <w:i/>
              </w:rPr>
              <w:t>Om gevolg te geven aan de uitspraken van het Internationaal Gerechtshof van 2024 en 2025 waarin werd geoordeeld dat de bezetting van Palestijnse gebieden door Israël onwettig is en aan de VN-resolutie waarin wordt opgeroepen een einde te maken aan de onwettige aanwezigheid van Israël, moet financiering in het kader van Horizon Europa worden uitgesloten voor onderzoeks- en innovatieactiviteiten waarbij Israëlische universiteiten, onderzoeksinstellingen of bedrijven betrokken zijn die actief zijn in bezette gebieden of samenwerken met militaire entiteiten.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Nikos Pappas, Anthony Smith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b/>
                <w:i/>
                <w:vertAlign w:val="superscript"/>
              </w:rPr>
              <w:t>6</w:t>
            </w:r>
            <w:r>
              <w:rPr>
                <w:b/>
                <w:i/>
              </w:rPr>
              <w:t>, te beschermen.</w:t>
            </w:r>
            <w:r>
              <w:t xml:space="preserve"> </w:t>
            </w:r>
            <w:r>
              <w:rPr>
                <w:b/>
                <w:i/>
              </w:rPr>
              <w:t>Artikel 136 van Verordening (EU, Euratom) 2024/2509, zoals aangevuld bij artikel 10 van Verordening (EU) XXX [Europees Fonds voor concurrentievermogen], bevordert het concurrentievermogen van de Unie en beschermt haar economische veiligheid.</w:t>
            </w:r>
            <w:r>
              <w:t xml:space="preserve"> </w:t>
            </w:r>
            <w:r>
              <w:rPr>
                <w:b/>
                <w:i/>
              </w:rPr>
              <w:t>De toepassing van deze bepalingen op het programma moet een passend rechtskade</w:t>
            </w:r>
            <w:r>
              <w:rPr>
                <w:b/>
                <w:i/>
                <w:vertAlign w:val="superscript"/>
              </w:rPr>
              <w:t>7</w:t>
            </w:r>
            <w:r>
              <w:rPr>
                <w:b/>
                <w:i/>
              </w:rPr>
              <w:t xml:space="preserve">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w:t>
            </w:r>
            <w:r>
              <w:t xml:space="preserve"> </w:t>
            </w:r>
            <w:r>
              <w:rPr>
                <w:b/>
                <w:i/>
              </w:rPr>
              <w:t>Waar nodig moet een risicogebaseerde aanpak worden toegepast om ervoor te zorgen dat risico’s in verband met onderzoek en innovatie worden geïdentificeerd, beoordeeld en aangepakt met evenredige en doeltreffende maatregelen7.</w:t>
            </w:r>
            <w:r>
              <w:t xml:space="preserve"> </w:t>
            </w:r>
            <w:r>
              <w:rPr>
                <w:b/>
                <w:i/>
              </w:rPr>
              <w:t>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Aanbeveling van de Raad van 23 mei 2024 betreffende verbetering van de onderzoeksveiligheid (C/2024/3510).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 Carlo Fidanza, Anna Zalewska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t>
            </w:r>
            <w:r>
              <w:rPr>
                <w:b/>
                <w:i/>
              </w:rPr>
              <w:t>In dit verband heeft strategische autonomie ook betrekking op de veerkracht en veiligheid van waardeketens die relevant zijn voor de voedselzekerheid en voedselsoevereiniteit, de landbouw en de agrovoedingssector, en op de toegang tot essentiële productiemiddelen voor deze sector.</w:t>
            </w:r>
            <w:r>
              <w:t xml:space="preserve"> </w:t>
            </w:r>
            <w:r>
              <w:rPr>
                <w:b/>
                <w:i/>
              </w:rPr>
              <w:t>Onderzoek en innovatie moeten ertoe bijdragen dat het aantal externe afhankelijkheden afneemt en dat de capaciteit van de Unie om de continuïteit van de voorziening te waarborgen, wordt versterkt.</w:t>
            </w:r>
            <w:r>
              <w:t xml:space="preserve">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xml:space="preserve">. </w:t>
            </w:r>
            <w:r>
              <w:rPr>
                <w:b/>
                <w:i/>
              </w:rPr>
              <w:t>De opname van projecten voor tweeërlei gebruik in specifieke oproepen moet om veiligheidsredenen vergezeld gaan van een specifiek en streng regelgevingskader.</w:t>
            </w:r>
            <w:r>
              <w:t xml:space="preserve"> Overeenkomstig artikel 136 van het Financieel Reglement moeten om veiligheidsredenen subsidiabiliteitsbeperkingen gelden voor leveranciers met een hoog risico.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b/>
                <w:i/>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w:t>
            </w:r>
            <w:r>
              <w:rPr>
                <w:b/>
                <w:i/>
              </w:rPr>
              <w:t>op onderzoek gebaseerd</w:t>
            </w:r>
            <w:r>
              <w:t xml:space="preserve">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b/>
                <w:i/>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w:t>
            </w:r>
            <w:r>
              <w:rPr>
                <w:b/>
                <w:i/>
              </w:rPr>
              <w:t>, technologieën</w:t>
            </w:r>
            <w:r>
              <w:t xml:space="preserve">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concurrentievermogen bevorderen en de belangen en strategische autonomie van de Unie beschermen, met inbegrip van maatregelen die gericht zijn op </w:t>
            </w:r>
            <w:r>
              <w:rPr>
                <w:b/>
                <w:i/>
              </w:rPr>
              <w:t>het beschermen van de onderzoeksveiligheid,</w:t>
            </w:r>
            <w:r>
              <w:t xml:space="preserve">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xml:space="preserve">. Overeenkomstig artikel 136 van het Financieel Reglement moeten om veiligheidsredenen subsidiabiliteitsbeperkingen gelden voor leveranciers met een hoog risico. </w:t>
            </w:r>
            <w:r>
              <w:rPr>
                <w:b/>
                <w:i/>
              </w:rPr>
              <w:t>Elke beperking van de deelname van partners uit niet-EU-lidstaten of uit EU-entiteiten die geheel of gedeeltelijk onder zeggenschap staan van niet-EU-entiteiten, moet worden gespecificeerd in de desbetreffende delen van de werkprogramma’s.</w:t>
            </w:r>
            <w:r>
              <w:t xml:space="preserve"> </w:t>
            </w:r>
            <w:r>
              <w:rPr>
                <w:b/>
                <w:i/>
                <w:vertAlign w:val="superscript"/>
              </w:rPr>
              <w:t>6</w:t>
            </w:r>
            <w:r>
              <w:t xml:space="preserve"> </w:t>
            </w:r>
            <w:r>
              <w:rPr>
                <w:b/>
                <w:i/>
              </w:rPr>
              <w:t>Gezamenlijke mededeling aan het Europees Parlement, de Europese Raad en de Raad betreffende een “strategie voor economische veiligheid van de EU” (JOIN(2023) 20 final van 20.6.2023).</w:t>
            </w:r>
            <w:r>
              <w:t xml:space="preserve"> </w:t>
            </w:r>
            <w:r>
              <w:rPr>
                <w:b/>
                <w:i/>
                <w:vertAlign w:val="superscript"/>
              </w:rPr>
              <w:t>7</w:t>
            </w:r>
            <w:r>
              <w:t xml:space="preserve"> </w:t>
            </w:r>
            <w:r>
              <w:rPr>
                <w:b/>
                <w:i/>
              </w:rPr>
              <w:t>Aanbeveling van de Raad van 23 mei 2024 betreffende verbetering van de onderzoeksveiligheid (C/2024/3510).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Aanbeveling van de Raad van 23 mei 2024 betreffende verbetering van de onderzoeksveiligheid (C/2024/3510).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Dario Nardella, Stefano Bonaccini, Cristina Maestre, Camilla Laureti, Maria Grapini, Elena Sancho Murillo, Eric Sargiacomo, André Franqueira Rodrigues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t>
            </w:r>
            <w:r>
              <w:rPr>
                <w:b/>
                <w:i/>
              </w:rPr>
              <w:t>In dit verband moet strategische autonomie ook betrekking hebben op de veerkracht en duurzaamheid van waardeketens die relevant zijn voor de voedselzekerheid, de landbouw, met inbegrip van biologische landbouw, en de agrovoedingssector, en op de toegang tot essentiële productiemiddelen voor deze sectoren.</w:t>
            </w:r>
            <w:r>
              <w:t xml:space="preserve"> </w:t>
            </w:r>
            <w:r>
              <w:rPr>
                <w:b/>
                <w:i/>
              </w:rPr>
              <w:t>Onderzoek en innovatie moeten ertoe bijdragen dat het aantal externe afhankelijkheden afneemt en dat de capaciteit van de Unie om de continuïteit van de voorziening te waarborgen, wordt versterkt.</w:t>
            </w:r>
            <w:r>
              <w:t xml:space="preserve">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concept van strategische autonomie mag niet beperkt blijven tot industriële of technologische sectoren, maar moet worden uitgebreid tot voedselzekerheid, voedselsoevereiniteit en landbouw.</w:t>
      </w:r>
      <w:r>
        <w:t xml:space="preserve"> </w:t>
      </w:r>
      <w:r>
        <w:t>Dit amendement heeft dan ook tot doel ervoor te zorgen dat voedselzekerheid en landbouw, met inbegrip van biologische landbouw, uitdrukkelijk worden erkend als integrale onderdelen van het kader voor strategische autonomie van de EU, in overeenstemming met de bredere inzet van de Unie voor een veerkrachtig en duurzaam agrovoedingssysteem.</w:t>
      </w:r>
    </w:p>
    <w:p>
      <w:r>
        <w:rPr>
          <w:rStyle w:val="HideTWBExt"/>
        </w:rPr>
        <w:t>&lt;/Amend&gt;</w:t>
      </w:r>
    </w:p>
    <w:p>
      <w:pPr>
        <w:pStyle w:val="AmNumberTabs"/>
      </w:pPr>
      <w:r>
        <w:rPr>
          <w:rStyle w:val="HideTWBExt"/>
        </w:rPr>
        <w:t>&lt;Amend&gt;</w:t>
      </w:r>
      <w:r>
        <w:t>Amendement</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Pilar del Castillo Vera,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w:t>
            </w:r>
            <w:r>
              <w:rPr>
                <w:b/>
                <w:i/>
              </w:rPr>
              <w:t>en consistentie met specifieke regels in het kader van de onderdelen van het Europees Fonds voor concurrentievermogen</w:t>
            </w:r>
            <w:r>
              <w:t>.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xml:space="preserve">. Overeenkomstig artikel 136 van het Financieel Reglement moeten om veiligheidsredenen subsidiabiliteitsbeperkingen gelden voor leveranciers met een hoog risico. </w:t>
            </w:r>
            <w:r>
              <w:rPr>
                <w:b/>
                <w:i/>
              </w:rPr>
              <w:t>Om ervoor te zorgen dat deze interventies geen onnodige onzekerheid voor de internationale partners van de Unie tot gevolg hebben, moet een duidelijk kader voor de besluitvorming over de toepassing van deze interventies openbaar worden gemaakt.</w:t>
            </w:r>
            <w:r>
              <w:t xml:space="preserve"> </w:t>
            </w:r>
            <w:r>
              <w:rPr>
                <w:b/>
                <w:i/>
              </w:rPr>
              <w:t>Daarbij moet rekening worden gehouden met de effecten van de toepassing van EU-preferentie op de internationale activiteiten van Europese ondernemingen en met de bijdragen van ondernemingen uit derde landen aan het concurrentievermogen van de Europese economie.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Om de strategische autonomie van de Unie te versterken en duurzame economische groei op lange termijn te waarborgen, is het van essentieel belang haar mondiale concurrentievermogen te versterken en tegelijkertijd </w:t>
            </w:r>
            <w:r>
              <w:rPr>
                <w:b/>
                <w:i/>
              </w:rPr>
              <w:t>haar</w:t>
            </w:r>
            <w:r>
              <w:t xml:space="preserve"> strategische activa en belangen, zoals uiteengezet in de Europese strategie voor economische veiligheid</w:t>
            </w:r>
            <w:r>
              <w:rPr>
                <w:vertAlign w:val="superscript"/>
              </w:rPr>
              <w:t>6</w:t>
            </w:r>
            <w:r>
              <w:t>,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 xml:space="preserve">Om de strategische autonomie van de Unie te versterken en duurzame economische groei op lange termijn te waarborgen, is het van essentieel belang haar mondiale concurrentievermogen te versterken en tegelijkertijd </w:t>
            </w:r>
            <w:r>
              <w:rPr>
                <w:b/>
                <w:i/>
              </w:rPr>
              <w:t>het civiele karakter van het programma te bewaren en de</w:t>
            </w:r>
            <w:r>
              <w:t xml:space="preserve"> strategische activa en belangen </w:t>
            </w:r>
            <w:r>
              <w:rPr>
                <w:b/>
                <w:i/>
              </w:rPr>
              <w:t>van de Unie</w:t>
            </w:r>
            <w:r>
              <w:t>, zoals uiteengezet in de Europese strategie voor economische veiligheid</w:t>
            </w:r>
            <w:r>
              <w:rPr>
                <w:vertAlign w:val="superscript"/>
              </w:rPr>
              <w:t>6</w:t>
            </w:r>
            <w:r>
              <w:t>, te beschermen</w:t>
            </w:r>
            <w:r>
              <w:rPr>
                <w:b/>
                <w:i/>
              </w:rPr>
              <w:t>.</w:t>
            </w:r>
            <w:r>
              <w:t xml:space="preserve"> </w:t>
            </w:r>
            <w:r>
              <w:rPr>
                <w:b/>
                <w:i/>
              </w:rPr>
              <w:t>Onderzoek en innovatie spelen een centrale rol bij de verwezenlijking van deze doelstellingen</w:t>
            </w:r>
            <w:r>
              <w:t>.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Wouter Beke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xml:space="preserve">. </w:t>
            </w:r>
            <w:r>
              <w:rPr>
                <w:b/>
                <w:i/>
              </w:rPr>
              <w:t>Deze maatregelen moeten op de publicatiedatum van de oproep op duidelijke wijze aan potentiële begunstigden worden meegedeeld.</w:t>
            </w:r>
            <w:r>
              <w:t xml:space="preserve"> Overeenkomstig artikel 136 van het Financieel Reglement moeten om veiligheidsredenen subsidiabiliteitsbeperkingen gelden voor leveranciers met een hoog risico.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maatregelen moeten tijdig worden gecommuniceerd, zodat onderzoekers bij het vormen van consortia en het opstellen van voorstellen op de hoogte zijn van de toepasselijke voorwaarden.</w:t>
      </w:r>
    </w:p>
    <w:p>
      <w:r>
        <w:rPr>
          <w:rStyle w:val="HideTWBExt"/>
        </w:rPr>
        <w:t>&lt;/Amend&gt;</w:t>
      </w:r>
    </w:p>
    <w:p>
      <w:pPr>
        <w:pStyle w:val="AmNumberTabs"/>
      </w:pPr>
      <w:r>
        <w:rPr>
          <w:rStyle w:val="HideTWBExt"/>
        </w:rPr>
        <w:t>&lt;Amend&gt;</w:t>
      </w:r>
      <w:r>
        <w:t>Amendement</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w:t>
            </w:r>
            <w:r>
              <w:rPr>
                <w:b/>
                <w:i/>
              </w:rPr>
              <w:t>op onderzoek gebaseerd concurrentievermogen bevorderen</w:t>
            </w:r>
            <w:r>
              <w:t xml:space="preserve"> en de belangen en strategische autonomie van de Unie beschermen, met inbegrip van maatregelen die gericht zijn op het beperken van de deelname of het beschermen van resultaten </w:t>
            </w:r>
            <w:r>
              <w:rPr>
                <w:b/>
                <w:i/>
              </w:rPr>
              <w:t>en het waarborgen van samenhang en consistentie met specifieke regels in het kader van de onderdelen van het Europees Fonds voor concurrentievermogen</w:t>
            </w:r>
            <w:r>
              <w:t>.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w:t>
            </w:r>
            <w:r>
              <w:rPr>
                <w:b/>
                <w:i/>
              </w:rPr>
              <w:t>de onderzoeksveiligheid</w:t>
            </w:r>
            <w:r>
              <w:t xml:space="preserve"> en de belangen en strategische autonomie van de Unie beschermen, met inbegrip van maatregelen die gericht zijn op het beperken van de deelname of het beschermen van resultaten.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Jussi Saramo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w:t>
            </w:r>
            <w:r>
              <w:rPr>
                <w:b/>
                <w:i/>
              </w:rPr>
              <w:t>en consistentie met specifieke regels in het kader van de onderdelen van het Europees Fonds voor concurrentievermogen</w:t>
            </w:r>
            <w:r>
              <w:t>.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 xml:space="preserve">Om de strategische autonomie van de Unie te versterken en duurzame economische groei op lange termijn te waarborgen, is het van essentieel belang haar mondiale concurrentievermogen </w:t>
            </w:r>
            <w:r>
              <w:rPr>
                <w:b/>
                <w:i/>
              </w:rPr>
              <w:t>op lange en korte termijn</w:t>
            </w:r>
            <w:r>
              <w:t xml:space="preserve"> te versterken</w:t>
            </w:r>
            <w:r>
              <w:rPr>
                <w:b/>
                <w:i/>
              </w:rPr>
              <w:t>, met inbegrip van niet-economische aspecten van het concurrentievermogen,</w:t>
            </w:r>
            <w:r>
              <w:t xml:space="preserve"> en tegelijkertijd </w:t>
            </w:r>
            <w:r>
              <w:rPr>
                <w:b/>
                <w:i/>
              </w:rPr>
              <w:t>haar robuuste onderzoeksbasis te behouden en</w:t>
            </w:r>
            <w:r>
              <w:t xml:space="preserve">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w:t>
            </w:r>
            <w:r>
              <w:rPr>
                <w:b/>
                <w:i/>
              </w:rPr>
              <w:t>en excellentie</w:t>
            </w:r>
            <w:r>
              <w:t xml:space="preserve"> gebaseerd concurrentievermogen bevorderen en de belangen en strategische autonomie van de Unie beschermen, met inbegrip van maatregelen die gericht zijn op het beperken van de deelname of het beschermen van resultaten en het waarborgen van samenhang</w:t>
            </w:r>
            <w:r>
              <w:rPr>
                <w:b/>
                <w:i/>
              </w:rPr>
              <w:t>, indien naar behoren gemotiveerd</w:t>
            </w:r>
            <w:r>
              <w:t>.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w:t>
            </w:r>
            <w:r>
              <w:rPr>
                <w:b/>
                <w:i/>
              </w:rPr>
              <w:t>en excellentie</w:t>
            </w:r>
            <w:r>
              <w:t xml:space="preserve"> gebaseerd concurrentievermogen bevorderen en de belangen en strategische autonomie van de Unie beschermen, met inbegrip van maatregelen die gericht zijn op het beperken van de deelname of het beschermen van resultaten en het waarborgen van samenhang en consistentie met specifieke regels in het kader van de onderdelen van het Europees Fonds voor concurrentievermogen.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Aura Salla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gebaseerd concurrentievermogen bevorderen en de belangen en strategische autonomie van de Unie beschermen, met inbegrip van maatregelen die gericht zijn op het beperken van de deelname of het beschermen van resultaten en het waarborgen van samenhang </w:t>
            </w:r>
            <w:r>
              <w:rPr>
                <w:b/>
                <w:i/>
              </w:rPr>
              <w:t>en consistentie met specifieke regels in het kader van de onderdelen van het Europees Fonds voor concurrentievermogen</w:t>
            </w:r>
            <w:r>
              <w:t>.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c>
          <w:tcPr>
            <w:tcW w:w="4876" w:type="dxa"/>
            <w:tcBorders>
              <w:top w:val="nil"/>
              <w:left w:val="nil"/>
              <w:bottom w:val="nil"/>
              <w:right w:val="nil"/>
            </w:tcBorders>
          </w:tcPr>
          <w:p>
            <w:pPr>
              <w:pStyle w:val="Normal6a"/>
            </w:pPr>
            <w:r>
              <w:t>(22)</w:t>
            </w:r>
            <w:r>
              <w:tab/>
            </w:r>
            <w:r>
              <w:t>Om de strategische autonomie van de Unie te versterken en duurzame economische groei op lange termijn te waarborgen, is het van essentieel belang haar mondiale concurrentievermogen te versterken en tegelijkertijd haar strategische activa en belangen, zoals uiteengezet in de Europese strategie voor economische veiligheid</w:t>
            </w:r>
            <w:r>
              <w:rPr>
                <w:vertAlign w:val="superscript"/>
              </w:rPr>
              <w:t>6</w:t>
            </w:r>
            <w:r>
              <w:t xml:space="preserve">, te beschermen. Artikel 136 van Verordening (EU, Euratom) 2024/2509, zoals aangevuld bij artikel 10 van Verordening (EU) XXX [Europees Fonds voor concurrentievermogen], bevordert het concurrentievermogen van de Unie en beschermt haar economische veiligheid. De toepassing van deze bepalingen op het programma moet een passend rechtskader bieden om het indien nodig mogelijk te maken specifieke voorwaarden vast te stellen met betrekking tot toekenningsprocedures die op onderzoek </w:t>
            </w:r>
            <w:r>
              <w:rPr>
                <w:b/>
                <w:i/>
              </w:rPr>
              <w:t>en excellentie</w:t>
            </w:r>
            <w:r>
              <w:t xml:space="preserve"> gebaseerd concurrentievermogen bevorderen en de belangen en strategische autonomie van de Unie beschermen, met inbegrip van maatregelen die gericht zijn op het beperken van de deelname of het beschermen van resultaten en het waarborgen van samenhang</w:t>
            </w:r>
            <w:r>
              <w:rPr>
                <w:b/>
                <w:i/>
              </w:rPr>
              <w:t>, indien naar behoren gemotiveerd</w:t>
            </w:r>
            <w:r>
              <w:t>. Waar nodig moet een risicogebaseerde aanpak worden toegepast om ervoor te zorgen dat risico’s in verband met onderzoek en innovatie worden geïdentificeerd, beoordeeld en aangepakt met evenredige en doeltreffende maatregelen</w:t>
            </w:r>
            <w:r>
              <w:rPr>
                <w:vertAlign w:val="superscript"/>
              </w:rPr>
              <w:t>7</w:t>
            </w:r>
            <w:r>
              <w:t>. Overeenkomstig artikel 136 van het Financieel Reglement moeten om veiligheidsredenen subsidiabiliteitsbeperkingen gelden voor leveranciers met een hoog risico.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c>
          <w:tcPr>
            <w:tcW w:w="4876" w:type="dxa"/>
            <w:tcBorders>
              <w:top w:val="nil"/>
              <w:left w:val="nil"/>
              <w:bottom w:val="nil"/>
              <w:right w:val="nil"/>
            </w:tcBorders>
          </w:tcPr>
          <w:p>
            <w:pPr>
              <w:pStyle w:val="Normal6a"/>
            </w:pPr>
            <w:r>
              <w:rPr>
                <w:vertAlign w:val="superscript"/>
              </w:rPr>
              <w:t>6</w:t>
            </w:r>
            <w:r>
              <w:t xml:space="preserve"> </w:t>
            </w:r>
            <w:r>
              <w:t>Gezamenlijke mededeling aan het Europees Parlement, de Europese Raad en de Raad betreffende een “strategie voor economische veiligheid van de EU” (JOIN(2023) 20 final van 20.6.2023).</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c>
          <w:tcPr>
            <w:tcW w:w="4876" w:type="dxa"/>
            <w:tcBorders>
              <w:top w:val="nil"/>
              <w:left w:val="nil"/>
              <w:bottom w:val="nil"/>
              <w:right w:val="nil"/>
            </w:tcBorders>
          </w:tcPr>
          <w:p>
            <w:pPr>
              <w:pStyle w:val="Normal6a"/>
            </w:pPr>
            <w:r>
              <w:rPr>
                <w:vertAlign w:val="superscript"/>
              </w:rPr>
              <w:t>7</w:t>
            </w:r>
            <w:r>
              <w:t xml:space="preserve"> </w:t>
            </w:r>
            <w:r>
              <w:t>Aanbeveling van de Raad van 23 mei 2024 betreffende verbetering van de onderzoeksveiligheid (C/2024/3510).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governance van Horizon Europa moet verankerd zijn in excellentie, en beleidsterreinen van pijler II moeten worden ontwikkeld in het kader van Horizon Europa.</w:t>
      </w:r>
    </w:p>
    <w:p>
      <w:r>
        <w:rPr>
          <w:rStyle w:val="HideTWBExt"/>
        </w:rPr>
        <w:t>&lt;/Amend&gt;</w:t>
      </w:r>
    </w:p>
    <w:p>
      <w:pPr>
        <w:pStyle w:val="AmNumberTabs"/>
      </w:pPr>
      <w:r>
        <w:rPr>
          <w:rStyle w:val="HideTWBExt"/>
        </w:rPr>
        <w:t>&lt;Amend&gt;</w:t>
      </w:r>
      <w:r>
        <w:t>Amendement</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Christophe Grudler, Sophie Wilmès, Barry Andrews,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(nieuw) Onderzoek en innovatie in het kader van het programma moeten bijdragen tot de versterking van de strategische autonomie, veerkracht en duurzaamheid van de Unie, met bijzondere aandacht voor landbouw, voedselsystemen, gezondheid en klimaatactie.</w:t>
            </w:r>
            <w:r>
              <w:t xml:space="preserve"> </w:t>
            </w:r>
            <w:r>
              <w:rPr>
                <w:b/>
                <w:i/>
              </w:rPr>
              <w:t>Met het programma moeten de ontwikkeling en toepassing van innovatieve, duurzame en hulpbronnenefficiënte oplossingen worden ondersteund, onder meer op het gebied van duurzame landbouw, voedselproductie, bodem- en waterbeheer en alternatieve eiwitten, teneinde de voedselzekerheid te vergroten, afhankelijkheden te verminderen en de levensvatbaarheid van plattelandsgebieden op lange termijn te waarborgen.</w:t>
            </w:r>
            <w:r>
              <w:t xml:space="preserve"> </w:t>
            </w:r>
            <w:r>
              <w:rPr>
                <w:b/>
                <w:i/>
              </w:rPr>
              <w:t>Het programma moet ook een concurrerende, klimaatbestendige en duurzame agrovoedingssector stimuleren, onder meer door vooruitgang te boeken op het gebied van diergezondheid, vaccins, paraatheid voor ziekten, resistentie tegen antimicrobiële stoffen en hulpbronnenefficiëntie.</w:t>
            </w:r>
            <w:r>
              <w:t xml:space="preserve"> </w:t>
            </w:r>
            <w:r>
              <w:rPr>
                <w:b/>
                <w:i/>
              </w:rPr>
              <w:t>Meer in het algemeen moet het programma de transitie naar klimaatneutraliteit en een duurzame, concurrerende en inclusieve economie versnellen en tegelijkertijd het vermogen van de Unie versterken om gezondheidsbedreigingen te voorkomen en hier een respons op te bieden.</w:t>
            </w:r>
            <w:r>
              <w:t xml:space="preserve"> </w:t>
            </w:r>
            <w:r>
              <w:rPr>
                <w:b/>
                <w:i/>
              </w:rPr>
              <w:t>Door onderzoek en innovatie af te stemmen op de prioriteiten van de Unie op het gebied van voedselzekerheid, klimaatactie, gezondheid en sociale cohesie moet het programma bijdragen tot een toekomstbestendige Europese economie en samenleving.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Mirosława Nykiel, Adam Jarubas, Borys Budka, Krzysztof Hetman, Kamila Gasiuk-Pihowicz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In onderzoek en innovatie van wereldklasse staan openheid, samenwerking en academische vrijheid centraal.</w:t>
            </w:r>
            <w:r>
              <w:t xml:space="preserve"> </w:t>
            </w:r>
            <w:r>
              <w:rPr>
                <w:b/>
                <w:i/>
              </w:rPr>
              <w:t>Als gevolg van toenemende internationale spanningen en het steeds grotere geopolitieke belang van onderzoek en innovatie wordt de Europese onderzoeksveiligheid echter steeds kwetsbaarder.</w:t>
            </w:r>
            <w:r>
              <w:t xml:space="preserve"> </w:t>
            </w:r>
            <w:r>
              <w:rPr>
                <w:b/>
                <w:i/>
              </w:rPr>
              <w:t>Door kwaadwillige beïnvloeding en diefstal, manipulatie, misbruik of ongewenste overdracht van O&amp;I-resultaten kunnen Europese onderzoeks- en innovatieactiviteiten mogelijk worden geïnstrumentaliseerd in strijd met Europese belangen.</w:t>
            </w:r>
            <w:r>
              <w:t xml:space="preserve"> </w:t>
            </w:r>
            <w:r>
              <w:rPr>
                <w:b/>
                <w:i/>
              </w:rPr>
              <w:t>Dit heeft gevolgen voor de veiligheid van de Unie en haar lidstaten of vormt een inbreuk op de waarden en grondrechten van de Unie zoals gedefinieerd in het Verdrag betreffende de werking van de Europese Unie (“VWEU”) en in het Handvest van de grondrechten van de Europese Unie (het “Handvest”). Om open en veilige samenwerking in stand te houden en te bevorderen, is het van essentieel belang dat de onderzoeks- en innovatiesector van de Unie wordt ondersteund en in staat wordt gesteld om risico’s die de Europese onderzoeksveiligheid en technologische veerkracht in gevaar kunnen brengen of risico’s voor strategische onderzoeks- en technologie-infrastructuren kunnen inhouden in kaart te brengen, te beperken en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Veel geavanceerde technologieën die in een civiele context zijn ontwikkeld, kunnen ook toepassingen voor tweeërlei gebruik hebben, wat kan bijdragen tot de innovatiecapaciteit en het concurrentievermogen.</w:t>
            </w:r>
            <w:r>
              <w:t xml:space="preserve"> </w:t>
            </w:r>
            <w:r>
              <w:rPr>
                <w:b/>
                <w:i/>
              </w:rPr>
              <w:t>Tegelijkertijd vereist het toenemende belang van technologieën voor tweeërlei gebruik een duidelijke en verantwoorde aanpak om ervoor te zorgen dat de ontwikkeling en het gebruik ervan in overeenstemming blijven met de doelstellingen en de aard van het programma.</w:t>
            </w:r>
            <w:r>
              <w:t xml:space="preserve"> </w:t>
            </w:r>
            <w:r>
              <w:rPr>
                <w:b/>
                <w:i/>
              </w:rPr>
              <w:t>Er zijn met name passende waarborgen nodig om onbedoelde gevolgen te voorkomen, waaronder risico’s in verband met de verlegging van onderzoeks- en innovatieactiviteiten naar defensie- of militaire doeleinden.</w:t>
            </w:r>
            <w:r>
              <w:t xml:space="preserve"> </w:t>
            </w:r>
            <w:r>
              <w:rPr>
                <w:b/>
                <w:i/>
              </w:rPr>
              <w:t>Het waarborgen van een duidelijk kader voor het omgaan met activiteiten voor tweeërlei gebruik is daarom van essentieel belang, niet alleen om de civiele oriëntatie van het programma te behouden, maar ook om rechtszekerheid te bieden, hoogwaardig onderzoek te ondersteunen en het mondiale concurrentievermogen van de Unie in stand te 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r>
        <w:rPr>
          <w:rStyle w:val="HideTWBExt"/>
          <w:b w:val="0"/>
        </w:rPr>
        <w:t>&lt;AuNomDe&gt;</w:t>
      </w:r>
      <w:r>
        <w:rPr>
          <w:rStyle w:val="HideTWBInt"/>
        </w:rPr>
        <w:t>{PPE}</w:t>
      </w:r>
      <w:r>
        <w:t>namens de PPE-Fractie</w:t>
      </w:r>
      <w:r>
        <w:rPr>
          <w:rStyle w:val="HideTWBExt"/>
          <w:b w:val="0"/>
        </w:rPr>
        <w:t>&lt;/AuNomDe&gt;</w:t>
      </w:r>
    </w:p>
    <w:p>
      <w:pPr>
        <w:pStyle w:val="NormalBold"/>
      </w:pPr>
      <w:r>
        <w:rPr>
          <w:rStyle w:val="HideTWBExt"/>
          <w:b w:val="0"/>
        </w:rPr>
        <w:t>&lt;Members&gt;</w:t>
      </w:r>
      <w:r>
        <w:t>Wouter Beke, Willemien Koning, Seán Kelly, Pilar del Castillo Vera, Angelika Winzig, Angelika Niebler, Andrea Wechsler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Om het concurrentievermogen van de Europese industrie te bevorderen, missiegerichte onderzoeks- en innovatie-ecosystemen te stimuleren en de rol van toonaangevende ondernemingen als aanjagers van investeringen en samenwerking ten volle te benutten, kunnen de werkprogramma’s specifieke bottom-upcompetities in twee fasen omvatten om toonaangevende ondernemingen te identificeren en te ondersteunen als technologische koplopers in de EU die zich verbinden tot een aanzienlijke toename van investeringen in onderzoek en ontwikkeling in de Unie en tot de opbouw van innovatie-ecosystemen waarin kmo’s en onderzoeksorganisaties bij ambitieuze missies of aanzienlijke technologische uitdagingen worden betrokken.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Julie Rechagneux, Pascale Piera, Aleksandar Nikolic, Mélanie Disdier, Jorge Martín Frías, András Gyürk, Silvia Sardone, Isabella Tovaglieri, Raffaele Stancanelli, Barbara Bonte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bis)</w:t>
            </w:r>
            <w:r>
              <w:tab/>
            </w:r>
            <w:r>
              <w:rPr>
                <w:b/>
                <w:i/>
              </w:rPr>
              <w:t>Strategische autonomie moet ook betrekking hebben op de veerkracht en zelfvoorziening op lange termijn van de waardeketens van agrovoedingsmiddelen en op de toegang tot essentiële landbouwproductiemiddelen.</w:t>
            </w:r>
            <w:r>
              <w:t xml:space="preserve"> </w:t>
            </w:r>
            <w:r>
              <w:rPr>
                <w:b/>
                <w:i/>
              </w:rPr>
              <w:t>Onderzoek en innovatie moeten bijdragen tot het verminderen van externe afhankelijkheden en het versterken van het vermogen van de EU om een ononderbroken, zekere en soevereine voedselvoorziening in stand te houden, en moeten tegelijkertijd haar capaciteit ondersteunen om te exporteren en op de wereldmarkten concurrerend te blijven.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Lina Gálvez, Elena Sancho Murillo, Thomas Pellerin-Carlin, Christophe Clergeau, Giorgio Gori, Matthias Ecke, René Repasi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Het kaderprogramma voor onderzoek en innovatie moet zijn civiele karakter en oriëntatie behouden en ervoor zorgen dat de financiering van de Unie voor onderzoek en innovatie in de eerste plaats civiele doeleinden dient en open wetenschap, academische vrijheid en het algemeen belang ondersteunt.</w:t>
            </w:r>
            <w:r>
              <w:t xml:space="preserve"> </w:t>
            </w:r>
            <w:r>
              <w:rPr>
                <w:b/>
                <w:i/>
              </w:rPr>
              <w:t>Deze civiele oriëntatie vormt een essentieel kenmerk van het programma en ligt aan de basis van de doeltreffendheid, aantrekkelijkheid en capaciteit ervan om excellente resultaten op het gebied van wetenschap en innovatie te behalen.</w:t>
            </w:r>
            <w:r>
              <w:t xml:space="preserve"> </w:t>
            </w:r>
            <w:r>
              <w:rPr>
                <w:b/>
                <w:i/>
              </w:rPr>
              <w:t>Hoewel bepaalde onderzoeks- en innovatieactiviteiten potentiële toepassingen voor tweeërlei gebruik kunnen hebben, mag dat potentieel het fundamentele civiele karakter van het programma niet veranderen.</w:t>
            </w:r>
            <w:r>
              <w:t xml:space="preserve"> </w:t>
            </w:r>
            <w:r>
              <w:rPr>
                <w:b/>
                <w:i/>
              </w:rPr>
              <w:t>Daarom is een duidelijk en robuust kader noodzakelijk om ervoor te zorgen dat de opname van dergelijke activiteiten niet leidt tot een verlegging van de doelstellingen, prioriteiten of middelen van het programma naar defensie- of militaire doeleinden. Activiteiten met mogelijke toepassingen voor tweeërlei gebruik mogen alleen worden ondersteund wanneer zij in de eerste plaats zijn ontworpen voor civiele doeleinden en bijdragen tot de doelstellingen van het programma.</w:t>
            </w:r>
            <w:r>
              <w:t xml:space="preserve"> </w:t>
            </w:r>
            <w:r>
              <w:rPr>
                <w:b/>
                <w:i/>
              </w:rPr>
              <w:t>Activiteiten waarvan de doelstellingen, verwachte toepassingen of resultaten erop wijzen dat zij niet in de eerste plaats gericht zijn op civiele toepassingen, mogen niet in het kader van dit programma worden ondersteund en moeten worden uitgevoerd door middel van instrumenten van de Unie die specifiek voor dat doel zijn ontworpen, waaronder het Europees Fonds voor concurrentievermogen.</w:t>
            </w:r>
            <w:r>
              <w:t xml:space="preserve"> </w:t>
            </w:r>
            <w:r>
              <w:rPr>
                <w:b/>
                <w:i/>
              </w:rPr>
              <w:t>Waar nodig moet een risicogebaseerde aanpak worden toegepast om ervoor te zorgen dat risico’s in verband met onderzoek en innovatie worden geïdentificeerd, beoordeeld en aangepakt door middel van evenredige en doeltreffende maatregelen, waarbij onnodige beperkingen die openheid, excellentie en samenwerking in de weg kunnen staan, worden vermeden.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Barry Andrews, Morten Løkkegaard,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ter)</w:t>
            </w:r>
            <w:r>
              <w:tab/>
            </w:r>
            <w:r>
              <w:rPr>
                <w:b/>
                <w:i/>
              </w:rPr>
              <w:t>(nieuw) Horizon Europa is gebaseerd op open wetenschap, academische vrijheid en internationale samenwerking.</w:t>
            </w:r>
            <w:r>
              <w:t xml:space="preserve"> </w:t>
            </w:r>
            <w:r>
              <w:rPr>
                <w:b/>
                <w:i/>
              </w:rPr>
              <w:t>Beperkingen op deelname moeten worden beperkt tot gevallen waarin een aantoonbaar en specifiek risico voor de onderzoeksveiligheidsbelangen van de Unie is vastgesteld door middel van een evenredige, risicogebaseerde beoordeling.</w:t>
            </w:r>
            <w:r>
              <w:t xml:space="preserve"> </w:t>
            </w:r>
            <w:r>
              <w:rPr>
                <w:b/>
                <w:i/>
              </w:rPr>
              <w:t>De toepassing op dit programma van industriële preferentiemechanismen die zijn ontworpen voor een defensie- of uitrolcontext zou onverenigbaar zijn met de doelstelling om de Unie op de kaart te zetten als de belangrijkste bestemming voor onderzoeks- en innovatietalent ter wereld.</w:t>
            </w:r>
            <w:r>
              <w:t xml:space="preserve"> </w:t>
            </w:r>
            <w:r>
              <w:rPr>
                <w:b/>
                <w:i/>
              </w:rPr>
              <w:t>Zorgen in verband met onderzoeksveiligheid worden doeltreffender aangepakt door middel van associatieovereenkomsten, ethische verplichtingen en gerichte risicogebaseerde beoordelingen dan door middel van structurele uitsluitingen op basis van eigendom of zeggenschap.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Diana Iovanovici Şoşoacă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w:t>
            </w:r>
          </w:p>
        </w:tc>
        <w:tc>
          <w:tcPr>
            <w:tcW w:w="4876" w:type="dxa"/>
            <w:tcBorders>
              <w:top w:val="nil"/>
              <w:left w:val="nil"/>
              <w:bottom w:val="nil"/>
              <w:right w:val="nil"/>
            </w:tcBorders>
          </w:tcPr>
          <w:p>
            <w:pPr>
              <w:pStyle w:val="Normal6a"/>
            </w:pPr>
            <w:r>
              <w:t>(23)</w:t>
            </w:r>
            <w:r>
              <w:tab/>
            </w:r>
            <w:r>
              <w:t xml:space="preserve">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 </w:t>
            </w:r>
            <w:r>
              <w:rPr>
                <w:b/>
                <w:i/>
              </w:rPr>
              <w:t>Daarom moet er meer aandacht worden besteed aan de ontwikkeling en het gebruik van geavanceerde technologieën zoals artificiële intelligentie, realtime gegevensanalyse en systemen voor vroegtijdige waarschuwing, ter verbetering van het vermogen om te anticiperen en snel te reageren.</w:t>
            </w:r>
            <w:r>
              <w:t xml:space="preserve"> </w:t>
            </w:r>
            <w:r>
              <w:rPr>
                <w:b/>
                <w:i/>
              </w:rPr>
              <w:t>Ook is het belangrijk om de grensoverschrijdende samenwerking en informatie-uitwisseling tussen de lidstaten te versterken en om hierbij lokale en regionale overheden te betrekken, aangezien zij een sleutelrol spelen bij crisisbeheersing op operationeel niveau.</w:t>
            </w:r>
          </w:p>
        </w:tc>
      </w:tr>
    </w:tbl>
    <w:p>
      <w:pPr>
        <w:pStyle w:val="AmOrLang"/>
      </w:pPr>
      <w:r>
        <w:t xml:space="preserve">Or. </w:t>
      </w:r>
      <w:r>
        <w:rPr>
          <w:rStyle w:val="HideTWBExt"/>
        </w:rPr>
        <w:t>&lt;Original&gt;</w:t>
      </w:r>
      <w:r>
        <w:rPr>
          <w:rStyle w:val="HideTWBInt"/>
        </w:rPr>
        <w:t>{RO}</w:t>
      </w:r>
      <w:r>
        <w:t>ro</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Systemen voor vroegtijdige waarschuwing zijn van essentieel belang gebleken bij natuurrampen, juist omdat zij het vermogen om snel te anticiperen en te reageren verbeteren, en het versterken van de grensoverschrijdende samenwerking en informatie-uitwisseling tussen de lidstaten is van cruciaal belang om dit soort situaties het hoofd te bieden.</w:t>
      </w:r>
    </w:p>
    <w:p>
      <w:r>
        <w:rPr>
          <w:rStyle w:val="HideTWBExt"/>
        </w:rPr>
        <w:t>&lt;/Amend&gt;</w:t>
      </w:r>
    </w:p>
    <w:p>
      <w:pPr>
        <w:pStyle w:val="AmNumberTabs"/>
      </w:pPr>
      <w:r>
        <w:rPr>
          <w:rStyle w:val="HideTWBExt"/>
        </w:rPr>
        <w:t>&lt;Amend&gt;</w:t>
      </w:r>
      <w:r>
        <w:t>Amendement</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Claudiu-Richard Târziu,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w:t>
            </w:r>
          </w:p>
        </w:tc>
        <w:tc>
          <w:tcPr>
            <w:tcW w:w="4876" w:type="dxa"/>
            <w:tcBorders>
              <w:top w:val="nil"/>
              <w:left w:val="nil"/>
              <w:bottom w:val="nil"/>
              <w:right w:val="nil"/>
            </w:tcBorders>
          </w:tcPr>
          <w:p>
            <w:pPr>
              <w:pStyle w:val="Normal6a"/>
            </w:pPr>
            <w:r>
              <w:t>(23)</w:t>
            </w:r>
            <w:r>
              <w:tab/>
            </w:r>
            <w:r>
              <w:t xml:space="preserve">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 </w:t>
            </w:r>
            <w:r>
              <w:rPr>
                <w:b/>
                <w:i/>
              </w:rPr>
              <w:t>In deze context moeten financieringsstromen die gericht zijn op onderzoek en innovatie met betrekking tot rampenrisico’s, -paraatheid en -respons duidelijk worden gedefinieerd en los staan van de crisisreservemechanismen waarin reeds is voorzien in het kader van de plannen voor nationaal en regionaal partnerschap zoals beoogd in het volgende meerjarig financieel kader.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Ivars Ijabs, Emma Wiesner, Elisabetta Gualmini, Anna Stürgkh, Christophe Grudler, Sophie Wilmès, Barry Andrews, Morten Løkkegaard, Michał Kobosko, Bart Groothuis,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 en de veerkracht van vitale maatschappelijke functies wordt vergroot</w:t>
            </w:r>
            <w:r>
              <w:rPr>
                <w:b/>
                <w:i/>
              </w:rPr>
              <w:t>, moet</w:t>
            </w:r>
            <w:r>
              <w:t xml:space="preserve"> een veerkrachtigere, veiligere en beter voorbereide Unie tot stand brengen, in overeenstemming met de doelstellingen van de EU-strategie voor een paraatheidsunie.</w:t>
            </w:r>
          </w:p>
        </w:tc>
        <w:tc>
          <w:tcPr>
            <w:tcW w:w="4876" w:type="dxa"/>
            <w:tcBorders>
              <w:top w:val="nil"/>
              <w:left w:val="nil"/>
              <w:bottom w:val="nil"/>
              <w:right w:val="nil"/>
            </w:tcBorders>
          </w:tcPr>
          <w:p>
            <w:pPr>
              <w:pStyle w:val="Normal6a"/>
            </w:pPr>
            <w:r>
              <w:t>(23)</w:t>
            </w:r>
            <w:r>
              <w:tab/>
            </w:r>
            <w:r>
              <w:t>Gezien de toenemende risico’s in verband met natuurrampen, noodsituaties op het gebied van de gezondheid, technologische ongevallen, veranderende veiligheidsdreigingen</w:t>
            </w:r>
            <w:r>
              <w:rPr>
                <w:b/>
                <w:i/>
              </w:rPr>
              <w:t>, hybride aanvallen</w:t>
            </w:r>
            <w:r>
              <w:t xml:space="preserve">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w:t>
            </w:r>
            <w:r>
              <w:rPr>
                <w:b/>
                <w:i/>
              </w:rPr>
              <w:t>, wordt bijgedragen tot het verminderen van kritieke afhankelijkheden</w:t>
            </w:r>
            <w:r>
              <w:t xml:space="preserve"> en de veerkracht van vitale maatschappelijke functies wordt vergroot </w:t>
            </w:r>
            <w:r>
              <w:rPr>
                <w:b/>
                <w:i/>
              </w:rPr>
              <w:t>in alle civiele sectoren die blootstaan aan veiligheidsrisico’s, onder meer via de bescherming van kritieke infrastructuur, en</w:t>
            </w:r>
            <w:r>
              <w:t xml:space="preserve"> een veerkrachtigere, veiligere en beter voorbereide Unie tot stand brengen, in overeenstemming met de doelstellingen van de EU-strategie voor een paraatheidsunie.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Elena Donazzan, Nicola Procaccini, Mariateresa Vivaldini, Carlo Ciccioli, Alessandro Ciriani, Pietro Fiocchi, Lara Magoni, Francesco Torselli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w:t>
            </w:r>
          </w:p>
        </w:tc>
        <w:tc>
          <w:tcPr>
            <w:tcW w:w="4876" w:type="dxa"/>
            <w:tcBorders>
              <w:top w:val="nil"/>
              <w:left w:val="nil"/>
              <w:bottom w:val="nil"/>
              <w:right w:val="nil"/>
            </w:tcBorders>
          </w:tcPr>
          <w:p>
            <w:pPr>
              <w:pStyle w:val="Normal6a"/>
            </w:pPr>
            <w:r>
              <w:t>(23)</w:t>
            </w:r>
            <w:r>
              <w:tab/>
            </w:r>
            <w:r>
              <w:t>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w:t>
            </w:r>
            <w:r>
              <w:rPr>
                <w:b/>
                <w:i/>
              </w:rPr>
              <w:t>, met bijzondere aandacht voor kustoverstromingen, stijging van de zeespiegel en kwetsbaarheid van het ecosysteem in lagunes en delta’s,</w:t>
            </w:r>
            <w:r>
              <w:t xml:space="preserve"> en de veerkracht van vitale maatschappelijke functies wordt vergroot, </w:t>
            </w:r>
            <w:r>
              <w:rPr>
                <w:b/>
                <w:i/>
              </w:rPr>
              <w:t>en</w:t>
            </w:r>
            <w:r>
              <w:t xml:space="preserve"> moet een veerkrachtigere, veiligere en beter voorbereide Unie tot stand brengen, in overeenstemming met de doelstellingen van de EU-strategie voor een paraatheidsunie.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namens de Verts/ALE-Fractie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en crisisbeheer wordt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w:t>
            </w:r>
          </w:p>
        </w:tc>
        <w:tc>
          <w:tcPr>
            <w:tcW w:w="4876" w:type="dxa"/>
            <w:tcBorders>
              <w:top w:val="nil"/>
              <w:left w:val="nil"/>
              <w:bottom w:val="nil"/>
              <w:right w:val="nil"/>
            </w:tcBorders>
          </w:tcPr>
          <w:p>
            <w:pPr>
              <w:pStyle w:val="Normal6a"/>
            </w:pPr>
            <w:r>
              <w:t>(23)</w:t>
            </w:r>
            <w:r>
              <w:tab/>
            </w:r>
            <w:r>
              <w:t xml:space="preserve">Gezien de toenemende risico’s in verband met natuurrampen, noodsituaties op het gebied van de gezondheid, technologische ongevallen, veranderende veiligheidsdreigingen en andere verstoringen, is het van essentieel belang dat de Unie en de lidstaten beter in staat zijn </w:t>
            </w:r>
            <w:r>
              <w:rPr>
                <w:b/>
                <w:i/>
              </w:rPr>
              <w:t>zicht te krijgen,</w:t>
            </w:r>
            <w:r>
              <w:t xml:space="preserve"> te anticiperen, zich voor te bereiden en te reageren op crises en rampen. Het programma moet onderzoek ondersteunen waarmee het rampenrisicobeheer en crisisbeheer wordt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 </w:t>
            </w:r>
            <w:r>
              <w:rPr>
                <w:b/>
                <w:i/>
              </w:rPr>
              <w:t>Dit moet met name tot uiting komen in het onderdeel concurrentievermogen.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Barry Andrews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 </w:t>
            </w:r>
            <w:r>
              <w:rPr>
                <w:b/>
                <w:i/>
              </w:rPr>
              <w:t>en</w:t>
            </w:r>
            <w:r>
              <w:t xml:space="preserve"> crisisbeheer </w:t>
            </w:r>
            <w:r>
              <w:rPr>
                <w:b/>
                <w:i/>
              </w:rPr>
              <w:t>wordt</w:t>
            </w:r>
            <w:r>
              <w:t xml:space="preserve">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w:t>
            </w:r>
          </w:p>
        </w:tc>
        <w:tc>
          <w:tcPr>
            <w:tcW w:w="4876" w:type="dxa"/>
            <w:tcBorders>
              <w:top w:val="nil"/>
              <w:left w:val="nil"/>
              <w:bottom w:val="nil"/>
              <w:right w:val="nil"/>
            </w:tcBorders>
          </w:tcPr>
          <w:p>
            <w:pPr>
              <w:pStyle w:val="Normal6a"/>
            </w:pPr>
            <w:r>
              <w:t>(23)</w:t>
            </w:r>
            <w:r>
              <w:tab/>
            </w:r>
            <w:r>
              <w:t>Gezien de toenemende risico’s in verband met natuurrampen, noodsituaties op het gebied van de gezondheid, technologische ongevallen, veranderende veiligheidsdreigingen en andere verstoringen, is het van essentieel belang dat de Unie en de lidstaten beter in staat zijn te anticiperen, zich voor te bereiden en te reageren op crises en rampen. Het programma moet onderzoek ondersteunen waarmee het rampenrisicobeheer</w:t>
            </w:r>
            <w:r>
              <w:rPr>
                <w:b/>
                <w:i/>
              </w:rPr>
              <w:t>, het</w:t>
            </w:r>
            <w:r>
              <w:t xml:space="preserve"> crisisbeheer </w:t>
            </w:r>
            <w:r>
              <w:rPr>
                <w:b/>
                <w:i/>
              </w:rPr>
              <w:t>en de paraatheid bij pandemieën worden</w:t>
            </w:r>
            <w:r>
              <w:t xml:space="preserve"> versterkt, wordt geïnvesteerd in klimaatbestendigheid en de veerkracht van vitale maatschappelijke functies wordt vergroot, moet een veerkrachtigere, veiligere en beter voorbereide Unie tot stand brengen, in overeenstemming met de doelstellingen van de EU-strategie voor een paraatheidsunie.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214</w:t>
    </w:r>
    <w:r>
      <w:fldChar w:fldCharType="end"/>
    </w:r>
    <w:r>
      <w:t>/</w:t>
    </w:r>
    <w:r>
      <w:fldChar w:fldCharType="begin"/>
    </w:r>
    <w:r>
      <w:instrText xml:space="preserve"> NUMPAGES </w:instrText>
    </w:r>
    <w:r>
      <w:fldChar w:fldCharType="separate"/>
    </w:r>
    <w:r>
      <w:t>214</w:t>
    </w:r>
    <w:r>
      <w:fldChar w:fldCharType="end"/>
    </w:r>
    <w:r>
      <w:tab/>
    </w:r>
    <w:r>
      <w:rPr>
        <w:rStyle w:val="HideTWBExt"/>
      </w:rPr>
      <w:t>&lt;PathFdR&gt;</w:t>
    </w:r>
    <w:r>
      <w:t>AM\1340982NL.docx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AM\1340982NL.docx</w:t>
    </w:r>
    <w:r>
      <w:rPr>
        <w:rStyle w:val="HideTWBExt"/>
      </w:rPr>
      <w:t>&lt;/PathFdR&gt;</w:t>
    </w:r>
    <w:r>
      <w:tab/>
    </w:r>
    <w:r>
      <w:fldChar w:fldCharType="begin"/>
    </w:r>
    <w:r>
      <w:instrText xml:space="preserve"> PAGE </w:instrText>
    </w:r>
    <w:r>
      <w:fldChar w:fldCharType="separate"/>
    </w:r>
    <w:r>
      <w:t>213</w:t>
    </w:r>
    <w:r>
      <w:fldChar w:fldCharType="end"/>
    </w:r>
    <w:r>
      <w:t>/</w:t>
    </w:r>
    <w:r>
      <w:fldChar w:fldCharType="begin"/>
    </w:r>
    <w:r>
      <w:instrText xml:space="preserve"> NUMPAGES </w:instrText>
    </w:r>
    <w:r>
      <w:fldChar w:fldCharType="separate"/>
    </w:r>
    <w:r>
      <w:t>214</w:t>
    </w:r>
    <w:r>
      <w:fldChar w:fldCharType="end"/>
    </w:r>
    <w:r>
      <w:tab/>
    </w:r>
    <w:r>
      <w:t>PE</w:t>
    </w:r>
    <w:r>
      <w:rPr>
        <w:rStyle w:val="HideTWBExt"/>
      </w:rPr>
      <w:t>&lt;NoPE&gt;</w:t>
    </w:r>
    <w:r>
      <w:t>786.953</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AM\1340982NL.docx</w:t>
    </w:r>
    <w:r>
      <w:rPr>
        <w:rStyle w:val="HideTWBExt"/>
      </w:rPr>
      <w:t>&lt;/PathFdR&gt;</w:t>
    </w:r>
    <w:r>
      <w:tab/>
    </w:r>
    <w:r>
      <w:tab/>
    </w:r>
    <w:r>
      <w:t>PE</w:t>
    </w:r>
    <w:r>
      <w:rPr>
        <w:rStyle w:val="HideTWBExt"/>
      </w:rPr>
      <w:t>&lt;NoPE&gt;</w:t>
    </w:r>
    <w:r>
      <w:t>786.953</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214</Pages>
  <Words>61425</Words>
  <Characters>392809</Characters>
  <Application>Microsoft Office Word</Application>
  <DocSecurity>0</DocSecurity>
  <Lines>1</Lines>
  <Paragraphs>2126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1340982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489614</vt:lpwstr>
  </property>
  <property fmtid="{D5CDD505-2E9C-101B-9397-08002B2CF9AE}" pid="7" name="dmxml.render.traceId">
    <vt:lpwstr>6a04730956230fe9439c49451ea77ca3</vt:lpwstr>
  </property>
  <property fmtid="{D5CDD505-2E9C-101B-9397-08002B2CF9AE}" pid="8" name="FooterPath">
    <vt:lpwstr>AM\1340982NL.docx</vt:lpwstr>
  </property>
  <property fmtid="{D5CDD505-2E9C-101B-9397-08002B2CF9AE}" pid="9" name="PE Number">
    <vt:lpwstr>786.953</vt:lpwstr>
  </property>
  <property fmtid="{D5CDD505-2E9C-101B-9397-08002B2CF9AE}" pid="10" name="UID">
    <vt:lpwstr>eu.europa.europarl-DIN1-2026-0000094976_02.00-nl-01.00_text-xml</vt:lpwstr>
  </property>
</Properties>
</file>