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Evropský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{ITRE}</w:t>
      </w:r>
      <w:r>
        <w:t>Výbor pro průmysl, výzkum a energetiku</w:t>
      </w:r>
      <w:r>
        <w:rPr>
          <w:rStyle w:val="HideTWBExt"/>
        </w:rPr>
        <w:t>&lt;/Commission&gt;</w:t>
      </w:r>
    </w:p>
    <w:p>
      <w:pPr>
        <w:pStyle w:val="LineBottom"/>
      </w:pPr>
      <w:r>
        <w:t xml:space="preserve"> </w:t>
      </w:r>
    </w:p>
    <w:p>
      <w:pPr>
        <w:pStyle w:val="CoverReference"/>
      </w:pPr>
      <w:r>
        <w:rPr>
          <w:rStyle w:val="HideTWBExt"/>
        </w:rPr>
        <w:t>&lt;RefProc&gt;</w:t>
      </w:r>
      <w:r>
        <w:t>2025/0555</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{19/05/2026}</w:t>
      </w:r>
      <w:r>
        <w:t>19. 5. 2026</w:t>
      </w:r>
      <w:r>
        <w:rPr>
          <w:rStyle w:val="HideTWBExt"/>
        </w:rPr>
        <w:t>&lt;/Date&gt;</w:t>
      </w:r>
    </w:p>
    <w:p>
      <w:pPr>
        <w:pStyle w:val="CoverDocType"/>
      </w:pPr>
      <w:r>
        <w:rPr>
          <w:rStyle w:val="HideTWBExt"/>
        </w:rPr>
        <w:t>&lt;TypeAM&gt;</w:t>
      </w:r>
      <w:r>
        <w:t>POZMĚŇOVACÍ NÁVRHY</w:t>
      </w:r>
      <w:r>
        <w:rPr>
          <w:rStyle w:val="HideTWBExt"/>
        </w:rPr>
        <w:t>&lt;/TypeAM&gt;</w:t>
      </w:r>
    </w:p>
    <w:p>
      <w:pPr>
        <w:pStyle w:val="CoverDocType24a"/>
      </w:pPr>
      <w:r>
        <w:rPr>
          <w:rStyle w:val="HideTWBExt"/>
        </w:rPr>
        <w:t>&lt;RangeAM&gt;</w:t>
      </w:r>
      <w:r>
        <w:t>1052</w:t>
      </w:r>
      <w:r>
        <w:t xml:space="preserve"> - </w:t>
      </w:r>
      <w:r>
        <w:t>1345</w:t>
      </w:r>
      <w:r>
        <w:rPr>
          <w:rStyle w:val="HideTWBExt"/>
        </w:rPr>
        <w:t>&lt;/RangeAM&gt;</w:t>
      </w:r>
    </w:p>
    <w:p>
      <w:pPr>
        <w:pStyle w:val="CoverBold"/>
      </w:pPr>
      <w:r>
        <w:rPr>
          <w:rStyle w:val="HideTWBExt"/>
        </w:rPr>
        <w:t>&lt;TitreType&gt;</w:t>
      </w:r>
      <w:r>
        <w:t>Návrh zprávy</w:t>
      </w:r>
      <w:r>
        <w:rPr>
          <w:rStyle w:val="HideTWBExt"/>
        </w:rPr>
        <w:t>&lt;/TitreType&gt;</w:t>
      </w:r>
    </w:p>
    <w:p>
      <w:pPr>
        <w:pStyle w:val="CoverBold"/>
      </w:pPr>
      <w:r>
        <w:rPr>
          <w:rStyle w:val="HideTWBExt"/>
        </w:rPr>
        <w:t>&lt;Rapporteur&gt;</w:t>
      </w:r>
      <w:r>
        <w:t>Christian Ehler, Dan Nica</w:t>
      </w:r>
      <w:r>
        <w:rPr>
          <w:rStyle w:val="HideTWBExt"/>
        </w:rPr>
        <w:t>&lt;/Rapporteur&gt;</w:t>
      </w:r>
    </w:p>
    <w:p>
      <w:pPr>
        <w:pStyle w:val="CoverNormal24a"/>
      </w:pPr>
      <w:r>
        <w:rPr>
          <w:rStyle w:val="HideTWBExt"/>
        </w:rPr>
        <w:t>&lt;DocRefPE&gt;</w:t>
      </w:r>
      <w:r>
        <w:t>(PE784.506v01-00)</w:t>
      </w:r>
      <w:r>
        <w:rPr>
          <w:rStyle w:val="HideTWBExt"/>
        </w:rPr>
        <w:t>&lt;/DocRefPE&gt;</w:t>
      </w:r>
    </w:p>
    <w:p>
      <w:pPr>
        <w:pStyle w:val="CoverNormal24a"/>
      </w:pPr>
      <w:r>
        <w:rPr>
          <w:rStyle w:val="HideTWBExt"/>
        </w:rPr>
        <w:t>&lt;Titre&gt;</w:t>
      </w:r>
      <w:r>
        <w:t>Zřízení Evropského fondu pro konkurenceschopnost (ECF), včetně zvláštního programu pro výzkum a inovace v oblasti obrany</w:t>
      </w:r>
      <w:r>
        <w:rPr>
          <w:rStyle w:val="HideTWBExt"/>
        </w:rPr>
        <w:t>&lt;/Titre&gt;</w:t>
      </w:r>
    </w:p>
    <w:p>
      <w:pPr>
        <w:pStyle w:val="CoverNormal"/>
      </w:pPr>
      <w:r>
        <w:rPr>
          <w:rStyle w:val="HideTWBExt"/>
        </w:rPr>
        <w:t>&lt;DocAmend&gt;</w:t>
      </w:r>
      <w:r>
        <w:t>Návrh nařízení</w:t>
      </w:r>
      <w:r>
        <w:rPr>
          <w:rStyle w:val="HideTWBExt"/>
        </w:rPr>
        <w:t>&lt;/DocAmend&gt;</w:t>
      </w:r>
    </w:p>
    <w:p>
      <w:pPr>
        <w:pStyle w:val="CoverNormal24a"/>
      </w:pPr>
      <w:r>
        <w:rPr>
          <w:rStyle w:val="HideTWBExt"/>
        </w:rPr>
        <w:t>&lt;DocRef&gt;</w:t>
      </w:r>
      <w:r>
        <w:t>(COM(2025)0555 – 2025/0555(COD))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Pozměňovací návrh</w:t>
      </w:r>
      <w:r>
        <w:tab/>
      </w:r>
      <w:r>
        <w:tab/>
      </w:r>
      <w:r>
        <w:rPr>
          <w:rStyle w:val="HideTWBExt"/>
        </w:rPr>
        <w:t>&lt;NumAm&gt;</w:t>
      </w:r>
      <w:r>
        <w:t>1052</w:t>
      </w:r>
      <w:r>
        <w:rPr>
          <w:rStyle w:val="HideTWBExt"/>
        </w:rPr>
        <w:t>&lt;/NumAm&gt;</w:t>
      </w:r>
    </w:p>
    <w:p>
      <w:pPr>
        <w:pStyle w:val="NormalBold"/>
      </w:pPr>
      <w:r>
        <w:rPr>
          <w:rStyle w:val="HideTWBExt"/>
          <w:b w:val="0"/>
        </w:rPr>
        <w:t>&lt;RepeatBlock-By&gt;</w:t>
      </w:r>
      <w:r>
        <w:rPr>
          <w:rStyle w:val="HideTWBExt"/>
          <w:b w:val="0"/>
        </w:rPr>
        <w:t>&lt;Members&gt;</w:t>
      </w:r>
      <w:r>
        <w:t>Yvan Verougstraete, Grégory Allione, Christophe Grudler,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Tímto nařízením se zřizuje Evropský fond pro konkurenceschopnost (dále jen „</w:t>
            </w:r>
            <w:r>
              <w:rPr>
                <w:b/>
                <w:i/>
              </w:rPr>
              <w:t>ECF</w:t>
            </w:r>
            <w:r>
              <w:t xml:space="preserve">“), včetně zvláštního programu pro obranný výzkum a inovace ve smyslu čl. 182 odst. 3 Smlouvy o fungování EU, a stanoví se cíle fondu </w:t>
            </w:r>
            <w:r>
              <w:rPr>
                <w:b/>
                <w:i/>
              </w:rPr>
              <w:t>ECF</w:t>
            </w:r>
            <w:r>
              <w:t xml:space="preserve">, jeho rozpočet na období 2028–2034, formy podpory z prostředků Unie a pravidla pro poskytování této podpory v rámci průřezových činností a konkrétních politik, které fond </w:t>
            </w:r>
            <w:r>
              <w:rPr>
                <w:b/>
                <w:i/>
              </w:rPr>
              <w:t>ECF</w:t>
            </w:r>
            <w:r>
              <w:t xml:space="preserve"> podporuje.</w:t>
            </w:r>
          </w:p>
        </w:tc>
        <w:tc>
          <w:tcPr>
            <w:tcW w:w="4876" w:type="dxa"/>
            <w:tcBorders>
              <w:top w:val="nil"/>
              <w:left w:val="nil"/>
              <w:bottom w:val="nil"/>
              <w:right w:val="nil"/>
            </w:tcBorders>
          </w:tcPr>
          <w:p>
            <w:pPr>
              <w:pStyle w:val="Normal6a"/>
            </w:pPr>
            <w:r>
              <w:t>1.</w:t>
            </w:r>
            <w:r>
              <w:tab/>
            </w:r>
            <w:r>
              <w:t xml:space="preserve">Tímto nařízením se zřizuje Evropský </w:t>
            </w:r>
            <w:r>
              <w:rPr>
                <w:b/>
                <w:i/>
              </w:rPr>
              <w:t>strategický</w:t>
            </w:r>
            <w:r>
              <w:t xml:space="preserve"> fond pro konkurenceschopnost (dále jen „</w:t>
            </w:r>
            <w:r>
              <w:rPr>
                <w:b/>
                <w:i/>
              </w:rPr>
              <w:t>ESCF</w:t>
            </w:r>
            <w:r>
              <w:t xml:space="preserve">“), včetně zvláštního programu pro obranný výzkum a inovace ve smyslu čl. 182 odst. 3 Smlouvy o fungování EU, a stanoví se cíle fondu </w:t>
            </w:r>
            <w:r>
              <w:rPr>
                <w:b/>
                <w:i/>
              </w:rPr>
              <w:t>ESCF</w:t>
            </w:r>
            <w:r>
              <w:t xml:space="preserve">, jeho rozpočet na období 2028–2034, formy podpory z prostředků Unie a pravidla pro poskytování této podpory v rámci průřezových činností a konkrétních politik, které fond </w:t>
            </w:r>
            <w:r>
              <w:rPr>
                <w:b/>
                <w:i/>
              </w:rPr>
              <w:t>ESCF</w:t>
            </w:r>
            <w:r>
              <w:t xml:space="preserve"> podporuje.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Upravit odpovídajícím způsobem všechny odkazy v celém textu.</w:t>
      </w:r>
    </w:p>
    <w:p>
      <w:r>
        <w:rPr>
          <w:rStyle w:val="HideTWBExt"/>
        </w:rPr>
        <w:t>&lt;/Amend&gt;</w:t>
      </w:r>
    </w:p>
    <w:p>
      <w:pPr>
        <w:pStyle w:val="AmNumberTabs"/>
      </w:pPr>
      <w:r>
        <w:rPr>
          <w:rStyle w:val="HideTWBExt"/>
        </w:rPr>
        <w:t>&lt;Amend&gt;</w:t>
      </w:r>
      <w:r>
        <w:t>Pozměňovací návrh</w:t>
      </w:r>
      <w:r>
        <w:tab/>
      </w:r>
      <w:r>
        <w:tab/>
      </w:r>
      <w:r>
        <w:rPr>
          <w:rStyle w:val="HideTWBExt"/>
        </w:rPr>
        <w:t>&lt;NumAm&gt;</w:t>
      </w:r>
      <w:r>
        <w:t>1053</w:t>
      </w:r>
      <w:r>
        <w:rPr>
          <w:rStyle w:val="HideTWBExt"/>
        </w:rPr>
        <w:t>&lt;/NumAm&gt;</w:t>
      </w:r>
    </w:p>
    <w:p>
      <w:pPr>
        <w:pStyle w:val="NormalBold"/>
      </w:pPr>
      <w:r>
        <w:rPr>
          <w:rStyle w:val="HideTWBExt"/>
          <w:b w:val="0"/>
        </w:rPr>
        <w:t>&lt;RepeatBlock-By&gt;</w:t>
      </w:r>
      <w:r>
        <w:rPr>
          <w:rStyle w:val="HideTWBExt"/>
          <w:b w:val="0"/>
        </w:rPr>
        <w:t>&lt;Members&gt;</w:t>
      </w:r>
      <w:r>
        <w:t>Paulius Saudargas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2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oblast politiky „</w:t>
            </w:r>
            <w:r>
              <w:rPr>
                <w:b/>
                <w:i/>
              </w:rPr>
              <w:t>Čistá transformace a</w:t>
            </w:r>
            <w:r>
              <w:t xml:space="preserve"> dekarbonizace průmyslu“ – prováděnou prostřednictvím činností </w:t>
            </w:r>
            <w:r>
              <w:rPr>
                <w:b/>
                <w:i/>
              </w:rPr>
              <w:t>uvedených</w:t>
            </w:r>
            <w:r>
              <w:t xml:space="preserve"> v kapitole II a kapitole IV a přispívající ke specifickým cílům stanoveným v čl. 3 odst. 2 písm.</w:t>
            </w:r>
            <w:r>
              <w:rPr>
                <w:b/>
                <w:i/>
              </w:rPr>
              <w:t xml:space="preserve"> a)</w:t>
            </w:r>
            <w:r>
              <w:t>;</w:t>
            </w:r>
          </w:p>
        </w:tc>
        <w:tc>
          <w:tcPr>
            <w:tcW w:w="4876" w:type="dxa"/>
            <w:tcBorders>
              <w:top w:val="nil"/>
              <w:left w:val="nil"/>
              <w:bottom w:val="nil"/>
              <w:right w:val="nil"/>
            </w:tcBorders>
          </w:tcPr>
          <w:p>
            <w:pPr>
              <w:pStyle w:val="Normal6a"/>
            </w:pPr>
            <w:r>
              <w:t>a)</w:t>
            </w:r>
            <w:r>
              <w:tab/>
            </w:r>
            <w:r>
              <w:t>oblast politiky „</w:t>
            </w:r>
            <w:r>
              <w:rPr>
                <w:b/>
                <w:i/>
              </w:rPr>
              <w:t>Energetická infrastruktura,</w:t>
            </w:r>
            <w:r>
              <w:t xml:space="preserve"> dekarbonizace průmyslu</w:t>
            </w:r>
            <w:r>
              <w:rPr>
                <w:b/>
                <w:i/>
              </w:rPr>
              <w:t>, čisté a energeticky účinné technologie</w:t>
            </w:r>
            <w:r>
              <w:t xml:space="preserve">“ – prováděnou prostřednictvím činností </w:t>
            </w:r>
            <w:r>
              <w:rPr>
                <w:b/>
                <w:i/>
              </w:rPr>
              <w:t>stanovených</w:t>
            </w:r>
            <w:r>
              <w:t xml:space="preserve"> v kapitole II a kapitole IV a přispívající ke specifickým cílům stanoveným v čl. 3 odst. 2 písm.</w:t>
            </w:r>
            <w:r>
              <w:rPr>
                <w:b/>
                <w:i/>
              </w:rPr>
              <w:t> 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1054</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2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oblast politiky „</w:t>
            </w:r>
            <w:r>
              <w:rPr>
                <w:b/>
                <w:i/>
              </w:rPr>
              <w:t>Čistá transformace a</w:t>
            </w:r>
            <w:r>
              <w:t xml:space="preserve"> dekarbonizace průmyslu“ – prováděnou prostřednictvím činností </w:t>
            </w:r>
            <w:r>
              <w:rPr>
                <w:b/>
                <w:i/>
              </w:rPr>
              <w:t>uvedených</w:t>
            </w:r>
            <w:r>
              <w:t xml:space="preserve"> v kapitole II a kapitole IV a přispívající ke specifickým cílům stanoveným v čl. 3 odst. 2 písm.</w:t>
            </w:r>
            <w:r>
              <w:rPr>
                <w:b/>
                <w:i/>
              </w:rPr>
              <w:t xml:space="preserve"> a)</w:t>
            </w:r>
            <w:r>
              <w:t>;</w:t>
            </w:r>
          </w:p>
        </w:tc>
        <w:tc>
          <w:tcPr>
            <w:tcW w:w="4876" w:type="dxa"/>
            <w:tcBorders>
              <w:top w:val="nil"/>
              <w:left w:val="nil"/>
              <w:bottom w:val="nil"/>
              <w:right w:val="nil"/>
            </w:tcBorders>
          </w:tcPr>
          <w:p>
            <w:pPr>
              <w:pStyle w:val="Normal6a"/>
            </w:pPr>
            <w:r>
              <w:t>a)</w:t>
            </w:r>
            <w:r>
              <w:tab/>
            </w:r>
            <w:r>
              <w:t>oblast politiky „</w:t>
            </w:r>
            <w:r>
              <w:rPr>
                <w:b/>
                <w:i/>
              </w:rPr>
              <w:t>Veřejná energetická infrastruktura,</w:t>
            </w:r>
            <w:r>
              <w:t xml:space="preserve"> dekarbonizace průmyslu </w:t>
            </w:r>
            <w:r>
              <w:rPr>
                <w:b/>
                <w:i/>
              </w:rPr>
              <w:t>a zelené technologie</w:t>
            </w:r>
            <w:r>
              <w:t xml:space="preserve">“ – prováděnou prostřednictvím činností </w:t>
            </w:r>
            <w:r>
              <w:rPr>
                <w:b/>
                <w:i/>
              </w:rPr>
              <w:t>stanovených</w:t>
            </w:r>
            <w:r>
              <w:t xml:space="preserve"> v kapitole II a kapitole IV a přispívající ke specifickým cílům stanoveným v čl. 3 odst. 2 písm.</w:t>
            </w:r>
            <w:r>
              <w:rPr>
                <w:b/>
                <w:i/>
              </w:rPr>
              <w:t> 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1055</w:t>
      </w:r>
      <w:r>
        <w:rPr>
          <w:rStyle w:val="HideTWBExt"/>
        </w:rPr>
        <w:t>&lt;/NumAm&gt;</w:t>
      </w:r>
    </w:p>
    <w:p>
      <w:pPr>
        <w:pStyle w:val="NormalBold"/>
      </w:pPr>
      <w:r>
        <w:rPr>
          <w:rStyle w:val="HideTWBExt"/>
          <w:b w:val="0"/>
        </w:rPr>
        <w:t>&lt;RepeatBlock-By&gt;</w:t>
      </w:r>
      <w:r>
        <w:rPr>
          <w:rStyle w:val="HideTWBExt"/>
          <w:b w:val="0"/>
        </w:rPr>
        <w:t>&lt;Members&gt;</w:t>
      </w:r>
      <w:r>
        <w:t>Massimiliano Salini, Letizia Moratti, Fulvio Martusciello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2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oblast politiky „</w:t>
            </w:r>
            <w:r>
              <w:rPr>
                <w:b/>
                <w:i/>
              </w:rPr>
              <w:t>Čistá transformace a</w:t>
            </w:r>
            <w:r>
              <w:t xml:space="preserve"> dekarbonizace průmyslu“ – prováděnou prostřednictvím činností uvedených v </w:t>
            </w:r>
            <w:r>
              <w:rPr>
                <w:b/>
                <w:i/>
              </w:rPr>
              <w:t>kapitole II a kapitole</w:t>
            </w:r>
            <w:r>
              <w:t xml:space="preserve"> IV a přispívající ke specifickým cílům stanoveným v čl. 3 odst. 2 písm.</w:t>
            </w:r>
            <w:r>
              <w:rPr>
                <w:b/>
                <w:i/>
              </w:rPr>
              <w:t xml:space="preserve"> a)</w:t>
            </w:r>
            <w:r>
              <w:t>;</w:t>
            </w:r>
          </w:p>
        </w:tc>
        <w:tc>
          <w:tcPr>
            <w:tcW w:w="4876" w:type="dxa"/>
            <w:tcBorders>
              <w:top w:val="nil"/>
              <w:left w:val="nil"/>
              <w:bottom w:val="nil"/>
              <w:right w:val="nil"/>
            </w:tcBorders>
          </w:tcPr>
          <w:p>
            <w:pPr>
              <w:pStyle w:val="Normal6a"/>
            </w:pPr>
            <w:r>
              <w:t>a)</w:t>
            </w:r>
            <w:r>
              <w:tab/>
            </w:r>
            <w:r>
              <w:t>oblast politiky „</w:t>
            </w:r>
            <w:r>
              <w:rPr>
                <w:b/>
                <w:i/>
              </w:rPr>
              <w:t>Energetická infrastruktura,</w:t>
            </w:r>
            <w:r>
              <w:t xml:space="preserve"> dekarbonizace průmyslu</w:t>
            </w:r>
            <w:r>
              <w:rPr>
                <w:b/>
                <w:i/>
              </w:rPr>
              <w:t>, čisté a energeticky účinné technologie</w:t>
            </w:r>
            <w:r>
              <w:t xml:space="preserve">“ – prováděnou prostřednictvím činností uvedených v </w:t>
            </w:r>
            <w:r>
              <w:rPr>
                <w:b/>
                <w:i/>
              </w:rPr>
              <w:t>kapitolách II a</w:t>
            </w:r>
            <w:r>
              <w:t xml:space="preserve"> IV a přispívající ke specifickým cílům stanoveným v čl. 3 odst. 2 písm.</w:t>
            </w:r>
            <w:r>
              <w:rPr>
                <w:b/>
                <w:i/>
              </w:rPr>
              <w:t> 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1056</w:t>
      </w:r>
      <w:r>
        <w:rPr>
          <w:rStyle w:val="HideTWBExt"/>
        </w:rPr>
        <w:t>&lt;/NumAm&gt;</w:t>
      </w:r>
    </w:p>
    <w:p>
      <w:pPr>
        <w:pStyle w:val="NormalBold"/>
      </w:pPr>
      <w:r>
        <w:rPr>
          <w:rStyle w:val="HideTWBExt"/>
          <w:b w:val="0"/>
        </w:rPr>
        <w:t>&lt;RepeatBlock-By&gt;</w:t>
      </w:r>
      <w:r>
        <w:rPr>
          <w:rStyle w:val="HideTWBExt"/>
          <w:b w:val="0"/>
        </w:rPr>
        <w:t>&lt;Members&gt;</w:t>
      </w:r>
      <w:r>
        <w:t>Paulo Cunha, 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2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oblast politiky „Čistá transformace a dekarbonizace průmyslu“ – prováděnou prostřednictvím činností uvedených v kapitole II a kapitole IV a přispívající ke specifickým cílům stanoveným v čl. 3 odst. 2 písm.</w:t>
            </w:r>
            <w:r>
              <w:rPr>
                <w:b/>
                <w:i/>
              </w:rPr>
              <w:t xml:space="preserve"> a)</w:t>
            </w:r>
            <w:r>
              <w:t>;</w:t>
            </w:r>
          </w:p>
        </w:tc>
        <w:tc>
          <w:tcPr>
            <w:tcW w:w="4876" w:type="dxa"/>
            <w:tcBorders>
              <w:top w:val="nil"/>
              <w:left w:val="nil"/>
              <w:bottom w:val="nil"/>
              <w:right w:val="nil"/>
            </w:tcBorders>
          </w:tcPr>
          <w:p>
            <w:pPr>
              <w:pStyle w:val="Normal6a"/>
            </w:pPr>
            <w:r>
              <w:t>a)</w:t>
            </w:r>
            <w:r>
              <w:tab/>
            </w:r>
            <w:r>
              <w:t xml:space="preserve">oblast politiky „Čistá transformace a dekarbonizace průmyslu </w:t>
            </w:r>
            <w:r>
              <w:rPr>
                <w:b/>
                <w:i/>
              </w:rPr>
              <w:t>a odvětví rybolovu</w:t>
            </w:r>
            <w:r>
              <w:t>“ – prováděnou prostřednictvím činností uvedených v kapitole II a kapitole IV a přispívající ke specifickým cílům stanoveným v čl. 3 odst. 2 písm.</w:t>
            </w:r>
            <w:r>
              <w:rPr>
                <w:b/>
                <w:i/>
              </w:rPr>
              <w:t> 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1057</w:t>
      </w:r>
      <w:r>
        <w:rPr>
          <w:rStyle w:val="HideTWBExt"/>
        </w:rPr>
        <w:t>&lt;/NumAm&gt;</w:t>
      </w:r>
    </w:p>
    <w:p>
      <w:pPr>
        <w:pStyle w:val="NormalBold"/>
      </w:pPr>
      <w:r>
        <w:rPr>
          <w:rStyle w:val="HideTWBExt"/>
          <w:b w:val="0"/>
        </w:rPr>
        <w:t>&lt;RepeatBlock-By&gt;</w:t>
      </w:r>
      <w:r>
        <w:rPr>
          <w:rStyle w:val="HideTWBExt"/>
          <w:b w:val="0"/>
        </w:rPr>
        <w:t>&lt;Members&gt;</w:t>
      </w:r>
      <w:r>
        <w:t>Krzysztof Hetman, Adam Jarubas, Borys Budka, Kamila Gasiuk-Pihowicz, Mirosława Nykiel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2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oblast politiky „Čistá transformace a dekarbonizace průmyslu“ – prováděnou prostřednictvím činností uvedených v kapitole II a kapitole IV a přispívající ke specifickým cílům stanoveným v čl. 3 odst. 2 písm.</w:t>
            </w:r>
            <w:r>
              <w:rPr>
                <w:b/>
                <w:i/>
              </w:rPr>
              <w:t xml:space="preserve"> a)</w:t>
            </w:r>
            <w:r>
              <w:t>;</w:t>
            </w:r>
          </w:p>
        </w:tc>
        <w:tc>
          <w:tcPr>
            <w:tcW w:w="4876" w:type="dxa"/>
            <w:tcBorders>
              <w:top w:val="nil"/>
              <w:left w:val="nil"/>
              <w:bottom w:val="nil"/>
              <w:right w:val="nil"/>
            </w:tcBorders>
          </w:tcPr>
          <w:p>
            <w:pPr>
              <w:pStyle w:val="Normal6a"/>
            </w:pPr>
            <w:r>
              <w:t>a)</w:t>
            </w:r>
            <w:r>
              <w:tab/>
            </w:r>
            <w:r>
              <w:t>oblast politiky „Čistá transformace</w:t>
            </w:r>
            <w:r>
              <w:rPr>
                <w:b/>
                <w:i/>
              </w:rPr>
              <w:t>, vodohospodářská odolnost</w:t>
            </w:r>
            <w:r>
              <w:t xml:space="preserve"> a dekarbonizace průmyslu“ – prováděnou prostřednictvím činností uvedených v kapitole II a kapitole IV a přispívající ke specifickým cílům stanoveným v čl. 3 odst. 2 písm.</w:t>
            </w:r>
            <w:r>
              <w:rPr>
                <w:b/>
                <w:i/>
              </w:rPr>
              <w:t> 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1058</w:t>
      </w:r>
      <w:r>
        <w:rPr>
          <w:rStyle w:val="HideTWBExt"/>
        </w:rPr>
        <w:t>&lt;/NumAm&gt;</w:t>
      </w:r>
    </w:p>
    <w:p>
      <w:pPr>
        <w:pStyle w:val="NormalBold"/>
      </w:pPr>
      <w:r>
        <w:rPr>
          <w:rStyle w:val="HideTWBExt"/>
          <w:b w:val="0"/>
        </w:rPr>
        <w:t>&lt;RepeatBlock-By&gt;</w:t>
      </w:r>
      <w:r>
        <w:rPr>
          <w:rStyle w:val="HideTWBExt"/>
          <w:b w:val="0"/>
        </w:rPr>
        <w:t>&lt;Members&gt;</w:t>
      </w:r>
      <w:r>
        <w:t>Carmen Crespo Díaz, Raúl de la Hoz Quintano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2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oblast politiky „Čistá transformace a dekarbonizace průmyslu“ – prováděnou prostřednictvím činností uvedených v kapitole II a kapitole IV a přispívající ke specifickým cílům stanoveným v čl. 3 odst. 2 písm.</w:t>
            </w:r>
            <w:r>
              <w:rPr>
                <w:b/>
                <w:i/>
              </w:rPr>
              <w:t xml:space="preserve"> a)</w:t>
            </w:r>
            <w:r>
              <w:t>;</w:t>
            </w:r>
          </w:p>
        </w:tc>
        <w:tc>
          <w:tcPr>
            <w:tcW w:w="4876" w:type="dxa"/>
            <w:tcBorders>
              <w:top w:val="nil"/>
              <w:left w:val="nil"/>
              <w:bottom w:val="nil"/>
              <w:right w:val="nil"/>
            </w:tcBorders>
          </w:tcPr>
          <w:p>
            <w:pPr>
              <w:pStyle w:val="Normal6a"/>
            </w:pPr>
            <w:r>
              <w:t>a)</w:t>
            </w:r>
            <w:r>
              <w:tab/>
            </w:r>
            <w:r>
              <w:t xml:space="preserve">oblast politiky „Čistá transformace a dekarbonizace průmyslu </w:t>
            </w:r>
            <w:r>
              <w:rPr>
                <w:b/>
                <w:i/>
              </w:rPr>
              <w:t>a odvětví rybolovu</w:t>
            </w:r>
            <w:r>
              <w:t>“ – prováděnou prostřednictvím činností uvedených v kapitole II a kapitole IV a přispívající ke specifickým cílům stanoveným v čl. 3 odst. 2 písm.</w:t>
            </w:r>
            <w:r>
              <w:rPr>
                <w:b/>
                <w:i/>
              </w:rPr>
              <w:t> a)</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1059</w:t>
      </w:r>
      <w:r>
        <w:rPr>
          <w:rStyle w:val="HideTWBExt"/>
        </w:rPr>
        <w:t>&lt;/NumAm&gt;</w:t>
      </w:r>
    </w:p>
    <w:p>
      <w:pPr>
        <w:pStyle w:val="NormalBold"/>
      </w:pPr>
      <w:r>
        <w:rPr>
          <w:rStyle w:val="HideTWBExt"/>
          <w:b w:val="0"/>
        </w:rPr>
        <w:t>&lt;RepeatBlock-By&gt;</w:t>
      </w:r>
      <w:r>
        <w:rPr>
          <w:rStyle w:val="HideTWBExt"/>
          <w:b w:val="0"/>
        </w:rPr>
        <w:t>&lt;Members&gt;</w:t>
      </w:r>
      <w:r>
        <w:t>Yvan Verougstraete, Christophe Grudler,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2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oblast politiky „Čistá transformace a dekarbonizace průmyslu“ – prováděnou prostřednictvím činností uvedených v kapitole II a kapitole IV a přispívající ke specifickým cílům stanoveným v čl. 3 odst. 2 </w:t>
            </w:r>
            <w:r>
              <w:rPr>
                <w:b/>
                <w:i/>
              </w:rPr>
              <w:t>písm. a)</w:t>
            </w:r>
            <w:r>
              <w:t>;</w:t>
            </w:r>
          </w:p>
        </w:tc>
        <w:tc>
          <w:tcPr>
            <w:tcW w:w="4876" w:type="dxa"/>
            <w:tcBorders>
              <w:top w:val="nil"/>
              <w:left w:val="nil"/>
              <w:bottom w:val="nil"/>
              <w:right w:val="nil"/>
            </w:tcBorders>
          </w:tcPr>
          <w:p>
            <w:pPr>
              <w:pStyle w:val="Normal6a"/>
            </w:pPr>
            <w:r>
              <w:t>a)</w:t>
            </w:r>
            <w:r>
              <w:tab/>
            </w:r>
            <w:r>
              <w:t>oblast politiky „Čistá transformace a dekarbonizace průmyslu“ – prováděnou prostřednictvím činností uvedených v kapitole II a kapitole IV a přispívající ke specifickým cílům stanoveným v čl. 3 odst. 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1060</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2 – písm. a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oblast politiky „Veřejné zdraví a léčivé přípravky“ – prováděnou prostřednictvím činností stanovených v kapitole II a kapitole IVa a přispívající ke specifickým cílům stanoveným v čl. 3 odst. 2 písm. 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1061</w:t>
      </w:r>
      <w:r>
        <w:rPr>
          <w:rStyle w:val="HideTWBExt"/>
        </w:rPr>
        <w:t>&lt;/NumAm&gt;</w:t>
      </w:r>
    </w:p>
    <w:p>
      <w:pPr>
        <w:pStyle w:val="NormalBold"/>
      </w:pPr>
      <w:r>
        <w:rPr>
          <w:rStyle w:val="HideTWBExt"/>
          <w:b w:val="0"/>
        </w:rPr>
        <w:t>&lt;RepeatBlock-By&gt;</w:t>
      </w:r>
      <w:r>
        <w:rPr>
          <w:rStyle w:val="HideTWBExt"/>
          <w:b w:val="0"/>
        </w:rPr>
        <w:t>&lt;Members&gt;</w:t>
      </w:r>
      <w:r>
        <w:t>Krzysztof Hetman, Alexander Bernhuber, Adam Jarubas, Norbert Lins, Borys Budka, Kamila Gasiuk-Pihowicz, Mirosława Nykiel, Céline Imart, Paulo do Nascimento Cabral, Carmen Crespo Díaz, Herbert Dorfmann, Stefan Köhler, Daniel Buda, Maria Walsh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2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oblast politiky „Zdraví, biotechnologie, zemědělství a bioekonomika“ – prováděnou prostřednictvím činností uvedených v kapitole II a kapitole V a přispívající ke specifickým cílům stanoveným v čl. 3 odst. 2 písm.</w:t>
            </w:r>
            <w:r>
              <w:rPr>
                <w:b/>
                <w:i/>
              </w:rPr>
              <w:t xml:space="preserve"> b)</w:t>
            </w:r>
            <w:r>
              <w:t>;</w:t>
            </w:r>
          </w:p>
        </w:tc>
        <w:tc>
          <w:tcPr>
            <w:tcW w:w="4876" w:type="dxa"/>
            <w:tcBorders>
              <w:top w:val="nil"/>
              <w:left w:val="nil"/>
              <w:bottom w:val="nil"/>
              <w:right w:val="nil"/>
            </w:tcBorders>
          </w:tcPr>
          <w:p>
            <w:pPr>
              <w:pStyle w:val="Normal6a"/>
            </w:pPr>
            <w:r>
              <w:t>b)</w:t>
            </w:r>
            <w:r>
              <w:tab/>
            </w:r>
            <w:r>
              <w:t>oblast politiky „Zdraví, biotechnologie, zemědělství</w:t>
            </w:r>
            <w:r>
              <w:rPr>
                <w:b/>
                <w:i/>
              </w:rPr>
              <w:t>, potravinářská výroba</w:t>
            </w:r>
            <w:r>
              <w:t xml:space="preserve"> a bioekonomika“ – prováděnou prostřednictvím činností uvedených v kapitole II a kapitole V a přispívající ke specifickým cílům stanoveným v čl. 3 odst. 2 písm.</w:t>
            </w:r>
            <w:r>
              <w:rPr>
                <w:b/>
                <w:i/>
              </w:rPr>
              <w:t> b)</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1062</w:t>
      </w:r>
      <w:r>
        <w:rPr>
          <w:rStyle w:val="HideTWBExt"/>
        </w:rPr>
        <w:t>&lt;/NumAm&gt;</w:t>
      </w:r>
    </w:p>
    <w:p>
      <w:pPr>
        <w:pStyle w:val="NormalBold"/>
      </w:pPr>
      <w:r>
        <w:rPr>
          <w:rStyle w:val="HideTWBExt"/>
          <w:b w:val="0"/>
        </w:rPr>
        <w:t>&lt;RepeatBlock-By&gt;</w:t>
      </w:r>
      <w:r>
        <w:rPr>
          <w:rStyle w:val="HideTWBExt"/>
          <w:b w:val="0"/>
        </w:rPr>
        <w:t>&lt;Members&gt;</w:t>
      </w:r>
      <w:r>
        <w:t>Seán Kelly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2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oblast politiky „Zdraví, biotechnologie, zemědělství a bioekonomika“ – prováděnou prostřednictvím činností uvedených v kapitole II a kapitole V a přispívající ke specifickým cílům stanoveným v čl. 3 odst. 2 písm.</w:t>
            </w:r>
            <w:r>
              <w:rPr>
                <w:b/>
                <w:i/>
              </w:rPr>
              <w:t xml:space="preserve"> b)</w:t>
            </w:r>
            <w:r>
              <w:t>;</w:t>
            </w:r>
          </w:p>
        </w:tc>
        <w:tc>
          <w:tcPr>
            <w:tcW w:w="4876" w:type="dxa"/>
            <w:tcBorders>
              <w:top w:val="nil"/>
              <w:left w:val="nil"/>
              <w:bottom w:val="nil"/>
              <w:right w:val="nil"/>
            </w:tcBorders>
          </w:tcPr>
          <w:p>
            <w:pPr>
              <w:pStyle w:val="Normal6a"/>
            </w:pPr>
            <w:r>
              <w:t>b)</w:t>
            </w:r>
            <w:r>
              <w:tab/>
            </w:r>
            <w:r>
              <w:t>oblast politiky „Zdraví, biotechnologie, zemědělství</w:t>
            </w:r>
            <w:r>
              <w:rPr>
                <w:b/>
                <w:i/>
              </w:rPr>
              <w:t>, potravinové zabezpečení</w:t>
            </w:r>
            <w:r>
              <w:t xml:space="preserve"> a bioekonomika“ – prováděnou prostřednictvím činností uvedených v kapitole II a kapitole V a přispívající ke specifickým cílům stanoveným v čl. 3 odst. 2 písm.</w:t>
            </w:r>
            <w:r>
              <w:rPr>
                <w:b/>
                <w:i/>
              </w:rPr>
              <w:t> b)</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1063</w:t>
      </w:r>
      <w:r>
        <w:rPr>
          <w:rStyle w:val="HideTWBExt"/>
        </w:rPr>
        <w:t>&lt;/NumAm&gt;</w:t>
      </w:r>
    </w:p>
    <w:p>
      <w:pPr>
        <w:pStyle w:val="NormalBold"/>
      </w:pPr>
      <w:r>
        <w:rPr>
          <w:rStyle w:val="HideTWBExt"/>
          <w:b w:val="0"/>
        </w:rPr>
        <w:t>&lt;RepeatBlock-By&gt;</w:t>
      </w:r>
      <w:r>
        <w:rPr>
          <w:rStyle w:val="HideTWBExt"/>
          <w:b w:val="0"/>
        </w:rPr>
        <w:t>&lt;Members&gt;</w:t>
      </w:r>
      <w:r>
        <w:t>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2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oblast politiky „Zdraví, biotechnologie, zemědělství a bioekonomika“ – prováděnou prostřednictvím činností uvedených v kapitole II a kapitole V a přispívající ke specifickým cílům stanoveným v čl. 3 odst. 2 písm.</w:t>
            </w:r>
            <w:r>
              <w:rPr>
                <w:b/>
                <w:i/>
              </w:rPr>
              <w:t xml:space="preserve"> b)</w:t>
            </w:r>
            <w:r>
              <w:t>;</w:t>
            </w:r>
          </w:p>
        </w:tc>
        <w:tc>
          <w:tcPr>
            <w:tcW w:w="4876" w:type="dxa"/>
            <w:tcBorders>
              <w:top w:val="nil"/>
              <w:left w:val="nil"/>
              <w:bottom w:val="nil"/>
              <w:right w:val="nil"/>
            </w:tcBorders>
          </w:tcPr>
          <w:p>
            <w:pPr>
              <w:pStyle w:val="Normal6a"/>
            </w:pPr>
            <w:r>
              <w:t>b)</w:t>
            </w:r>
            <w:r>
              <w:tab/>
            </w:r>
            <w:r>
              <w:t>oblast politiky „Zdraví, biotechnologie, zemědělství</w:t>
            </w:r>
            <w:r>
              <w:rPr>
                <w:b/>
                <w:i/>
              </w:rPr>
              <w:t>, potravinové zabezpečení</w:t>
            </w:r>
            <w:r>
              <w:t xml:space="preserve"> a bioekonomika“ – prováděnou prostřednictvím činností uvedených v kapitole II a kapitole V a přispívající ke specifickým cílům stanoveným v čl. 3 odst. 2 písm.</w:t>
            </w:r>
            <w:r>
              <w:rPr>
                <w:b/>
                <w:i/>
              </w:rPr>
              <w:t> b)</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1064</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2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oblast politiky „Zdraví, biotechnologie, zemědělství a bioekonomika“ – prováděnou prostřednictvím činností uvedených v kapitole II a kapitole V a přispívající ke specifickým cílům stanoveným v čl. 3 odst. 2 písm.</w:t>
            </w:r>
            <w:r>
              <w:rPr>
                <w:b/>
                <w:i/>
              </w:rPr>
              <w:t xml:space="preserve"> b)</w:t>
            </w:r>
            <w:r>
              <w:t>;</w:t>
            </w:r>
          </w:p>
        </w:tc>
        <w:tc>
          <w:tcPr>
            <w:tcW w:w="4876" w:type="dxa"/>
            <w:tcBorders>
              <w:top w:val="nil"/>
              <w:left w:val="nil"/>
              <w:bottom w:val="nil"/>
              <w:right w:val="nil"/>
            </w:tcBorders>
          </w:tcPr>
          <w:p>
            <w:pPr>
              <w:pStyle w:val="Normal6a"/>
            </w:pPr>
            <w:r>
              <w:t>b)</w:t>
            </w:r>
            <w:r>
              <w:tab/>
            </w:r>
            <w:r>
              <w:t>oblast politiky „</w:t>
            </w:r>
            <w:r>
              <w:rPr>
                <w:b/>
                <w:i/>
              </w:rPr>
              <w:t>Veřejné</w:t>
            </w:r>
            <w:r>
              <w:t xml:space="preserve"> zdraví, biotechnologie, </w:t>
            </w:r>
            <w:r>
              <w:rPr>
                <w:b/>
                <w:i/>
              </w:rPr>
              <w:t>udržitelné</w:t>
            </w:r>
            <w:r>
              <w:t xml:space="preserve"> zemědělství a bioekonomika“ – prováděnou prostřednictvím činností uvedených v kapitole II a kapitole V a přispívající ke specifickým cílům stanoveným v čl. 3 odst. 2 písm.</w:t>
            </w:r>
            <w:r>
              <w:rPr>
                <w:b/>
                <w:i/>
              </w:rPr>
              <w:t xml:space="preserve"> c)</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1065</w:t>
      </w:r>
      <w:r>
        <w:rPr>
          <w:rStyle w:val="HideTWBExt"/>
        </w:rPr>
        <w:t>&lt;/NumAm&gt;</w:t>
      </w:r>
    </w:p>
    <w:p>
      <w:pPr>
        <w:pStyle w:val="NormalBold"/>
      </w:pPr>
      <w:r>
        <w:rPr>
          <w:rStyle w:val="HideTWBExt"/>
          <w:b w:val="0"/>
        </w:rPr>
        <w:t>&lt;RepeatBlock-By&gt;</w:t>
      </w:r>
      <w:r>
        <w:rPr>
          <w:rStyle w:val="HideTWBExt"/>
          <w:b w:val="0"/>
        </w:rPr>
        <w:t>&lt;Members&gt;</w:t>
      </w:r>
      <w:r>
        <w:t>Sigrid Friis, Martin Hojsík, Bart Groothuis, Morten Løkkegaard, Emma Wiesner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2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oblast politiky „Zdraví, biotechnologie, zemědělství a bioekonomika“ – prováděnou prostřednictvím činností uvedených v kapitole II a kapitole V a přispívající ke specifickým cílům stanoveným v čl. 3 odst. 2 písm.</w:t>
            </w:r>
            <w:r>
              <w:rPr>
                <w:b/>
                <w:i/>
              </w:rPr>
              <w:t xml:space="preserve"> b)</w:t>
            </w:r>
            <w:r>
              <w:t>;</w:t>
            </w:r>
          </w:p>
        </w:tc>
        <w:tc>
          <w:tcPr>
            <w:tcW w:w="4876" w:type="dxa"/>
            <w:tcBorders>
              <w:top w:val="nil"/>
              <w:left w:val="nil"/>
              <w:bottom w:val="nil"/>
              <w:right w:val="nil"/>
            </w:tcBorders>
          </w:tcPr>
          <w:p>
            <w:pPr>
              <w:pStyle w:val="Normal6a"/>
            </w:pPr>
            <w:r>
              <w:t>b)</w:t>
            </w:r>
            <w:r>
              <w:tab/>
            </w:r>
            <w:r>
              <w:t>oblast politiky „Zdraví, biotechnologie, zemědělství</w:t>
            </w:r>
            <w:r>
              <w:rPr>
                <w:b/>
                <w:i/>
              </w:rPr>
              <w:t>, potraviny</w:t>
            </w:r>
            <w:r>
              <w:t xml:space="preserve"> a bioekonomika“ – prováděnou prostřednictvím činností uvedených v kapitole II a kapitole V a přispívající ke specifickým cílům stanoveným v čl. 3 odst. 2 písm.</w:t>
            </w:r>
            <w:r>
              <w:rPr>
                <w:b/>
                <w:i/>
              </w:rPr>
              <w:t> b)</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1066</w:t>
      </w:r>
      <w:r>
        <w:rPr>
          <w:rStyle w:val="HideTWBExt"/>
        </w:rPr>
        <w:t>&lt;/NumAm&gt;</w:t>
      </w:r>
    </w:p>
    <w:p>
      <w:pPr>
        <w:pStyle w:val="NormalBold"/>
      </w:pPr>
      <w:r>
        <w:rPr>
          <w:rStyle w:val="HideTWBExt"/>
          <w:b w:val="0"/>
        </w:rPr>
        <w:t>&lt;RepeatBlock-By&gt;</w:t>
      </w:r>
      <w:r>
        <w:rPr>
          <w:rStyle w:val="HideTWBExt"/>
          <w:b w:val="0"/>
        </w:rPr>
        <w:t>&lt;Members&gt;</w:t>
      </w:r>
      <w:r>
        <w:t>Dario Nardella, Stefano Bonaccini, Cristina Maestre, Maria Grapini, Giorgio Gori, Claire Fita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2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oblast politiky „Zdraví, biotechnologie, zemědělství a bioekonomika“ – prováděnou prostřednictvím činností uvedených v kapitole II a kapitole V a přispívající ke specifickým cílům stanoveným v čl. 3 odst. 2 písm.</w:t>
            </w:r>
            <w:r>
              <w:rPr>
                <w:b/>
                <w:i/>
              </w:rPr>
              <w:t xml:space="preserve"> b)</w:t>
            </w:r>
            <w:r>
              <w:t>;</w:t>
            </w:r>
          </w:p>
        </w:tc>
        <w:tc>
          <w:tcPr>
            <w:tcW w:w="4876" w:type="dxa"/>
            <w:tcBorders>
              <w:top w:val="nil"/>
              <w:left w:val="nil"/>
              <w:bottom w:val="nil"/>
              <w:right w:val="nil"/>
            </w:tcBorders>
          </w:tcPr>
          <w:p>
            <w:pPr>
              <w:pStyle w:val="Normal6a"/>
            </w:pPr>
            <w:r>
              <w:t>b)</w:t>
            </w:r>
            <w:r>
              <w:tab/>
            </w:r>
            <w:r>
              <w:t>oblast politiky „Zdraví, biotechnologie, zemědělství</w:t>
            </w:r>
            <w:r>
              <w:rPr>
                <w:b/>
                <w:i/>
              </w:rPr>
              <w:t>, potraviny</w:t>
            </w:r>
            <w:r>
              <w:t xml:space="preserve"> a bioekonomika“ – prováděnou prostřednictvím činností uvedených v kapitole II a kapitole V a přispívající ke specifickým cílům stanoveným v čl. 3 odst. 2 písm.</w:t>
            </w:r>
            <w:r>
              <w:rPr>
                <w:b/>
                <w:i/>
              </w:rPr>
              <w:t> b)</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Tento pozměňovací návrh doplňuje do kapitoly Zdraví, zemědělství, biotechnologie a bioekonomika slovo „potraviny“ s cílem plně zohlednit strategický význam zemědělsko-potravinářských hodnotových řetězců v rámci tohoto programu. Tím je zajištěno, že je odpovídajícím způsobem pokryta celá kontinuita od prvovýroby po zpracování, distribuci a spotřebu potravin. Tento pozměňovací návrh umožňuje, aby program lépe řešil klíčové priority Unie, jako je potravinové zabezpečení, odolné dodavatelské řetězce a podpora zdravého a udržitelného stravování, a zároveň zajistil soudržnost mezi výzkumem, inovacemi a skutečnými hospodářskými a společenskými potřebami.</w:t>
      </w:r>
    </w:p>
    <w:p>
      <w:r>
        <w:rPr>
          <w:rStyle w:val="HideTWBExt"/>
        </w:rPr>
        <w:t>&lt;/Amend&gt;</w:t>
      </w:r>
    </w:p>
    <w:p>
      <w:pPr>
        <w:pStyle w:val="AmNumberTabs"/>
      </w:pPr>
      <w:r>
        <w:rPr>
          <w:rStyle w:val="HideTWBExt"/>
        </w:rPr>
        <w:t>&lt;Amend&gt;</w:t>
      </w:r>
      <w:r>
        <w:t>Pozměňovací návrh</w:t>
      </w:r>
      <w:r>
        <w:tab/>
      </w:r>
      <w:r>
        <w:tab/>
      </w:r>
      <w:r>
        <w:rPr>
          <w:rStyle w:val="HideTWBExt"/>
        </w:rPr>
        <w:t>&lt;NumAm&gt;</w:t>
      </w:r>
      <w:r>
        <w:t>1067</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2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oblast politiky „Zdraví, biotechnologie, zemědělství a bioekonomika“ – prováděnou prostřednictvím činností uvedených v kapitole II a kapitole V a přispívající ke specifickým cílům stanoveným v čl. 3 odst. 2 písm.</w:t>
            </w:r>
            <w:r>
              <w:rPr>
                <w:b/>
                <w:i/>
              </w:rPr>
              <w:t xml:space="preserve"> b)</w:t>
            </w:r>
            <w:r>
              <w:t>;</w:t>
            </w:r>
          </w:p>
        </w:tc>
        <w:tc>
          <w:tcPr>
            <w:tcW w:w="4876" w:type="dxa"/>
            <w:tcBorders>
              <w:top w:val="nil"/>
              <w:left w:val="nil"/>
              <w:bottom w:val="nil"/>
              <w:right w:val="nil"/>
            </w:tcBorders>
          </w:tcPr>
          <w:p>
            <w:pPr>
              <w:pStyle w:val="Normal6a"/>
            </w:pPr>
            <w:r>
              <w:t>b)</w:t>
            </w:r>
            <w:r>
              <w:tab/>
            </w:r>
            <w:r>
              <w:t>oblast politiky „Zdraví, biotechnologie, zemědělství</w:t>
            </w:r>
            <w:r>
              <w:rPr>
                <w:b/>
                <w:i/>
              </w:rPr>
              <w:t>, potraviny</w:t>
            </w:r>
            <w:r>
              <w:t xml:space="preserve"> a bioekonomika“ – prováděnou prostřednictvím činností uvedených v kapitole II a kapitole V a přispívající ke specifickým cílům stanoveným v čl. 3 odst. 2 písm.</w:t>
            </w:r>
            <w:r>
              <w:rPr>
                <w:b/>
                <w:i/>
              </w:rPr>
              <w:t> b)</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1068</w:t>
      </w:r>
      <w:r>
        <w:rPr>
          <w:rStyle w:val="HideTWBExt"/>
        </w:rPr>
        <w:t>&lt;/NumAm&gt;</w:t>
      </w:r>
    </w:p>
    <w:p>
      <w:pPr>
        <w:pStyle w:val="NormalBold"/>
      </w:pPr>
      <w:r>
        <w:rPr>
          <w:rStyle w:val="HideTWBExt"/>
          <w:b w:val="0"/>
        </w:rPr>
        <w:t>&lt;RepeatBlock-By&gt;</w:t>
      </w:r>
      <w:r>
        <w:rPr>
          <w:rStyle w:val="HideTWBExt"/>
          <w:b w:val="0"/>
        </w:rPr>
        <w:t>&lt;Members&gt;</w:t>
      </w:r>
      <w:r>
        <w:t>Katri Kulmuni, Emma Wiesner, Benoit Cassart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2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oblast politiky „Zdraví, biotechnologie, zemědělství </w:t>
            </w:r>
            <w:r>
              <w:rPr>
                <w:b/>
                <w:i/>
              </w:rPr>
              <w:t>a</w:t>
            </w:r>
            <w:r>
              <w:t xml:space="preserve"> bioekonomika“ – prováděnou prostřednictvím činností uvedených v kapitole II a kapitole V a přispívající ke specifickým cílům stanoveným v čl. 3 odst. 2 písm.</w:t>
            </w:r>
            <w:r>
              <w:rPr>
                <w:b/>
                <w:i/>
              </w:rPr>
              <w:t xml:space="preserve"> b)</w:t>
            </w:r>
            <w:r>
              <w:t>;</w:t>
            </w:r>
          </w:p>
        </w:tc>
        <w:tc>
          <w:tcPr>
            <w:tcW w:w="4876" w:type="dxa"/>
            <w:tcBorders>
              <w:top w:val="nil"/>
              <w:left w:val="nil"/>
              <w:bottom w:val="nil"/>
              <w:right w:val="nil"/>
            </w:tcBorders>
          </w:tcPr>
          <w:p>
            <w:pPr>
              <w:pStyle w:val="Normal6a"/>
            </w:pPr>
            <w:r>
              <w:t>b)</w:t>
            </w:r>
            <w:r>
              <w:tab/>
            </w:r>
            <w:r>
              <w:t xml:space="preserve">oblast politiky „Zdraví, biotechnologie, zemědělství </w:t>
            </w:r>
            <w:r>
              <w:rPr>
                <w:b/>
                <w:i/>
              </w:rPr>
              <w:t>&amp;</w:t>
            </w:r>
            <w:r>
              <w:t> bioekonomika“ – prováděnou prostřednictvím činností uvedených v kapitole II a kapitole V a přispívající ke specifickým cílům stanoveným v čl. 3 odst. 2 písm.</w:t>
            </w:r>
            <w:r>
              <w:rPr>
                <w:b/>
                <w:i/>
              </w:rPr>
              <w:t> b)</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Financování z programu Horizont je velmi důležité pro zemědělství a biohospodářství, což jsou odvětví, v nichž má EU přirozené výhody. Tyto finanční prostředky pomáhají těmto klíčovým a důležitým odvětvím rozvíjet se, udržet si konkurenční výhodu a řešit výzvy naší doby – tj. zajišťovat potravinové zabezpečení a nahrazovat produkty vyrobené s použitím fosilních paliv řešeními, která nabízí odvětví biohospodářství. Návrh Komise by měl být podpořen.</w:t>
      </w:r>
    </w:p>
    <w:p>
      <w:r>
        <w:rPr>
          <w:rStyle w:val="HideTWBExt"/>
        </w:rPr>
        <w:t>&lt;/Amend&gt;</w:t>
      </w:r>
    </w:p>
    <w:p>
      <w:pPr>
        <w:pStyle w:val="AmNumberTabs"/>
      </w:pPr>
      <w:r>
        <w:rPr>
          <w:rStyle w:val="HideTWBExt"/>
        </w:rPr>
        <w:t>&lt;Amend&gt;</w:t>
      </w:r>
      <w:r>
        <w:t>Pozměňovací návrh</w:t>
      </w:r>
      <w:r>
        <w:tab/>
      </w:r>
      <w:r>
        <w:tab/>
      </w:r>
      <w:r>
        <w:rPr>
          <w:rStyle w:val="HideTWBExt"/>
        </w:rPr>
        <w:t>&lt;NumAm&gt;</w:t>
      </w:r>
      <w:r>
        <w:t>1069</w:t>
      </w:r>
      <w:r>
        <w:rPr>
          <w:rStyle w:val="HideTWBExt"/>
        </w:rPr>
        <w:t>&lt;/NumAm&gt;</w:t>
      </w:r>
    </w:p>
    <w:p>
      <w:pPr>
        <w:pStyle w:val="NormalBold"/>
      </w:pPr>
      <w:r>
        <w:rPr>
          <w:rStyle w:val="HideTWBExt"/>
          <w:b w:val="0"/>
        </w:rPr>
        <w:t>&lt;RepeatBlock-By&gt;</w:t>
      </w:r>
      <w:r>
        <w:rPr>
          <w:rStyle w:val="HideTWBExt"/>
          <w:b w:val="0"/>
        </w:rPr>
        <w:t>&lt;Members&gt;</w:t>
      </w:r>
      <w:r>
        <w:t>Nicola Procaccini, Carlo Fidanza, Alessandro Ciriani, Elena Donazzan, Pietro Fiocchi, Lara Magoni, Francesco Torselli,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2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oblast politiky „Zdraví, biotechnologie, zemědělství a bioekonomika“ – prováděnou prostřednictvím činností uvedených v kapitole II a kapitole V a přispívající ke specifickým cílům stanoveným v čl. 3 odst. 2 písm.</w:t>
            </w:r>
            <w:r>
              <w:rPr>
                <w:b/>
                <w:i/>
              </w:rPr>
              <w:t xml:space="preserve"> b)</w:t>
            </w:r>
            <w:r>
              <w:t>;</w:t>
            </w:r>
          </w:p>
        </w:tc>
        <w:tc>
          <w:tcPr>
            <w:tcW w:w="4876" w:type="dxa"/>
            <w:tcBorders>
              <w:top w:val="nil"/>
              <w:left w:val="nil"/>
              <w:bottom w:val="nil"/>
              <w:right w:val="nil"/>
            </w:tcBorders>
          </w:tcPr>
          <w:p>
            <w:pPr>
              <w:pStyle w:val="Normal6a"/>
            </w:pPr>
            <w:r>
              <w:t>b)</w:t>
            </w:r>
            <w:r>
              <w:tab/>
            </w:r>
            <w:r>
              <w:t>oblast politiky „Zdraví, biotechnologie, zemědělství</w:t>
            </w:r>
            <w:r>
              <w:rPr>
                <w:b/>
                <w:i/>
              </w:rPr>
              <w:t>, potraviny</w:t>
            </w:r>
            <w:r>
              <w:t xml:space="preserve"> a bioekonomika“ – prováděnou prostřednictvím činností uvedených v kapitole II a kapitole V a přispívající ke specifickým cílům stanoveným v čl. 3 odst. 2 písm.</w:t>
            </w:r>
            <w:r>
              <w:rPr>
                <w:b/>
                <w:i/>
              </w:rPr>
              <w:t> b)</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1070</w:t>
      </w:r>
      <w:r>
        <w:rPr>
          <w:rStyle w:val="HideTWBExt"/>
        </w:rPr>
        <w:t>&lt;/NumAm&gt;</w:t>
      </w:r>
    </w:p>
    <w:p>
      <w:pPr>
        <w:pStyle w:val="NormalBold"/>
      </w:pPr>
      <w:r>
        <w:rPr>
          <w:rStyle w:val="HideTWBExt"/>
          <w:b w:val="0"/>
        </w:rPr>
        <w:t>&lt;RepeatBlock-By&gt;</w:t>
      </w:r>
      <w:r>
        <w:rPr>
          <w:rStyle w:val="HideTWBExt"/>
          <w:b w:val="0"/>
        </w:rPr>
        <w:t>&lt;Members&gt;</w:t>
      </w:r>
      <w:r>
        <w:t>Julie Rechagneux, Aleksandar Nikolic,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2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oblast politiky „Zdraví</w:t>
            </w:r>
            <w:r>
              <w:rPr>
                <w:b/>
                <w:i/>
              </w:rPr>
              <w:t>,</w:t>
            </w:r>
            <w:r>
              <w:t xml:space="preserve"> biotechnologie</w:t>
            </w:r>
            <w:r>
              <w:rPr>
                <w:b/>
                <w:i/>
              </w:rPr>
              <w:t>, zemědělství a bioekonomika</w:t>
            </w:r>
            <w:r>
              <w:t>“ – prováděnou prostřednictvím činností uvedených v kapitole II a kapitole V a přispívající ke specifickým cílům stanoveným v čl. 3 odst. 2 písm.</w:t>
            </w:r>
            <w:r>
              <w:rPr>
                <w:b/>
                <w:i/>
              </w:rPr>
              <w:t xml:space="preserve"> b)</w:t>
            </w:r>
            <w:r>
              <w:t>;</w:t>
            </w:r>
          </w:p>
        </w:tc>
        <w:tc>
          <w:tcPr>
            <w:tcW w:w="4876" w:type="dxa"/>
            <w:tcBorders>
              <w:top w:val="nil"/>
              <w:left w:val="nil"/>
              <w:bottom w:val="nil"/>
              <w:right w:val="nil"/>
            </w:tcBorders>
          </w:tcPr>
          <w:p>
            <w:pPr>
              <w:pStyle w:val="Normal6a"/>
            </w:pPr>
            <w:r>
              <w:t>b)</w:t>
            </w:r>
            <w:r>
              <w:tab/>
            </w:r>
            <w:r>
              <w:t xml:space="preserve">oblast politiky „Zdraví </w:t>
            </w:r>
            <w:r>
              <w:rPr>
                <w:b/>
                <w:i/>
              </w:rPr>
              <w:t>a</w:t>
            </w:r>
            <w:r>
              <w:t xml:space="preserve"> biotechnologie“ – prováděnou prostřednictvím činností uvedených v kapitole II a kapitole V a přispívající ke specifickým cílům stanoveným v čl. 3 odst. 2 písm.</w:t>
            </w:r>
            <w:r>
              <w:rPr>
                <w:b/>
                <w:i/>
              </w:rPr>
              <w:t> b)</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1071</w:t>
      </w:r>
      <w:r>
        <w:rPr>
          <w:rStyle w:val="HideTWBExt"/>
        </w:rPr>
        <w:t>&lt;/NumAm&gt;</w:t>
      </w:r>
    </w:p>
    <w:p>
      <w:pPr>
        <w:pStyle w:val="NormalBold"/>
      </w:pPr>
      <w:r>
        <w:rPr>
          <w:rStyle w:val="HideTWBExt"/>
          <w:b w:val="0"/>
        </w:rPr>
        <w:t>&lt;RepeatBlock-By&gt;</w:t>
      </w:r>
      <w:r>
        <w:rPr>
          <w:rStyle w:val="HideTWBExt"/>
          <w:b w:val="0"/>
        </w:rPr>
        <w:t>&lt;Members&gt;</w:t>
      </w:r>
      <w:r>
        <w:t>Sarah Knafo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2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oblast politiky „Zdraví</w:t>
            </w:r>
            <w:r>
              <w:rPr>
                <w:b/>
                <w:i/>
              </w:rPr>
              <w:t>,</w:t>
            </w:r>
            <w:r>
              <w:t xml:space="preserve"> biotechnologie</w:t>
            </w:r>
            <w:r>
              <w:rPr>
                <w:b/>
                <w:i/>
              </w:rPr>
              <w:t>, zemědělství a bioekonomika</w:t>
            </w:r>
            <w:r>
              <w:t>“ – prováděnou prostřednictvím činností uvedených v kapitole II a kapitole V a přispívající ke specifickým cílům stanoveným v čl. 3 odst. 2 písm.</w:t>
            </w:r>
            <w:r>
              <w:rPr>
                <w:b/>
                <w:i/>
              </w:rPr>
              <w:t xml:space="preserve"> b)</w:t>
            </w:r>
            <w:r>
              <w:t>;</w:t>
            </w:r>
          </w:p>
        </w:tc>
        <w:tc>
          <w:tcPr>
            <w:tcW w:w="4876" w:type="dxa"/>
            <w:tcBorders>
              <w:top w:val="nil"/>
              <w:left w:val="nil"/>
              <w:bottom w:val="nil"/>
              <w:right w:val="nil"/>
            </w:tcBorders>
          </w:tcPr>
          <w:p>
            <w:pPr>
              <w:pStyle w:val="Normal6a"/>
            </w:pPr>
            <w:r>
              <w:t>b)</w:t>
            </w:r>
            <w:r>
              <w:tab/>
            </w:r>
            <w:r>
              <w:t xml:space="preserve">oblast politiky „Zdraví </w:t>
            </w:r>
            <w:r>
              <w:rPr>
                <w:b/>
                <w:i/>
              </w:rPr>
              <w:t>a</w:t>
            </w:r>
            <w:r>
              <w:t xml:space="preserve"> biotechnologie“ – prováděnou prostřednictvím činností uvedených v kapitole II a kapitole V a přispívající ke specifickým cílům stanoveným v čl. 3 odst. 2 písm.</w:t>
            </w:r>
            <w:r>
              <w:rPr>
                <w:b/>
                <w:i/>
              </w:rPr>
              <w:t> b)</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1072</w:t>
      </w:r>
      <w:r>
        <w:rPr>
          <w:rStyle w:val="HideTWBExt"/>
        </w:rPr>
        <w:t>&lt;/NumAm&gt;</w:t>
      </w:r>
    </w:p>
    <w:p>
      <w:pPr>
        <w:pStyle w:val="NormalBold"/>
      </w:pPr>
      <w:r>
        <w:rPr>
          <w:rStyle w:val="HideTWBExt"/>
          <w:b w:val="0"/>
        </w:rPr>
        <w:t>&lt;RepeatBlock-By&gt;</w:t>
      </w:r>
      <w:r>
        <w:rPr>
          <w:rStyle w:val="HideTWBExt"/>
          <w:b w:val="0"/>
        </w:rPr>
        <w:t>&lt;Members&gt;</w:t>
      </w:r>
      <w:r>
        <w:t>Yvan Verougstraete, Christophe Grudler,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2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oblast politiky „Zdraví, biotechnologie, zemědělství a bioekonomika“ – prováděnou prostřednictvím činností uvedených v kapitole II a kapitole V a přispívající ke specifickým cílům stanoveným v čl. 3 odst. </w:t>
            </w:r>
            <w:r>
              <w:rPr>
                <w:b/>
                <w:i/>
              </w:rPr>
              <w:t>2 písm. b)</w:t>
            </w:r>
            <w:r>
              <w:t>;</w:t>
            </w:r>
          </w:p>
        </w:tc>
        <w:tc>
          <w:tcPr>
            <w:tcW w:w="4876" w:type="dxa"/>
            <w:tcBorders>
              <w:top w:val="nil"/>
              <w:left w:val="nil"/>
              <w:bottom w:val="nil"/>
              <w:right w:val="nil"/>
            </w:tcBorders>
          </w:tcPr>
          <w:p>
            <w:pPr>
              <w:pStyle w:val="Normal6a"/>
            </w:pPr>
            <w:r>
              <w:t>b)</w:t>
            </w:r>
            <w:r>
              <w:tab/>
            </w:r>
            <w:r>
              <w:t xml:space="preserve">oblast politiky „Zdraví, biotechnologie, zemědělství a bioekonomika“ – prováděnou prostřednictvím činností uvedených v kapitole II a kapitole V a přispívající ke specifickým cílům stanoveným v čl. 3 odst. </w:t>
            </w:r>
            <w:r>
              <w:rPr>
                <w:b/>
                <w:i/>
              </w:rPr>
              <w:t>3</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1073</w:t>
      </w:r>
      <w:r>
        <w:rPr>
          <w:rStyle w:val="HideTWBExt"/>
        </w:rPr>
        <w:t>&lt;/NumAm&gt;</w:t>
      </w:r>
    </w:p>
    <w:p>
      <w:pPr>
        <w:pStyle w:val="NormalBold"/>
      </w:pPr>
      <w:r>
        <w:rPr>
          <w:rStyle w:val="HideTWBExt"/>
          <w:b w:val="0"/>
        </w:rPr>
        <w:t>&lt;RepeatBlock-By&gt;</w:t>
      </w:r>
      <w:r>
        <w:rPr>
          <w:rStyle w:val="HideTWBExt"/>
          <w:b w:val="0"/>
        </w:rPr>
        <w:t>&lt;Members&gt;</w:t>
      </w:r>
      <w:r>
        <w:t>Paulo Cunha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2 – písm. b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zvláštní okno pro zemědělství v rámci kapitoly V – Podpora ZDRAVÍ, BIOTECHNOLOGIÍ, ZEMĚDĚLSTVÍ A BIOEKONOMIKY – s cílem zajistit doplňkovost se SZP při podpoře investic do inovací a infrastruktury.</w:t>
            </w:r>
            <w:r>
              <w:t xml:space="preserve"> </w:t>
            </w:r>
            <w:r>
              <w:rPr>
                <w:b/>
                <w:i/>
              </w:rPr>
              <w:t>Toto okno by mělo v rámci finančního plánování stanovit orientační částku.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1074</w:t>
      </w:r>
      <w:r>
        <w:rPr>
          <w:rStyle w:val="HideTWBExt"/>
        </w:rPr>
        <w:t>&lt;/NumAm&gt;</w:t>
      </w:r>
    </w:p>
    <w:p>
      <w:pPr>
        <w:pStyle w:val="NormalBold"/>
      </w:pPr>
      <w:r>
        <w:rPr>
          <w:rStyle w:val="HideTWBExt"/>
          <w:b w:val="0"/>
        </w:rPr>
        <w:t>&lt;RepeatBlock-By&gt;</w:t>
      </w:r>
      <w:r>
        <w:rPr>
          <w:rStyle w:val="HideTWBExt"/>
          <w:b w:val="0"/>
        </w:rPr>
        <w:t>&lt;Members&gt;</w:t>
      </w:r>
      <w:r>
        <w:t>Julie Rechagneux, Aleksandar Nikolic,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2 – písm. b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oblast politiky „Zemědělství, potraviny a biohospodářství“ – prováděnou prostřednictvím činností stanovených v kapitole II a kapitole V a přispívající ke specifickým cílům stanoveným v čl. 3 odst. 2 písm. 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1075</w:t>
      </w:r>
      <w:r>
        <w:rPr>
          <w:rStyle w:val="HideTWBExt"/>
        </w:rPr>
        <w:t>&lt;/NumAm&gt;</w:t>
      </w:r>
    </w:p>
    <w:p>
      <w:pPr>
        <w:pStyle w:val="NormalBold"/>
      </w:pPr>
      <w:r>
        <w:rPr>
          <w:rStyle w:val="HideTWBExt"/>
          <w:b w:val="0"/>
        </w:rPr>
        <w:t>&lt;RepeatBlock-By&gt;</w:t>
      </w:r>
      <w:r>
        <w:rPr>
          <w:rStyle w:val="HideTWBExt"/>
          <w:b w:val="0"/>
        </w:rPr>
        <w:t>&lt;Members&gt;</w:t>
      </w:r>
      <w:r>
        <w:t>Sarah Knafo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2 – písm. b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oblast politiky „Zemědělství, potraviny a biohospodářství“ – prováděnou prostřednictvím činností stanovených v kapitole II a kapitole V a přispívající ke specifickým cílům stanoveným v čl. 3 odst. 2 písm. 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1076</w:t>
      </w:r>
      <w:r>
        <w:rPr>
          <w:rStyle w:val="HideTWBExt"/>
        </w:rPr>
        <w:t>&lt;/NumAm&gt;</w:t>
      </w:r>
    </w:p>
    <w:p>
      <w:pPr>
        <w:pStyle w:val="NormalBold"/>
      </w:pPr>
      <w:r>
        <w:rPr>
          <w:rStyle w:val="HideTWBExt"/>
          <w:b w:val="0"/>
        </w:rPr>
        <w:t>&lt;RepeatBlock-By&gt;</w:t>
      </w:r>
      <w:r>
        <w:rPr>
          <w:rStyle w:val="HideTWBExt"/>
          <w:b w:val="0"/>
        </w:rPr>
        <w:t>&lt;Members&gt;</w:t>
      </w:r>
      <w:r>
        <w:t>Christophe Clergeau, Victor Negrescu, Nikos Papandreou, Kristian Vigenin, Thomas Pellerin-Carlin, Vytenis Povilas Andriukaitis, Estelle Ceulemans, Raphaël Glucksmann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2 – písm. b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oblast politiky „Veřejné zdraví“ – prováděnou prostřednictvím činností uvedených v kapitole Va a přispívající ke specifickým cílům stanoveným v čl. 3 odst. 2 písm. ba);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Zdravotní politika sleduje jiné cíle než průmyslová politika a politika konkurenceschopnosti, včetně vysoké úrovně ochrany lidského zdraví při definování a provádění všech politik a činností Unie. V zájmu zajištění soudržnosti politik, právní jasnosti, rozpočtové transparentnosti a účinného plnění cílů v oblasti veřejného zdraví by měla být podpora na zdravotnická opatření poskytována v rámci samostatné oblasti politiky a měla by mít odpovídající finanční architekturu.</w:t>
      </w:r>
    </w:p>
    <w:p>
      <w:r>
        <w:rPr>
          <w:rStyle w:val="HideTWBExt"/>
        </w:rPr>
        <w:t>&lt;/Amend&gt;</w:t>
      </w:r>
    </w:p>
    <w:p>
      <w:pPr>
        <w:pStyle w:val="AmNumberTabs"/>
      </w:pPr>
      <w:r>
        <w:rPr>
          <w:rStyle w:val="HideTWBExt"/>
        </w:rPr>
        <w:t>&lt;Amend&gt;</w:t>
      </w:r>
      <w:r>
        <w:t>Pozměňovací návrh</w:t>
      </w:r>
      <w:r>
        <w:tab/>
      </w:r>
      <w:r>
        <w:tab/>
      </w:r>
      <w:r>
        <w:rPr>
          <w:rStyle w:val="HideTWBExt"/>
        </w:rPr>
        <w:t>&lt;NumAm&gt;</w:t>
      </w:r>
      <w:r>
        <w:t>1077</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2 – písm.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oblast politiky „</w:t>
            </w:r>
            <w:r>
              <w:rPr>
                <w:b/>
                <w:i/>
              </w:rPr>
              <w:t>Vedoucí postavení v</w:t>
            </w:r>
            <w:r>
              <w:t xml:space="preserve"> digitální </w:t>
            </w:r>
            <w:r>
              <w:rPr>
                <w:b/>
                <w:i/>
              </w:rPr>
              <w:t>oblasti</w:t>
            </w:r>
            <w:r>
              <w:t>“ – prováděnou prostřednictvím činností uvedených v kapitole II a kapitole VI a přispívající ke specifickým cílům stanoveným v čl. 3 odst. 2 písm.</w:t>
            </w:r>
            <w:r>
              <w:rPr>
                <w:b/>
                <w:i/>
              </w:rPr>
              <w:t xml:space="preserve"> c)</w:t>
            </w:r>
            <w:r>
              <w:t>;</w:t>
            </w:r>
          </w:p>
        </w:tc>
        <w:tc>
          <w:tcPr>
            <w:tcW w:w="4876" w:type="dxa"/>
            <w:tcBorders>
              <w:top w:val="nil"/>
              <w:left w:val="nil"/>
              <w:bottom w:val="nil"/>
              <w:right w:val="nil"/>
            </w:tcBorders>
          </w:tcPr>
          <w:p>
            <w:pPr>
              <w:pStyle w:val="Normal6a"/>
            </w:pPr>
            <w:r>
              <w:t>c)</w:t>
            </w:r>
            <w:r>
              <w:tab/>
            </w:r>
            <w:r>
              <w:t>oblast politiky „</w:t>
            </w:r>
            <w:r>
              <w:rPr>
                <w:b/>
                <w:i/>
              </w:rPr>
              <w:t>Veřejná</w:t>
            </w:r>
            <w:r>
              <w:t xml:space="preserve"> digitální </w:t>
            </w:r>
            <w:r>
              <w:rPr>
                <w:b/>
                <w:i/>
              </w:rPr>
              <w:t>infrastruktura a technologický vývoj</w:t>
            </w:r>
            <w:r>
              <w:t>“ – prováděnou prostřednictvím činností uvedených v kapitole II a kapitole VI a přispívající ke specifickým cílům stanoveným v čl. 3 odst. 2 písm.</w:t>
            </w:r>
            <w:r>
              <w:rPr>
                <w:b/>
                <w:i/>
              </w:rPr>
              <w:t xml:space="preserve"> 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1078</w:t>
      </w:r>
      <w:r>
        <w:rPr>
          <w:rStyle w:val="HideTWBExt"/>
        </w:rPr>
        <w:t>&lt;/NumAm&gt;</w:t>
      </w:r>
    </w:p>
    <w:p>
      <w:pPr>
        <w:pStyle w:val="NormalBold"/>
      </w:pPr>
      <w:r>
        <w:rPr>
          <w:rStyle w:val="HideTWBExt"/>
          <w:b w:val="0"/>
        </w:rPr>
        <w:t>&lt;RepeatBlock-By&gt;</w:t>
      </w:r>
      <w:r>
        <w:rPr>
          <w:rStyle w:val="HideTWBExt"/>
          <w:b w:val="0"/>
        </w:rPr>
        <w:t>&lt;Members&gt;</w:t>
      </w:r>
      <w:r>
        <w:t>Yvan Verougstraete, Christophe Grudler,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2 – písm.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oblast politiky „Vedoucí postavení v digitální oblasti“ – prováděnou prostřednictvím činností uvedených v kapitole II a kapitole VI a přispívající ke specifickým cílům stanoveným v čl. 3 odst. </w:t>
            </w:r>
            <w:r>
              <w:rPr>
                <w:b/>
                <w:i/>
              </w:rPr>
              <w:t>2 písm. c)</w:t>
            </w:r>
            <w:r>
              <w:t>;</w:t>
            </w:r>
          </w:p>
        </w:tc>
        <w:tc>
          <w:tcPr>
            <w:tcW w:w="4876" w:type="dxa"/>
            <w:tcBorders>
              <w:top w:val="nil"/>
              <w:left w:val="nil"/>
              <w:bottom w:val="nil"/>
              <w:right w:val="nil"/>
            </w:tcBorders>
          </w:tcPr>
          <w:p>
            <w:pPr>
              <w:pStyle w:val="Normal6a"/>
            </w:pPr>
            <w:r>
              <w:t>c)</w:t>
            </w:r>
            <w:r>
              <w:tab/>
            </w:r>
            <w:r>
              <w:t>oblast politiky „Vedoucí postavení v digitální oblasti“ – prováděnou prostřednictvím činností uvedených v kapitole II a kapitole VI a přispívající ke specifickým cílům stanoveným v čl. 3 odst.</w:t>
            </w:r>
            <w:r>
              <w:rPr>
                <w:b/>
                <w:i/>
              </w:rPr>
              <w:t xml:space="preserve"> 4)</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1079</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2 – písm.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oblast politiky „Odolnost </w:t>
            </w:r>
            <w:r>
              <w:rPr>
                <w:b/>
                <w:i/>
              </w:rPr>
              <w:t>a bezpečnost, obranný průmysl</w:t>
            </w:r>
            <w:r>
              <w:t xml:space="preserve"> a vesmír“ – prováděnou prostřednictvím činností uvedených v kapitole II a kapitole VII, včetně zvláštního programu pro obranný výzkum a inovace podle odstavce 1, a přispívající ke specifickým cílům stanoveným v čl. 3 odst. 2 písm.</w:t>
            </w:r>
            <w:r>
              <w:rPr>
                <w:b/>
                <w:i/>
              </w:rPr>
              <w:t xml:space="preserve"> d)</w:t>
            </w:r>
            <w:r>
              <w:t>.</w:t>
            </w:r>
          </w:p>
        </w:tc>
        <w:tc>
          <w:tcPr>
            <w:tcW w:w="4876" w:type="dxa"/>
            <w:tcBorders>
              <w:top w:val="nil"/>
              <w:left w:val="nil"/>
              <w:bottom w:val="nil"/>
              <w:right w:val="nil"/>
            </w:tcBorders>
          </w:tcPr>
          <w:p>
            <w:pPr>
              <w:pStyle w:val="Normal6a"/>
            </w:pPr>
            <w:r>
              <w:t>d)</w:t>
            </w:r>
            <w:r>
              <w:tab/>
            </w:r>
            <w:r>
              <w:t>oblast politiky „Odolnost a vesmír“ – prováděnou prostřednictvím činností uvedených v kapitole II a kapitole VII, včetně zvláštního programu pro obranný výzkum a inovace podle odstavce 1, a přispívající ke specifickým cílům stanoveným v čl. 3 odst. 2 písm.</w:t>
            </w:r>
            <w:r>
              <w:rPr>
                <w:b/>
                <w:i/>
              </w:rPr>
              <w:t xml:space="preserve"> 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1080</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2 – písm.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oblast politiky „Odolnost a bezpečnost</w:t>
            </w:r>
            <w:r>
              <w:rPr>
                <w:b/>
                <w:i/>
              </w:rPr>
              <w:t>, obranný průmysl</w:t>
            </w:r>
            <w:r>
              <w:t xml:space="preserve"> a vesmír“ – prováděnou prostřednictvím činností uvedených v kapitole II a kapitole VII, včetně zvláštního programu pro obranný výzkum a inovace podle odstavce 1, a přispívající ke specifickým cílům stanoveným v čl. 3 odst. 2 písm.</w:t>
            </w:r>
            <w:r>
              <w:rPr>
                <w:b/>
                <w:i/>
              </w:rPr>
              <w:t xml:space="preserve"> d)</w:t>
            </w:r>
            <w:r>
              <w:t>.</w:t>
            </w:r>
          </w:p>
        </w:tc>
        <w:tc>
          <w:tcPr>
            <w:tcW w:w="4876" w:type="dxa"/>
            <w:tcBorders>
              <w:top w:val="nil"/>
              <w:left w:val="nil"/>
              <w:bottom w:val="nil"/>
              <w:right w:val="nil"/>
            </w:tcBorders>
          </w:tcPr>
          <w:p>
            <w:pPr>
              <w:pStyle w:val="Normal6a"/>
            </w:pPr>
            <w:r>
              <w:t>d)</w:t>
            </w:r>
            <w:r>
              <w:tab/>
            </w:r>
            <w:r>
              <w:t>oblast politiky „Odolnost</w:t>
            </w:r>
            <w:r>
              <w:rPr>
                <w:b/>
                <w:i/>
              </w:rPr>
              <w:t>, ochrana</w:t>
            </w:r>
            <w:r>
              <w:t xml:space="preserve"> a bezpečnost </w:t>
            </w:r>
            <w:r>
              <w:rPr>
                <w:b/>
                <w:i/>
              </w:rPr>
              <w:t>společnosti</w:t>
            </w:r>
            <w:r>
              <w:t xml:space="preserve"> a vesmír“ – prováděnou prostřednictvím činností uvedených v kapitole II a kapitole VII, včetně zvláštního programu pro obranný výzkum a inovace podle odstavce 1, a přispívající ke specifickým cílům stanoveným v čl. 3 odst. 2 písm.</w:t>
            </w:r>
            <w:r>
              <w:rPr>
                <w:b/>
                <w:i/>
              </w:rPr>
              <w:t> 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1081</w:t>
      </w:r>
      <w:r>
        <w:rPr>
          <w:rStyle w:val="HideTWBExt"/>
        </w:rPr>
        <w:t>&lt;/NumAm&gt;</w:t>
      </w:r>
    </w:p>
    <w:p>
      <w:pPr>
        <w:pStyle w:val="NormalBold"/>
      </w:pPr>
      <w:r>
        <w:rPr>
          <w:rStyle w:val="HideTWBExt"/>
          <w:b w:val="0"/>
        </w:rPr>
        <w:t>&lt;RepeatBlock-By&gt;</w:t>
      </w:r>
      <w:r>
        <w:rPr>
          <w:rStyle w:val="HideTWBExt"/>
          <w:b w:val="0"/>
        </w:rPr>
        <w:t>&lt;Members&gt;</w:t>
      </w:r>
      <w:r>
        <w:t>Yvan Verougstraete, Christophe Grudler,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2 – písm.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oblast politiky „Odolnost a bezpečnost, obranný průmysl a vesmír“ – prováděnou prostřednictvím činností uvedených v kapitole II a kapitole VII, včetně zvláštního programu pro obranný výzkum a inovace podle odstavce 1, a přispívající ke specifickým cílům stanoveným v čl. 3 odst. </w:t>
            </w:r>
            <w:r>
              <w:rPr>
                <w:b/>
                <w:i/>
              </w:rPr>
              <w:t>2 písm</w:t>
            </w:r>
            <w:r>
              <w:t>.</w:t>
            </w:r>
            <w:r>
              <w:rPr>
                <w:b/>
                <w:i/>
              </w:rPr>
              <w:t xml:space="preserve"> d).</w:t>
            </w:r>
          </w:p>
        </w:tc>
        <w:tc>
          <w:tcPr>
            <w:tcW w:w="4876" w:type="dxa"/>
            <w:tcBorders>
              <w:top w:val="nil"/>
              <w:left w:val="nil"/>
              <w:bottom w:val="nil"/>
              <w:right w:val="nil"/>
            </w:tcBorders>
          </w:tcPr>
          <w:p>
            <w:pPr>
              <w:pStyle w:val="Normal6a"/>
            </w:pPr>
            <w:r>
              <w:t>d)</w:t>
            </w:r>
            <w:r>
              <w:tab/>
            </w:r>
            <w:r>
              <w:t xml:space="preserve">oblast politiky „Odolnost a bezpečnost, obranný průmysl a vesmír“ – prováděnou prostřednictvím činností uvedených v kapitole II a kapitole VII, včetně zvláštního programu pro obranný výzkum a inovace podle odstavce 1, a přispívající ke specifickým cílům stanoveným v čl. 3 odst. </w:t>
            </w:r>
            <w:r>
              <w:rPr>
                <w:b/>
                <w:i/>
              </w:rPr>
              <w:t>5</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1082</w:t>
      </w:r>
      <w:r>
        <w:rPr>
          <w:rStyle w:val="HideTWBExt"/>
        </w:rPr>
        <w:t>&lt;/NumAm&gt;</w:t>
      </w:r>
    </w:p>
    <w:p>
      <w:pPr>
        <w:pStyle w:val="NormalBold"/>
      </w:pPr>
      <w:r>
        <w:rPr>
          <w:rStyle w:val="HideTWBExt"/>
          <w:b w:val="0"/>
        </w:rPr>
        <w:t>&lt;RepeatBlock-By&gt;</w:t>
      </w:r>
      <w:r>
        <w:rPr>
          <w:rStyle w:val="HideTWBExt"/>
          <w:b w:val="0"/>
        </w:rPr>
        <w:t>&lt;Members&gt;</w:t>
      </w:r>
      <w:r>
        <w:t>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2 – písm. d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oblast politiky „Městské inovace“, která přispívá ke specifickému cíli stanovenému v čl. 3 odst. 2 písm. 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1083</w:t>
      </w:r>
      <w:r>
        <w:rPr>
          <w:rStyle w:val="HideTWBExt"/>
        </w:rPr>
        <w:t>&lt;/NumAm&gt;</w:t>
      </w:r>
    </w:p>
    <w:p>
      <w:pPr>
        <w:pStyle w:val="NormalBold"/>
      </w:pPr>
      <w:r>
        <w:rPr>
          <w:rStyle w:val="HideTWBExt"/>
          <w:b w:val="0"/>
        </w:rPr>
        <w:t>&lt;RepeatBlock-By&gt;</w:t>
      </w:r>
      <w:r>
        <w:rPr>
          <w:rStyle w:val="HideTWBExt"/>
          <w:b w:val="0"/>
        </w:rPr>
        <w:t>&lt;Members&gt;</w:t>
      </w:r>
      <w:r>
        <w:t>Yvan Verougstraete, Christophe Grudler,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Nařízení rovněž stanoví právní rámec, jehož cílem je zajistit bezpečnost dodávek, odstranit překážky investic a úzká místa ve výrobě a podpořit konkurenceschopnost průmyslové základny Unie.</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Začleněno do cílů v článku 3</w:t>
      </w:r>
    </w:p>
    <w:p>
      <w:r>
        <w:rPr>
          <w:rStyle w:val="HideTWBExt"/>
        </w:rPr>
        <w:t>&lt;/Amend&gt;</w:t>
      </w:r>
    </w:p>
    <w:p>
      <w:pPr>
        <w:pStyle w:val="AmNumberTabs"/>
      </w:pPr>
      <w:r>
        <w:rPr>
          <w:rStyle w:val="HideTWBExt"/>
        </w:rPr>
        <w:t>&lt;Amend&gt;</w:t>
      </w:r>
      <w:r>
        <w:t>Pozměňovací návrh</w:t>
      </w:r>
      <w:r>
        <w:tab/>
      </w:r>
      <w:r>
        <w:tab/>
      </w:r>
      <w:r>
        <w:rPr>
          <w:rStyle w:val="HideTWBExt"/>
        </w:rPr>
        <w:t>&lt;NumAm&gt;</w:t>
      </w:r>
      <w:r>
        <w:t>1084</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Nařízení rovněž stanoví právní rámec</w:t>
            </w:r>
            <w:r>
              <w:rPr>
                <w:b/>
                <w:i/>
              </w:rPr>
              <w:t>, jehož</w:t>
            </w:r>
            <w:r>
              <w:t xml:space="preserve"> cílem </w:t>
            </w:r>
            <w:r>
              <w:rPr>
                <w:b/>
                <w:i/>
              </w:rPr>
              <w:t>je zajistit bezpečnost</w:t>
            </w:r>
            <w:r>
              <w:t xml:space="preserve"> dodávek, odstranit překážky </w:t>
            </w:r>
            <w:r>
              <w:rPr>
                <w:b/>
                <w:i/>
              </w:rPr>
              <w:t>investic</w:t>
            </w:r>
            <w:r>
              <w:t xml:space="preserve"> a úzká místa ve výrobě a podpořit konkurenceschopnost </w:t>
            </w:r>
            <w:r>
              <w:rPr>
                <w:b/>
                <w:i/>
              </w:rPr>
              <w:t>průmyslové základny</w:t>
            </w:r>
            <w:r>
              <w:t xml:space="preserve"> Unie.</w:t>
            </w:r>
          </w:p>
        </w:tc>
        <w:tc>
          <w:tcPr>
            <w:tcW w:w="4876" w:type="dxa"/>
            <w:tcBorders>
              <w:top w:val="nil"/>
              <w:left w:val="nil"/>
              <w:bottom w:val="nil"/>
              <w:right w:val="nil"/>
            </w:tcBorders>
          </w:tcPr>
          <w:p>
            <w:pPr>
              <w:pStyle w:val="Normal6a"/>
            </w:pPr>
            <w:r>
              <w:t>3.</w:t>
            </w:r>
            <w:r>
              <w:tab/>
            </w:r>
            <w:r>
              <w:t xml:space="preserve">Nařízení rovněž stanoví právní rámec </w:t>
            </w:r>
            <w:r>
              <w:rPr>
                <w:b/>
                <w:i/>
              </w:rPr>
              <w:t>pro úzkou koordinaci na úrovni Unie s</w:t>
            </w:r>
            <w:r>
              <w:t xml:space="preserve"> cílem </w:t>
            </w:r>
            <w:r>
              <w:rPr>
                <w:b/>
                <w:i/>
              </w:rPr>
              <w:t>určit strategická odvětví, technologie a hodnotové řetězce s nejvýznamnější společnou přidanou hodnotou Unie s cílem upřednostnit podporu bezpečnosti jejich</w:t>
            </w:r>
            <w:r>
              <w:t xml:space="preserve"> dodávek, odstranit </w:t>
            </w:r>
            <w:r>
              <w:rPr>
                <w:b/>
                <w:i/>
              </w:rPr>
              <w:t>investiční</w:t>
            </w:r>
            <w:r>
              <w:t xml:space="preserve"> překážky a úzká místa ve výrobě</w:t>
            </w:r>
            <w:r>
              <w:rPr>
                <w:b/>
                <w:i/>
              </w:rPr>
              <w:t>,</w:t>
            </w:r>
            <w:r>
              <w:t xml:space="preserve"> a podpořit </w:t>
            </w:r>
            <w:r>
              <w:rPr>
                <w:b/>
                <w:i/>
              </w:rPr>
              <w:t>tak</w:t>
            </w:r>
            <w:r>
              <w:t xml:space="preserve"> konkurenceschopnost Unie. </w:t>
            </w:r>
            <w:r>
              <w:rPr>
                <w:b/>
                <w:i/>
              </w:rPr>
              <w:t>Tento právní rámec doplní stávající mechanismy zavedené podle jiných právních předpisů Unie pro některá odvětví a hodnotové řetězce a bude prováděn v souladu s cíli, úkoly a referenčními hodnotami Unie zakotvenými v právních předpisech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1085</w:t>
      </w:r>
      <w:r>
        <w:rPr>
          <w:rStyle w:val="HideTWBExt"/>
        </w:rPr>
        <w:t>&lt;/NumAm&gt;</w:t>
      </w:r>
    </w:p>
    <w:p>
      <w:pPr>
        <w:pStyle w:val="NormalBold"/>
      </w:pPr>
      <w:r>
        <w:rPr>
          <w:rStyle w:val="HideTWBExt"/>
          <w:b w:val="0"/>
        </w:rPr>
        <w:t>&lt;RepeatBlock-By&gt;</w:t>
      </w:r>
      <w:r>
        <w:rPr>
          <w:rStyle w:val="HideTWBExt"/>
          <w:b w:val="0"/>
        </w:rPr>
        <w:t>&lt;Members&gt;</w:t>
      </w:r>
      <w:r>
        <w:t>András Gyürk,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3</w:t>
      </w:r>
      <w:r>
        <w:rPr>
          <w:rStyle w:val="HideTWBExt"/>
        </w:rPr>
        <w:t>&lt;/Article&gt;</w:t>
      </w:r>
    </w:p>
    <w:p>
      <w:r>
        <w:rPr>
          <w:rStyle w:val="HideTWBExt"/>
        </w:rPr>
        <w:t>&lt;DocAmend2&gt;</w:t>
      </w:r>
      <w:r>
        <w:t>Návrh nařízení</w:t>
      </w:r>
      <w:r>
        <w:rPr>
          <w:rStyle w:val="HideTWBExt"/>
        </w:rPr>
        <w:t>&lt;/DocAmend2&gt;</w:t>
      </w:r>
    </w:p>
    <w:p>
      <w:r>
        <w:rPr>
          <w:rStyle w:val="HideTWBExt"/>
        </w:rPr>
        <w:t>&lt;Article2&gt;</w:t>
      </w:r>
      <w:r>
        <w:t>Čl. 1 – odst.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Nařízení rovněž stanoví právní rámec, jehož cílem je zajistit bezpečnost dodávek, odstranit překážky investic </w:t>
            </w:r>
            <w:r>
              <w:rPr>
                <w:b/>
                <w:i/>
              </w:rPr>
              <w:t>a</w:t>
            </w:r>
            <w:r>
              <w:t xml:space="preserve"> úzká místa ve výrobě a podpořit konkurenceschopnost průmyslové základny Unie.</w:t>
            </w:r>
          </w:p>
        </w:tc>
        <w:tc>
          <w:tcPr>
            <w:tcW w:w="4876" w:type="dxa"/>
            <w:tcBorders>
              <w:top w:val="nil"/>
              <w:left w:val="nil"/>
              <w:bottom w:val="nil"/>
              <w:right w:val="nil"/>
            </w:tcBorders>
          </w:tcPr>
          <w:p>
            <w:pPr>
              <w:pStyle w:val="Normal6a"/>
            </w:pPr>
            <w:r>
              <w:rPr>
                <w:b/>
                <w:i/>
              </w:rPr>
              <w:t>3.</w:t>
            </w:r>
            <w:r>
              <w:tab/>
            </w:r>
            <w:r>
              <w:t>3. Nařízení rovněž stanoví právní rámec, jehož cílem je zajistit bezpečnost dodávek, odstranit překážky investic</w:t>
            </w:r>
            <w:r>
              <w:rPr>
                <w:b/>
                <w:i/>
              </w:rPr>
              <w:t>,</w:t>
            </w:r>
            <w:r>
              <w:t xml:space="preserve"> úzká místa ve výrobě a </w:t>
            </w:r>
            <w:r>
              <w:rPr>
                <w:b/>
                <w:i/>
              </w:rPr>
              <w:t>mezery v dovednostech</w:t>
            </w:r>
            <w:r>
              <w:t xml:space="preserve"> podpořit konkurenceschopnost průmyslové základny Unie</w:t>
            </w:r>
            <w:r>
              <w:rPr>
                <w:b/>
                <w:i/>
              </w:rPr>
              <w:t>, ale zároveň zajistit vyvážený a spravedlivý přístup k financování ve všech členských státech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1086</w:t>
      </w:r>
      <w:r>
        <w:rPr>
          <w:rStyle w:val="HideTWBExt"/>
        </w:rPr>
        <w:t>&lt;/NumAm&gt;</w:t>
      </w:r>
    </w:p>
    <w:p>
      <w:pPr>
        <w:pStyle w:val="NormalBold"/>
      </w:pPr>
      <w:r>
        <w:rPr>
          <w:rStyle w:val="HideTWBExt"/>
          <w:b w:val="0"/>
        </w:rPr>
        <w:t>&lt;RepeatBlock-By&gt;</w:t>
      </w:r>
      <w:r>
        <w:rPr>
          <w:rStyle w:val="HideTWBExt"/>
          <w:b w:val="0"/>
        </w:rPr>
        <w:t>&lt;Members&gt;</w:t>
      </w:r>
      <w:r>
        <w:t>Barry Andrews, Yvan Verougstraete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Nařízení rovněž stanoví právní rámec, jehož cílem je zajistit bezpečnost dodávek, odstranit překážky investic a úzká místa ve výrobě a podpořit konkurenceschopnost průmyslové základny Unie.</w:t>
            </w:r>
          </w:p>
        </w:tc>
        <w:tc>
          <w:tcPr>
            <w:tcW w:w="4876" w:type="dxa"/>
            <w:tcBorders>
              <w:top w:val="nil"/>
              <w:left w:val="nil"/>
              <w:bottom w:val="nil"/>
              <w:right w:val="nil"/>
            </w:tcBorders>
          </w:tcPr>
          <w:p>
            <w:pPr>
              <w:pStyle w:val="Normal6a"/>
            </w:pPr>
            <w:r>
              <w:t>3.</w:t>
            </w:r>
            <w:r>
              <w:tab/>
            </w:r>
            <w:r>
              <w:t xml:space="preserve">Nařízení rovněž stanoví právní rámec, jehož cílem je zajistit bezpečnost </w:t>
            </w:r>
            <w:r>
              <w:rPr>
                <w:b/>
                <w:i/>
              </w:rPr>
              <w:t>a diverzifikaci</w:t>
            </w:r>
            <w:r>
              <w:t xml:space="preserve"> dodávek, odstranit překážky investic a úzká místa ve výrobě a podpořit konkurenceschopnost průmyslové základny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1087</w:t>
      </w:r>
      <w:r>
        <w:rPr>
          <w:rStyle w:val="HideTWBExt"/>
        </w:rPr>
        <w:t>&lt;/NumAm&gt;</w:t>
      </w:r>
    </w:p>
    <w:p>
      <w:pPr>
        <w:pStyle w:val="NormalBold"/>
      </w:pPr>
      <w:r>
        <w:rPr>
          <w:rStyle w:val="HideTWBExt"/>
          <w:b w:val="0"/>
        </w:rPr>
        <w:t>&lt;RepeatBlock-By&gt;</w:t>
      </w:r>
      <w:r>
        <w:rPr>
          <w:rStyle w:val="HideTWBExt"/>
          <w:b w:val="0"/>
        </w:rPr>
        <w:t>&lt;Members&gt;</w:t>
      </w:r>
      <w:r>
        <w:t>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 – bod 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„konkurenceschopností“ schopnost evropských společností úspěšně konkurovat na světových trzích, která vyžaduje rovné podmínky pro evropský průmysl ve srovnání s globálními konkurenty, pokud jde o náklady na podnikání, mimo jiné usnadněním investic, snížením nákladů na energii, podporou řešení v oblasti energetické účinnosti, zvýšením produktivity, posílením inovační kapacity a zvýšením dlouhodobých veřejných investic, a která vyžaduje kvalifikovanou pracovní sílu, což by mělo vést ke kvalitním pracovním místům a udržitelnému růstu v celé 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1088</w:t>
      </w:r>
      <w:r>
        <w:rPr>
          <w:rStyle w:val="HideTWBExt"/>
        </w:rPr>
        <w:t>&lt;/NumAm&gt;</w:t>
      </w:r>
    </w:p>
    <w:p>
      <w:pPr>
        <w:pStyle w:val="NormalBold"/>
      </w:pPr>
      <w:r>
        <w:rPr>
          <w:rStyle w:val="HideTWBExt"/>
          <w:b w:val="0"/>
        </w:rPr>
        <w:t>&lt;RepeatBlock-By&gt;</w:t>
      </w:r>
      <w:r>
        <w:rPr>
          <w:rStyle w:val="HideTWBExt"/>
          <w:b w:val="0"/>
        </w:rPr>
        <w:t>&lt;Members&gt;</w:t>
      </w:r>
      <w:r>
        <w:t>Massimiliano Salini, Letizia Moratti, Fulvio Martusciello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 – bod 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„konkurenceschopností“ schopnost evropských společností úspěšně konkurovat na světových trzích, která vyžaduje rovné podmínky pro evropský průmysl ve srovnání s globálními konkurenty, pokud jde o náklady na podnikání, mimo jiné usnadněním investic, snížením nákladů na energii, podporou řešení v oblasti energetické účinnosti, zvýšením produktivity, posílením inovační kapacity a zvýšením dlouhodobých veřejných investic, a která vyžaduje kvalifikovanou pracovní sílu, což by mělo vést ke kvalitním pracovním místům a udržitelnému růstu v celé 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1089</w:t>
      </w:r>
      <w:r>
        <w:rPr>
          <w:rStyle w:val="HideTWBExt"/>
        </w:rPr>
        <w:t>&lt;/NumAm&gt;</w:t>
      </w:r>
    </w:p>
    <w:p>
      <w:pPr>
        <w:pStyle w:val="NormalBold"/>
      </w:pPr>
      <w:r>
        <w:rPr>
          <w:rStyle w:val="HideTWBExt"/>
          <w:b w:val="0"/>
        </w:rPr>
        <w:t>&lt;RepeatBlock-By&gt;</w:t>
      </w:r>
      <w:r>
        <w:rPr>
          <w:rStyle w:val="HideTWBExt"/>
          <w:b w:val="0"/>
        </w:rPr>
        <w:t>&lt;Members&gt;</w:t>
      </w:r>
      <w:r>
        <w:t>Yvan Verougstraete, Stine Bosse, Grégory Allione, Morten Løkkegaard, Christophe Grudler, Oihane Agirregoitia Martínez,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 – bod 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„biotechnologií“ se rozumí uplatňování vědeckých a technologických postupů na živé organismy, jakož i na jejich části, produkty a modely za účelem změny živých nebo neživých materiálů k získání poznatků a vytváření zboží a služeb;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1090</w:t>
      </w:r>
      <w:r>
        <w:rPr>
          <w:rStyle w:val="HideTWBExt"/>
        </w:rPr>
        <w:t>&lt;/NumAm&gt;</w:t>
      </w:r>
    </w:p>
    <w:p>
      <w:pPr>
        <w:pStyle w:val="NormalBold"/>
      </w:pPr>
      <w:r>
        <w:rPr>
          <w:rStyle w:val="HideTWBExt"/>
          <w:b w:val="0"/>
        </w:rPr>
        <w:t>&lt;RepeatBlock-By&gt;</w:t>
      </w:r>
      <w:r>
        <w:rPr>
          <w:rStyle w:val="HideTWBExt"/>
          <w:b w:val="0"/>
        </w:rPr>
        <w:t>&lt;Members&gt;</w:t>
      </w:r>
      <w:r>
        <w:t>Paulius Saudargas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 – bod 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„konkurenceschopností“ schopnost evropských společností úspěšně konkurovat na světových trzích, která vyžaduje rovné podmínky pro evropský průmysl ve srovnání s globálními konkurenty, pokud jde o náklady na podnikání, mimo jiné usnadněním investic, snížením nákladů na energii, podporou řešení v oblasti energetické účinnosti, zvýšením produktivity, posílením inovační kapacity a zvýšením dlouhodobých veřejných investic, a která vyžaduje kvalifikovanou pracovní sílu, což by mělo vést ke kvalitním pracovním místům a udržitelnému růstu v celé 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1091</w:t>
      </w:r>
      <w:r>
        <w:rPr>
          <w:rStyle w:val="HideTWBExt"/>
        </w:rPr>
        <w:t>&lt;/NumAm&gt;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 – bod 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„oprávněním k návrhu projektu“ schopnost způsobilého subjektu rozhodnout bez omezení uložených nepřidruženými třetími zeměmi nebo subjekty nepřidružených třetích zemí o definici, přizpůsobení, integraci, výrobě, výrobě a vývoji produktu, a to na základě vlastnictví práv duševního vlastnictví a zvládnutí technologií, jakož i nezbytných dovedností a know-how.</w:t>
            </w:r>
            <w:r>
              <w:t xml:space="preserve"> </w:t>
            </w:r>
            <w:r>
              <w:rPr>
                <w:b/>
                <w:i/>
              </w:rPr>
              <w:t>Tato schopnost zahrnuje zákonnou pravomoc nahradit nebo odstranit součásti, na které se vztahuje omezení uložené nepřidruženými třetími zeměmi nebo subjekty nepřidružených třetích zemí, alternativními součástmi pocházejícími z EU, na které se omezení nevztahuje.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1092</w:t>
      </w:r>
      <w:r>
        <w:rPr>
          <w:rStyle w:val="HideTWBExt"/>
        </w:rPr>
        <w:t>&lt;/NumAm&gt;</w:t>
      </w:r>
    </w:p>
    <w:p>
      <w:pPr>
        <w:pStyle w:val="NormalBold"/>
      </w:pPr>
      <w:r>
        <w:rPr>
          <w:rStyle w:val="HideTWBExt"/>
          <w:b w:val="0"/>
        </w:rPr>
        <w:t>&lt;RepeatBlock-By&gt;</w:t>
      </w:r>
      <w:r>
        <w:rPr>
          <w:rStyle w:val="HideTWBExt"/>
          <w:b w:val="0"/>
        </w:rPr>
        <w:t>&lt;Members&gt;</w:t>
      </w:r>
      <w:r>
        <w:t>Nicolás González Casares, Mohammed Chahim, Elena Sancho Murillo, Lina Gálvez, Yannis Maniatis, Thomas Pellerin-Carlin, Annalisa Corrado, Bruno Tobback, Niels Fuglsang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 – bod 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„konkurenceschopností“ se rozumí schopnost Unie zvýšit svou produktivitu, podporovat inovace, hájit standardy v oblasti zaměstnanosti, sociální spravedlnosti a životní úrovně, úspěšně soutěžit na globálních trzích, posílit svou strategickou autonomii a nezávislost a zajistit odolnost svého hospodářství vůči bezpečnostním, geopolitickým, klimatickým a environmentálním rizikům nebo jiným systémovým otřesům a zároveň zajistit rovné podmínky a plný soulad s cílem Unie v oblasti čisté transformace a ochrany klimatu;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1093</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 – bod 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„obrannými produkty“ se rozumí jakékoli produkty pro obranné účely uvedené v příloze směrnice 2009/43/ES a případně též jejich součásti a odpovídající suroviny, pokud mají sloužit nebo slouží výhradně pro výrobu obranných produktů, jakož i stavební práce, dodávky a služby přímo související s dotčenými produkty pro veškeré fáze jejich životního cyklu ve smyslu čl. 2 písm. c) směrnice 2009/81/ES;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1094</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 – bod 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„oprávněním k návrhu projektu“ možnost rozhodovat bez omezení uložených nepřidruženými třetími zeměmi nebo subjekty nepřidružených třetích zemí o definici, přizpůsobení a vývoji návrhu dotčeného obranného produktu, včetně zákonné pravomoci nahradit nebo odstranit součásti, které podléhají omezením uloženým nepřidruženými třetími zeměmi nebo subjekty nepřidružených třetích zemí.</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1095</w:t>
      </w:r>
      <w:r>
        <w:rPr>
          <w:rStyle w:val="HideTWBExt"/>
        </w:rPr>
        <w:t>&lt;/NumAm&gt;</w:t>
      </w:r>
    </w:p>
    <w:p>
      <w:pPr>
        <w:pStyle w:val="NormalBold"/>
      </w:pPr>
      <w:r>
        <w:rPr>
          <w:rStyle w:val="HideTWBExt"/>
          <w:b w:val="0"/>
        </w:rPr>
        <w:t>&lt;RepeatBlock-By&gt;</w:t>
      </w:r>
      <w:r>
        <w:rPr>
          <w:rStyle w:val="HideTWBExt"/>
          <w:b w:val="0"/>
        </w:rPr>
        <w:t>&lt;Members&gt;</w:t>
      </w:r>
      <w:r>
        <w:t>Jana Nagyová, Ondřej Knotek, Tomáš Kubín, Klara Dostalova, Vilis Krištopans, Afroditi Latinopoulou, Anna Bryłka, Jorge Buxadé Villalba,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 – bod 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„evropským srovnávacím přehledem inovací“ se rozumí každoroční srovnávací hodnocení inovační výkonnosti členských států, které zveřejňuje Komise na základě nejnovějších harmonizovaných statistických údajů zveřejněných Eurostatem a případně dalších oficiálních zdrojů údajů Unie a které klasifikuje členské státy podle průměru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1096</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 – bod 4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4b)</w:t>
            </w:r>
            <w:r>
              <w:tab/>
            </w:r>
            <w:r>
              <w:rPr>
                <w:b/>
                <w:i/>
              </w:rPr>
              <w:t>„energetickými společenstvími“ občanské energetické společenství ve smyslu čl. 2 bodu 11 směrnice (EU) 2019/944 a „společenstvím pro obnovitelné zdroje“ společenství pro obnovitelné zdroje ve smyslu čl. 2 bodu 16 směrnice (EU) 2018/2001;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1097</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 – bod 4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4c)</w:t>
            </w:r>
            <w:r>
              <w:tab/>
            </w:r>
            <w:r>
              <w:rPr>
                <w:b/>
                <w:i/>
              </w:rPr>
              <w:t>„subjekty sociální ekonomiky“ soukromé subjekty nezávislé na orgánech veřejné moci, které poskytují zboží a služby svým členům nebo společnosti obecně a působí v souladu se zásadami sociální ekonomiky, zejména s nadřazeností lidí a sociálních a/nebo environmentálních účelů nad ziskem, reinvestováním většiny zisků a přebytků při sledování cílů kolektivního nebo obecného zájmu a demokratickou a/nebo participativní správou.</w:t>
            </w:r>
            <w:r>
              <w:t xml:space="preserve"> </w:t>
            </w:r>
            <w:r>
              <w:rPr>
                <w:b/>
                <w:i/>
              </w:rPr>
              <w:t>Mezi tyto subjekty patří družstva, vzájemné společnosti, sdružení, včetně charitativních organizací, nadace, sociální podniky a další právní formy uznané na úrovni členských států, které tyto zásady dodržují;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1098</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 – bod 4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4d)</w:t>
            </w:r>
            <w:r>
              <w:tab/>
            </w:r>
            <w:r>
              <w:rPr>
                <w:b/>
                <w:i/>
              </w:rPr>
              <w:t>„renovací budov“ „renovace budov“ ve smyslu článku 2 bodu 13 nařízení 2023/955;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1099</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 – bod 4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4e)</w:t>
            </w:r>
            <w:r>
              <w:tab/>
            </w:r>
            <w:r>
              <w:rPr>
                <w:b/>
                <w:i/>
              </w:rPr>
              <w:t>„zranitelnými domácnostmi“ zranitelné domácnosti ve smyslu čl. 2 bodu 10 nařízení 2023/955;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1100</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 – bod 4 f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4f)</w:t>
            </w:r>
            <w:r>
              <w:tab/>
            </w:r>
            <w:r>
              <w:rPr>
                <w:b/>
                <w:i/>
              </w:rPr>
              <w:t>„zranitelnými mikropodniky“ mikropodniky ve smyslu čl. 2 bodu 11 nařízení 2023/955;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1101</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 – bod 4 g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4g)</w:t>
            </w:r>
            <w:r>
              <w:tab/>
            </w:r>
            <w:r>
              <w:rPr>
                <w:b/>
                <w:i/>
              </w:rPr>
              <w:t>„zranitelnými uživateli dopravy“ „zranitelní uživatelé dopravy“ ve smyslu čl. 2 bodu 12 nařízení 2023/955;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1102</w:t>
      </w:r>
      <w:r>
        <w:rPr>
          <w:rStyle w:val="HideTWBExt"/>
        </w:rPr>
        <w:t>&lt;/NumAm&gt;</w:t>
      </w:r>
    </w:p>
    <w:p>
      <w:pPr>
        <w:pStyle w:val="NormalBold"/>
      </w:pPr>
      <w:r>
        <w:rPr>
          <w:rStyle w:val="HideTWBExt"/>
          <w:b w:val="0"/>
        </w:rPr>
        <w:t>&lt;RepeatBlock-By&gt;</w:t>
      </w:r>
      <w:r>
        <w:rPr>
          <w:rStyle w:val="HideTWBExt"/>
          <w:b w:val="0"/>
        </w:rPr>
        <w:t>&lt;Members&gt;</w:t>
      </w:r>
      <w:r>
        <w:t>Jüri Ratas, Riho Terras, Tobias Cremer, Sven Mikser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 – bod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„strukturou výkonného vedení“ se rozumí orgán právního subjektu jmenovaný v souladu s vnitrostátním právem a případně podléhající generálnímu řediteli nebo jakékoli jiné osobě se srovnatelnou rozhodovací pravomocí, který je oprávněn určovat strategii, cíle a celkové směřování právního subjektu a který vykonává dohled nad rozhodováním vedení a sleduje je;</w:t>
            </w:r>
          </w:p>
        </w:tc>
        <w:tc>
          <w:tcPr>
            <w:tcW w:w="4876" w:type="dxa"/>
            <w:tcBorders>
              <w:top w:val="nil"/>
              <w:left w:val="nil"/>
              <w:bottom w:val="nil"/>
              <w:right w:val="nil"/>
            </w:tcBorders>
          </w:tcPr>
          <w:p>
            <w:pPr>
              <w:pStyle w:val="Normal6a"/>
            </w:pPr>
            <w:r>
              <w:t>5)</w:t>
            </w:r>
            <w:r>
              <w:tab/>
            </w:r>
            <w:r>
              <w:t xml:space="preserve">„strukturou výkonného vedení“ se rozumí orgán právního subjektu jmenovaný v souladu s vnitrostátním právem a případně podléhající generálnímu řediteli nebo jakékoli jiné osobě se srovnatelnou rozhodovací pravomocí, který je oprávněn určovat strategii, cíle a celkové směřování právního subjektu a který vykonává dohled nad rozhodováním vedení </w:t>
            </w:r>
            <w:r>
              <w:rPr>
                <w:b/>
                <w:i/>
              </w:rPr>
              <w:t>právnické osoby</w:t>
            </w:r>
            <w:r>
              <w:t xml:space="preserve"> a sleduje 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1103</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 – bod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rPr>
                <w:b/>
                <w:i/>
              </w:rPr>
              <w:t>)</w:t>
            </w:r>
            <w:r>
              <w:tab/>
            </w:r>
            <w:r>
              <w:t>„strukturou výkonného vedení“ se rozumí orgán právního subjektu jmenovaný v souladu s vnitrostátním právem a případně podléhající generálnímu řediteli nebo jakékoli jiné osobě se srovnatelnou rozhodovací pravomocí, který je oprávněn určovat strategii, cíle a celkové směřování právního subjektu a který vykonává dohled nad rozhodováním vedení a sleduje je;</w:t>
            </w:r>
          </w:p>
        </w:tc>
        <w:tc>
          <w:tcPr>
            <w:tcW w:w="4876" w:type="dxa"/>
            <w:tcBorders>
              <w:top w:val="nil"/>
              <w:left w:val="nil"/>
              <w:bottom w:val="nil"/>
              <w:right w:val="nil"/>
            </w:tcBorders>
          </w:tcPr>
          <w:p>
            <w:pPr>
              <w:pStyle w:val="Normal6a"/>
            </w:pPr>
            <w:r>
              <w:t>5</w:t>
            </w:r>
            <w:r>
              <w:rPr>
                <w:b/>
                <w:i/>
              </w:rPr>
              <w:t>.</w:t>
            </w:r>
            <w:r>
              <w:tab/>
            </w:r>
            <w:r>
              <w:t xml:space="preserve">„strukturou výkonného vedení“ se rozumí orgán právního subjektu </w:t>
            </w:r>
            <w:r>
              <w:rPr>
                <w:b/>
                <w:i/>
              </w:rPr>
              <w:t>v EU</w:t>
            </w:r>
            <w:r>
              <w:t xml:space="preserve"> jmenovaný v souladu s vnitrostátním právem a případně podléhající generálnímu řediteli nebo jakékoli jiné osobě se srovnatelnou rozhodovací pravomocí, který je oprávněn určovat strategii, cíle a celkové směřování právního subjektu a který vykonává dohled nad rozhodováním vedení a sleduje je;</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1104</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 – bod 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„evropskou konkurenceschopností“ průmyslová, lidská a finanční kapacita Unie vytvářet dlouhodobou udržitelnou prosperitu prostřednictvím vývoje, výroby a zavádění strategických technologií a řešení, které: a) zajišťují svrchovanost a hospodářskou bezpečnost Unie; b) zvyšují produktivitu a strategickou odolnost v rámci planetárních mezí, zejména maximalizací účinného využívání zdrojů, materiálového využití a recyklace; c) přispívají k dosažení cílů Unie v oblasti energetiky a životního prostředí, včetně přechodu na klimatickou neutralitu nejpozději do roku 2050; d) přispívají k sociálním cílům Unie stanoveným v evropském pilíři sociálních práv;</w:t>
            </w:r>
            <w:r>
              <w:t xml:space="preserve"> </w:t>
            </w:r>
            <w:r>
              <w:rPr>
                <w:b/>
                <w:i/>
              </w:rPr>
              <w:t>a zároveň přispívají k hospodářské, sociální a územní soudržnosti v celé 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1105</w:t>
      </w:r>
      <w:r>
        <w:rPr>
          <w:rStyle w:val="HideTWBExt"/>
        </w:rPr>
        <w:t>&lt;/NumAm&gt;</w:t>
      </w:r>
    </w:p>
    <w:p>
      <w:pPr>
        <w:pStyle w:val="NormalBold"/>
      </w:pPr>
      <w:r>
        <w:rPr>
          <w:rStyle w:val="HideTWBExt"/>
          <w:b w:val="0"/>
        </w:rPr>
        <w:t>&lt;RepeatBlock-By&gt;</w:t>
      </w:r>
      <w:r>
        <w:rPr>
          <w:rStyle w:val="HideTWBExt"/>
          <w:b w:val="0"/>
        </w:rPr>
        <w:t>&lt;Members&gt;</w:t>
      </w:r>
      <w:r>
        <w:t>Radan Kanev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 – bod 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„zásadou finanční účinnost v první řadě“ metoda výběru, která u každé intervence narušuje hospodářskou soutěž nejméně a je nákladově nejefektivnější z hlediska podpory Unie a je schopna dosáhnout cíle politiky, a to uplatněním pořadí podle přínosu nástroje, v němž jsou pokud možno upřednostňovány veřejné zakázky, záruky, půjčky, vlastní nebo kvazivlastní kapitál a jiná vratná podpora a granty jsou využívány především v případech, kdy akce není financovatelná z bankovních úvěrů, poskytuje veřejné statky nebo řeší inovace v rané fázi s vysokými vedlejšími účinky.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1106</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 – bod 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„inovativním startupem“ a „inovativním scaleupem“ subjekty ve smyslu doporučení Komise C(2026) 1800 final ze dne 18. března 2026;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1107</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 – 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„naléhavým veřejným zájmem“ se pro účely článku 20 rozumí </w:t>
            </w:r>
            <w:r>
              <w:rPr>
                <w:b/>
                <w:i/>
              </w:rPr>
              <w:t>převažující důvod</w:t>
            </w:r>
            <w:r>
              <w:t xml:space="preserve"> pro poskytnutí podpory Unie na určitou akci nebo soubor akcí</w:t>
            </w:r>
            <w:r>
              <w:rPr>
                <w:b/>
                <w:i/>
              </w:rPr>
              <w:t>, a to</w:t>
            </w:r>
            <w:r>
              <w:t xml:space="preserve"> z důvodu jasného a významného přínosu k dosažení cílů politiky v rámci ECF, který odůvodňuje použití zrychlených a zjednodušených pravidel pro udělení podpory;</w:t>
            </w:r>
          </w:p>
        </w:tc>
        <w:tc>
          <w:tcPr>
            <w:tcW w:w="4876" w:type="dxa"/>
            <w:tcBorders>
              <w:top w:val="nil"/>
              <w:left w:val="nil"/>
              <w:bottom w:val="nil"/>
              <w:right w:val="nil"/>
            </w:tcBorders>
          </w:tcPr>
          <w:p>
            <w:pPr>
              <w:pStyle w:val="Normal6a"/>
            </w:pPr>
            <w:r>
              <w:t>8)</w:t>
            </w:r>
            <w:r>
              <w:tab/>
            </w:r>
            <w:r>
              <w:t xml:space="preserve">„naléhavým veřejným zájmem“ se pro účely článku 20 rozumí </w:t>
            </w:r>
            <w:r>
              <w:rPr>
                <w:b/>
                <w:i/>
              </w:rPr>
              <w:t>řádné a řádně odůvodněné úvahy vedoucí ke zvážení existence naléhavého důvodu</w:t>
            </w:r>
            <w:r>
              <w:t xml:space="preserve"> pro poskytnutí podpory Unie na určitou akci nebo soubor akcí z důvodu jasného a významného přínosu k dosažení cílů politiky v rámci ECF, který odůvodňuje použití zrychlených a zjednodušených pravidel pro udělení podpory;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1108</w:t>
      </w:r>
      <w:r>
        <w:rPr>
          <w:rStyle w:val="HideTWBExt"/>
        </w:rPr>
        <w:t>&lt;/NumAm&gt;</w:t>
      </w:r>
    </w:p>
    <w:p>
      <w:pPr>
        <w:pStyle w:val="NormalBold"/>
      </w:pPr>
      <w:r>
        <w:rPr>
          <w:rStyle w:val="HideTWBExt"/>
          <w:b w:val="0"/>
        </w:rPr>
        <w:t>&lt;RepeatBlock-By&gt;</w:t>
      </w:r>
      <w:r>
        <w:rPr>
          <w:rStyle w:val="HideTWBExt"/>
          <w:b w:val="0"/>
        </w:rPr>
        <w:t>&lt;Members&gt;</w:t>
      </w:r>
      <w:r>
        <w:t>Yvan Verougstraete, Christophe Grudler,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 – bod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11)</w:t>
            </w:r>
            <w:r>
              <w:tab/>
            </w:r>
            <w:r>
              <w:rPr>
                <w:b/>
                <w:i/>
              </w:rPr>
              <w:t>„investičním vývojem“ se rozumí nepřetržitý sled veřejné a soukromé finanční podpory a mechanismů podpory politiky poskytované příjemcům v celém řetězci vývoje, včetně ucelené řady činností spojených s přidělováním finančních zdrojů a poskytováním podpory na podporu inovací a hospodářského růstu.</w:t>
            </w:r>
            <w:r>
              <w:t xml:space="preserve"> </w:t>
            </w:r>
            <w:r>
              <w:rPr>
                <w:b/>
                <w:i/>
              </w:rPr>
              <w:t>Uvedený vývoj zahrnuje mimo jiné zahájení od fáze základního a aplikovaného výzkumu, další pokrok přes fáze rozšiřování, průmyslového využití až k vrcholné fázi výroby v plném rozsahu a průmyslové vyspělosti a internacionalizace;</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Toto již není relevantní vzhledem k pozměňovacím návrhům k jiným částem textu.</w:t>
      </w:r>
    </w:p>
    <w:p>
      <w:r>
        <w:rPr>
          <w:rStyle w:val="HideTWBExt"/>
        </w:rPr>
        <w:t>&lt;/Amend&gt;</w:t>
      </w:r>
    </w:p>
    <w:p>
      <w:pPr>
        <w:pStyle w:val="AmNumberTabs"/>
      </w:pPr>
      <w:r>
        <w:rPr>
          <w:rStyle w:val="HideTWBExt"/>
        </w:rPr>
        <w:t>&lt;Amend&gt;</w:t>
      </w:r>
      <w:r>
        <w:t>Pozměňovací návrh</w:t>
      </w:r>
      <w:r>
        <w:tab/>
      </w:r>
      <w:r>
        <w:tab/>
      </w:r>
      <w:r>
        <w:rPr>
          <w:rStyle w:val="HideTWBExt"/>
        </w:rPr>
        <w:t>&lt;NumAm&gt;</w:t>
      </w:r>
      <w:r>
        <w:t>1109</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 – bod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„investičním vývojem“ se rozumí nepřetržitý sled veřejné a soukromé finanční podpory a mechanismů podpory politiky poskytované příjemcům v celém řetězci vývoje, </w:t>
            </w:r>
            <w:r>
              <w:rPr>
                <w:b/>
                <w:i/>
              </w:rPr>
              <w:t>včetně ucelené řady činností spojených s přidělováním finančních zdrojů a poskytováním podpory na podporu inovací a hospodářského růstu.</w:t>
            </w:r>
            <w:r>
              <w:t xml:space="preserve"> </w:t>
            </w:r>
            <w:r>
              <w:rPr>
                <w:b/>
                <w:i/>
              </w:rPr>
              <w:t>Uvedený vývoj zahrnuje mimo jiné zahájení od fáze</w:t>
            </w:r>
            <w:r>
              <w:t xml:space="preserve"> základního a aplikovaného výzkumu</w:t>
            </w:r>
            <w:r>
              <w:rPr>
                <w:b/>
                <w:i/>
              </w:rPr>
              <w:t>, další pokrok přes fáze</w:t>
            </w:r>
            <w:r>
              <w:t xml:space="preserve"> rozšiřování</w:t>
            </w:r>
            <w:r>
              <w:rPr>
                <w:b/>
                <w:i/>
              </w:rPr>
              <w:t>, průmyslového využití až k vrcholné fázi výroby v plném rozsahu a průmyslové vyspělosti a internacionalizace</w:t>
            </w:r>
            <w:r>
              <w:t>;</w:t>
            </w:r>
          </w:p>
        </w:tc>
        <w:tc>
          <w:tcPr>
            <w:tcW w:w="4876" w:type="dxa"/>
            <w:tcBorders>
              <w:top w:val="nil"/>
              <w:left w:val="nil"/>
              <w:bottom w:val="nil"/>
              <w:right w:val="nil"/>
            </w:tcBorders>
          </w:tcPr>
          <w:p>
            <w:pPr>
              <w:pStyle w:val="Normal6a"/>
            </w:pPr>
            <w:r>
              <w:t>11)</w:t>
            </w:r>
            <w:r>
              <w:tab/>
            </w:r>
            <w:r>
              <w:t xml:space="preserve">„investičním vývojem“ se rozumí nepřetržitý sled veřejné a soukromé finanční podpory a mechanismů podpory politiky poskytované příjemcům v celém řetězci vývoje, </w:t>
            </w:r>
            <w:r>
              <w:rPr>
                <w:b/>
                <w:i/>
              </w:rPr>
              <w:t>od</w:t>
            </w:r>
            <w:r>
              <w:t xml:space="preserve"> základního a aplikovaného výzkumu </w:t>
            </w:r>
            <w:r>
              <w:rPr>
                <w:b/>
                <w:i/>
              </w:rPr>
              <w:t>přes vývoj,</w:t>
            </w:r>
            <w:r>
              <w:t xml:space="preserve"> rozšiřování </w:t>
            </w:r>
            <w:r>
              <w:rPr>
                <w:b/>
                <w:i/>
              </w:rPr>
              <w:t>a zavádění technologií až po jejich plné využívání a internacionalizaci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1110</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 – bod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„investičním vývojem“ se rozumí nepřetržitý sled veřejné a soukromé finanční podpory a mechanismů podpory politiky poskytované příjemcům v celém řetězci vývoje, včetně ucelené řady činností spojených s přidělováním finančních zdrojů a poskytováním podpory na podporu inovací a hospodářského růstu. </w:t>
            </w:r>
            <w:r>
              <w:rPr>
                <w:b/>
                <w:i/>
              </w:rPr>
              <w:t>Uvedený</w:t>
            </w:r>
            <w:r>
              <w:t xml:space="preserve"> vývoj zahrnuje mimo jiné zahájení </w:t>
            </w:r>
            <w:r>
              <w:rPr>
                <w:b/>
                <w:i/>
              </w:rPr>
              <w:t>od fáze</w:t>
            </w:r>
            <w:r>
              <w:t xml:space="preserve"> základního a aplikovaného výzkumu, </w:t>
            </w:r>
            <w:r>
              <w:rPr>
                <w:b/>
                <w:i/>
              </w:rPr>
              <w:t>další pokrok přes fáze</w:t>
            </w:r>
            <w:r>
              <w:t xml:space="preserve"> rozšiřování, průmyslového využití </w:t>
            </w:r>
            <w:r>
              <w:rPr>
                <w:b/>
                <w:i/>
              </w:rPr>
              <w:t>až k vrcholné fázi</w:t>
            </w:r>
            <w:r>
              <w:t xml:space="preserve"> výroby </w:t>
            </w:r>
            <w:r>
              <w:rPr>
                <w:b/>
                <w:i/>
              </w:rPr>
              <w:t>v plném rozsahu</w:t>
            </w:r>
            <w:r>
              <w:t xml:space="preserve"> a průmyslové vyspělosti a internacionalizace;</w:t>
            </w:r>
          </w:p>
        </w:tc>
        <w:tc>
          <w:tcPr>
            <w:tcW w:w="4876" w:type="dxa"/>
            <w:tcBorders>
              <w:top w:val="nil"/>
              <w:left w:val="nil"/>
              <w:bottom w:val="nil"/>
              <w:right w:val="nil"/>
            </w:tcBorders>
          </w:tcPr>
          <w:p>
            <w:pPr>
              <w:pStyle w:val="Normal6a"/>
            </w:pPr>
            <w:r>
              <w:t>11)</w:t>
            </w:r>
            <w:r>
              <w:tab/>
            </w:r>
            <w:r>
              <w:t xml:space="preserve">„investičním vývojem“ se rozumí nepřetržitý sled veřejné a soukromé finanční podpory a mechanismů podpory politiky poskytované příjemcům v celém řetězci vývoje, včetně ucelené řady činností spojených s přidělováním finančních zdrojů a poskytováním podpory na podporu inovací a hospodářského růstu. </w:t>
            </w:r>
            <w:r>
              <w:rPr>
                <w:b/>
                <w:i/>
              </w:rPr>
              <w:t>Tento</w:t>
            </w:r>
            <w:r>
              <w:t xml:space="preserve"> vývoj</w:t>
            </w:r>
            <w:r>
              <w:rPr>
                <w:b/>
                <w:i/>
              </w:rPr>
              <w:t>, který zahrnuje všechny technologie definované v nařízení (EU) 2024/1735 (akt o průmyslu pro nulové čisté emise) jako technologie s nulovými čistými emisemi,</w:t>
            </w:r>
            <w:r>
              <w:t xml:space="preserve"> zahrnuje mimo jiné zahájení </w:t>
            </w:r>
            <w:r>
              <w:rPr>
                <w:b/>
                <w:i/>
              </w:rPr>
              <w:t>fází</w:t>
            </w:r>
            <w:r>
              <w:t xml:space="preserve"> základního a aplikovaného výzkumu, </w:t>
            </w:r>
            <w:r>
              <w:rPr>
                <w:b/>
                <w:i/>
              </w:rPr>
              <w:t>postup do stadií</w:t>
            </w:r>
            <w:r>
              <w:t xml:space="preserve"> rozšiřování, průmyslového využití </w:t>
            </w:r>
            <w:r>
              <w:rPr>
                <w:b/>
                <w:i/>
              </w:rPr>
              <w:t>a dosažení úplného dokončení</w:t>
            </w:r>
            <w:r>
              <w:t xml:space="preserve"> výroby a průmyslové vyspělosti a internacionalizace;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Toto vyjasnění zajišťuje právní jistotu, že činnosti aplikovaného výzkumu související se všemi technologiemi pro nulové čisté emise (jako je jaderná energie a technologie palivového cyklu) jsou způsobilé pro podporu Unie spolu s následnými fázemi vývoje a zavádění technologií.</w:t>
      </w:r>
    </w:p>
    <w:p>
      <w:r>
        <w:rPr>
          <w:rStyle w:val="HideTWBExt"/>
        </w:rPr>
        <w:t>&lt;/Amend&gt;</w:t>
      </w:r>
    </w:p>
    <w:p>
      <w:pPr>
        <w:pStyle w:val="AmNumberTabs"/>
      </w:pPr>
      <w:r>
        <w:rPr>
          <w:rStyle w:val="HideTWBExt"/>
        </w:rPr>
        <w:t>&lt;Amend&gt;</w:t>
      </w:r>
      <w:r>
        <w:t>Pozměňovací návrh</w:t>
      </w:r>
      <w:r>
        <w:tab/>
      </w:r>
      <w:r>
        <w:tab/>
      </w:r>
      <w:r>
        <w:rPr>
          <w:rStyle w:val="HideTWBExt"/>
        </w:rPr>
        <w:t>&lt;NumAm&gt;</w:t>
      </w:r>
      <w:r>
        <w:t>1111</w:t>
      </w:r>
      <w:r>
        <w:rPr>
          <w:rStyle w:val="HideTWBExt"/>
        </w:rPr>
        <w:t>&lt;/NumAm&gt;</w:t>
      </w:r>
    </w:p>
    <w:p>
      <w:pPr>
        <w:pStyle w:val="NormalBold"/>
      </w:pPr>
      <w:r>
        <w:rPr>
          <w:rStyle w:val="HideTWBExt"/>
          <w:b w:val="0"/>
        </w:rPr>
        <w:t>&lt;RepeatBlock-By&gt;</w:t>
      </w:r>
      <w:r>
        <w:rPr>
          <w:rStyle w:val="HideTWBExt"/>
          <w:b w:val="0"/>
        </w:rPr>
        <w:t>&lt;Members&gt;</w:t>
      </w:r>
      <w:r>
        <w:t>Matej Tonin, 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 – bod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„investičním vývojem“ se rozumí nepřetržitý sled veřejné a soukromé finanční podpory a mechanismů podpory politiky poskytované příjemcům v celém řetězci vývoje, včetně ucelené řady činností spojených s přidělováním finančních zdrojů a poskytováním podpory na podporu inovací a hospodářského růstu. </w:t>
            </w:r>
            <w:r>
              <w:rPr>
                <w:b/>
                <w:i/>
              </w:rPr>
              <w:t>Uvedený</w:t>
            </w:r>
            <w:r>
              <w:t xml:space="preserve"> vývoj zahrnuje mimo jiné zahájení </w:t>
            </w:r>
            <w:r>
              <w:rPr>
                <w:b/>
                <w:i/>
              </w:rPr>
              <w:t>od fáze</w:t>
            </w:r>
            <w:r>
              <w:t xml:space="preserve"> základního a aplikovaného výzkumu, </w:t>
            </w:r>
            <w:r>
              <w:rPr>
                <w:b/>
                <w:i/>
              </w:rPr>
              <w:t>další pokrok přes fáze</w:t>
            </w:r>
            <w:r>
              <w:t xml:space="preserve"> rozšiřování, průmyslového využití </w:t>
            </w:r>
            <w:r>
              <w:rPr>
                <w:b/>
                <w:i/>
              </w:rPr>
              <w:t>až k vrcholné fázi</w:t>
            </w:r>
            <w:r>
              <w:t xml:space="preserve"> výroby </w:t>
            </w:r>
            <w:r>
              <w:rPr>
                <w:b/>
                <w:i/>
              </w:rPr>
              <w:t>v plném rozsahu</w:t>
            </w:r>
            <w:r>
              <w:t xml:space="preserve"> a průmyslové vyspělosti a internacionalizace;</w:t>
            </w:r>
          </w:p>
        </w:tc>
        <w:tc>
          <w:tcPr>
            <w:tcW w:w="4876" w:type="dxa"/>
            <w:tcBorders>
              <w:top w:val="nil"/>
              <w:left w:val="nil"/>
              <w:bottom w:val="nil"/>
              <w:right w:val="nil"/>
            </w:tcBorders>
          </w:tcPr>
          <w:p>
            <w:pPr>
              <w:pStyle w:val="Normal6a"/>
            </w:pPr>
            <w:r>
              <w:t>11)</w:t>
            </w:r>
            <w:r>
              <w:tab/>
            </w:r>
            <w:r>
              <w:t xml:space="preserve">„investičním vývojem“ se rozumí nepřetržitý sled veřejné a soukromé finanční podpory a mechanismů podpory politiky poskytované příjemcům v celém řetězci vývoje, včetně ucelené řady činností spojených s přidělováním finančních zdrojů a poskytováním podpory na podporu inovací a hospodářského růstu. </w:t>
            </w:r>
            <w:r>
              <w:rPr>
                <w:b/>
                <w:i/>
              </w:rPr>
              <w:t>Tento</w:t>
            </w:r>
            <w:r>
              <w:t xml:space="preserve"> vývoj</w:t>
            </w:r>
            <w:r>
              <w:rPr>
                <w:b/>
                <w:i/>
              </w:rPr>
              <w:t>, který zahrnuje všechny technologie definované v nařízení (EU) 2024/1735 (akt o průmyslu pro nulové čisté emise) jako technologie s nulovými čistými emisemi,</w:t>
            </w:r>
            <w:r>
              <w:t xml:space="preserve"> zahrnuje mimo jiné zahájení </w:t>
            </w:r>
            <w:r>
              <w:rPr>
                <w:b/>
                <w:i/>
              </w:rPr>
              <w:t>fází</w:t>
            </w:r>
            <w:r>
              <w:t xml:space="preserve"> základního a aplikovaného výzkumu, </w:t>
            </w:r>
            <w:r>
              <w:rPr>
                <w:b/>
                <w:i/>
              </w:rPr>
              <w:t>postup do stadií</w:t>
            </w:r>
            <w:r>
              <w:t xml:space="preserve"> rozšiřování, průmyslového využití </w:t>
            </w:r>
            <w:r>
              <w:rPr>
                <w:b/>
                <w:i/>
              </w:rPr>
              <w:t>a dosažení úplného dokončení</w:t>
            </w:r>
            <w:r>
              <w:t xml:space="preserve"> výroby a průmyslové vyspělosti a internacionalizace;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1112</w:t>
      </w:r>
      <w:r>
        <w:rPr>
          <w:rStyle w:val="HideTWBExt"/>
        </w:rPr>
        <w:t>&lt;/NumAm&gt;</w:t>
      </w:r>
    </w:p>
    <w:p>
      <w:pPr>
        <w:pStyle w:val="NormalBold"/>
      </w:pPr>
      <w:r>
        <w:rPr>
          <w:rStyle w:val="HideTWBExt"/>
          <w:b w:val="0"/>
        </w:rPr>
        <w:t>&lt;RepeatBlock-By&gt;</w:t>
      </w:r>
      <w:r>
        <w:rPr>
          <w:rStyle w:val="HideTWBExt"/>
          <w:b w:val="0"/>
        </w:rPr>
        <w:t>&lt;Members&gt;</w:t>
      </w:r>
      <w:r>
        <w:t>Laura Ballarín Cereza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 – bod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„investičním vývojem“ se rozumí nepřetržitý sled veřejné a soukromé finanční podpory a mechanismů podpory politiky poskytované příjemcům v celém řetězci </w:t>
            </w:r>
            <w:r>
              <w:rPr>
                <w:b/>
                <w:i/>
              </w:rPr>
              <w:t>vývoje</w:t>
            </w:r>
            <w:r>
              <w:t xml:space="preserve">, včetně </w:t>
            </w:r>
            <w:r>
              <w:rPr>
                <w:b/>
                <w:i/>
              </w:rPr>
              <w:t>ucelené</w:t>
            </w:r>
            <w:r>
              <w:t xml:space="preserve"> řady činností spojených s přidělováním finančních zdrojů a poskytováním podpory na podporu inovací a hospodářského růstu. Uvedený vývoj zahrnuje mimo jiné zahájení od fáze základního a aplikovaného výzkumu, další pokrok přes fáze rozšiřování, průmyslového využití až k vrcholné fázi výroby v plném rozsahu a průmyslové vyspělosti a internacionalizace;</w:t>
            </w:r>
          </w:p>
        </w:tc>
        <w:tc>
          <w:tcPr>
            <w:tcW w:w="4876" w:type="dxa"/>
            <w:tcBorders>
              <w:top w:val="nil"/>
              <w:left w:val="nil"/>
              <w:bottom w:val="nil"/>
              <w:right w:val="nil"/>
            </w:tcBorders>
          </w:tcPr>
          <w:p>
            <w:pPr>
              <w:pStyle w:val="Normal6a"/>
            </w:pPr>
            <w:r>
              <w:t>11)</w:t>
            </w:r>
            <w:r>
              <w:tab/>
            </w:r>
            <w:r>
              <w:t xml:space="preserve">„investičním vývojem“ se rozumí nepřetržitý sled veřejné a soukromé finanční podpory a mechanismů podpory politiky poskytované příjemcům </w:t>
            </w:r>
            <w:r>
              <w:rPr>
                <w:b/>
                <w:i/>
              </w:rPr>
              <w:t>jako jedinému subjektu nebo jako skupině spolupracujících subjektů</w:t>
            </w:r>
            <w:r>
              <w:t xml:space="preserve"> v celém </w:t>
            </w:r>
            <w:r>
              <w:rPr>
                <w:b/>
                <w:i/>
              </w:rPr>
              <w:t>vývojovém</w:t>
            </w:r>
            <w:r>
              <w:t xml:space="preserve"> řetězci, včetně </w:t>
            </w:r>
            <w:r>
              <w:rPr>
                <w:b/>
                <w:i/>
              </w:rPr>
              <w:t>komplexní</w:t>
            </w:r>
            <w:r>
              <w:t xml:space="preserve"> řady činností spojených s přidělováním finančních zdrojů a poskytováním podpory na podporu inovací a hospodářského růstu. Uvedený vývoj zahrnuje mimo jiné zahájení od fáze základního a aplikovaného výzkumu, další pokrok přes fáze rozšiřování, průmyslového využití až k vrcholné fázi výroby v plném rozsahu a průmyslové vyspělosti a internacionalizace;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Návrh se příliš zaměřuje na investiční metody jednotlivých společností, zatímco cesta od nápadu přes výzkum a vývoj a vývoj prototypů k uvedení na trh a rozšíření je často metodou zahrnující skupiny společností spolupracujících v různých fázích této metody.</w:t>
      </w:r>
    </w:p>
    <w:p>
      <w:r>
        <w:rPr>
          <w:rStyle w:val="HideTWBExt"/>
        </w:rPr>
        <w:t>&lt;/Amend&gt;</w:t>
      </w:r>
    </w:p>
    <w:p>
      <w:pPr>
        <w:pStyle w:val="AmNumberTabs"/>
      </w:pPr>
      <w:r>
        <w:rPr>
          <w:rStyle w:val="HideTWBExt"/>
        </w:rPr>
        <w:t>&lt;Amend&gt;</w:t>
      </w:r>
      <w:r>
        <w:t>Pozměňovací návrh</w:t>
      </w:r>
      <w:r>
        <w:tab/>
      </w:r>
      <w:r>
        <w:tab/>
      </w:r>
      <w:r>
        <w:rPr>
          <w:rStyle w:val="HideTWBExt"/>
        </w:rPr>
        <w:t>&lt;NumAm&gt;</w:t>
      </w:r>
      <w:r>
        <w:t>1113</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 – bod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rPr>
                <w:b/>
                <w:i/>
              </w:rPr>
              <w:t>)</w:t>
            </w:r>
            <w:r>
              <w:tab/>
            </w:r>
            <w:r>
              <w:t>„investičním vývojem“ se rozumí nepřetržitý sled veřejné a soukromé finanční podpory a mechanismů podpory politiky poskytované příjemcům v celém řetězci vývoje, včetně ucelené řady činností spojených s přidělováním finančních zdrojů a poskytováním podpory na podporu inovací a hospodářského růstu. Uvedený vývoj zahrnuje mimo jiné zahájení od fáze základního a aplikovaného výzkumu, další pokrok přes fáze rozšiřování, průmyslového využití až k vrcholné fázi výroby v plném rozsahu a průmyslové vyspělosti a internacionalizace;</w:t>
            </w:r>
          </w:p>
        </w:tc>
        <w:tc>
          <w:tcPr>
            <w:tcW w:w="4876" w:type="dxa"/>
            <w:tcBorders>
              <w:top w:val="nil"/>
              <w:left w:val="nil"/>
              <w:bottom w:val="nil"/>
              <w:right w:val="nil"/>
            </w:tcBorders>
          </w:tcPr>
          <w:p>
            <w:pPr>
              <w:pStyle w:val="Normal6a"/>
            </w:pPr>
            <w:r>
              <w:t>11</w:t>
            </w:r>
            <w:r>
              <w:rPr>
                <w:b/>
                <w:i/>
              </w:rPr>
              <w:t>.</w:t>
            </w:r>
            <w:r>
              <w:tab/>
            </w:r>
            <w:r>
              <w:t xml:space="preserve">„investičním vývojem“ se rozumí nepřetržitý sled veřejné a soukromé finanční podpory a mechanismů podpory politiky poskytované příjemcům </w:t>
            </w:r>
            <w:r>
              <w:rPr>
                <w:b/>
                <w:i/>
              </w:rPr>
              <w:t>v EU</w:t>
            </w:r>
            <w:r>
              <w:t xml:space="preserve"> v celém řetězci vývoje, včetně ucelené řady činností spojených s přidělováním finančních zdrojů a poskytováním podpory na podporu inovací a hospodářského růstu. Uvedený vývoj zahrnuje mimo jiné zahájení od fáze základního a aplikovaného výzkumu, další pokrok přes fáze rozšiřování, průmyslového využití až k vrcholné fázi výroby v plném rozsahu a průmyslové vyspělosti a internacionalizace;</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1114</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 – bod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„právnickými subjekty“ se rozumí právnické osoby založené a uznané jako takové podle unijního, vnitrostátního nebo mezinárodního práva, včetně Struktur pro evropské zbrojní programy (SEAP) zřízených v souladu s nařízením Evropského parlamentu a Rady (EU) </w:t>
            </w:r>
            <w:r>
              <w:rPr>
                <w:b/>
                <w:i/>
              </w:rPr>
              <w:t>[XXX]</w:t>
            </w:r>
            <w:r>
              <w:rPr>
                <w:b/>
                <w:i/>
                <w:vertAlign w:val="superscript"/>
              </w:rPr>
              <w:t>32</w:t>
            </w:r>
            <w:r>
              <w:rPr>
                <w:b/>
                <w:i/>
              </w:rPr>
              <w:t>[EDIP], které mají</w:t>
            </w:r>
            <w:r>
              <w:t xml:space="preserve"> právní subjektivitu a způsobilost jednat vlastním jménem, </w:t>
            </w:r>
            <w:r>
              <w:rPr>
                <w:b/>
                <w:i/>
              </w:rPr>
              <w:t>nabývat pro sebe</w:t>
            </w:r>
            <w:r>
              <w:t xml:space="preserve"> práva a </w:t>
            </w:r>
            <w:r>
              <w:rPr>
                <w:b/>
                <w:i/>
              </w:rPr>
              <w:t>zavazovat se k povinnostem</w:t>
            </w:r>
            <w:r>
              <w:t>, nebo subjekt bez právní subjektivity</w:t>
            </w:r>
            <w:r>
              <w:rPr>
                <w:b/>
                <w:i/>
              </w:rPr>
              <w:t>, jak je uveden</w:t>
            </w:r>
            <w:r>
              <w:t xml:space="preserve"> v čl. 200 odst. 2 písm.</w:t>
            </w:r>
            <w:r>
              <w:rPr>
                <w:b/>
                <w:i/>
              </w:rPr>
              <w:t xml:space="preserve"> c)</w:t>
            </w:r>
            <w:r>
              <w:t xml:space="preserve"> finančního nařízení;</w:t>
            </w:r>
          </w:p>
        </w:tc>
        <w:tc>
          <w:tcPr>
            <w:tcW w:w="4876" w:type="dxa"/>
            <w:tcBorders>
              <w:top w:val="nil"/>
              <w:left w:val="nil"/>
              <w:bottom w:val="nil"/>
              <w:right w:val="nil"/>
            </w:tcBorders>
          </w:tcPr>
          <w:p>
            <w:pPr>
              <w:pStyle w:val="Normal6a"/>
            </w:pPr>
            <w:r>
              <w:t>13)</w:t>
            </w:r>
            <w:r>
              <w:tab/>
            </w:r>
            <w:r>
              <w:t xml:space="preserve">„právnickými subjekty“ se rozumí právnické osoby založené a uznané jako takové podle unijního, vnitrostátního nebo mezinárodního práva, včetně Struktur pro evropské zbrojní programy (SEAP) zřízených v souladu s nařízením Evropského parlamentu a Rady (EU) </w:t>
            </w:r>
            <w:r>
              <w:rPr>
                <w:b/>
                <w:i/>
              </w:rPr>
              <w:t>2025/2643, konsorcia evropské výzkumné infrastruktury (ERIC) zřízeného v souladu s nařízením Rady (ES) č. 723/2009 a konsorcia evropské digitální infrastruktury (EDIC) zřízeného v souladu s nařízením (EU) 2022/2481, která má</w:t>
            </w:r>
            <w:r>
              <w:t xml:space="preserve"> právní subjektivitu a způsobilost jednat vlastním jménem, </w:t>
            </w:r>
            <w:r>
              <w:rPr>
                <w:b/>
                <w:i/>
              </w:rPr>
              <w:t>vykonávat</w:t>
            </w:r>
            <w:r>
              <w:t xml:space="preserve"> práva a </w:t>
            </w:r>
            <w:r>
              <w:rPr>
                <w:b/>
                <w:i/>
              </w:rPr>
              <w:t>mít povinnosti</w:t>
            </w:r>
            <w:r>
              <w:t xml:space="preserve">, nebo subjekt bez právní subjektivity </w:t>
            </w:r>
            <w:r>
              <w:rPr>
                <w:b/>
                <w:i/>
              </w:rPr>
              <w:t>uvedený</w:t>
            </w:r>
            <w:r>
              <w:t xml:space="preserve"> v čl. 200 odst. 2 písm.</w:t>
            </w:r>
            <w:r>
              <w:rPr>
                <w:b/>
                <w:i/>
              </w:rPr>
              <w:t> c)</w:t>
            </w:r>
            <w:r>
              <w:t xml:space="preserve"> finančního nařízení;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32</w:t>
            </w:r>
            <w:r>
              <w:t xml:space="preserve"> </w:t>
            </w:r>
            <w:r>
              <w:rPr>
                <w:b/>
                <w:i/>
              </w:rPr>
              <w:t>Úř. věst. L , , s.</w:t>
            </w:r>
            <w:r>
              <w:t xml:space="preserve"> </w:t>
            </w:r>
            <w:r>
              <w:rPr>
                <w:b/>
                <w:i/>
              </w:rPr>
              <w:t>.</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1115</w:t>
      </w:r>
      <w:r>
        <w:rPr>
          <w:rStyle w:val="HideTWBExt"/>
        </w:rPr>
        <w:t>&lt;/NumAm&gt;</w:t>
      </w:r>
    </w:p>
    <w:p>
      <w:pPr>
        <w:pStyle w:val="NormalBold"/>
      </w:pPr>
      <w:r>
        <w:rPr>
          <w:rStyle w:val="HideTWBExt"/>
          <w:b w:val="0"/>
        </w:rPr>
        <w:t>&lt;RepeatBlock-By&gt;</w:t>
      </w:r>
      <w:r>
        <w:rPr>
          <w:rStyle w:val="HideTWBExt"/>
          <w:b w:val="0"/>
        </w:rPr>
        <w:t>&lt;Members&gt;</w:t>
      </w:r>
      <w:r>
        <w:t>Yvan Verougstraete, Christophe Grudler,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 – bod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w:t>
            </w:r>
            <w:r>
              <w:tab/>
            </w:r>
            <w:r>
              <w:rPr>
                <w:b/>
                <w:i/>
              </w:rPr>
              <w:t>„pečetí konkurenceschopnosti“ se rozumí značka kvality udělovaná návrhu podanému v rámci výzvy k předkládání návrhů, který splňuje všechny požadavky na kvalitu stanovené v udělovacím řízení, ale mohl by získat podporu z jiných unijních nebo vnitrostátních zdrojů financování;</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Není nutný, protože se na něj vztahuje jeho vlastní článek.</w:t>
      </w:r>
    </w:p>
    <w:p>
      <w:r>
        <w:rPr>
          <w:rStyle w:val="HideTWBExt"/>
        </w:rPr>
        <w:t>&lt;/Amend&gt;</w:t>
      </w:r>
    </w:p>
    <w:p>
      <w:pPr>
        <w:pStyle w:val="AmNumberTabs"/>
      </w:pPr>
      <w:r>
        <w:rPr>
          <w:rStyle w:val="HideTWBExt"/>
        </w:rPr>
        <w:t>&lt;Amend&gt;</w:t>
      </w:r>
      <w:r>
        <w:t>Pozměňovací návrh</w:t>
      </w:r>
      <w:r>
        <w:tab/>
      </w:r>
      <w:r>
        <w:tab/>
      </w:r>
      <w:r>
        <w:rPr>
          <w:rStyle w:val="HideTWBExt"/>
        </w:rPr>
        <w:t>&lt;NumAm&gt;</w:t>
      </w:r>
      <w:r>
        <w:t>1116</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 – bod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rPr>
                <w:b/>
                <w:i/>
              </w:rPr>
              <w:t>)</w:t>
            </w:r>
            <w:r>
              <w:tab/>
            </w:r>
            <w:r>
              <w:t>„pečetí konkurenceschopnosti“ se rozumí značka kvality udělovaná návrhu podanému v rámci výzvy k předkládání návrhů, který splňuje všechny požadavky na kvalitu stanovené v udělovacím řízení, ale mohl by získat podporu z jiných unijních nebo vnitrostátních zdrojů financování;</w:t>
            </w:r>
          </w:p>
        </w:tc>
        <w:tc>
          <w:tcPr>
            <w:tcW w:w="4876" w:type="dxa"/>
            <w:tcBorders>
              <w:top w:val="nil"/>
              <w:left w:val="nil"/>
              <w:bottom w:val="nil"/>
              <w:right w:val="nil"/>
            </w:tcBorders>
          </w:tcPr>
          <w:p>
            <w:pPr>
              <w:pStyle w:val="Normal6a"/>
            </w:pPr>
            <w:r>
              <w:t>17</w:t>
            </w:r>
            <w:r>
              <w:rPr>
                <w:b/>
                <w:i/>
              </w:rPr>
              <w:t>.</w:t>
            </w:r>
            <w:r>
              <w:tab/>
            </w:r>
            <w:r>
              <w:t xml:space="preserve">„pečetí konkurenceschopnosti“ se rozumí </w:t>
            </w:r>
            <w:r>
              <w:rPr>
                <w:b/>
                <w:i/>
              </w:rPr>
              <w:t>evropská</w:t>
            </w:r>
            <w:r>
              <w:t xml:space="preserve"> značka kvality udělovaná návrhu podanému v rámci výzvy k předkládání návrhů, který splňuje všechny požadavky na kvalitu stanovené v udělovacím řízení, ale mohl by získat podporu z jiných unijních nebo vnitrostátních zdrojů financování;</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1117</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 – bod 17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„sociální ekonomikou“ soubor soukromoprávních subjektů poskytujících zboží a služby svým členům nebo společnosti, zahrnující organizační formy, jako jsou družstva, vzájemné společnosti, sdružení (včetně charitativních organizací), nadace nebo sociální podniky, jakož i další právní formy, které fungují v souladu s následujícími klíčovými zásadami a rysy: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upřednostnění lidí a sociálních nebo environmentálních cílů před ziskem;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 veškerý zisk a přebytky nebo jejich většina jsou opětovně investovány za účelem dalšího plnění sociálních nebo environmentálních cílů a provádění činností v zájmu členů/uživatelů („kolektivní zájem“) nebo společnosti jako celku („obecný zájem“) a</w:t>
            </w:r>
            <w:r>
              <w:rPr>
                <w:b/>
                <w:i/>
              </w:rPr>
              <w: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(iii) demokratické nebo participativní řízení.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1118</w:t>
      </w:r>
      <w:r>
        <w:rPr>
          <w:rStyle w:val="HideTWBExt"/>
        </w:rPr>
        <w:t>&lt;/NumAm&gt;</w:t>
      </w:r>
    </w:p>
    <w:p>
      <w:pPr>
        <w:pStyle w:val="NormalBold"/>
      </w:pPr>
      <w:r>
        <w:rPr>
          <w:rStyle w:val="HideTWBExt"/>
          <w:b w:val="0"/>
        </w:rPr>
        <w:t>&lt;RepeatBlock-By&gt;</w:t>
      </w:r>
      <w:r>
        <w:rPr>
          <w:rStyle w:val="HideTWBExt"/>
          <w:b w:val="0"/>
        </w:rPr>
        <w:t>&lt;Members&gt;</w:t>
      </w:r>
      <w:r>
        <w:t>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 – bod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w:t>
            </w:r>
            <w:r>
              <w:rPr>
                <w:b/>
                <w:i/>
              </w:rPr>
              <w:t>malým podnikem</w:t>
            </w:r>
            <w:r>
              <w:t xml:space="preserve"> se střední tržní kapitalizací“ </w:t>
            </w:r>
            <w:r>
              <w:rPr>
                <w:b/>
                <w:i/>
              </w:rPr>
              <w:t>se rozumí subjekt vymezený v</w:t>
            </w:r>
            <w:r>
              <w:t xml:space="preserve"> doporučení Komise </w:t>
            </w:r>
            <w:r>
              <w:rPr>
                <w:b/>
                <w:i/>
              </w:rPr>
              <w:t>2025/3500 final;</w:t>
            </w:r>
          </w:p>
        </w:tc>
        <w:tc>
          <w:tcPr>
            <w:tcW w:w="4876" w:type="dxa"/>
            <w:tcBorders>
              <w:top w:val="nil"/>
              <w:left w:val="nil"/>
              <w:bottom w:val="nil"/>
              <w:right w:val="nil"/>
            </w:tcBorders>
          </w:tcPr>
          <w:p>
            <w:pPr>
              <w:pStyle w:val="Normal6a"/>
            </w:pPr>
            <w:r>
              <w:t>18)</w:t>
            </w:r>
            <w:r>
              <w:tab/>
            </w:r>
            <w:r>
              <w:t>„</w:t>
            </w:r>
            <w:r>
              <w:rPr>
                <w:b/>
                <w:i/>
              </w:rPr>
              <w:t>malými podniky</w:t>
            </w:r>
            <w:r>
              <w:t xml:space="preserve"> se střední tržní kapitalizací“ </w:t>
            </w:r>
            <w:r>
              <w:rPr>
                <w:b/>
                <w:i/>
              </w:rPr>
              <w:t>podniky, které nejsou mikropodniky ani malými a středními podniky a které zaměstnávají méně než 1 000 osob a jejichž roční obrat nepřesahuje 200 milionů EUR, nebo jejichž bilanční suma roční rozvahy nepřesahuje 172 milionů EUR, přičemž tyto počty a částky se vypočítají v souladu s body 1 a 3 až 6 přílohy</w:t>
            </w:r>
            <w:r>
              <w:t xml:space="preserve"> doporučení Komise </w:t>
            </w:r>
            <w:r>
              <w:rPr>
                <w:b/>
                <w:i/>
              </w:rPr>
              <w:t>2025/1099 o definici malých podniků se střední tržní kapitalizací.</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Jde o to, sladit definici s postoji Parlamentu a Rady k souhrnnému návrhu týkajícímu se malých společností se střední tržní kapitalizací.</w:t>
      </w:r>
    </w:p>
    <w:p>
      <w:r>
        <w:rPr>
          <w:rStyle w:val="HideTWBExt"/>
        </w:rPr>
        <w:t>&lt;/Amend&gt;</w:t>
      </w:r>
    </w:p>
    <w:p>
      <w:pPr>
        <w:pStyle w:val="AmNumberTabs"/>
      </w:pPr>
      <w:r>
        <w:rPr>
          <w:rStyle w:val="HideTWBExt"/>
        </w:rPr>
        <w:t>&lt;Amend&gt;</w:t>
      </w:r>
      <w:r>
        <w:t>Pozměňovací návrh</w:t>
      </w:r>
      <w:r>
        <w:tab/>
      </w:r>
      <w:r>
        <w:tab/>
      </w:r>
      <w:r>
        <w:rPr>
          <w:rStyle w:val="HideTWBExt"/>
        </w:rPr>
        <w:t>&lt;NumAm&gt;</w:t>
      </w:r>
      <w:r>
        <w:t>1119</w:t>
      </w:r>
      <w:r>
        <w:rPr>
          <w:rStyle w:val="HideTWBExt"/>
        </w:rPr>
        <w:t>&lt;/NumAm&gt;</w:t>
      </w:r>
    </w:p>
    <w:p>
      <w:pPr>
        <w:pStyle w:val="NormalBold"/>
      </w:pPr>
      <w:r>
        <w:rPr>
          <w:rStyle w:val="HideTWBExt"/>
          <w:b w:val="0"/>
        </w:rPr>
        <w:t>&lt;RepeatBlock-By&gt;</w:t>
      </w:r>
      <w:r>
        <w:rPr>
          <w:rStyle w:val="HideTWBExt"/>
          <w:b w:val="0"/>
        </w:rPr>
        <w:t>&lt;Members&gt;</w:t>
      </w:r>
      <w:r>
        <w:t>Yvan Verougstraete, Stine Bosse, Grégory Allione, Christophe Grudler, Barry Andrews,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 – bod 19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„startupem“ se rozumí podnik, který splňuje všechna tato kritéria: a) je nezávislým podnikem ve smyslu bodu 5.1 přílohy doporučení Komise C(2026) 1800 final; b) zaměstnává méně než 100 osob a jeho roční obrat nebo bilanční suma roční rozvahy nebo obojí nepřesahuje 10 milionů EUR; c) je v provozu méně než deset let po registraci;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1120</w:t>
      </w:r>
      <w:r>
        <w:rPr>
          <w:rStyle w:val="HideTWBExt"/>
        </w:rPr>
        <w:t>&lt;/NumAm&gt;</w:t>
      </w:r>
    </w:p>
    <w:p>
      <w:pPr>
        <w:pStyle w:val="NormalBold"/>
      </w:pPr>
      <w:r>
        <w:rPr>
          <w:rStyle w:val="HideTWBExt"/>
          <w:b w:val="0"/>
        </w:rPr>
        <w:t>&lt;RepeatBlock-By&gt;</w:t>
      </w:r>
      <w:r>
        <w:rPr>
          <w:rStyle w:val="HideTWBExt"/>
          <w:b w:val="0"/>
        </w:rPr>
        <w:t>&lt;Members&gt;</w:t>
      </w:r>
      <w:r>
        <w:t>Yvan Verougstraete, Stine Bosse, Grégory Allione, Christophe Grudler, Barry Andrews,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 – bod 19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19b)</w:t>
            </w:r>
            <w:r>
              <w:tab/>
            </w:r>
            <w:r>
              <w:rPr>
                <w:b/>
                <w:i/>
              </w:rPr>
              <w:t>„scaleupem“ se rozumí podnik, který splňuje všechna tato kritéria: a) je nezávislým podnikem ve smyslu bodu 5.1 přílohy doporučení Komise C(2026) 1800 final; c) jeho roční obrat nebo bilanční suma či obojí přesahuje 10 milionů EUR; d) jeho průměrný roční nárůst počtu zaměstnanců nebo příjmů přesahuje 20 % za předchozí dva roky; e) splňuje alespoň jedno z těchto dvou kritérií: i) zaměstnává méně než 750 osob; ii) není veřejně kótovaným podnikem;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1121</w:t>
      </w:r>
      <w:r>
        <w:rPr>
          <w:rStyle w:val="HideTWBExt"/>
        </w:rPr>
        <w:t>&lt;/NumAm&gt;</w:t>
      </w:r>
    </w:p>
    <w:p>
      <w:pPr>
        <w:pStyle w:val="NormalBold"/>
      </w:pPr>
      <w:r>
        <w:rPr>
          <w:rStyle w:val="HideTWBExt"/>
          <w:b w:val="0"/>
        </w:rPr>
        <w:t>&lt;RepeatBlock-By&gt;</w:t>
      </w:r>
      <w:r>
        <w:rPr>
          <w:rStyle w:val="HideTWBExt"/>
          <w:b w:val="0"/>
        </w:rPr>
        <w:t>&lt;Members&gt;</w:t>
      </w:r>
      <w:r>
        <w:t>Yvan Verougstraete, Brigitte van den Berg, Stine Bosse, Grégory Allione, Sigrid Friis, Morten Løkkegaard, Christophe Grudler, Barry Andrews, Emma Wiesner,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 – bod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„zúčastněnými stranami“ se rozumí jednotlivci, skupiny nebo organizace, kteří jsou dotčeni prováděním programu a mohou se do něj zapojit;</w:t>
            </w:r>
          </w:p>
        </w:tc>
        <w:tc>
          <w:tcPr>
            <w:tcW w:w="4876" w:type="dxa"/>
            <w:tcBorders>
              <w:top w:val="nil"/>
              <w:left w:val="nil"/>
              <w:bottom w:val="nil"/>
              <w:right w:val="nil"/>
            </w:tcBorders>
          </w:tcPr>
          <w:p>
            <w:pPr>
              <w:pStyle w:val="Normal6a"/>
            </w:pPr>
            <w:r>
              <w:t>20)</w:t>
            </w:r>
            <w:r>
              <w:tab/>
            </w:r>
            <w:r>
              <w:t>„zúčastněnými stranami“ se rozumí jednotlivci, skupiny nebo organizace, kteří jsou dotčeni prováděním programu a mohou se do něj zapojit</w:t>
            </w:r>
            <w:r>
              <w:rPr>
                <w:b/>
                <w:i/>
              </w:rPr>
              <w:t>, včetně sociálních partnerů, příslušných organizací občanské společnosti, místních a regionálních orgánů a odborníků z průmyslu, výzkumu a inovací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1122</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 – bod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„zúčastněnými stranami“ </w:t>
            </w:r>
            <w:r>
              <w:rPr>
                <w:b/>
                <w:i/>
              </w:rPr>
              <w:t>se rozumí</w:t>
            </w:r>
            <w:r>
              <w:t xml:space="preserve"> jednotlivci, skupiny </w:t>
            </w:r>
            <w:r>
              <w:rPr>
                <w:b/>
                <w:i/>
              </w:rPr>
              <w:t>nebo</w:t>
            </w:r>
            <w:r>
              <w:t xml:space="preserve"> organizace, </w:t>
            </w:r>
            <w:r>
              <w:rPr>
                <w:b/>
                <w:i/>
              </w:rPr>
              <w:t>kteří jsou dotčeni prováděním</w:t>
            </w:r>
            <w:r>
              <w:t xml:space="preserve"> programu a </w:t>
            </w:r>
            <w:r>
              <w:rPr>
                <w:b/>
                <w:i/>
              </w:rPr>
              <w:t>mohou se do něj zapojit</w:t>
            </w:r>
            <w:r>
              <w:t>;</w:t>
            </w:r>
          </w:p>
        </w:tc>
        <w:tc>
          <w:tcPr>
            <w:tcW w:w="4876" w:type="dxa"/>
            <w:tcBorders>
              <w:top w:val="nil"/>
              <w:left w:val="nil"/>
              <w:bottom w:val="nil"/>
              <w:right w:val="nil"/>
            </w:tcBorders>
          </w:tcPr>
          <w:p>
            <w:pPr>
              <w:pStyle w:val="Normal6a"/>
            </w:pPr>
            <w:r>
              <w:t>20)</w:t>
            </w:r>
            <w:r>
              <w:tab/>
            </w:r>
            <w:r>
              <w:t xml:space="preserve">„zúčastněnými stranami“ jednotlivci, skupiny </w:t>
            </w:r>
            <w:r>
              <w:rPr>
                <w:b/>
                <w:i/>
              </w:rPr>
              <w:t>a</w:t>
            </w:r>
            <w:r>
              <w:t xml:space="preserve"> organizace, </w:t>
            </w:r>
            <w:r>
              <w:rPr>
                <w:b/>
                <w:i/>
              </w:rPr>
              <w:t>včetně organizací občanské společnosti, které mohou mít oprávněný zájem na provádění</w:t>
            </w:r>
            <w:r>
              <w:t xml:space="preserve"> programu a </w:t>
            </w:r>
            <w:r>
              <w:rPr>
                <w:b/>
                <w:i/>
              </w:rPr>
              <w:t>jsou konzultovány po celou dobu provádění programu, a to i ve fázi návrhu programu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1123</w:t>
      </w:r>
      <w:r>
        <w:rPr>
          <w:rStyle w:val="HideTWBExt"/>
        </w:rPr>
        <w:t>&lt;/NumAm&gt;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 – bod 20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„strategickými technologiemi“ klíčové technologie, které mají zásadní význam pro ekologickou a digitální transformaci, jakož i pro obranné a letecké a kosmické aplikace ve smyslu čl. 2 bodu 30 aktu o kritických surovinách;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1124</w:t>
      </w:r>
      <w:r>
        <w:rPr>
          <w:rStyle w:val="HideTWBExt"/>
        </w:rPr>
        <w:t>&lt;/NumAm&gt;</w:t>
      </w:r>
    </w:p>
    <w:p>
      <w:pPr>
        <w:pStyle w:val="NormalBold"/>
      </w:pPr>
      <w:r>
        <w:rPr>
          <w:rStyle w:val="HideTWBExt"/>
          <w:b w:val="0"/>
        </w:rPr>
        <w:t>&lt;RepeatBlock-By&gt;</w:t>
      </w:r>
      <w:r>
        <w:rPr>
          <w:rStyle w:val="HideTWBExt"/>
          <w:b w:val="0"/>
        </w:rPr>
        <w:t>&lt;Members&gt;</w:t>
      </w:r>
      <w:r>
        <w:t>Bruno Tobback, Thomas Pellerin-Carlin, Yannis Maniatis, Nicolás González Casares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 – bod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„infrastrukturou“ </w:t>
            </w:r>
            <w:r>
              <w:rPr>
                <w:b/>
                <w:i/>
              </w:rPr>
              <w:t>se rozumí</w:t>
            </w:r>
            <w:r>
              <w:t xml:space="preserve"> všechny fyzické a virtuální prvky nezbytné pro poskytování služeb a hospodářských činností, včetně sítí, </w:t>
            </w:r>
            <w:r>
              <w:rPr>
                <w:b/>
                <w:i/>
              </w:rPr>
              <w:t>rozvodných</w:t>
            </w:r>
            <w:r>
              <w:t xml:space="preserve"> sítí </w:t>
            </w:r>
            <w:r>
              <w:rPr>
                <w:b/>
                <w:i/>
              </w:rPr>
              <w:t>a prostředků</w:t>
            </w:r>
            <w:r>
              <w:t>, jakož i mobilních aktiv spojených s infrastrukturou, které podporují dekarbonizaci, odolnost, účinnost, digitalizaci a interoperabilitu</w:t>
            </w:r>
            <w:r>
              <w:rPr>
                <w:b/>
                <w:i/>
              </w:rPr>
              <w:t>.</w:t>
            </w:r>
          </w:p>
        </w:tc>
        <w:tc>
          <w:tcPr>
            <w:tcW w:w="4876" w:type="dxa"/>
            <w:tcBorders>
              <w:top w:val="nil"/>
              <w:left w:val="nil"/>
              <w:bottom w:val="nil"/>
              <w:right w:val="nil"/>
            </w:tcBorders>
          </w:tcPr>
          <w:p>
            <w:pPr>
              <w:pStyle w:val="Normal6a"/>
            </w:pPr>
            <w:r>
              <w:t>21)</w:t>
            </w:r>
            <w:r>
              <w:tab/>
            </w:r>
            <w:r>
              <w:t>„infrastrukturou“ všechny fyzické a virtuální prvky nezbytné pro poskytování služeb a hospodářských činností, včetně sítí, sítí</w:t>
            </w:r>
            <w:r>
              <w:rPr>
                <w:b/>
                <w:i/>
              </w:rPr>
              <w:t>, aktiv, technologického softwaru pro zvýšení flexibility a sítě a dalších bezdrátových řešení</w:t>
            </w:r>
            <w:r>
              <w:t xml:space="preserve">, jakož i mobilních aktiv spojených s infrastrukturou, které podporují dekarbonizaci, odolnost, účinnost, </w:t>
            </w:r>
            <w:r>
              <w:rPr>
                <w:b/>
                <w:i/>
              </w:rPr>
              <w:t>řešení flexibility,</w:t>
            </w:r>
            <w:r>
              <w:t xml:space="preserve"> digitalizaci a interoperabilitu</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1125</w:t>
      </w:r>
      <w:r>
        <w:rPr>
          <w:rStyle w:val="HideTWBExt"/>
        </w:rPr>
        <w:t>&lt;/NumAm&gt;</w:t>
      </w:r>
    </w:p>
    <w:p>
      <w:pPr>
        <w:pStyle w:val="NormalBold"/>
      </w:pPr>
      <w:r>
        <w:rPr>
          <w:rStyle w:val="HideTWBExt"/>
          <w:b w:val="0"/>
        </w:rPr>
        <w:t>&lt;RepeatBlock-By&gt;</w:t>
      </w:r>
      <w:r>
        <w:rPr>
          <w:rStyle w:val="HideTWBExt"/>
          <w:b w:val="0"/>
        </w:rPr>
        <w:t>&lt;Members&gt;</w:t>
      </w:r>
      <w:r>
        <w:t>Yvan Verougstraete, Brigitte van den Berg, Stine Bosse, Grégory Allione, Sigrid Friis, Morten Løkkegaard, Christophe Grudler, Barry Andrews, Oihane Agirregoitia Martínez,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 – bod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„infrastrukturou“ </w:t>
            </w:r>
            <w:r>
              <w:rPr>
                <w:b/>
                <w:i/>
              </w:rPr>
              <w:t>se rozumí</w:t>
            </w:r>
            <w:r>
              <w:t xml:space="preserve"> všechny fyzické a virtuální prvky nezbytné pro poskytování služeb a hospodářských činností, včetně sítí, </w:t>
            </w:r>
            <w:r>
              <w:rPr>
                <w:b/>
                <w:i/>
              </w:rPr>
              <w:t>rozvodných</w:t>
            </w:r>
            <w:r>
              <w:t xml:space="preserve"> sítí a </w:t>
            </w:r>
            <w:r>
              <w:rPr>
                <w:b/>
                <w:i/>
              </w:rPr>
              <w:t>prostředků</w:t>
            </w:r>
            <w:r>
              <w:t>, jakož i mobilních aktiv spojených s infrastrukturou, které podporují dekarbonizaci, odolnost, účinnost, digitalizaci a interoperabilitu</w:t>
            </w:r>
            <w:r>
              <w:rPr>
                <w:b/>
                <w:i/>
              </w:rPr>
              <w:t>.</w:t>
            </w:r>
          </w:p>
        </w:tc>
        <w:tc>
          <w:tcPr>
            <w:tcW w:w="4876" w:type="dxa"/>
            <w:tcBorders>
              <w:top w:val="nil"/>
              <w:left w:val="nil"/>
              <w:bottom w:val="nil"/>
              <w:right w:val="nil"/>
            </w:tcBorders>
          </w:tcPr>
          <w:p>
            <w:pPr>
              <w:pStyle w:val="Normal6a"/>
            </w:pPr>
            <w:r>
              <w:t>21)</w:t>
            </w:r>
            <w:r>
              <w:tab/>
            </w:r>
            <w:r>
              <w:t xml:space="preserve">„infrastrukturou“ všechny fyzické a virtuální prvky nezbytné pro poskytování služeb a hospodářských činností, včetně sítí, sítí a </w:t>
            </w:r>
            <w:r>
              <w:rPr>
                <w:b/>
                <w:i/>
              </w:rPr>
              <w:t>jejich vyrovnávacích nástrojů, potrubí a aktiv</w:t>
            </w:r>
            <w:r>
              <w:t xml:space="preserve">, jakož i mobilních aktiv spojených s infrastrukturou, které podporují dekarbonizaci, odolnost, účinnost, </w:t>
            </w:r>
            <w:r>
              <w:rPr>
                <w:b/>
                <w:i/>
              </w:rPr>
              <w:t>flexibilitu,</w:t>
            </w:r>
            <w:r>
              <w:t xml:space="preserve"> digitalizaci a interoperabilitu</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1126</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 – bod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„infrastrukturou“ se rozumí všechny fyzické a virtuální prvky nezbytné pro poskytování služeb a hospodářských činností, včetně sítí, rozvodných sítí a prostředků, jakož i mobilních aktiv spojených s infrastrukturou, které podporují dekarbonizaci, odolnost, účinnost, digitalizaci a interoperabilitu.</w:t>
            </w:r>
          </w:p>
        </w:tc>
        <w:tc>
          <w:tcPr>
            <w:tcW w:w="4876" w:type="dxa"/>
            <w:tcBorders>
              <w:top w:val="nil"/>
              <w:left w:val="nil"/>
              <w:bottom w:val="nil"/>
              <w:right w:val="nil"/>
            </w:tcBorders>
          </w:tcPr>
          <w:p>
            <w:pPr>
              <w:pStyle w:val="Normal6a"/>
            </w:pPr>
            <w:r>
              <w:t>21)</w:t>
            </w:r>
            <w:r>
              <w:tab/>
            </w:r>
            <w:r>
              <w:t xml:space="preserve">„infrastrukturou“ se rozumí všechny fyzické a virtuální prvky nezbytné pro poskytování služeb a hospodářských činností, včetně sítí, rozvodných sítí a prostředků, jakož i mobilních aktiv spojených s infrastrukturou, které podporují dekarbonizaci, </w:t>
            </w:r>
            <w:r>
              <w:rPr>
                <w:b/>
                <w:i/>
              </w:rPr>
              <w:t>defosilizaci,</w:t>
            </w:r>
            <w:r>
              <w:t xml:space="preserve"> odolnost, účinnost</w:t>
            </w:r>
            <w:r>
              <w:rPr>
                <w:b/>
                <w:i/>
              </w:rPr>
              <w:t>, flexibilitu</w:t>
            </w:r>
            <w:r>
              <w:t>, digitalizaci a interoperabilitu.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1127</w:t>
      </w:r>
      <w:r>
        <w:rPr>
          <w:rStyle w:val="HideTWBExt"/>
        </w:rPr>
        <w:t>&lt;/NumAm&gt;</w:t>
      </w:r>
    </w:p>
    <w:p>
      <w:pPr>
        <w:pStyle w:val="NormalBold"/>
      </w:pPr>
      <w:r>
        <w:rPr>
          <w:rStyle w:val="HideTWBExt"/>
          <w:b w:val="0"/>
        </w:rPr>
        <w:t>&lt;RepeatBlock-By&gt;</w:t>
      </w:r>
      <w:r>
        <w:rPr>
          <w:rStyle w:val="HideTWBExt"/>
          <w:b w:val="0"/>
        </w:rPr>
        <w:t>&lt;Members&gt;</w:t>
      </w:r>
      <w:r>
        <w:t>Paulo Cunha, 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 – bod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„infrastrukturou“ se rozumí všechny fyzické a virtuální prvky nezbytné pro poskytování služeb a hospodářských činností, včetně sítí, rozvodných sítí a prostředků, jakož i mobilních aktiv spojených s infrastrukturou, které podporují dekarbonizaci, odolnost, účinnost, digitalizaci a interoperabilitu.</w:t>
            </w:r>
          </w:p>
        </w:tc>
        <w:tc>
          <w:tcPr>
            <w:tcW w:w="4876" w:type="dxa"/>
            <w:tcBorders>
              <w:top w:val="nil"/>
              <w:left w:val="nil"/>
              <w:bottom w:val="nil"/>
              <w:right w:val="nil"/>
            </w:tcBorders>
          </w:tcPr>
          <w:p>
            <w:pPr>
              <w:pStyle w:val="Normal6a"/>
            </w:pPr>
            <w:r>
              <w:t>21)</w:t>
            </w:r>
            <w:r>
              <w:tab/>
            </w:r>
            <w:r>
              <w:t xml:space="preserve">„infrastrukturou“ se rozumí všechny fyzické a virtuální prvky nezbytné pro poskytování služeb a hospodářských činností, včetně </w:t>
            </w:r>
            <w:r>
              <w:rPr>
                <w:b/>
                <w:i/>
              </w:rPr>
              <w:t>hospodaření s vodou,</w:t>
            </w:r>
            <w:r>
              <w:t xml:space="preserve"> sítí, rozvodných sítí a prostředků, jakož i mobilních aktiv spojených s infrastrukturou, které podporují dekarbonizaci, odolnost, účinnost, digitalizaci a interoperabilitu.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1128</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 – bod 21 – písm.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w:t>
            </w:r>
            <w:r>
              <w:tab/>
            </w:r>
            <w:r>
              <w:rPr>
                <w:b/>
                <w:i/>
              </w:rPr>
              <w:t>„výsledky“ jakékoli hmotné či nehmotné účinky dané akce v rámci fondu, jako jsou údaje, know-how nebo informace, bez ohledu na jejich formu či povahu a bez ohledu na to, zda mohou být chráněny, jakož i veškerá práva s nimi spojená, včetně práv duševního vlastnictví;</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1129</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 – bod 21 – písm.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w:t>
            </w:r>
            <w:r>
              <w:tab/>
            </w:r>
            <w:r>
              <w:rPr>
                <w:b/>
                <w:i/>
              </w:rPr>
              <w:t>„zvláštní zprávou“ se rozumí konkrétní výstup výzkumné akce, který shrnuje její výsledky a poskytuje podrobné informace o základních zásadách, cílech, výsledcích, základních vlastnostech, provedených testech, potenciálních přínosech, možných aplikacích a očekávaném způsobu využití výzkumu směrem k vývoji, včetně informací o vlastnictví práv duševního vlastnictví, aniž by však vyžadoval zahrnutí informací o právech duševního vlastnictví;</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1130</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 – bod 21 – písm. c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w:t>
            </w:r>
            <w:r>
              <w:tab/>
            </w:r>
            <w:r>
              <w:rPr>
                <w:b/>
                <w:i/>
              </w:rPr>
              <w:t>„kritickými chemickými látkami“ chemické molekuly, které mají zásadní význam pro strategické technologie a hodnotové řetězce a jsou závislé na dodávkách z jediné třetí země nebo od několika dodavatelů ve smyslu Akčního plánu pro evropský chemický průmysl (COM(2025) 530).</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1131</w:t>
      </w:r>
      <w:r>
        <w:rPr>
          <w:rStyle w:val="HideTWBExt"/>
        </w:rPr>
        <w:t>&lt;/NumAm&gt;</w:t>
      </w:r>
    </w:p>
    <w:p>
      <w:pPr>
        <w:pStyle w:val="NormalBold"/>
      </w:pPr>
      <w:r>
        <w:rPr>
          <w:rStyle w:val="HideTWBExt"/>
          <w:b w:val="0"/>
        </w:rPr>
        <w:t>&lt;RepeatBlock-By&gt;</w:t>
      </w:r>
      <w:r>
        <w:rPr>
          <w:rStyle w:val="HideTWBExt"/>
          <w:b w:val="0"/>
        </w:rPr>
        <w:t>&lt;Members&gt;</w:t>
      </w:r>
      <w:r>
        <w:t>Julie Rechagneux, Aleksandar Nikolic,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 – bod 21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„partnery pro společné investice“ soukromí investoři, včetně institucionálních investorů, subjektů rizikového kapitálu a správců alternativních investičních fondů, kteří: a) investují společně s nástrojem InvestEU ECF do operací na podporu strategických priorit Unie; b) zaváží se k investičnímu chování, které je v souladu s dlouhodobou konkurenceschopností a strategickou autonomií Unie, včetně orientace na „trpělivý“ kapitál a dodržování podmínek pro ukončení a další prodej podporovaných aktiv; c) byli na základě kvalifikačního postupu uznáni Komisí jako partneři splňující požadavky stanovené v investičních pokynech uvedených v článku [X];</w:t>
            </w:r>
            <w:r>
              <w:t xml:space="preserve"> </w:t>
            </w:r>
            <w:r>
              <w:rPr>
                <w:b/>
                <w:i/>
              </w:rPr>
              <w:t>a jejich uznání nepředstavuje pověření rozpočtovými úkoly ve smyslu článku 62 nařízení (EU, Euratom) 2024/2509;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1132</w:t>
      </w:r>
      <w:r>
        <w:rPr>
          <w:rStyle w:val="HideTWBExt"/>
        </w:rPr>
        <w:t>&lt;/NumAm&gt;</w:t>
      </w:r>
    </w:p>
    <w:p>
      <w:pPr>
        <w:pStyle w:val="NormalBold"/>
      </w:pPr>
      <w:r>
        <w:rPr>
          <w:rStyle w:val="HideTWBExt"/>
          <w:b w:val="0"/>
        </w:rPr>
        <w:t>&lt;RepeatBlock-By&gt;</w:t>
      </w:r>
      <w:r>
        <w:rPr>
          <w:rStyle w:val="HideTWBExt"/>
          <w:b w:val="0"/>
        </w:rPr>
        <w:t>&lt;Members&gt;</w:t>
      </w:r>
      <w:r>
        <w:t>Thomas Pellerin-Carlin, Yannis Maniatis, Christophe Clergeau, Bruno Tobback, Pierre Jouvet, Raphaël Glucksmann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 – pododstavec 1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konkurenceschopností se rozumí schopnost Unie zvýšit svou produktivitu, podporovat inovace, úspěšně konkurovat na světových trzích, zlepšovat dovednosti a vytvářet kvalitní pracovní místa v Unii s cílem posílit její strategickou autonomii a nezávislost a zajistit odolnost jejího hospodářství vůči bezpečnostním, geopolitickým, zdravotním, klimatickým a environmentálním rizikům nebo jakýmkoli jiným systémovým otřesům a zároveň zajistit rovné podmínky a soulad s čistou transformací a cíli Unie v oblasti klimatu a podpořit sociální, hospodářskou a územní soudržnost;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1133</w:t>
      </w:r>
      <w:r>
        <w:rPr>
          <w:rStyle w:val="HideTWBExt"/>
        </w:rPr>
        <w:t>&lt;/NumAm&gt;</w:t>
      </w:r>
    </w:p>
    <w:p>
      <w:pPr>
        <w:pStyle w:val="NormalBold"/>
      </w:pPr>
      <w:r>
        <w:rPr>
          <w:rStyle w:val="HideTWBExt"/>
          <w:b w:val="0"/>
        </w:rPr>
        <w:t>&lt;RepeatBlock-By&gt;</w:t>
      </w:r>
      <w:r>
        <w:rPr>
          <w:rStyle w:val="HideTWBExt"/>
          <w:b w:val="0"/>
        </w:rPr>
        <w:t>&lt;Members&gt;</w:t>
      </w:r>
      <w:r>
        <w:t>Giorgio Gori, Stefano Bonaccini, Annalisa Corrado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 – bod 21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xx) „částí regionálních, územních a městských inovací“ se rozumí vyhrazená část pracovních programů na podporu výzkumu, testování, demonstrací, zadávání veřejných zakázek a zavádění inovativních řešení v regionálních, územních a městských oblastech prostřednictvím spolupráce mezi místními a regionálními orgány, jejich energetickými agenturami, poskytovateli veřejných služeb, malými a středními podniky, výzkumnými a technologickými organizacemi, vysokoškolskými institucemi, investory a občanskou společností.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1134</w:t>
      </w:r>
      <w:r>
        <w:rPr>
          <w:rStyle w:val="HideTWBExt"/>
        </w:rPr>
        <w:t>&lt;/NumAm&gt;</w:t>
      </w:r>
    </w:p>
    <w:p>
      <w:pPr>
        <w:pStyle w:val="NormalBold"/>
      </w:pPr>
      <w:r>
        <w:rPr>
          <w:rStyle w:val="HideTWBExt"/>
          <w:b w:val="0"/>
        </w:rPr>
        <w:t>&lt;RepeatBlock-By&gt;</w:t>
      </w:r>
      <w:r>
        <w:rPr>
          <w:rStyle w:val="HideTWBExt"/>
          <w:b w:val="0"/>
        </w:rPr>
        <w:t>&lt;Members&gt;</w:t>
      </w:r>
      <w:r>
        <w:t>Paolo Borchia, Isabella Tovaglieri, Raffaele Stancanelli, András Gyürk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 – bod 21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„strategickými závislostmi“ situace, kdy existují pouze omezené možnosti diverzifikace nebo náhrady a Unie se při dodávkách kritických technologií – a to i v digitální oblasti – kritických surovin, kritické infrastruktury nebo kritických dodavatelských řetězců, které mohou mít dopad na bezpečnost, hospodářskou bezpečnost nebo veřejný pořádek Unie, spoléhá převážně na jednu zemi nebo malý počet zemí nebo subjektů mimo Unii;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Strategické závislosti by měly být řešeny především diverzifikací zdrojů, dodavatelů a tras, čímž se posílí odolnost a sníží zranitelnost vůči vnějším otřesům. Obecným cílem by mělo být zmírnit nadměrné závislosti a zároveň se vyhnout přístupu zaměřenému na hospodářskou soběstačnost, který by v otevřeném a globálně integrovaném hospodářství nebyl realistický ani žádoucí. Výslovný odkaz na digitální oblast odráží rostoucí význam digitálních dodavatelských řetězců jako zdroje strategické zranitelnosti.</w:t>
      </w:r>
    </w:p>
    <w:p>
      <w:r>
        <w:rPr>
          <w:rStyle w:val="HideTWBExt"/>
        </w:rPr>
        <w:t>&lt;/Amend&gt;</w:t>
      </w:r>
    </w:p>
    <w:p>
      <w:pPr>
        <w:pStyle w:val="AmNumberTabs"/>
      </w:pPr>
      <w:r>
        <w:rPr>
          <w:rStyle w:val="HideTWBExt"/>
        </w:rPr>
        <w:t>&lt;Amend&gt;</w:t>
      </w:r>
      <w:r>
        <w:t>Pozměňovací návrh</w:t>
      </w:r>
      <w:r>
        <w:tab/>
      </w:r>
      <w:r>
        <w:tab/>
      </w:r>
      <w:r>
        <w:rPr>
          <w:rStyle w:val="HideTWBExt"/>
        </w:rPr>
        <w:t>&lt;NumAm&gt;</w:t>
      </w:r>
      <w:r>
        <w:t>1135</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 – bod 21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„kritickou infrastrukturou“ prostředky, systémy a jejich části nacházející se v členském státě, které jsou zásadní pro zachování nejdůležitějších společenských funkcí, zdraví, bezpečnosti, zabezpečení nebo dobrých hospodářských či sociálních podmínek obyvatel a jejichž narušení nebo zničení by mělo pro alespoň dva členské státy závažný přímý nebo nepřímý dopad v důsledku selhání těchto funkcí;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1136</w:t>
      </w:r>
      <w:r>
        <w:rPr>
          <w:rStyle w:val="HideTWBExt"/>
        </w:rPr>
        <w:t>&lt;/NumAm&gt;</w:t>
      </w:r>
    </w:p>
    <w:p>
      <w:pPr>
        <w:pStyle w:val="NormalBold"/>
      </w:pPr>
      <w:r>
        <w:rPr>
          <w:rStyle w:val="HideTWBExt"/>
          <w:b w:val="0"/>
        </w:rPr>
        <w:t>&lt;RepeatBlock-By&gt;</w:t>
      </w:r>
      <w:r>
        <w:rPr>
          <w:rStyle w:val="HideTWBExt"/>
          <w:b w:val="0"/>
        </w:rPr>
        <w:t>&lt;Members&gt;</w:t>
      </w:r>
      <w:r>
        <w:t>Bruno Tobback, Thomas Pellerin-Carlin, Yannis Maniatis, Daniel Attard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 – bod 21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„technologickou infrastrukturou“ zařízení, vybavení, pilotní linky, zkušební a demonstrační zařízení a související služby, které umožňují validaci, testování, rozšiřování a zavádění technologií v předkonkurenčních nehospodářských činnostech ve smyslu programu Horizont Evropa;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1137</w:t>
      </w:r>
      <w:r>
        <w:rPr>
          <w:rStyle w:val="HideTWBExt"/>
        </w:rPr>
        <w:t>&lt;/NumAm&gt;</w:t>
      </w:r>
    </w:p>
    <w:p>
      <w:pPr>
        <w:pStyle w:val="NormalBold"/>
      </w:pPr>
      <w:r>
        <w:rPr>
          <w:rStyle w:val="HideTWBExt"/>
          <w:b w:val="0"/>
        </w:rPr>
        <w:t>&lt;RepeatBlock-By&gt;</w:t>
      </w:r>
      <w:r>
        <w:rPr>
          <w:rStyle w:val="HideTWBExt"/>
          <w:b w:val="0"/>
        </w:rPr>
        <w:t>&lt;Members&gt;</w:t>
      </w:r>
      <w:r>
        <w:t>Borys Budka, Danuše Nerudová, Davor Ivo Stier, Nikolina Brnjac, Karlo Ressler, Miriam Lexmann, Adam Jarubas, Krzysztof Hetman, Kamila Gasiuk-Pihowicz, Mirosława Nykiel, Iuliu Winkler, Loránt Vincze, Andrzej Halicki, Virgil-Daniel Popescu, Inese Vaidere, Tomáš Zdechovský, Siegfried Mureşan, Ioan-Rareş Bogdan, Daniel Buda, Gheorghe Falcă, Adina Vălean, Romana Tomc, Radan Kanev, Eva Maydell, Eszter Lakos, Jan Farský, Rasa Juknevičienė, Andrey Kovatchev, Andrey Novakov, Ilia Lazarov, Sandra Kalniete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 – bod 21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„méně zkušenými žadateli“ se rozumí právní subjekty a jejich předchůdci, kterým v průběhu pěti let předcházejících termínu podání nebylo přiděleno financování v rámci centrálně řízeného programu Unie nebo jejichž způsobilé návrhy nebyly k financování vybrány.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1138</w:t>
      </w:r>
      <w:r>
        <w:rPr>
          <w:rStyle w:val="HideTWBExt"/>
        </w:rPr>
        <w:t>&lt;/NumAm&gt;</w:t>
      </w:r>
    </w:p>
    <w:p>
      <w:pPr>
        <w:pStyle w:val="NormalBold"/>
      </w:pPr>
      <w:r>
        <w:rPr>
          <w:rStyle w:val="HideTWBExt"/>
          <w:b w:val="0"/>
        </w:rPr>
        <w:t>&lt;RepeatBlock-By&gt;</w:t>
      </w:r>
      <w:r>
        <w:rPr>
          <w:rStyle w:val="HideTWBExt"/>
          <w:b w:val="0"/>
        </w:rPr>
        <w:t>&lt;Members&gt;</w:t>
      </w:r>
      <w:r>
        <w:t>Laura Ballarín Cereza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 – bod 21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„kontrolními body“ se v kontextu inovačních ekosystémů rozumí ekosystémy, které ukotvují základní části hodnotového řetězce, a jsou proto nepostradatelné na celé cestě od výzkumu až po rozšiřování, včetně návrhu, výroby a zavádění produktu.</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Kontrolní bod je jedinečná obchodní činnost, kterou subjekty v hodnotovém řetězci nemohou obcházet.</w:t>
      </w:r>
    </w:p>
    <w:p>
      <w:r>
        <w:rPr>
          <w:rStyle w:val="HideTWBExt"/>
        </w:rPr>
        <w:t>&lt;/Amend&gt;</w:t>
      </w:r>
    </w:p>
    <w:p>
      <w:pPr>
        <w:pStyle w:val="AmNumberTabs"/>
      </w:pPr>
      <w:r>
        <w:rPr>
          <w:rStyle w:val="HideTWBExt"/>
        </w:rPr>
        <w:t>&lt;Amend&gt;</w:t>
      </w:r>
      <w:r>
        <w:t>Pozměňovací návrh</w:t>
      </w:r>
      <w:r>
        <w:tab/>
      </w:r>
      <w:r>
        <w:tab/>
      </w:r>
      <w:r>
        <w:rPr>
          <w:rStyle w:val="HideTWBExt"/>
        </w:rPr>
        <w:t>&lt;NumAm&gt;</w:t>
      </w:r>
      <w:r>
        <w:t>1139</w:t>
      </w:r>
      <w:r>
        <w:rPr>
          <w:rStyle w:val="HideTWBExt"/>
        </w:rPr>
        <w:t>&lt;/NumAm&gt;</w:t>
      </w:r>
    </w:p>
    <w:p>
      <w:pPr>
        <w:pStyle w:val="NormalBold"/>
      </w:pPr>
      <w:r>
        <w:rPr>
          <w:rStyle w:val="HideTWBExt"/>
          <w:b w:val="0"/>
        </w:rPr>
        <w:t>&lt;RepeatBlock-By&gt;</w:t>
      </w:r>
      <w:r>
        <w:rPr>
          <w:rStyle w:val="HideTWBExt"/>
          <w:b w:val="0"/>
        </w:rPr>
        <w:t>&lt;Members&gt;</w:t>
      </w:r>
      <w:r>
        <w:t>Sofie Eriksson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 – bod 21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„vysoce rizikovými odvětvími“ odvětví s vyšším rizikem pracovního vykořisťování a zneužívání, jako je stavebnictví, zemědělství, pohostinství, domácí práce, doprava a logistika, zpracování masa a potravin, úklidové služby a pečovatelská práce.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1140</w:t>
      </w:r>
      <w:r>
        <w:rPr>
          <w:rStyle w:val="HideTWBExt"/>
        </w:rPr>
        <w:t>&lt;/NumAm&gt;</w:t>
      </w:r>
    </w:p>
    <w:p>
      <w:pPr>
        <w:pStyle w:val="NormalBold"/>
      </w:pPr>
      <w:r>
        <w:rPr>
          <w:rStyle w:val="HideTWBExt"/>
          <w:b w:val="0"/>
        </w:rPr>
        <w:t>&lt;RepeatBlock-By&gt;</w:t>
      </w:r>
      <w:r>
        <w:rPr>
          <w:rStyle w:val="HideTWBExt"/>
          <w:b w:val="0"/>
        </w:rPr>
        <w:t>&lt;Members&gt;</w:t>
      </w:r>
      <w:r>
        <w:t>Jana Nagyová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 – bod 21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„lineární infrastrukturou“ se rozumí rozsáhlé, nepřetržité fyzické sítě, které se rozprostírají na velké vzdálenosti v převážně lineární formě a umožňují pohyb zboží, osob a energie přes různá území.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1141</w:t>
      </w:r>
      <w:r>
        <w:rPr>
          <w:rStyle w:val="HideTWBExt"/>
        </w:rPr>
        <w:t>&lt;/NumAm&gt;</w:t>
      </w:r>
    </w:p>
    <w:p>
      <w:pPr>
        <w:pStyle w:val="NormalBold"/>
      </w:pPr>
      <w:r>
        <w:rPr>
          <w:rStyle w:val="HideTWBExt"/>
          <w:b w:val="0"/>
        </w:rPr>
        <w:t>&lt;RepeatBlock-By&gt;</w:t>
      </w:r>
      <w:r>
        <w:rPr>
          <w:rStyle w:val="HideTWBExt"/>
          <w:b w:val="0"/>
        </w:rPr>
        <w:t>&lt;Members&gt;</w:t>
      </w:r>
      <w:r>
        <w:t>Christophe Clergeau, Jean-Marc Germain, Nikos Papandreou, Romana Jerković, Kristian Vigenin, Thomas Pellerin-Carlin, Vytenis Povilas Andriukaitis, Victor Negrescu, Estelle Ceulemans, Raphaël Glucksmann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 – bod 21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„přístupem jedno zdraví“ se rozumí přístup ve smyslu čl. 3 bodu 7 nařízení Evropského parlamentu a Rady (EU) 2022/2371;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1142</w:t>
      </w:r>
      <w:r>
        <w:rPr>
          <w:rStyle w:val="HideTWBExt"/>
        </w:rPr>
        <w:t>&lt;/NumAm&gt;</w:t>
      </w:r>
    </w:p>
    <w:p>
      <w:pPr>
        <w:pStyle w:val="NormalBold"/>
      </w:pPr>
      <w:r>
        <w:rPr>
          <w:rStyle w:val="HideTWBExt"/>
          <w:b w:val="0"/>
        </w:rPr>
        <w:t>&lt;RepeatBlock-By&gt;</w:t>
      </w:r>
      <w:r>
        <w:rPr>
          <w:rStyle w:val="HideTWBExt"/>
          <w:b w:val="0"/>
        </w:rPr>
        <w:t>&lt;Members&gt;</w:t>
      </w:r>
      <w:r>
        <w:t>Paolo Borchia, Isabella Tovaglieri, Raffaele Stancanelli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 – bod 21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21b)</w:t>
            </w:r>
            <w:r>
              <w:tab/>
            </w:r>
            <w:r>
              <w:rPr>
                <w:b/>
                <w:i/>
              </w:rPr>
              <w:t>„odolností“ schopnost Unie čelit fyzickým, digitálním a hybridním výzvám v oblasti hospodářství, bezpečnosti a hospodářské bezpečnosti a přizpůsobit se těmto výzvám.</w:t>
            </w:r>
            <w:r>
              <w:t xml:space="preserve"> </w:t>
            </w:r>
            <w:r>
              <w:rPr>
                <w:b/>
                <w:i/>
              </w:rPr>
              <w:t>Odolnost je výzvou pro společnost jako celek – vyžaduje úzkou spolupráci mezi tvůrci politik, vládními agenturami a podnikatelskou sférou.</w:t>
            </w:r>
            <w:r>
              <w:t xml:space="preserve"> </w:t>
            </w:r>
            <w:r>
              <w:rPr>
                <w:b/>
                <w:i/>
              </w:rPr>
              <w:t>Silná a konkurenceschopná ekonomika je pilířem odolné Unie.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Odolnost musí být výslovně definována tak, aby pokrývala celé spektrum moderních hrozeb, včetně fyzických, digitálních a hybridních výzev. Definice by měla rovněž odrážet společenský rozměr odolnosti a zásadní úlohu podnikatelské komunity spolu s veřejnými subjekty. Silná ekonomika je nepostradatelným základem odolné Unie</w:t>
      </w:r>
    </w:p>
    <w:p>
      <w:r>
        <w:rPr>
          <w:rStyle w:val="HideTWBExt"/>
        </w:rPr>
        <w:t>&lt;/Amend&gt;</w:t>
      </w:r>
    </w:p>
    <w:p>
      <w:pPr>
        <w:pStyle w:val="AmNumberTabs"/>
      </w:pPr>
      <w:r>
        <w:rPr>
          <w:rStyle w:val="HideTWBExt"/>
        </w:rPr>
        <w:t>&lt;Amend&gt;</w:t>
      </w:r>
      <w:r>
        <w:t>Pozměňovací návrh</w:t>
      </w:r>
      <w:r>
        <w:tab/>
      </w:r>
      <w:r>
        <w:tab/>
      </w:r>
      <w:r>
        <w:rPr>
          <w:rStyle w:val="HideTWBExt"/>
        </w:rPr>
        <w:t>&lt;NumAm&gt;</w:t>
      </w:r>
      <w:r>
        <w:t>1143</w:t>
      </w:r>
      <w:r>
        <w:rPr>
          <w:rStyle w:val="HideTWBExt"/>
        </w:rPr>
        <w:t>&lt;/NumAm&gt;</w:t>
      </w:r>
    </w:p>
    <w:p>
      <w:pPr>
        <w:pStyle w:val="NormalBold"/>
      </w:pPr>
      <w:r>
        <w:rPr>
          <w:rStyle w:val="HideTWBExt"/>
          <w:b w:val="0"/>
        </w:rPr>
        <w:t>&lt;RepeatBlock-By&gt;</w:t>
      </w:r>
      <w:r>
        <w:rPr>
          <w:rStyle w:val="HideTWBExt"/>
          <w:b w:val="0"/>
        </w:rPr>
        <w:t>&lt;Members&gt;</w:t>
      </w:r>
      <w:r>
        <w:t>Giorgio Gori, Stefano Bonaccini, Annalisa Corrado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 – bod 21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21b)</w:t>
            </w:r>
            <w:r>
              <w:tab/>
            </w:r>
            <w:r>
              <w:rPr>
                <w:b/>
                <w:i/>
              </w:rPr>
              <w:t>xy) „regionálním, územním a městským inovačním centrem“ platforma sdružující více aktérů, která podporuje místní a městský (inovační) ekosystém, včetně rozvoje seznamu projektů, navazování kontaktů a snadnějšího přístupu k infrastruktuře a financování.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1144</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 – bod 21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21b)</w:t>
            </w:r>
            <w:r>
              <w:tab/>
            </w:r>
            <w:r>
              <w:rPr>
                <w:b/>
                <w:i/>
              </w:rPr>
              <w:t>„kvalitním pracovním místem“ se rozumí pracovní místo, které nabízí stabilní zaměstnání, přiměřené mzdy, dobré pracovní podmínky včetně ustanovení o bezpečnosti a ochraně zdraví, možnosti prohlubování dovedností a změny kvalifikace a na které se vztahuje kolektivní vyjednávání;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1145</w:t>
      </w:r>
      <w:r>
        <w:rPr>
          <w:rStyle w:val="HideTWBExt"/>
        </w:rPr>
        <w:t>&lt;/NumAm&gt;</w:t>
      </w:r>
    </w:p>
    <w:p>
      <w:pPr>
        <w:pStyle w:val="NormalBold"/>
      </w:pPr>
      <w:r>
        <w:rPr>
          <w:rStyle w:val="HideTWBExt"/>
          <w:b w:val="0"/>
        </w:rPr>
        <w:t>&lt;RepeatBlock-By&gt;</w:t>
      </w:r>
      <w:r>
        <w:rPr>
          <w:rStyle w:val="HideTWBExt"/>
          <w:b w:val="0"/>
        </w:rPr>
        <w:t>&lt;Members&gt;</w:t>
      </w:r>
      <w:r>
        <w:t>Borys Budka, Eszter Lakos, Eva Maydell, Radan Kanev, Romana Tomc, Adina Vălean, Gheorghe Falcă, Daniel Buda, Ioan-Rareş Bogdan, Siegfried Mureşan, Tomáš Zdechovský, Inese Vaidere, Virgil-Daniel Popescu, Andrzej Halicki, Loránt Vincze, Iuliu Winkler, Mirosława Nykiel, Kamila Gasiuk-Pihowicz, Krzysztof Hetman, Adam Jarubas, Miriam Lexmann, Karlo Ressler, Nikolina Brnjac, Davor Ivo Stier, Danuše Nerudová, Jan Farský, Rasa Juknevičienė, Andrey Kovatchev, Andrey Novakov, Ilia Lazarov, Sandra Kalniete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 – bod 21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21b)</w:t>
            </w:r>
            <w:r>
              <w:tab/>
            </w:r>
            <w:r>
              <w:rPr>
                <w:b/>
                <w:i/>
              </w:rPr>
              <w:t>„prvožadateli“ se rozumí právní subjekty a jejich předchůdci, kteří před uplynutím termínu podání nikdy v rámci centrálně řízeného programu Unie nepředložili návrh.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1146</w:t>
      </w:r>
      <w:r>
        <w:rPr>
          <w:rStyle w:val="HideTWBExt"/>
        </w:rPr>
        <w:t>&lt;/NumAm&gt;</w:t>
      </w:r>
    </w:p>
    <w:p>
      <w:pPr>
        <w:pStyle w:val="NormalBold"/>
      </w:pPr>
      <w:r>
        <w:rPr>
          <w:rStyle w:val="HideTWBExt"/>
          <w:b w:val="0"/>
        </w:rPr>
        <w:t>&lt;RepeatBlock-By&gt;</w:t>
      </w:r>
      <w:r>
        <w:rPr>
          <w:rStyle w:val="HideTWBExt"/>
          <w:b w:val="0"/>
        </w:rPr>
        <w:t>&lt;Members&gt;</w:t>
      </w:r>
      <w:r>
        <w:t>Bruno Tobback, Thomas Pellerin-Carlin, Yannis Maniatis, Daniel Attard, Nicolás González Casares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 – bod 21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21b)</w:t>
            </w:r>
            <w:r>
              <w:tab/>
            </w:r>
            <w:r>
              <w:rPr>
                <w:b/>
                <w:i/>
              </w:rPr>
              <w:t>„společenstvím pro obnovitelné zdroje“ právní subjekt ve smyslu čl. 2 bodu 16 směrnice Evropského parlamentu a Rady (EU) 2018/2001;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1147</w:t>
      </w:r>
      <w:r>
        <w:rPr>
          <w:rStyle w:val="HideTWBExt"/>
        </w:rPr>
        <w:t>&lt;/NumAm&gt;</w:t>
      </w:r>
    </w:p>
    <w:p>
      <w:pPr>
        <w:pStyle w:val="NormalBold"/>
      </w:pPr>
      <w:r>
        <w:rPr>
          <w:rStyle w:val="HideTWBExt"/>
          <w:b w:val="0"/>
        </w:rPr>
        <w:t>&lt;RepeatBlock-By&gt;</w:t>
      </w:r>
      <w:r>
        <w:rPr>
          <w:rStyle w:val="HideTWBExt"/>
          <w:b w:val="0"/>
        </w:rPr>
        <w:t>&lt;Members&gt;</w:t>
      </w:r>
      <w:r>
        <w:t>Bruno Tobback, Thomas Pellerin-Carlin, Yannis Maniatis, Daniel Attard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 – bod 21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21c)</w:t>
            </w:r>
            <w:r>
              <w:tab/>
            </w:r>
            <w:r>
              <w:rPr>
                <w:b/>
                <w:i/>
              </w:rPr>
              <w:t>„inovačním a průmyslovým ekosystémem“ síť vzájemně propojených subjektů v hodnotovém řetězci, včetně podniků všech velikostí, začínajících podniků, dodavatelů, poskytovatelů služeb, organizací působících v oblasti výzkumu a inovací, občanské společnosti, investorů a veřejných orgánů, jejichž interakce přispívají k vývoji, výrobě, zavádění a rozšiřování technologií, produktů a služeb na jednotném trhu Unie.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Innovation and industrial ecosystems have not been formally defined in any previous EU legislation.</w:t>
      </w:r>
      <w:r>
        <w:t xml:space="preserve"> </w:t>
      </w:r>
      <w:r>
        <w:t>However the concept is clearly described in the "A New Industrial Strategy for Europe" (Com(2020)102) and further developed in the Communication Updating the 2020 New Industrial Strategy:</w:t>
      </w:r>
      <w:r>
        <w:t xml:space="preserve"> </w:t>
      </w:r>
      <w:r>
        <w:t>Building a stronger Single Market for Europe’s recovery (COM(2021)350).</w:t>
      </w:r>
      <w:r>
        <w:t xml:space="preserve"> </w:t>
      </w:r>
      <w:r>
        <w:t>The ECF offers a unique opportunity to officially define and formalize the concept, building on the descriptions in the above mentioned communications and emphasizing their importance in the framework of industrial competitiveness which increasingly depends on networks of interconnected and various actors, interacting across value chains and across regions and Member States.</w:t>
      </w:r>
    </w:p>
    <w:p>
      <w:r>
        <w:rPr>
          <w:rStyle w:val="HideTWBExt"/>
        </w:rPr>
        <w:t>&lt;/Amend&gt;</w:t>
      </w:r>
    </w:p>
    <w:p>
      <w:pPr>
        <w:pStyle w:val="AmNumberTabs"/>
      </w:pPr>
      <w:r>
        <w:rPr>
          <w:rStyle w:val="HideTWBExt"/>
        </w:rPr>
        <w:t>&lt;Amend&gt;</w:t>
      </w:r>
      <w:r>
        <w:t>Pozměňovací návrh</w:t>
      </w:r>
      <w:r>
        <w:tab/>
      </w:r>
      <w:r>
        <w:tab/>
      </w:r>
      <w:r>
        <w:rPr>
          <w:rStyle w:val="HideTWBExt"/>
        </w:rPr>
        <w:t>&lt;NumAm&gt;</w:t>
      </w:r>
      <w:r>
        <w:t>1148</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 – bod 21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21c)</w:t>
            </w:r>
            <w:r>
              <w:tab/>
            </w:r>
            <w:r>
              <w:rPr>
                <w:b/>
                <w:i/>
              </w:rPr>
              <w:t>„evropským obranným projektem společného zájmu“ nebo „EDPCI“ se rozumí kolaborativní průmyslový projekt vytvořený v souladu s kapitolou IV nařízení (EU) 2025/2643;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1149</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 – bod 21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21d)</w:t>
            </w:r>
            <w:r>
              <w:tab/>
            </w:r>
            <w:r>
              <w:rPr>
                <w:b/>
                <w:i/>
              </w:rPr>
              <w:t>„strategickými surovinami“ a „kritickými surovinami“ suroviny uvedené v přílohách I a II nařízení Evropského parlamentu a Rady (EU) 2024/1252;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1150</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r>
        <w:rPr>
          <w:rStyle w:val="HideTWBExt"/>
          <w:b w:val="0"/>
        </w:rPr>
        <w:t>&lt;AuNomDe&gt;</w:t>
      </w:r>
      <w:r>
        <w:rPr>
          <w:rStyle w:val="HideTWBInt"/>
        </w:rPr>
        <w:t>{ECR}</w:t>
      </w:r>
      <w:r>
        <w:t>za skupinu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„konkurenceschopností“ schopnost evropských společností a průmyslových odvětví úspěšně konkurovat na světových trzích a zároveň udžrovat hospodářskou bezpečnost, technologickou suverenitu a odolnost Unie;</w:t>
            </w:r>
            <w:r>
              <w:t xml:space="preserve"> </w:t>
            </w:r>
            <w:r>
              <w:rPr>
                <w:b/>
                <w:i/>
              </w:rPr>
              <w:t>to vyžaduje rovné podmínky pro evropský průmysl ve srovnání s globálními konkurenty, pokud jde o náklady na podnikání, mimo jiné usnadněním investic, snížením a stabilizací nákladů na energii v rámci všech cest dekarbonizace, zvýšením produktivity, posílením inovativních a průmyslových kapacit, zabezpečením kritických dodavatelských řetězců a infrastruktury a zachováním právního státu, vnitřní stability a důvěryhodného bezpečnostního postavení jako předpokladů pro udržitelné investice, což povede ke kvalitním pracovním místům a udržitelnému růstu v celé Unii, zejména v regionech vystavených vyšším bezpečnostním rizikům;</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A Regulation establishing a 'Competitiveness Fund' must define 'competitiveness' so as to enable a clear intervention logic, budgetary control and ex-post evaluation.</w:t>
      </w:r>
      <w:r>
        <w:t xml:space="preserve"> </w:t>
      </w:r>
      <w:r>
        <w:t>The definition should reflect the components identified in the Draghi and Letta reports and the Competitiveness Compass:</w:t>
      </w:r>
      <w:r>
        <w:t xml:space="preserve"> </w:t>
      </w:r>
      <w:r>
        <w:t>external market performance, the cost of doing business including stable energy costs, productivity, innovation and industrial capacity, and the resilience of supply chains and infrastructure.</w:t>
      </w:r>
      <w:r>
        <w:t xml:space="preserve"> </w:t>
      </w:r>
      <w:r>
        <w:t>Reference to the rule of law and security as preconditions for sustained investment is consistent with Recital 2 and with Article 4(2) TEU.</w:t>
      </w:r>
    </w:p>
    <w:p>
      <w:r>
        <w:rPr>
          <w:rStyle w:val="HideTWBExt"/>
        </w:rPr>
        <w:t>&lt;/Amend&gt;</w:t>
      </w:r>
    </w:p>
    <w:p>
      <w:pPr>
        <w:pStyle w:val="AmNumberTabs"/>
      </w:pPr>
      <w:r>
        <w:rPr>
          <w:rStyle w:val="HideTWBExt"/>
        </w:rPr>
        <w:t>&lt;Amend&gt;</w:t>
      </w:r>
      <w:r>
        <w:t>Pozměňovací návrh</w:t>
      </w:r>
      <w:r>
        <w:tab/>
      </w:r>
      <w:r>
        <w:tab/>
      </w:r>
      <w:r>
        <w:rPr>
          <w:rStyle w:val="HideTWBExt"/>
        </w:rPr>
        <w:t>&lt;NumAm&gt;</w:t>
      </w:r>
      <w:r>
        <w:t>1151</w:t>
      </w:r>
      <w:r>
        <w:rPr>
          <w:rStyle w:val="HideTWBExt"/>
        </w:rPr>
        <w:t>&lt;/NumAm&gt;</w:t>
      </w:r>
    </w:p>
    <w:p>
      <w:pPr>
        <w:pStyle w:val="NormalBold"/>
      </w:pPr>
      <w:r>
        <w:rPr>
          <w:rStyle w:val="HideTWBExt"/>
          <w:b w:val="0"/>
        </w:rPr>
        <w:t>&lt;RepeatBlock-By&gt;</w:t>
      </w:r>
      <w:r>
        <w:rPr>
          <w:rStyle w:val="HideTWBExt"/>
          <w:b w:val="0"/>
        </w:rPr>
        <w:t>&lt;Members&gt;</w:t>
      </w:r>
      <w:r>
        <w:t>Sarah Knafo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Článek 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Článek 2a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Definice konkurenceschopnosti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Pro účely tohoto nařízení se „konkurenceschopností“ rozumí schopnost podniků v Unii, zejména průmyslových subjektů a jejich evropských hodnotových řetězců, vyvíjet a vyrábět zboží a služby na světových trzích a uvádět je na trh na úrovni produktivity, inovací a nákladové efektivnosti srovnatelné s úrovní jejich hlavních mezinárodních konkurentů nebo vyšší, při současném zajištění odolnosti a strategické autonomie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1152</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návětí</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Obecným cílem ECF je </w:t>
            </w:r>
            <w:r>
              <w:rPr>
                <w:b/>
                <w:i/>
              </w:rPr>
              <w:t>zvýšit evropskou konkurenceschopnost, zejména ve</w:t>
            </w:r>
            <w:r>
              <w:t xml:space="preserve"> strategických </w:t>
            </w:r>
            <w:r>
              <w:rPr>
                <w:b/>
                <w:i/>
              </w:rPr>
              <w:t>odvětvích a technologiích</w:t>
            </w:r>
            <w:r>
              <w:t xml:space="preserve"> v rámci celého investičního vývoje, </w:t>
            </w:r>
            <w:r>
              <w:rPr>
                <w:b/>
                <w:i/>
              </w:rPr>
              <w:t>a to</w:t>
            </w:r>
            <w:r>
              <w:t xml:space="preserve"> prostřednictvím:</w:t>
            </w:r>
          </w:p>
        </w:tc>
        <w:tc>
          <w:tcPr>
            <w:tcW w:w="4876" w:type="dxa"/>
            <w:tcBorders>
              <w:top w:val="nil"/>
              <w:left w:val="nil"/>
              <w:bottom w:val="nil"/>
              <w:right w:val="nil"/>
            </w:tcBorders>
          </w:tcPr>
          <w:p>
            <w:pPr>
              <w:pStyle w:val="Normal6a"/>
            </w:pPr>
            <w:r>
              <w:t>1.</w:t>
            </w:r>
            <w:r>
              <w:tab/>
            </w:r>
            <w:r>
              <w:t xml:space="preserve">Obecným cílem ECF je </w:t>
            </w:r>
            <w:r>
              <w:rPr>
                <w:b/>
                <w:i/>
              </w:rPr>
              <w:t>podpořit rozšiřování</w:t>
            </w:r>
            <w:r>
              <w:t xml:space="preserve"> strategických </w:t>
            </w:r>
            <w:r>
              <w:rPr>
                <w:b/>
                <w:i/>
              </w:rPr>
              <w:t>odvětví a technologií pro hospodářskou bezpečnost a hospodářský rozvoj v souladu s možnostmi naší planety a odklon od fosilních paliv, doplnit rámcový program pro výzkum a inovace</w:t>
            </w:r>
            <w:r>
              <w:t xml:space="preserve"> v rámci celého investičního vývoje, </w:t>
            </w:r>
            <w:r>
              <w:rPr>
                <w:b/>
                <w:i/>
              </w:rPr>
              <w:t>podpořit dostupnost vysoce kvalifikované, zdravé a přizpůsobivé pracovní síly a posílit odolné a diverzifikované evropské dodavatelské řetězce, mimo jiné prostřednictvím účasti malých a středních podniků, a tím umožnit evropskou konkurenceschopnost a zároveň přispět k sociální a územní soudržnosti.</w:t>
            </w:r>
            <w:r>
              <w:t xml:space="preserve"> </w:t>
            </w:r>
            <w:r>
              <w:rPr>
                <w:b/>
                <w:i/>
              </w:rPr>
              <w:t>ECF přispívá k dosažení cílů příslušných právních předpisů a politik Unie a provádí se zejména</w:t>
            </w:r>
            <w:r>
              <w:t xml:space="preserve"> prostřednictvím: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1153</w:t>
      </w:r>
      <w:r>
        <w:rPr>
          <w:rStyle w:val="HideTWBExt"/>
        </w:rPr>
        <w:t>&lt;/NumAm&gt;</w:t>
      </w:r>
    </w:p>
    <w:p>
      <w:pPr>
        <w:pStyle w:val="NormalBold"/>
      </w:pPr>
      <w:r>
        <w:rPr>
          <w:rStyle w:val="HideTWBExt"/>
          <w:b w:val="0"/>
        </w:rPr>
        <w:t>&lt;RepeatBlock-By&gt;</w:t>
      </w:r>
      <w:r>
        <w:rPr>
          <w:rStyle w:val="HideTWBExt"/>
          <w:b w:val="0"/>
        </w:rPr>
        <w:t>&lt;Members&gt;</w:t>
      </w:r>
      <w:r>
        <w:t>Laura Ballarín Cereza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návětí</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Obecným cílem</w:t>
            </w:r>
            <w:r>
              <w:t xml:space="preserve"> ECF je zvýšit evropskou konkurenceschopnost, zejména ve strategických odvětvích a technologiích v rámci celého investičního vývoje, </w:t>
            </w:r>
            <w:r>
              <w:rPr>
                <w:b/>
                <w:i/>
              </w:rPr>
              <w:t>a to</w:t>
            </w:r>
            <w:r>
              <w:t xml:space="preserve"> prostřednictvím:</w:t>
            </w:r>
          </w:p>
        </w:tc>
        <w:tc>
          <w:tcPr>
            <w:tcW w:w="4876" w:type="dxa"/>
            <w:tcBorders>
              <w:top w:val="nil"/>
              <w:left w:val="nil"/>
              <w:bottom w:val="nil"/>
              <w:right w:val="nil"/>
            </w:tcBorders>
          </w:tcPr>
          <w:p>
            <w:pPr>
              <w:pStyle w:val="Normal6a"/>
            </w:pPr>
            <w:r>
              <w:t>1.</w:t>
            </w:r>
            <w:r>
              <w:tab/>
            </w:r>
            <w:r>
              <w:rPr>
                <w:b/>
                <w:i/>
              </w:rPr>
              <w:t>Obecnými cíli</w:t>
            </w:r>
            <w:r>
              <w:t xml:space="preserve"> ECF je zvýšit evropskou konkurenceschopnost </w:t>
            </w:r>
            <w:r>
              <w:rPr>
                <w:b/>
                <w:i/>
              </w:rPr>
              <w:t>a zároveň nadále plnit závazky týkající se evropské čisté transformace a dekarbonizace průmyslu</w:t>
            </w:r>
            <w:r>
              <w:t>, zejména ve strategických odvětvích a technologiích</w:t>
            </w:r>
            <w:r>
              <w:rPr>
                <w:b/>
                <w:i/>
              </w:rPr>
              <w:t>, které mají zásadní význam pro konkurenceschopnost EU</w:t>
            </w:r>
            <w:r>
              <w:t xml:space="preserve"> v rámci celého investičního vývoje, </w:t>
            </w:r>
            <w:r>
              <w:rPr>
                <w:b/>
                <w:i/>
              </w:rPr>
              <w:t>mimo jiné podporou projektů spolupráce mezi společnostmi, včetně malých a středních podniků, začínajících podniků, větších společností, regionálních veřejných orgánů, univerzit a výzkumných a technologických organizací, které tento cíl podporují</w:t>
            </w:r>
            <w:r>
              <w:t xml:space="preserve"> prostřednictvím:</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The green transition is the EU's strategic advantage for increased competitiveness, and the EU needs to stay on the course.</w:t>
      </w:r>
      <w:r>
        <w:t xml:space="preserve"> </w:t>
      </w:r>
      <w:r>
        <w:t>Europe must continue to take action to support a sustainable industrial transition and create incentives that make it attractive for European companies to stay in Europe.</w:t>
      </w:r>
      <w:r>
        <w:t xml:space="preserve"> </w:t>
      </w:r>
      <w:r>
        <w:t>Competitiveness is inherently territorial and economic development is often a regional competence.</w:t>
      </w:r>
      <w:r>
        <w:t xml:space="preserve"> </w:t>
      </w:r>
      <w:r>
        <w:t>European regions are at the heart of the European Union’s competitiveness, with their investments accounting for about two thirds of the increase in total public investments in the EU in 2023.</w:t>
      </w:r>
      <w:r>
        <w:t xml:space="preserve"> </w:t>
      </w:r>
      <w:r>
        <w:t>They play a pivotal role in shaping the conditions for industries and businesses to thrive through land-use planning, infrastructure development, education, housing, research, training, and quality of life.</w:t>
      </w:r>
    </w:p>
    <w:p>
      <w:r>
        <w:rPr>
          <w:rStyle w:val="HideTWBExt"/>
        </w:rPr>
        <w:t>&lt;/Amend&gt;</w:t>
      </w:r>
    </w:p>
    <w:p>
      <w:pPr>
        <w:pStyle w:val="AmNumberTabs"/>
      </w:pPr>
      <w:r>
        <w:rPr>
          <w:rStyle w:val="HideTWBExt"/>
        </w:rPr>
        <w:t>&lt;Amend&gt;</w:t>
      </w:r>
      <w:r>
        <w:t>Pozměňovací návrh</w:t>
      </w:r>
      <w:r>
        <w:tab/>
      </w:r>
      <w:r>
        <w:tab/>
      </w:r>
      <w:r>
        <w:rPr>
          <w:rStyle w:val="HideTWBExt"/>
        </w:rPr>
        <w:t>&lt;NumAm&gt;</w:t>
      </w:r>
      <w:r>
        <w:t>1154</w:t>
      </w:r>
      <w:r>
        <w:rPr>
          <w:rStyle w:val="HideTWBExt"/>
        </w:rPr>
        <w:t>&lt;/NumAm&gt;</w:t>
      </w:r>
    </w:p>
    <w:p>
      <w:pPr>
        <w:pStyle w:val="NormalBold"/>
      </w:pPr>
      <w:r>
        <w:rPr>
          <w:rStyle w:val="HideTWBExt"/>
          <w:b w:val="0"/>
        </w:rPr>
        <w:t>&lt;RepeatBlock-By&gt;</w:t>
      </w:r>
      <w:r>
        <w:rPr>
          <w:rStyle w:val="HideTWBExt"/>
          <w:b w:val="0"/>
        </w:rPr>
        <w:t>&lt;Members&gt;</w:t>
      </w:r>
      <w:r>
        <w:t>Paolo Borchia, Isabella Tovaglieri, Raffaele Stancanelli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návětí</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Obecným cílem</w:t>
            </w:r>
            <w:r>
              <w:t xml:space="preserve"> ECF je zvýšit evropskou konkurenceschopnost, zejména ve strategických odvětvích a technologiích v rámci celého investičního vývoje, </w:t>
            </w:r>
            <w:r>
              <w:rPr>
                <w:b/>
                <w:i/>
              </w:rPr>
              <w:t>a to</w:t>
            </w:r>
            <w:r>
              <w:t xml:space="preserve"> prostřednictvím:</w:t>
            </w:r>
          </w:p>
        </w:tc>
        <w:tc>
          <w:tcPr>
            <w:tcW w:w="4876" w:type="dxa"/>
            <w:tcBorders>
              <w:top w:val="nil"/>
              <w:left w:val="nil"/>
              <w:bottom w:val="nil"/>
              <w:right w:val="nil"/>
            </w:tcBorders>
          </w:tcPr>
          <w:p>
            <w:pPr>
              <w:pStyle w:val="Normal6a"/>
            </w:pPr>
            <w:r>
              <w:t>1.</w:t>
            </w:r>
            <w:r>
              <w:tab/>
            </w:r>
            <w:r>
              <w:rPr>
                <w:b/>
                <w:i/>
              </w:rPr>
              <w:t>Obecnými cíli</w:t>
            </w:r>
            <w:r>
              <w:t xml:space="preserve"> ECF je zvýšit evropskou konkurenceschopnost </w:t>
            </w:r>
            <w:r>
              <w:rPr>
                <w:b/>
                <w:i/>
              </w:rPr>
              <w:t>a zároveň nadále plnit závazky týkající se evropské čisté transformace a dekarbonizace průmyslu</w:t>
            </w:r>
            <w:r>
              <w:t>, zejména ve strategických odvětvích a technologiích</w:t>
            </w:r>
            <w:r>
              <w:rPr>
                <w:b/>
                <w:i/>
              </w:rPr>
              <w:t>, které mají zásadní význam pro konkurenceschopnost EU</w:t>
            </w:r>
            <w:r>
              <w:t xml:space="preserve"> v rámci celého investičního vývoje, </w:t>
            </w:r>
            <w:r>
              <w:rPr>
                <w:b/>
                <w:i/>
              </w:rPr>
              <w:t>mimo jiné podporou projektů spolupráce mezi společnostmi, včetně malých a středních podniků, začínajících podniků, větších společností, regionálních a místních veřejných orgánů, univerzit a výzkumných a technologických organizací, které tento cíl podporují</w:t>
            </w:r>
            <w:r>
              <w:t xml:space="preserve"> prostřednictvím:</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Konkurenceschopnost má ze své podstaty územní charakter a hospodářský rozvoj je často v kompetenci regionů.</w:t>
      </w:r>
      <w:r>
        <w:t xml:space="preserve"> </w:t>
      </w:r>
      <w:r>
        <w:t>Evropské regiony a města jsou jádrem konkurenceschopnosti Unie a hrají klíčovou úlohu při utváření podmínek pro prosperitu průmyslu a podniků.</w:t>
      </w:r>
      <w:r>
        <w:t xml:space="preserve"> </w:t>
      </w:r>
      <w:r>
        <w:t>Výslovné zahrnutí regionálních a místních orgánů veřejné správy tuto skutečnost odráží.</w:t>
      </w:r>
    </w:p>
    <w:p>
      <w:r>
        <w:rPr>
          <w:rStyle w:val="HideTWBExt"/>
        </w:rPr>
        <w:t>&lt;/Amend&gt;</w:t>
      </w:r>
    </w:p>
    <w:p>
      <w:pPr>
        <w:pStyle w:val="AmNumberTabs"/>
      </w:pPr>
      <w:r>
        <w:rPr>
          <w:rStyle w:val="HideTWBExt"/>
        </w:rPr>
        <w:t>&lt;Amend&gt;</w:t>
      </w:r>
      <w:r>
        <w:t>Pozměňovací návrh</w:t>
      </w:r>
      <w:r>
        <w:tab/>
      </w:r>
      <w:r>
        <w:tab/>
      </w:r>
      <w:r>
        <w:rPr>
          <w:rStyle w:val="HideTWBExt"/>
        </w:rPr>
        <w:t>&lt;NumAm&gt;</w:t>
      </w:r>
      <w:r>
        <w:t>1155</w:t>
      </w:r>
      <w:r>
        <w:rPr>
          <w:rStyle w:val="HideTWBExt"/>
        </w:rPr>
        <w:t>&lt;/NumAm&gt;</w:t>
      </w:r>
    </w:p>
    <w:p>
      <w:pPr>
        <w:pStyle w:val="NormalBold"/>
      </w:pPr>
      <w:r>
        <w:rPr>
          <w:rStyle w:val="HideTWBExt"/>
          <w:b w:val="0"/>
        </w:rPr>
        <w:t>&lt;RepeatBlock-By&gt;</w:t>
      </w:r>
      <w:r>
        <w:rPr>
          <w:rStyle w:val="HideTWBExt"/>
          <w:b w:val="0"/>
        </w:rPr>
        <w:t>&lt;Members&gt;</w:t>
      </w:r>
      <w:r>
        <w:t>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návětí</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Obecným cílem</w:t>
            </w:r>
            <w:r>
              <w:t xml:space="preserve"> ECF je zvýšit evropskou konkurenceschopnost, zejména ve strategických odvětvích a technologiích v rámci celého investičního vývoje, </w:t>
            </w:r>
            <w:r>
              <w:rPr>
                <w:b/>
                <w:i/>
              </w:rPr>
              <w:t>a to</w:t>
            </w:r>
            <w:r>
              <w:t xml:space="preserve"> prostřednictvím:</w:t>
            </w:r>
          </w:p>
        </w:tc>
        <w:tc>
          <w:tcPr>
            <w:tcW w:w="4876" w:type="dxa"/>
            <w:tcBorders>
              <w:top w:val="nil"/>
              <w:left w:val="nil"/>
              <w:bottom w:val="nil"/>
              <w:right w:val="nil"/>
            </w:tcBorders>
          </w:tcPr>
          <w:p>
            <w:pPr>
              <w:pStyle w:val="Normal6a"/>
            </w:pPr>
            <w:r>
              <w:t>1.</w:t>
            </w:r>
            <w:r>
              <w:tab/>
            </w:r>
            <w:r>
              <w:rPr>
                <w:b/>
                <w:i/>
              </w:rPr>
              <w:t>Obecnými cíli</w:t>
            </w:r>
            <w:r>
              <w:t xml:space="preserve"> ECF je zvýšit evropskou konkurenceschopnost </w:t>
            </w:r>
            <w:r>
              <w:rPr>
                <w:b/>
                <w:i/>
              </w:rPr>
              <w:t>a zároveň nadále plnit závazky týkající se Zelené dohody pro Evropu</w:t>
            </w:r>
            <w:r>
              <w:t>, zejména ve strategických odvětvích a technologiích</w:t>
            </w:r>
            <w:r>
              <w:rPr>
                <w:b/>
                <w:i/>
              </w:rPr>
              <w:t>, které mají zásadní význam pro konkurenceschopnost EU</w:t>
            </w:r>
            <w:r>
              <w:t xml:space="preserve"> v rámci celého investičního vývoje, </w:t>
            </w:r>
            <w:r>
              <w:rPr>
                <w:b/>
                <w:i/>
              </w:rPr>
              <w:t>mimo jiné podporou projektů spolupráce mezi společnostmi, včetně malých a středních podniků, začínajících podniků, větších společností, regionálních veřejných orgánů, univerzit a výzkumných a technologických organizací, které tento cíl podporují</w:t>
            </w:r>
            <w:r>
              <w:t xml:space="preserve"> prostřednictvím: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1156</w:t>
      </w:r>
      <w:r>
        <w:rPr>
          <w:rStyle w:val="HideTWBExt"/>
        </w:rPr>
        <w:t>&lt;/NumAm&gt;</w:t>
      </w:r>
    </w:p>
    <w:p>
      <w:pPr>
        <w:pStyle w:val="NormalBold"/>
      </w:pPr>
      <w:r>
        <w:rPr>
          <w:rStyle w:val="HideTWBExt"/>
          <w:b w:val="0"/>
        </w:rPr>
        <w:t>&lt;RepeatBlock-By&gt;</w:t>
      </w:r>
      <w:r>
        <w:rPr>
          <w:rStyle w:val="HideTWBExt"/>
          <w:b w:val="0"/>
        </w:rPr>
        <w:t>&lt;Members&gt;</w:t>
      </w:r>
      <w:r>
        <w:t>Yvan Verougstraete, Brigitte van den Berg, Stine Bosse, Grégory Allione, Sigrid Friis, Christophe Grudler, Barry Andrews,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návětí</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Obecným cílem ECF je </w:t>
            </w:r>
            <w:r>
              <w:rPr>
                <w:b/>
                <w:i/>
              </w:rPr>
              <w:t>zvýšit evropskou</w:t>
            </w:r>
            <w:r>
              <w:t xml:space="preserve"> konkurenceschopnost</w:t>
            </w:r>
            <w:r>
              <w:rPr>
                <w:b/>
                <w:i/>
              </w:rPr>
              <w:t>, zejména ve strategických odvětvích a technologiích v rámci celého investičního vývoje, a to prostřednictvím:</w:t>
            </w:r>
          </w:p>
        </w:tc>
        <w:tc>
          <w:tcPr>
            <w:tcW w:w="4876" w:type="dxa"/>
            <w:tcBorders>
              <w:top w:val="nil"/>
              <w:left w:val="nil"/>
              <w:bottom w:val="nil"/>
              <w:right w:val="nil"/>
            </w:tcBorders>
          </w:tcPr>
          <w:p>
            <w:pPr>
              <w:pStyle w:val="Normal6a"/>
            </w:pPr>
            <w:r>
              <w:t>1.</w:t>
            </w:r>
            <w:r>
              <w:tab/>
            </w:r>
            <w:r>
              <w:t xml:space="preserve">Obecným cílem ECF je </w:t>
            </w:r>
            <w:r>
              <w:rPr>
                <w:b/>
                <w:i/>
              </w:rPr>
              <w:t>zlepšit</w:t>
            </w:r>
            <w:r>
              <w:t xml:space="preserve"> konkurenceschopnost </w:t>
            </w:r>
            <w:r>
              <w:rPr>
                <w:b/>
                <w:i/>
              </w:rPr>
              <w:t>a globální hospodářskou pozici Unie a posílit její strategickou autonomii a hospodářskou bezpečnost s cílem zajistit prosperitu a odolnost Unie vůči hospodářským otřesům, geopolitickým a bezpečnostním hrozbám a klimatickým a přírodním rizikům.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 xml:space="preserve"> </w:t>
            </w:r>
            <w:r>
              <w:rPr>
                <w:b/>
                <w:i/>
              </w:rPr>
              <w:t>ECF podporuje konkurenceschopnost Unie prostřednictvím těchto průřezových cílů: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1157</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návětí</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Obecným cílem ECF je </w:t>
            </w:r>
            <w:r>
              <w:rPr>
                <w:b/>
                <w:i/>
              </w:rPr>
              <w:t>zvýšit evropskou konkurenceschopnost, zejména ve</w:t>
            </w:r>
            <w:r>
              <w:t xml:space="preserve"> strategických </w:t>
            </w:r>
            <w:r>
              <w:rPr>
                <w:b/>
                <w:i/>
              </w:rPr>
              <w:t>odvětvích a technologiích v rámci celého investičního vývoje</w:t>
            </w:r>
            <w:r>
              <w:t xml:space="preserve">, </w:t>
            </w:r>
            <w:r>
              <w:rPr>
                <w:b/>
                <w:i/>
              </w:rPr>
              <w:t>a to</w:t>
            </w:r>
            <w:r>
              <w:t xml:space="preserve"> prostřednictvím:</w:t>
            </w:r>
          </w:p>
        </w:tc>
        <w:tc>
          <w:tcPr>
            <w:tcW w:w="4876" w:type="dxa"/>
            <w:tcBorders>
              <w:top w:val="nil"/>
              <w:left w:val="nil"/>
              <w:bottom w:val="nil"/>
              <w:right w:val="nil"/>
            </w:tcBorders>
          </w:tcPr>
          <w:p>
            <w:pPr>
              <w:pStyle w:val="Normal6a"/>
            </w:pPr>
            <w:r>
              <w:t>1.</w:t>
            </w:r>
            <w:r>
              <w:tab/>
            </w:r>
            <w:r>
              <w:t xml:space="preserve">Obecným cílem ECF je </w:t>
            </w:r>
            <w:r>
              <w:rPr>
                <w:b/>
                <w:i/>
              </w:rPr>
              <w:t>posílit veřejný, sociální, ekologický, průmyslový a technologický pokrok a odolnost financováním a podporou veřejných investic do</w:t>
            </w:r>
            <w:r>
              <w:t xml:space="preserve"> strategických </w:t>
            </w:r>
            <w:r>
              <w:rPr>
                <w:b/>
                <w:i/>
              </w:rPr>
              <w:t>civilních odvětví, veřejné infrastruktury, kvalitních pracovních míst</w:t>
            </w:r>
            <w:r>
              <w:t xml:space="preserve">, </w:t>
            </w:r>
            <w:r>
              <w:rPr>
                <w:b/>
                <w:i/>
              </w:rPr>
              <w:t>demokratické účasti a územní soudržnosti, přičemž přednost mají projekty s jasnou přidanou hodnotou Unie a veřejným zájmem. Dosáhne toho</w:t>
            </w:r>
            <w:r>
              <w:t xml:space="preserve"> prostřednictvím: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1158</w:t>
      </w:r>
      <w:r>
        <w:rPr>
          <w:rStyle w:val="HideTWBExt"/>
        </w:rPr>
        <w:t>&lt;/NumAm&gt;</w:t>
      </w:r>
    </w:p>
    <w:p>
      <w:pPr>
        <w:pStyle w:val="NormalBold"/>
      </w:pPr>
      <w:r>
        <w:rPr>
          <w:rStyle w:val="HideTWBExt"/>
          <w:b w:val="0"/>
        </w:rPr>
        <w:t>&lt;RepeatBlock-By&gt;</w:t>
      </w:r>
      <w:r>
        <w:rPr>
          <w:rStyle w:val="HideTWBExt"/>
          <w:b w:val="0"/>
        </w:rPr>
        <w:t>&lt;Members&gt;</w:t>
      </w:r>
      <w:r>
        <w:t>Eszter Lakos, Paulius Saudargas, 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návětí</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Obecným cílem ECF je zvýšit evropskou konkurenceschopnost, zejména ve strategických odvětvích a technologiích v rámci celého investičního vývoje, </w:t>
            </w:r>
            <w:r>
              <w:rPr>
                <w:b/>
                <w:i/>
              </w:rPr>
              <w:t>a to</w:t>
            </w:r>
            <w:r>
              <w:t xml:space="preserve"> prostřednictvím:</w:t>
            </w:r>
          </w:p>
        </w:tc>
        <w:tc>
          <w:tcPr>
            <w:tcW w:w="4876" w:type="dxa"/>
            <w:tcBorders>
              <w:top w:val="nil"/>
              <w:left w:val="nil"/>
              <w:bottom w:val="nil"/>
              <w:right w:val="nil"/>
            </w:tcBorders>
          </w:tcPr>
          <w:p>
            <w:pPr>
              <w:pStyle w:val="Normal6a"/>
            </w:pPr>
            <w:r>
              <w:t>1.</w:t>
            </w:r>
            <w:r>
              <w:tab/>
            </w:r>
            <w:r>
              <w:t xml:space="preserve">Obecným cílem ECF je zvýšit evropskou konkurenceschopnost, zejména ve strategických odvětvích a technologiích v rámci celého investičního vývoje, </w:t>
            </w:r>
            <w:r>
              <w:rPr>
                <w:b/>
                <w:i/>
              </w:rPr>
              <w:t>mimo jiné podporou projektů spolupráce mezi společnostmi, včetně malých a středních podniků, začínajících podniků a větších společností, regionálních a místních veřejných orgánů, univerzit a výzkumných a technologických organizací, které tento cíl podporují</w:t>
            </w:r>
            <w:r>
              <w:t xml:space="preserve"> prostřednictvím: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1159</w:t>
      </w:r>
      <w:r>
        <w:rPr>
          <w:rStyle w:val="HideTWBExt"/>
        </w:rPr>
        <w:t>&lt;/NumAm&gt;</w:t>
      </w:r>
    </w:p>
    <w:p>
      <w:pPr>
        <w:pStyle w:val="NormalBold"/>
      </w:pPr>
      <w:r>
        <w:rPr>
          <w:rStyle w:val="HideTWBExt"/>
          <w:b w:val="0"/>
        </w:rPr>
        <w:t>&lt;RepeatBlock-By&gt;</w:t>
      </w:r>
      <w:r>
        <w:rPr>
          <w:rStyle w:val="HideTWBExt"/>
          <w:b w:val="0"/>
        </w:rPr>
        <w:t>&lt;Members&gt;</w:t>
      </w:r>
      <w:r>
        <w:t>Sofie Eriksson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návětí</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Obecným cílem ECF je zvýšit evropskou konkurenceschopnost, zejména ve strategických odvětvích a technologiích v rámci celého investičního vývoje, a to prostřednictvím:</w:t>
            </w:r>
          </w:p>
        </w:tc>
        <w:tc>
          <w:tcPr>
            <w:tcW w:w="4876" w:type="dxa"/>
            <w:tcBorders>
              <w:top w:val="nil"/>
              <w:left w:val="nil"/>
              <w:bottom w:val="nil"/>
              <w:right w:val="nil"/>
            </w:tcBorders>
          </w:tcPr>
          <w:p>
            <w:pPr>
              <w:pStyle w:val="Normal6a"/>
            </w:pPr>
            <w:r>
              <w:t>1.</w:t>
            </w:r>
            <w:r>
              <w:tab/>
            </w:r>
            <w:r>
              <w:t>Obecným cílem ECF je zvýšit evropskou konkurenceschopnost</w:t>
            </w:r>
            <w:r>
              <w:rPr>
                <w:b/>
                <w:i/>
              </w:rPr>
              <w:t>, definovanou jako schopnost Unie zvyšovat růst produktivity a odolnost, podporou investic se silným inovačním potenciálem, které poskytují přidanou hodnotu Unie a zároveň řeší selhání trhu a zajišťují vedoucí postavení v oblasti technologií</w:t>
            </w:r>
            <w:r>
              <w:t>, zejména ve strategických odvětvích a technologiích v rámci celého investičního vývoje, a to prostřednictvím: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1160</w:t>
      </w:r>
      <w:r>
        <w:rPr>
          <w:rStyle w:val="HideTWBExt"/>
        </w:rPr>
        <w:t>&lt;/NumAm&gt;</w:t>
      </w:r>
    </w:p>
    <w:p>
      <w:pPr>
        <w:pStyle w:val="NormalBold"/>
      </w:pPr>
      <w:r>
        <w:rPr>
          <w:rStyle w:val="HideTWBExt"/>
          <w:b w:val="0"/>
        </w:rPr>
        <w:t>&lt;RepeatBlock-By&gt;</w:t>
      </w:r>
      <w:r>
        <w:rPr>
          <w:rStyle w:val="HideTWBExt"/>
          <w:b w:val="0"/>
        </w:rPr>
        <w:t>&lt;Members&gt;</w:t>
      </w:r>
      <w:r>
        <w:t>Elisabetta Gualmini, Martin Hojsík, Grégory Allione, Bart Groothuis, Morten Løkkegaard, Yvan Verougstraete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návětí</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Obecným cílem ECF je zvýšit evropskou konkurenceschopnost, zejména ve strategických odvětvích a technologiích v rámci celého investičního vývoje, </w:t>
            </w:r>
            <w:r>
              <w:rPr>
                <w:b/>
                <w:i/>
              </w:rPr>
              <w:t>a to</w:t>
            </w:r>
            <w:r>
              <w:t xml:space="preserve"> prostřednictvím:</w:t>
            </w:r>
          </w:p>
        </w:tc>
        <w:tc>
          <w:tcPr>
            <w:tcW w:w="4876" w:type="dxa"/>
            <w:tcBorders>
              <w:top w:val="nil"/>
              <w:left w:val="nil"/>
              <w:bottom w:val="nil"/>
              <w:right w:val="nil"/>
            </w:tcBorders>
          </w:tcPr>
          <w:p>
            <w:pPr>
              <w:pStyle w:val="Normal6a"/>
            </w:pPr>
            <w:r>
              <w:t>1.</w:t>
            </w:r>
            <w:r>
              <w:tab/>
            </w:r>
            <w:r>
              <w:t xml:space="preserve">Obecným cílem ECF je zvýšit evropskou konkurenceschopnost, zejména ve strategických odvětvích a technologiích v rámci celého investičního vývoje, </w:t>
            </w:r>
            <w:r>
              <w:rPr>
                <w:b/>
                <w:i/>
              </w:rPr>
              <w:t>mimo jiné podporou projektů spolupráce mezi společnostmi, včetně malých a středních podniků, začínajících podniků, větších společností, regionálních a místních veřejných orgánů, univerzit a výzkumných a technologických organizací, které tento cíl podporují</w:t>
            </w:r>
            <w:r>
              <w:t xml:space="preserve"> prostřednictvím: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1161</w:t>
      </w:r>
      <w:r>
        <w:rPr>
          <w:rStyle w:val="HideTWBExt"/>
        </w:rPr>
        <w:t>&lt;/NumAm&gt;</w:t>
      </w:r>
    </w:p>
    <w:p>
      <w:pPr>
        <w:pStyle w:val="NormalBold"/>
      </w:pPr>
      <w:r>
        <w:rPr>
          <w:rStyle w:val="HideTWBExt"/>
          <w:b w:val="0"/>
        </w:rPr>
        <w:t>&lt;RepeatBlock-By&gt;</w:t>
      </w:r>
      <w:r>
        <w:rPr>
          <w:rStyle w:val="HideTWBExt"/>
          <w:b w:val="0"/>
        </w:rPr>
        <w:t>&lt;Members&gt;</w:t>
      </w:r>
      <w:r>
        <w:t>András Gyürk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návětí</w:t>
      </w:r>
      <w:r>
        <w:rPr>
          <w:rStyle w:val="HideTWBExt"/>
        </w:rPr>
        <w:t>&lt;/Article&gt;</w:t>
      </w:r>
    </w:p>
    <w:p>
      <w:r>
        <w:rPr>
          <w:rStyle w:val="HideTWBExt"/>
        </w:rPr>
        <w:t>&lt;DocAmend2&gt;</w:t>
      </w:r>
      <w:r>
        <w:t>Návrh nařízení</w:t>
      </w:r>
      <w:r>
        <w:rPr>
          <w:rStyle w:val="HideTWBExt"/>
        </w:rPr>
        <w:t>&lt;/DocAmend2&gt;</w:t>
      </w:r>
    </w:p>
    <w:p>
      <w:r>
        <w:rPr>
          <w:rStyle w:val="HideTWBExt"/>
        </w:rPr>
        <w:t>&lt;Article2&gt;</w:t>
      </w:r>
      <w:r>
        <w:t>Čl. 3 – odst. 1 – návětí</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Obecným cílem ECF je zvýšit evropskou konkurenceschopnost, zejména ve strategických odvětvích a technologiích v rámci celého investičního vývoje, a to prostřednictvím:</w:t>
            </w:r>
          </w:p>
        </w:tc>
        <w:tc>
          <w:tcPr>
            <w:tcW w:w="4876" w:type="dxa"/>
            <w:tcBorders>
              <w:top w:val="nil"/>
              <w:left w:val="nil"/>
              <w:bottom w:val="nil"/>
              <w:right w:val="nil"/>
            </w:tcBorders>
          </w:tcPr>
          <w:p>
            <w:pPr>
              <w:pStyle w:val="Normal6a"/>
            </w:pPr>
            <w:r>
              <w:t>1.</w:t>
            </w:r>
            <w:r>
              <w:tab/>
            </w:r>
            <w:r>
              <w:t xml:space="preserve">Obecným cílem ECF je zvýšit evropskou konkurenceschopnost, </w:t>
            </w:r>
            <w:r>
              <w:rPr>
                <w:b/>
                <w:i/>
              </w:rPr>
              <w:t>produktivitu, odolnost a bezpečnost na základě zeměpisné vyváženosti a inkluzivního zapojení členských států a jejich strategických zúčastněných stran do strategických hodnotových řetězců,</w:t>
            </w:r>
            <w:r>
              <w:t xml:space="preserve"> zejména ve strategických odvětvích a technologiích </w:t>
            </w:r>
            <w:r>
              <w:rPr>
                <w:b/>
                <w:i/>
              </w:rPr>
              <w:t>s technologicky neutrálním přístupem</w:t>
            </w:r>
            <w:r>
              <w:t xml:space="preserve"> v rámci celého investičního vývoje, a to prostřednictvím: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1162</w:t>
      </w:r>
      <w:r>
        <w:rPr>
          <w:rStyle w:val="HideTWBExt"/>
        </w:rPr>
        <w:t>&lt;/NumAm&gt;</w:t>
      </w:r>
    </w:p>
    <w:p>
      <w:pPr>
        <w:pStyle w:val="NormalBold"/>
      </w:pPr>
      <w:r>
        <w:rPr>
          <w:rStyle w:val="HideTWBExt"/>
          <w:b w:val="0"/>
        </w:rPr>
        <w:t>&lt;RepeatBlock-By&gt;</w:t>
      </w:r>
      <w:r>
        <w:rPr>
          <w:rStyle w:val="HideTWBExt"/>
          <w:b w:val="0"/>
        </w:rPr>
        <w:t>&lt;Members&gt;</w:t>
      </w:r>
      <w:r>
        <w:t>Nicolás González Casares, Mohammed Chahim, Elena Sancho Murillo, Lina Gálvez, Yannis Maniatis, Thomas Pellerin-Carlin, Annalisa Corrado, Christophe Clergeau, Bruno Tobback, Niels Fuglsang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návětí</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Obecným cílem ECF je zvýšit </w:t>
            </w:r>
            <w:r>
              <w:rPr>
                <w:b/>
                <w:i/>
              </w:rPr>
              <w:t>evropskou</w:t>
            </w:r>
            <w:r>
              <w:t xml:space="preserve"> konkurenceschopnost, zejména ve strategických odvětvích a technologiích v rámci celého investičního vývoje, a to prostřednictvím:</w:t>
            </w:r>
          </w:p>
        </w:tc>
        <w:tc>
          <w:tcPr>
            <w:tcW w:w="4876" w:type="dxa"/>
            <w:tcBorders>
              <w:top w:val="nil"/>
              <w:left w:val="nil"/>
              <w:bottom w:val="nil"/>
              <w:right w:val="nil"/>
            </w:tcBorders>
          </w:tcPr>
          <w:p>
            <w:pPr>
              <w:pStyle w:val="Normal6a"/>
            </w:pPr>
            <w:r>
              <w:t>1.</w:t>
            </w:r>
            <w:r>
              <w:tab/>
            </w:r>
            <w:r>
              <w:t xml:space="preserve">Obecným cílem ECF je </w:t>
            </w:r>
            <w:r>
              <w:rPr>
                <w:b/>
                <w:i/>
              </w:rPr>
              <w:t>posílit,</w:t>
            </w:r>
            <w:r>
              <w:t xml:space="preserve"> zvýšit </w:t>
            </w:r>
            <w:r>
              <w:rPr>
                <w:b/>
                <w:i/>
              </w:rPr>
              <w:t>a chránit</w:t>
            </w:r>
            <w:r>
              <w:t xml:space="preserve"> konkurenceschopnost </w:t>
            </w:r>
            <w:r>
              <w:rPr>
                <w:b/>
                <w:i/>
              </w:rPr>
              <w:t>Unie a zároveň zajistit plný soulad s cílem Unie v oblasti klimatické neutrality, jakož i zajistit vysokou environmentální a životní úroveň, ochranu a sociální spravedlnost</w:t>
            </w:r>
            <w:r>
              <w:t>, zejména ve strategických odvětvích a technologiích v rámci celého investičního vývoje, a to prostřednictvím: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1163</w:t>
      </w:r>
      <w:r>
        <w:rPr>
          <w:rStyle w:val="HideTWBExt"/>
        </w:rPr>
        <w:t>&lt;/NumAm&gt;</w:t>
      </w:r>
    </w:p>
    <w:p>
      <w:pPr>
        <w:pStyle w:val="NormalBold"/>
      </w:pPr>
      <w:r>
        <w:rPr>
          <w:rStyle w:val="HideTWBExt"/>
          <w:b w:val="0"/>
        </w:rPr>
        <w:t>&lt;RepeatBlock-By&gt;</w:t>
      </w:r>
      <w:r>
        <w:rPr>
          <w:rStyle w:val="HideTWBExt"/>
          <w:b w:val="0"/>
        </w:rPr>
        <w:t>&lt;Members&gt;</w:t>
      </w:r>
      <w:r>
        <w:t>Martin Hojsík, Sigrid Friis, Yvan Verougstraete, Barry Cowen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návětí</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Obecným cílem ECF je zvýšit evropskou konkurenceschopnost, zejména ve strategických odvětvích a technologiích v rámci celého investičního vývoje, a to prostřednictvím:</w:t>
            </w:r>
          </w:p>
        </w:tc>
        <w:tc>
          <w:tcPr>
            <w:tcW w:w="4876" w:type="dxa"/>
            <w:tcBorders>
              <w:top w:val="nil"/>
              <w:left w:val="nil"/>
              <w:bottom w:val="nil"/>
              <w:right w:val="nil"/>
            </w:tcBorders>
          </w:tcPr>
          <w:p>
            <w:pPr>
              <w:pStyle w:val="Normal6a"/>
            </w:pPr>
            <w:r>
              <w:t>1.</w:t>
            </w:r>
            <w:r>
              <w:tab/>
            </w:r>
            <w:r>
              <w:t xml:space="preserve">Obecným cílem ECF je zvýšit evropskou konkurenceschopnost, zejména ve strategických odvětvích a technologiích v rámci celého investičního vývoje, a </w:t>
            </w:r>
            <w:r>
              <w:rPr>
                <w:b/>
                <w:i/>
              </w:rPr>
              <w:t>zároveň zajistit plný soulad s cílem Unie v oblasti klimatické neutrality a přísné normy a ochranu životního prostředí, a</w:t>
            </w:r>
            <w:r>
              <w:t xml:space="preserve"> to prostřednictvím: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1164</w:t>
      </w:r>
      <w:r>
        <w:rPr>
          <w:rStyle w:val="HideTWBExt"/>
        </w:rPr>
        <w:t>&lt;/NumAm&gt;</w:t>
      </w:r>
    </w:p>
    <w:p>
      <w:pPr>
        <w:pStyle w:val="NormalBold"/>
      </w:pPr>
      <w:r>
        <w:rPr>
          <w:rStyle w:val="HideTWBExt"/>
          <w:b w:val="0"/>
        </w:rPr>
        <w:t>&lt;RepeatBlock-By&gt;</w:t>
      </w:r>
      <w:r>
        <w:rPr>
          <w:rStyle w:val="HideTWBExt"/>
          <w:b w:val="0"/>
        </w:rPr>
        <w:t>&lt;Members&gt;</w:t>
      </w:r>
      <w:r>
        <w:t>Michał Kobosko, Martin Hojsík, Ivars Ijabs, Lucia Yar, Joanna Scheuring-Wielgus, Krzysztof Śmiszek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návětí</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Obecným cílem ECF je </w:t>
            </w:r>
            <w:r>
              <w:rPr>
                <w:b/>
                <w:i/>
              </w:rPr>
              <w:t>zvýšit evropskou</w:t>
            </w:r>
            <w:r>
              <w:t xml:space="preserve"> konkurenceschopnost, zejména ve strategických odvětvích a technologiích v rámci celého investičního vývoje, a to prostřednictvím:</w:t>
            </w:r>
          </w:p>
        </w:tc>
        <w:tc>
          <w:tcPr>
            <w:tcW w:w="4876" w:type="dxa"/>
            <w:tcBorders>
              <w:top w:val="nil"/>
              <w:left w:val="nil"/>
              <w:bottom w:val="nil"/>
              <w:right w:val="nil"/>
            </w:tcBorders>
          </w:tcPr>
          <w:p>
            <w:pPr>
              <w:pStyle w:val="Normal6a"/>
            </w:pPr>
            <w:r>
              <w:t>1.</w:t>
            </w:r>
            <w:r>
              <w:tab/>
            </w:r>
            <w:r>
              <w:t xml:space="preserve">Obecným cílem ECF je </w:t>
            </w:r>
            <w:r>
              <w:rPr>
                <w:b/>
                <w:i/>
              </w:rPr>
              <w:t>posílit</w:t>
            </w:r>
            <w:r>
              <w:t xml:space="preserve"> konkurenceschopnost </w:t>
            </w:r>
            <w:r>
              <w:rPr>
                <w:b/>
                <w:i/>
              </w:rPr>
              <w:t>Unie ve všech členských státech EU podporou investic, které poskytují přidanou hodnotu Unie</w:t>
            </w:r>
            <w:r>
              <w:t>, zejména ve strategických odvětvích a technologiích v rámci celého investičního vývoje, a to prostřednictvím: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1165</w:t>
      </w:r>
      <w:r>
        <w:rPr>
          <w:rStyle w:val="HideTWBExt"/>
        </w:rPr>
        <w:t>&lt;/NumAm&gt;</w:t>
      </w:r>
    </w:p>
    <w:p>
      <w:pPr>
        <w:pStyle w:val="NormalBold"/>
      </w:pPr>
      <w:r>
        <w:rPr>
          <w:rStyle w:val="HideTWBExt"/>
          <w:b w:val="0"/>
        </w:rPr>
        <w:t>&lt;RepeatBlock-By&gt;</w:t>
      </w:r>
      <w:r>
        <w:rPr>
          <w:rStyle w:val="HideTWBExt"/>
          <w:b w:val="0"/>
        </w:rPr>
        <w:t>&lt;Members&gt;</w:t>
      </w:r>
      <w:r>
        <w:t>Mirosława Nykiel, Borys Budka, Adam Jarubas, Krzysztof Hetman,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návětí</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Obecným cílem ECF je </w:t>
            </w:r>
            <w:r>
              <w:rPr>
                <w:b/>
                <w:i/>
              </w:rPr>
              <w:t>zvýšit evropskou</w:t>
            </w:r>
            <w:r>
              <w:t xml:space="preserve"> konkurenceschopnost, zejména ve strategických odvětvích a technologiích v rámci celého investičního vývoje, a to prostřednictvím:</w:t>
            </w:r>
          </w:p>
        </w:tc>
        <w:tc>
          <w:tcPr>
            <w:tcW w:w="4876" w:type="dxa"/>
            <w:tcBorders>
              <w:top w:val="nil"/>
              <w:left w:val="nil"/>
              <w:bottom w:val="nil"/>
              <w:right w:val="nil"/>
            </w:tcBorders>
          </w:tcPr>
          <w:p>
            <w:pPr>
              <w:pStyle w:val="Normal6a"/>
            </w:pPr>
            <w:r>
              <w:t>1.</w:t>
            </w:r>
            <w:r>
              <w:tab/>
            </w:r>
            <w:r>
              <w:t xml:space="preserve">Obecným cílem ECF je </w:t>
            </w:r>
            <w:r>
              <w:rPr>
                <w:b/>
                <w:i/>
              </w:rPr>
              <w:t>posílit</w:t>
            </w:r>
            <w:r>
              <w:t xml:space="preserve"> konkurenceschopnost </w:t>
            </w:r>
            <w:r>
              <w:rPr>
                <w:b/>
                <w:i/>
              </w:rPr>
              <w:t>Unie ve všech členských státech EU podporou investic, které poskytují přidanou hodnotu Unie</w:t>
            </w:r>
            <w:r>
              <w:t>, zejména ve strategických odvětvích a technologiích v rámci celého investičního vývoje, a to prostřednictvím: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1166</w:t>
      </w:r>
      <w:r>
        <w:rPr>
          <w:rStyle w:val="HideTWBExt"/>
        </w:rPr>
        <w:t>&lt;/NumAm&gt;</w:t>
      </w:r>
    </w:p>
    <w:p>
      <w:pPr>
        <w:pStyle w:val="NormalBold"/>
      </w:pPr>
      <w:r>
        <w:rPr>
          <w:rStyle w:val="HideTWBExt"/>
          <w:b w:val="0"/>
        </w:rPr>
        <w:t>&lt;RepeatBlock-By&gt;</w:t>
      </w:r>
      <w:r>
        <w:rPr>
          <w:rStyle w:val="HideTWBExt"/>
          <w:b w:val="0"/>
        </w:rPr>
        <w:t>&lt;Members&gt;</w:t>
      </w:r>
      <w:r>
        <w:t>Barry Andrews, Yvan Verougstraete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návětí</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Obecným cílem ECF je zvýšit evropskou konkurenceschopnost, zejména ve strategických odvětvích a technologiích v rámci celého investičního vývoje, a to prostřednictvím:</w:t>
            </w:r>
          </w:p>
        </w:tc>
        <w:tc>
          <w:tcPr>
            <w:tcW w:w="4876" w:type="dxa"/>
            <w:tcBorders>
              <w:top w:val="nil"/>
              <w:left w:val="nil"/>
              <w:bottom w:val="nil"/>
              <w:right w:val="nil"/>
            </w:tcBorders>
          </w:tcPr>
          <w:p>
            <w:pPr>
              <w:pStyle w:val="Normal6a"/>
            </w:pPr>
            <w:r>
              <w:t>1.</w:t>
            </w:r>
            <w:r>
              <w:tab/>
            </w:r>
            <w:r>
              <w:t xml:space="preserve">Obecným cílem ECF je zvýšit evropskou konkurenceschopnost </w:t>
            </w:r>
            <w:r>
              <w:rPr>
                <w:b/>
                <w:i/>
              </w:rPr>
              <w:t>podporou inovací, produktivity, odolnosti a diverzifikace</w:t>
            </w:r>
            <w:r>
              <w:t>, zejména ve strategických odvětvích a technologiích v rámci celého investičního vývoje, a to prostřednictvím: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1167</w:t>
      </w:r>
      <w:r>
        <w:rPr>
          <w:rStyle w:val="HideTWBExt"/>
        </w:rPr>
        <w:t>&lt;/NumAm&gt;</w:t>
      </w:r>
    </w:p>
    <w:p>
      <w:pPr>
        <w:pStyle w:val="NormalBold"/>
      </w:pPr>
      <w:r>
        <w:rPr>
          <w:rStyle w:val="HideTWBExt"/>
          <w:b w:val="0"/>
        </w:rPr>
        <w:t>&lt;RepeatBlock-By&gt;</w:t>
      </w:r>
      <w:r>
        <w:rPr>
          <w:rStyle w:val="HideTWBExt"/>
          <w:b w:val="0"/>
        </w:rPr>
        <w:t>&lt;Members&gt;</w:t>
      </w:r>
      <w:r>
        <w:t>Martin Hojsík, Barry Cowen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návětí</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Obecným cílem ECF je zvýšit evropskou konkurenceschopnost, zejména ve strategických odvětvích a technologiích v rámci celého investičního vývoje, a to prostřednictvím:</w:t>
            </w:r>
          </w:p>
        </w:tc>
        <w:tc>
          <w:tcPr>
            <w:tcW w:w="4876" w:type="dxa"/>
            <w:tcBorders>
              <w:top w:val="nil"/>
              <w:left w:val="nil"/>
              <w:bottom w:val="nil"/>
              <w:right w:val="nil"/>
            </w:tcBorders>
          </w:tcPr>
          <w:p>
            <w:pPr>
              <w:pStyle w:val="Normal6a"/>
            </w:pPr>
            <w:r>
              <w:t>1.</w:t>
            </w:r>
            <w:r>
              <w:tab/>
            </w:r>
            <w:r>
              <w:t xml:space="preserve">Obecným cílem ECF je zvýšit evropskou konkurenceschopnost </w:t>
            </w:r>
            <w:r>
              <w:rPr>
                <w:b/>
                <w:i/>
              </w:rPr>
              <w:t>a urychlit spravedlivý přechod na klimaticky neutrální ekonomiku</w:t>
            </w:r>
            <w:r>
              <w:t>, zejména ve strategických odvětvích a technologiích v rámci celého investičního vývoje, a to prostřednictvím: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1168</w:t>
      </w:r>
      <w:r>
        <w:rPr>
          <w:rStyle w:val="HideTWBExt"/>
        </w:rPr>
        <w:t>&lt;/NumAm&gt;</w:t>
      </w:r>
    </w:p>
    <w:p>
      <w:pPr>
        <w:pStyle w:val="NormalBold"/>
      </w:pPr>
      <w:r>
        <w:rPr>
          <w:rStyle w:val="HideTWBExt"/>
          <w:b w:val="0"/>
        </w:rPr>
        <w:t>&lt;RepeatBlock-By&gt;</w:t>
      </w:r>
      <w:r>
        <w:rPr>
          <w:rStyle w:val="HideTWBExt"/>
          <w:b w:val="0"/>
        </w:rPr>
        <w:t>&lt;Members&gt;</w:t>
      </w:r>
      <w:r>
        <w:t>Jörgen Warborn,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návětí</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Obecným cílem ECF je zvýšit evropskou konkurenceschopnost, zejména ve strategických odvětvích </w:t>
            </w:r>
            <w:r>
              <w:rPr>
                <w:b/>
                <w:i/>
              </w:rPr>
              <w:t>a</w:t>
            </w:r>
            <w:r>
              <w:t xml:space="preserve"> technologiích v rámci celého investičního vývoje, a to prostřednictvím:</w:t>
            </w:r>
          </w:p>
        </w:tc>
        <w:tc>
          <w:tcPr>
            <w:tcW w:w="4876" w:type="dxa"/>
            <w:tcBorders>
              <w:top w:val="nil"/>
              <w:left w:val="nil"/>
              <w:bottom w:val="nil"/>
              <w:right w:val="nil"/>
            </w:tcBorders>
          </w:tcPr>
          <w:p>
            <w:pPr>
              <w:pStyle w:val="Normal6a"/>
            </w:pPr>
            <w:r>
              <w:t>1.</w:t>
            </w:r>
            <w:r>
              <w:tab/>
            </w:r>
            <w:r>
              <w:t xml:space="preserve">Obecným cílem ECF je zvýšit evropskou konkurenceschopnost, zejména ve strategických odvětvích </w:t>
            </w:r>
            <w:r>
              <w:rPr>
                <w:b/>
                <w:i/>
              </w:rPr>
              <w:t>určených prostřednictvím čtyř oblastí politiky ECF a ve strategických</w:t>
            </w:r>
            <w:r>
              <w:t xml:space="preserve"> technologiích v rámci celého investičního vývoje, a to prostřednictvím:</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1169</w:t>
      </w:r>
      <w:r>
        <w:rPr>
          <w:rStyle w:val="HideTWBExt"/>
        </w:rPr>
        <w:t>&lt;/NumAm&gt;</w:t>
      </w:r>
    </w:p>
    <w:p>
      <w:pPr>
        <w:pStyle w:val="NormalBold"/>
      </w:pPr>
      <w:r>
        <w:rPr>
          <w:rStyle w:val="HideTWBExt"/>
          <w:b w:val="0"/>
        </w:rPr>
        <w:t>&lt;RepeatBlock-By&gt;</w:t>
      </w:r>
      <w:r>
        <w:rPr>
          <w:rStyle w:val="HideTWBExt"/>
          <w:b w:val="0"/>
        </w:rPr>
        <w:t>&lt;Members&gt;</w:t>
      </w:r>
      <w:r>
        <w:t>Jörgen Warborn,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w:t>
            </w:r>
            <w:r>
              <w:tab/>
            </w:r>
            <w:r>
              <w:rPr>
                <w:b/>
                <w:i/>
              </w:rPr>
              <w:t>plnění úlohy stěžejního nástroje Unie na podporu sociálně významných investic do procesů vývoje, zavádění a výroby, které mají zásadní strategický význam pro konkurenceschopnost Unie a její globální postavení;</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1170</w:t>
      </w:r>
      <w:r>
        <w:rPr>
          <w:rStyle w:val="HideTWBExt"/>
        </w:rPr>
        <w:t>&lt;/NumAm&gt;</w:t>
      </w:r>
    </w:p>
    <w:p>
      <w:pPr>
        <w:pStyle w:val="NormalBold"/>
      </w:pPr>
      <w:r>
        <w:rPr>
          <w:rStyle w:val="HideTWBExt"/>
          <w:b w:val="0"/>
        </w:rPr>
        <w:t>&lt;RepeatBlock-By&gt;</w:t>
      </w:r>
      <w:r>
        <w:rPr>
          <w:rStyle w:val="HideTWBExt"/>
          <w:b w:val="0"/>
        </w:rPr>
        <w:t>&lt;Members&gt;</w:t>
      </w:r>
      <w:r>
        <w:t>Jörgen Warborn,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-a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podpory trvalého úsilí o budování kapacit v oblastech strategických schopností, které mají zásadní význam pro Unii jako celek;</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1171</w:t>
      </w:r>
      <w:r>
        <w:rPr>
          <w:rStyle w:val="HideTWBExt"/>
        </w:rPr>
        <w:t>&lt;/NumAm&gt;</w:t>
      </w:r>
    </w:p>
    <w:p>
      <w:pPr>
        <w:pStyle w:val="NormalBold"/>
      </w:pPr>
      <w:r>
        <w:rPr>
          <w:rStyle w:val="HideTWBExt"/>
          <w:b w:val="0"/>
        </w:rPr>
        <w:t>&lt;RepeatBlock-By&gt;</w:t>
      </w:r>
      <w:r>
        <w:rPr>
          <w:rStyle w:val="HideTWBExt"/>
          <w:b w:val="0"/>
        </w:rPr>
        <w:t>&lt;Members&gt;</w:t>
      </w:r>
      <w:r>
        <w:t>Letizia Moratti, Massimiliano Salini, Fulvio Martusciello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zajištění technologického, hospodářského a environmentálního dopadu investic Unie</w:t>
            </w:r>
            <w:r>
              <w:rPr>
                <w:b/>
                <w:i/>
              </w:rPr>
              <w:t>, mimo jiné rozvojem</w:t>
            </w:r>
            <w:r>
              <w:t xml:space="preserve"> radikálních a přírůstkových inovací</w:t>
            </w:r>
            <w:r>
              <w:rPr>
                <w:b/>
                <w:i/>
              </w:rPr>
              <w:t>,</w:t>
            </w:r>
            <w:r>
              <w:t xml:space="preserve"> a nových, špičkových a strategických technologií a technologií dvojího užití s významným hospodářským potenciálem, a to i prostřednictvím rozvoje a urychlení </w:t>
            </w:r>
            <w:r>
              <w:rPr>
                <w:b/>
                <w:i/>
              </w:rPr>
              <w:t>jejich</w:t>
            </w:r>
            <w:r>
              <w:t xml:space="preserve"> výroby a průmyslového využití;</w:t>
            </w:r>
          </w:p>
        </w:tc>
        <w:tc>
          <w:tcPr>
            <w:tcW w:w="4876" w:type="dxa"/>
            <w:tcBorders>
              <w:top w:val="nil"/>
              <w:left w:val="nil"/>
              <w:bottom w:val="nil"/>
              <w:right w:val="nil"/>
            </w:tcBorders>
          </w:tcPr>
          <w:p>
            <w:pPr>
              <w:pStyle w:val="Normal6a"/>
            </w:pPr>
            <w:r>
              <w:t>a)</w:t>
            </w:r>
            <w:r>
              <w:tab/>
            </w:r>
            <w:r>
              <w:rPr>
                <w:b/>
                <w:i/>
              </w:rPr>
              <w:t>v souladu se zásadou technologické neutrality</w:t>
            </w:r>
            <w:r>
              <w:t xml:space="preserve"> zajištění technologického, hospodářského a environmentálního dopadu investic Unie </w:t>
            </w:r>
            <w:r>
              <w:rPr>
                <w:b/>
                <w:i/>
              </w:rPr>
              <w:t>prostřednictvím vývoje, zavádění, šíření, rozšiřování a komercializace</w:t>
            </w:r>
            <w:r>
              <w:t xml:space="preserve"> radikálních a přírůstkových inovací a nových, špičkových a strategických technologií a technologií dvojího užití s významným hospodářským potenciálem, a to i prostřednictvím rozvoje a urychlení výroby a průmyslového využití </w:t>
            </w:r>
            <w:r>
              <w:rPr>
                <w:b/>
                <w:i/>
              </w:rPr>
              <w:t>technologií, jako jsou technologie definované jako technologie pro nulové čisté emise podle článku 4 nařízení (EU) 2024/1735, strategické technologie podle nařízení (EU) 2024/795 a přechodná řešení definovaná v čl. 10 odst. 2 nařízení (EU) 2020/852</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1172</w:t>
      </w:r>
      <w:r>
        <w:rPr>
          <w:rStyle w:val="HideTWBExt"/>
        </w:rPr>
        <w:t>&lt;/NumAm&gt;</w:t>
      </w:r>
    </w:p>
    <w:p>
      <w:pPr>
        <w:pStyle w:val="NormalBold"/>
      </w:pPr>
      <w:r>
        <w:rPr>
          <w:rStyle w:val="HideTWBExt"/>
          <w:b w:val="0"/>
        </w:rPr>
        <w:t>&lt;RepeatBlock-By&gt;</w:t>
      </w:r>
      <w:r>
        <w:rPr>
          <w:rStyle w:val="HideTWBExt"/>
          <w:b w:val="0"/>
        </w:rPr>
        <w:t>&lt;Members&gt;</w:t>
      </w:r>
      <w:r>
        <w:t>Yvan Verougstraete, Brigitte van den Berg, Grégory Allione, Sigrid Friis, Morten Løkkegaard, Christophe Grudler, Barry Andrews,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zajištění technologického, hospodářského a environmentálního dopadu investic Unie, mimo jiné rozvojem radikálních a přírůstkových</w:t>
            </w:r>
            <w:r>
              <w:t xml:space="preserve"> inovací, </w:t>
            </w:r>
            <w:r>
              <w:rPr>
                <w:b/>
                <w:i/>
              </w:rPr>
              <w:t>a nových, špičkových a strategických technologií a technologií dvojího užití s významným hospodářským potenciálem, a to i</w:t>
            </w:r>
            <w:r>
              <w:t xml:space="preserve"> prostřednictvím </w:t>
            </w:r>
            <w:r>
              <w:rPr>
                <w:b/>
                <w:i/>
              </w:rPr>
              <w:t>rozvoje a urychlení jejich výroby a průmyslového využití;</w:t>
            </w:r>
          </w:p>
        </w:tc>
        <w:tc>
          <w:tcPr>
            <w:tcW w:w="4876" w:type="dxa"/>
            <w:tcBorders>
              <w:top w:val="nil"/>
              <w:left w:val="nil"/>
              <w:bottom w:val="nil"/>
              <w:right w:val="nil"/>
            </w:tcBorders>
          </w:tcPr>
          <w:p>
            <w:pPr>
              <w:pStyle w:val="Normal6a"/>
            </w:pPr>
            <w:r>
              <w:t>a)</w:t>
            </w:r>
            <w:r>
              <w:tab/>
            </w:r>
            <w:r>
              <w:rPr>
                <w:b/>
                <w:i/>
              </w:rPr>
              <w:t>zvýšení produktivity a</w:t>
            </w:r>
            <w:r>
              <w:t>inovací,</w:t>
            </w:r>
            <w:r>
              <w:rPr>
                <w:b/>
                <w:i/>
              </w:rPr>
              <w:t>zejména</w:t>
            </w:r>
            <w:r>
              <w:t>prostřednictvím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sladění politiky v oblasti výzkumu, inovací a průmyslu s cílem přeměnit excelenci výzkumu Unie v průmyslovou sílu na světových trzích;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 vývoje a urychlení zavádění nových a špičkových technologií, technologií dvojího užití a strategických udržitelných technologií;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iii) řešení nedostatku dovedností ve strategických odvětvích, jakož i budoucích vznikajících technologiích a prostřednictvím podpory podnikatelských a obchodních dovedností;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1173</w:t>
      </w:r>
      <w:r>
        <w:rPr>
          <w:rStyle w:val="HideTWBExt"/>
        </w:rPr>
        <w:t>&lt;/NumAm&gt;</w:t>
      </w:r>
    </w:p>
    <w:p>
      <w:pPr>
        <w:pStyle w:val="NormalBold"/>
      </w:pPr>
      <w:r>
        <w:rPr>
          <w:rStyle w:val="HideTWBExt"/>
          <w:b w:val="0"/>
        </w:rPr>
        <w:t>&lt;RepeatBlock-By&gt;</w:t>
      </w:r>
      <w:r>
        <w:rPr>
          <w:rStyle w:val="HideTWBExt"/>
          <w:b w:val="0"/>
        </w:rPr>
        <w:t>&lt;Members&gt;</w:t>
      </w:r>
      <w:r>
        <w:t>Krzysztof Hetman, Adam Jarubas, Borys Budka, Kamila Gasiuk-Pihowicz, Mirosława Nykiel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zajištění technologického, hospodářského a environmentálního dopadu investic Unie, mimo jiné rozvojem radikálních a přírůstkových inovací, a nových, špičkových a strategických technologií a technologií dvojího užití s významným hospodářským potenciálem, a to i prostřednictvím rozvoje a urychlení jejich výroby a průmyslového využití;</w:t>
            </w:r>
          </w:p>
        </w:tc>
        <w:tc>
          <w:tcPr>
            <w:tcW w:w="4876" w:type="dxa"/>
            <w:tcBorders>
              <w:top w:val="nil"/>
              <w:left w:val="nil"/>
              <w:bottom w:val="nil"/>
              <w:right w:val="nil"/>
            </w:tcBorders>
          </w:tcPr>
          <w:p>
            <w:pPr>
              <w:pStyle w:val="Normal6a"/>
            </w:pPr>
            <w:r>
              <w:t>a)</w:t>
            </w:r>
            <w:r>
              <w:tab/>
            </w:r>
            <w:r>
              <w:t xml:space="preserve">zajištění technologického, hospodářského a environmentálního dopadu investic Unie, mimo jiné rozvojem radikálních a přírůstkových inovací, a nových, špičkových a strategických technologií a technologií dvojího užití s významným hospodářským potenciálem, a to i prostřednictvím rozvoje a urychlení jejich výroby a průmyslového využití </w:t>
            </w:r>
            <w:r>
              <w:rPr>
                <w:b/>
                <w:i/>
              </w:rPr>
              <w:t>a rozsáhlým zaváděním, replikací a integrací vyspělých technologií a technologií blízkých komerčnímu využití do evropských hodnotových řetězců</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1174</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zajištění technologického, hospodářského a environmentálního dopadu investic Unie</w:t>
            </w:r>
            <w:r>
              <w:rPr>
                <w:b/>
                <w:i/>
              </w:rPr>
              <w:t>, mimo jiné rozvojem</w:t>
            </w:r>
            <w:r>
              <w:t xml:space="preserve"> radikálních a přírůstkových inovací</w:t>
            </w:r>
            <w:r>
              <w:rPr>
                <w:b/>
                <w:i/>
              </w:rPr>
              <w:t>, a nových, špičkových a strategických technologií a technologií dvojího užití</w:t>
            </w:r>
            <w:r>
              <w:t xml:space="preserve"> s významným hospodářským potenciálem, </w:t>
            </w:r>
            <w:r>
              <w:rPr>
                <w:b/>
                <w:i/>
              </w:rPr>
              <w:t>a to i prostřednictvím rozvoje a urychlení jejich výroby a průmyslového využití</w:t>
            </w:r>
            <w:r>
              <w:t>;</w:t>
            </w:r>
          </w:p>
        </w:tc>
        <w:tc>
          <w:tcPr>
            <w:tcW w:w="4876" w:type="dxa"/>
            <w:tcBorders>
              <w:top w:val="nil"/>
              <w:left w:val="nil"/>
              <w:bottom w:val="nil"/>
              <w:right w:val="nil"/>
            </w:tcBorders>
          </w:tcPr>
          <w:p>
            <w:pPr>
              <w:pStyle w:val="Normal6a"/>
            </w:pPr>
            <w:r>
              <w:t>a)</w:t>
            </w:r>
            <w:r>
              <w:tab/>
            </w:r>
            <w:r>
              <w:t xml:space="preserve">zajištění </w:t>
            </w:r>
            <w:r>
              <w:rPr>
                <w:b/>
                <w:i/>
              </w:rPr>
              <w:t>pozitivního</w:t>
            </w:r>
            <w:r>
              <w:t xml:space="preserve"> technologického, hospodářského</w:t>
            </w:r>
            <w:r>
              <w:rPr>
                <w:b/>
                <w:i/>
              </w:rPr>
              <w:t>, sociálního</w:t>
            </w:r>
            <w:r>
              <w:t xml:space="preserve"> a environmentálního dopadu investic Unie </w:t>
            </w:r>
            <w:r>
              <w:rPr>
                <w:b/>
                <w:i/>
              </w:rPr>
              <w:t>podporou rozsáhlých demonstrací a rozšiřování a rozsáhlé výroby</w:t>
            </w:r>
            <w:r>
              <w:t xml:space="preserve"> radikálních a přírůstkových inovací s významným hospodářským potenciálem, </w:t>
            </w:r>
            <w:r>
              <w:rPr>
                <w:b/>
                <w:i/>
              </w:rPr>
              <w:t>včetně řešení inspirovaných přírodou a technologií dvojího užití, se zaměřením na vznikající a špičkové technologie vyplývající z vynikajícího výzkumu podporovaného rámcovým programem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1175</w:t>
      </w:r>
      <w:r>
        <w:rPr>
          <w:rStyle w:val="HideTWBExt"/>
        </w:rPr>
        <w:t>&lt;/NumAm&gt;</w:t>
      </w:r>
    </w:p>
    <w:p>
      <w:pPr>
        <w:pStyle w:val="NormalBold"/>
      </w:pPr>
      <w:r>
        <w:rPr>
          <w:rStyle w:val="HideTWBExt"/>
          <w:b w:val="0"/>
        </w:rPr>
        <w:t>&lt;RepeatBlock-By&gt;</w:t>
      </w:r>
      <w:r>
        <w:rPr>
          <w:rStyle w:val="HideTWBExt"/>
          <w:b w:val="0"/>
        </w:rPr>
        <w:t>&lt;Members&gt;</w:t>
      </w:r>
      <w:r>
        <w:t>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zajištění technologického, hospodářského a environmentálního dopadu investic Unie, mimo jiné rozvojem radikálních a přírůstkových inovací, a nových, špičkových a strategických technologií a technologií dvojího užití s významným hospodářským potenciálem, </w:t>
            </w:r>
            <w:r>
              <w:rPr>
                <w:b/>
                <w:i/>
              </w:rPr>
              <w:t>a to i prostřednictvím rozvoje a urychlení jejich výroby a průmyslového využití</w:t>
            </w:r>
            <w:r>
              <w:t>;</w:t>
            </w:r>
          </w:p>
        </w:tc>
        <w:tc>
          <w:tcPr>
            <w:tcW w:w="4876" w:type="dxa"/>
            <w:tcBorders>
              <w:top w:val="nil"/>
              <w:left w:val="nil"/>
              <w:bottom w:val="nil"/>
              <w:right w:val="nil"/>
            </w:tcBorders>
          </w:tcPr>
          <w:p>
            <w:pPr>
              <w:pStyle w:val="Normal6a"/>
            </w:pPr>
            <w:r>
              <w:t>a)</w:t>
            </w:r>
            <w:r>
              <w:tab/>
            </w:r>
            <w:r>
              <w:t xml:space="preserve">zajištění technologického, hospodářského a environmentálního dopadu investic Unie, mimo jiné rozvojem radikálních a přírůstkových inovací, a nových, špičkových a strategických technologií a technologií dvojího užití s významným hospodářským potenciálem, </w:t>
            </w:r>
            <w:r>
              <w:rPr>
                <w:b/>
                <w:i/>
              </w:rPr>
              <w:t>včetně pokročilých výrobních procesů a technologií, pokročilých materiálů, kvantových technologií, umělé inteligence, řešení kybernetické bezpečnosti a technologií v oblasti energie z obnovitelných zdrojů</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1176</w:t>
      </w:r>
      <w:r>
        <w:rPr>
          <w:rStyle w:val="HideTWBExt"/>
        </w:rPr>
        <w:t>&lt;/NumAm&gt;</w:t>
      </w:r>
    </w:p>
    <w:p>
      <w:pPr>
        <w:pStyle w:val="NormalBold"/>
      </w:pPr>
      <w:r>
        <w:rPr>
          <w:rStyle w:val="HideTWBExt"/>
          <w:b w:val="0"/>
        </w:rPr>
        <w:t>&lt;RepeatBlock-By&gt;</w:t>
      </w:r>
      <w:r>
        <w:rPr>
          <w:rStyle w:val="HideTWBExt"/>
          <w:b w:val="0"/>
        </w:rPr>
        <w:t>&lt;Members&gt;</w:t>
      </w:r>
      <w:r>
        <w:t>Christophe Clergeau, Jean-Marc Germain, Romana Jerković, Kristian Vigenin, Thomas Pellerin-Carlin, Vytenis Povilas Andriukaitis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zajištění technologického, hospodářského a environmentálního dopadu investic Unie, mimo jiné rozvojem radikálních a přírůstkových inovací, a nových, špičkových a strategických technologií a technologií dvojího užití s významným hospodářským potenciálem, a to i prostřednictvím rozvoje a urychlení jejich výroby a průmyslového využití;</w:t>
            </w:r>
          </w:p>
        </w:tc>
        <w:tc>
          <w:tcPr>
            <w:tcW w:w="4876" w:type="dxa"/>
            <w:tcBorders>
              <w:top w:val="nil"/>
              <w:left w:val="nil"/>
              <w:bottom w:val="nil"/>
              <w:right w:val="nil"/>
            </w:tcBorders>
          </w:tcPr>
          <w:p>
            <w:pPr>
              <w:pStyle w:val="Normal6a"/>
            </w:pPr>
            <w:r>
              <w:t>a)</w:t>
            </w:r>
            <w:r>
              <w:tab/>
            </w:r>
            <w:r>
              <w:t xml:space="preserve">zajištění technologického, hospodářského a environmentálního dopadu investic Unie, mimo jiné rozvojem radikálních a přírůstkových inovací, a nových, špičkových a strategických technologií a technologií dvojího užití s významným hospodářským potenciálem, a to i prostřednictvím rozvoje a urychlení jejich výroby a průmyslového využití </w:t>
            </w:r>
            <w:r>
              <w:rPr>
                <w:b/>
                <w:i/>
              </w:rPr>
              <w:t>a rovněž zajištění spravedlivého přístupu k těmto strategickým technologiím v celé Unii</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Cílem tohoto pozměňovacího návrhu je znovu zavést pozměňovací návrhy přijaté ve stanovisku výboru SANT.</w:t>
      </w:r>
    </w:p>
    <w:p>
      <w:r>
        <w:rPr>
          <w:rStyle w:val="HideTWBExt"/>
        </w:rPr>
        <w:t>&lt;/Amend&gt;</w:t>
      </w:r>
    </w:p>
    <w:p>
      <w:pPr>
        <w:pStyle w:val="AmNumberTabs"/>
      </w:pPr>
      <w:r>
        <w:rPr>
          <w:rStyle w:val="HideTWBExt"/>
        </w:rPr>
        <w:t>&lt;Amend&gt;</w:t>
      </w:r>
      <w:r>
        <w:t>Pozměňovací návrh</w:t>
      </w:r>
      <w:r>
        <w:tab/>
      </w:r>
      <w:r>
        <w:tab/>
      </w:r>
      <w:r>
        <w:rPr>
          <w:rStyle w:val="HideTWBExt"/>
        </w:rPr>
        <w:t>&lt;NumAm&gt;</w:t>
      </w:r>
      <w:r>
        <w:t>1177</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zajištění technologického, hospodářského a environmentálního dopadu investic Unie, mimo jiné rozvojem radikálních a přírůstkových inovací, a nových, špičkových a strategických technologií a technologií dvojího užití s významným hospodářským potenciálem, a to i prostřednictvím rozvoje a urychlení jejich výroby a průmyslového využití;</w:t>
            </w:r>
          </w:p>
        </w:tc>
        <w:tc>
          <w:tcPr>
            <w:tcW w:w="4876" w:type="dxa"/>
            <w:tcBorders>
              <w:top w:val="nil"/>
              <w:left w:val="nil"/>
              <w:bottom w:val="nil"/>
              <w:right w:val="nil"/>
            </w:tcBorders>
          </w:tcPr>
          <w:p>
            <w:pPr>
              <w:pStyle w:val="Normal6a"/>
            </w:pPr>
            <w:r>
              <w:t>a)</w:t>
            </w:r>
            <w:r>
              <w:tab/>
            </w:r>
            <w:r>
              <w:t xml:space="preserve">zajištění technologického, hospodářského a environmentálního dopadu investic Unie, mimo jiné rozvojem radikálních a přírůstkových inovací, a nových, špičkových a strategických technologií a technologií dvojího užití s významným hospodářským potenciálem, a to i prostřednictvím rozvoje a urychlení jejich výroby a průmyslového využití </w:t>
            </w:r>
            <w:r>
              <w:rPr>
                <w:b/>
                <w:i/>
              </w:rPr>
              <w:t>na úrovni EU</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1178</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zajištění technologického, hospodářského a environmentálního dopadu investic Unie, mimo jiné rozvojem radikálních a přírůstkových inovací, a nových, špičkových a strategických technologií </w:t>
            </w:r>
            <w:r>
              <w:rPr>
                <w:b/>
                <w:i/>
              </w:rPr>
              <w:t>a technologií dvojího užití</w:t>
            </w:r>
            <w:r>
              <w:t xml:space="preserve"> s významným hospodářským potenciálem, a to i prostřednictvím rozvoje a urychlení jejich výroby a průmyslového využití;</w:t>
            </w:r>
          </w:p>
        </w:tc>
        <w:tc>
          <w:tcPr>
            <w:tcW w:w="4876" w:type="dxa"/>
            <w:tcBorders>
              <w:top w:val="nil"/>
              <w:left w:val="nil"/>
              <w:bottom w:val="nil"/>
              <w:right w:val="nil"/>
            </w:tcBorders>
          </w:tcPr>
          <w:p>
            <w:pPr>
              <w:pStyle w:val="Normal6a"/>
            </w:pPr>
            <w:r>
              <w:t>a)</w:t>
            </w:r>
            <w:r>
              <w:tab/>
            </w:r>
            <w:r>
              <w:t>zajištění technologického, hospodářského</w:t>
            </w:r>
            <w:r>
              <w:rPr>
                <w:b/>
                <w:i/>
              </w:rPr>
              <w:t>, sociálního</w:t>
            </w:r>
            <w:r>
              <w:t xml:space="preserve"> a environmentálního dopadu investic Unie, mimo jiné rozvojem radikálních a přírůstkových inovací, a nových, špičkových a strategických technologií s významným hospodářským </w:t>
            </w:r>
            <w:r>
              <w:rPr>
                <w:b/>
                <w:i/>
              </w:rPr>
              <w:t>a společenským</w:t>
            </w:r>
            <w:r>
              <w:t xml:space="preserve"> potenciálem, a to i prostřednictvím rozvoje a urychlení jejich výroby a průmyslového využití;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1179</w:t>
      </w:r>
      <w:r>
        <w:rPr>
          <w:rStyle w:val="HideTWBExt"/>
        </w:rPr>
        <w:t>&lt;/NumAm&gt;</w:t>
      </w:r>
    </w:p>
    <w:p>
      <w:pPr>
        <w:pStyle w:val="NormalBold"/>
      </w:pPr>
      <w:r>
        <w:rPr>
          <w:rStyle w:val="HideTWBExt"/>
          <w:b w:val="0"/>
        </w:rPr>
        <w:t>&lt;RepeatBlock-By&gt;</w:t>
      </w:r>
      <w:r>
        <w:rPr>
          <w:rStyle w:val="HideTWBExt"/>
          <w:b w:val="0"/>
        </w:rPr>
        <w:t>&lt;Members&gt;</w:t>
      </w:r>
      <w:r>
        <w:t>Sarah Knafo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zajištění technologického, hospodářského </w:t>
            </w:r>
            <w:r>
              <w:rPr>
                <w:b/>
                <w:i/>
              </w:rPr>
              <w:t>a environmentálního</w:t>
            </w:r>
            <w:r>
              <w:t xml:space="preserve"> dopadu investic Unie, mimo jiné rozvojem radikálních a přírůstkových inovací, a nových, špičkových a strategických technologií a technologií dvojího užití s významným hospodářským potenciálem, a to i prostřednictvím rozvoje a urychlení jejich výroby a průmyslového využití;</w:t>
            </w:r>
          </w:p>
        </w:tc>
        <w:tc>
          <w:tcPr>
            <w:tcW w:w="4876" w:type="dxa"/>
            <w:tcBorders>
              <w:top w:val="nil"/>
              <w:left w:val="nil"/>
              <w:bottom w:val="nil"/>
              <w:right w:val="nil"/>
            </w:tcBorders>
          </w:tcPr>
          <w:p>
            <w:pPr>
              <w:pStyle w:val="Normal6a"/>
            </w:pPr>
            <w:r>
              <w:t>a)</w:t>
            </w:r>
            <w:r>
              <w:tab/>
            </w:r>
            <w:r>
              <w:t xml:space="preserve">zajištění technologického, </w:t>
            </w:r>
            <w:r>
              <w:rPr>
                <w:b/>
                <w:i/>
              </w:rPr>
              <w:t>průmyslového a</w:t>
            </w:r>
            <w:r>
              <w:t xml:space="preserve"> hospodářského dopadu investic Unie, mimo jiné rozvojem radikálních a přírůstkových inovací, a nových, špičkových a strategických technologií a technologií dvojího užití s významným hospodářským potenciálem, a to i prostřednictvím rozvoje a urychlení jejich výroby a průmyslového využití;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1180</w:t>
      </w:r>
      <w:r>
        <w:rPr>
          <w:rStyle w:val="HideTWBExt"/>
        </w:rPr>
        <w:t>&lt;/NumAm&gt;</w:t>
      </w:r>
    </w:p>
    <w:p>
      <w:pPr>
        <w:pStyle w:val="NormalBold"/>
      </w:pPr>
      <w:r>
        <w:rPr>
          <w:rStyle w:val="HideTWBExt"/>
          <w:b w:val="0"/>
        </w:rPr>
        <w:t>&lt;RepeatBlock-By&gt;</w:t>
      </w:r>
      <w:r>
        <w:rPr>
          <w:rStyle w:val="HideTWBExt"/>
          <w:b w:val="0"/>
        </w:rPr>
        <w:t>&lt;Members&gt;</w:t>
      </w:r>
      <w:r>
        <w:t>Aura Salla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zajištění technologického</w:t>
            </w:r>
            <w:r>
              <w:rPr>
                <w:b/>
                <w:i/>
              </w:rPr>
              <w:t>,</w:t>
            </w:r>
            <w:r>
              <w:t xml:space="preserve"> hospodářského </w:t>
            </w:r>
            <w:r>
              <w:rPr>
                <w:b/>
                <w:i/>
              </w:rPr>
              <w:t>a environmentálního</w:t>
            </w:r>
            <w:r>
              <w:t xml:space="preserve"> dopadu investic Unie, mimo jiné rozvojem radikálních a přírůstkových inovací, a nových, špičkových a strategických technologií a technologií dvojího užití s významným hospodářským potenciálem, a to i prostřednictvím rozvoje a urychlení jejich výroby a průmyslového využití;</w:t>
            </w:r>
          </w:p>
        </w:tc>
        <w:tc>
          <w:tcPr>
            <w:tcW w:w="4876" w:type="dxa"/>
            <w:tcBorders>
              <w:top w:val="nil"/>
              <w:left w:val="nil"/>
              <w:bottom w:val="nil"/>
              <w:right w:val="nil"/>
            </w:tcBorders>
          </w:tcPr>
          <w:p>
            <w:pPr>
              <w:pStyle w:val="Normal6a"/>
            </w:pPr>
            <w:r>
              <w:t>a)</w:t>
            </w:r>
            <w:r>
              <w:tab/>
            </w:r>
            <w:r>
              <w:t xml:space="preserve">zajištění technologického </w:t>
            </w:r>
            <w:r>
              <w:rPr>
                <w:b/>
                <w:i/>
              </w:rPr>
              <w:t>a</w:t>
            </w:r>
            <w:r>
              <w:t xml:space="preserve"> hospodářského dopadu investic Unie, mimo jiné rozvojem radikálních a přírůstkových inovací, a nových, špičkových a strategických technologií a technologií dvojího užití s významným hospodářským potenciálem, a to i prostřednictvím rozvoje a urychlení jejich výroby a průmyslového využití;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1181</w:t>
      </w:r>
      <w:r>
        <w:rPr>
          <w:rStyle w:val="HideTWBExt"/>
        </w:rPr>
        <w:t>&lt;/NumAm&gt;</w:t>
      </w:r>
    </w:p>
    <w:p>
      <w:pPr>
        <w:pStyle w:val="NormalBold"/>
      </w:pPr>
      <w:r>
        <w:rPr>
          <w:rStyle w:val="HideTWBExt"/>
          <w:b w:val="0"/>
        </w:rPr>
        <w:t>&lt;RepeatBlock-By&gt;</w:t>
      </w:r>
      <w:r>
        <w:rPr>
          <w:rStyle w:val="HideTWBExt"/>
          <w:b w:val="0"/>
        </w:rPr>
        <w:t>&lt;Members&gt;</w:t>
      </w:r>
      <w:r>
        <w:t>Christian Ehler, Oliver Schenk, Matej Tonin, Adina Vălean, Pilar del Castillo Vera, Hildegard Bentele, Angelika Niebler, Eszter Lakos, Wouter Beke, Radan Kanev, Susana Solís Pérez, Virgil-Daniel Popescu, Dimitris Tsiodras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zajištění technologického</w:t>
            </w:r>
            <w:r>
              <w:rPr>
                <w:b/>
                <w:i/>
              </w:rPr>
              <w:t>,</w:t>
            </w:r>
            <w:r>
              <w:t xml:space="preserve"> hospodářského </w:t>
            </w:r>
            <w:r>
              <w:rPr>
                <w:b/>
                <w:i/>
              </w:rPr>
              <w:t>a environmentálního</w:t>
            </w:r>
            <w:r>
              <w:t xml:space="preserve"> dopadu investic Unie, mimo jiné rozvojem radikálních a přírůstkových inovací, a nových, špičkových a strategických technologií a technologií dvojího užití s významným hospodářským potenciálem, a to i prostřednictvím rozvoje a urychlení jejich výroby a průmyslového využití;</w:t>
            </w:r>
          </w:p>
        </w:tc>
        <w:tc>
          <w:tcPr>
            <w:tcW w:w="4876" w:type="dxa"/>
            <w:tcBorders>
              <w:top w:val="nil"/>
              <w:left w:val="nil"/>
              <w:bottom w:val="nil"/>
              <w:right w:val="nil"/>
            </w:tcBorders>
          </w:tcPr>
          <w:p>
            <w:pPr>
              <w:pStyle w:val="Normal6a"/>
            </w:pPr>
            <w:r>
              <w:t>a)</w:t>
            </w:r>
            <w:r>
              <w:tab/>
            </w:r>
            <w:r>
              <w:t xml:space="preserve">zajištění technologického </w:t>
            </w:r>
            <w:r>
              <w:rPr>
                <w:b/>
                <w:i/>
              </w:rPr>
              <w:t>a</w:t>
            </w:r>
            <w:r>
              <w:t xml:space="preserve"> hospodářského dopadu investic Unie, mimo jiné rozvojem radikálních a přírůstkových inovací, a nových, špičkových a strategických technologií a technologií dvojího užití s významným hospodářským potenciálem, a to i prostřednictvím rozvoje a urychlení jejich výroby a průmyslového využití;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1182</w:t>
      </w:r>
      <w:r>
        <w:rPr>
          <w:rStyle w:val="HideTWBExt"/>
        </w:rPr>
        <w:t>&lt;/NumAm&gt;</w:t>
      </w:r>
    </w:p>
    <w:p>
      <w:pPr>
        <w:pStyle w:val="NormalBold"/>
      </w:pPr>
      <w:r>
        <w:rPr>
          <w:rStyle w:val="HideTWBExt"/>
          <w:b w:val="0"/>
        </w:rPr>
        <w:t>&lt;RepeatBlock-By&gt;</w:t>
      </w:r>
      <w:r>
        <w:rPr>
          <w:rStyle w:val="HideTWBExt"/>
          <w:b w:val="0"/>
        </w:rPr>
        <w:t>&lt;Members&gt;</w:t>
      </w:r>
      <w:r>
        <w:t>Krzysztof Hetman, Adam Jarubas, Borys Budka, Kamila Gasiuk-Pihowicz, Mirosława Nykiel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a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uvolnění plného společného potenciálu konkurenceschopnosti v celé Unii podporou celoevropské spolupráce a inkluzivní účasti členských států ve strategických průmyslových hodnotových řetězcích;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1183</w:t>
      </w:r>
      <w:r>
        <w:rPr>
          <w:rStyle w:val="HideTWBExt"/>
        </w:rPr>
        <w:t>&lt;/NumAm&gt;</w:t>
      </w:r>
    </w:p>
    <w:p>
      <w:pPr>
        <w:pStyle w:val="NormalBold"/>
      </w:pPr>
      <w:r>
        <w:rPr>
          <w:rStyle w:val="HideTWBExt"/>
          <w:b w:val="0"/>
        </w:rPr>
        <w:t>&lt;RepeatBlock-By&gt;</w:t>
      </w:r>
      <w:r>
        <w:rPr>
          <w:rStyle w:val="HideTWBExt"/>
          <w:b w:val="0"/>
        </w:rPr>
        <w:t>&lt;Members&gt;</w:t>
      </w:r>
      <w:r>
        <w:t>Jana Nagyová, Ondřej Knotek, Tomáš Kubín, Klara Dostalova, Afroditi Latinopoulou, Anna Bryłka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a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uvolnění plného společného potenciálu konkurenceschopnosti v celé Unii podporou celoevropské spolupráce a inkluzivní účasti členských států ve strategických průmyslových hodnotových řetězcích;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1184</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a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uvolnění plného společného potenciálu konkurenceschopnosti v celé Unii podporou celoevropské spolupráce a inkluzivní účasti členských států ve strategických průmyslových hodnotových řetězcích;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1185</w:t>
      </w:r>
      <w:r>
        <w:rPr>
          <w:rStyle w:val="HideTWBExt"/>
        </w:rPr>
        <w:t>&lt;/NumAm&gt;</w:t>
      </w:r>
    </w:p>
    <w:p>
      <w:pPr>
        <w:pStyle w:val="NormalBold"/>
      </w:pPr>
      <w:r>
        <w:rPr>
          <w:rStyle w:val="HideTWBExt"/>
          <w:b w:val="0"/>
        </w:rPr>
        <w:t>&lt;RepeatBlock-By&gt;</w:t>
      </w:r>
      <w:r>
        <w:rPr>
          <w:rStyle w:val="HideTWBExt"/>
          <w:b w:val="0"/>
        </w:rPr>
        <w:t>&lt;Members&gt;</w:t>
      </w:r>
      <w:r>
        <w:t>Dimitris Tsiodras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a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uvolnění plného společného potenciálu konkurenceschopnosti v celé Unii podporou celoevropské spolupráce a inkluzivní účasti členských států ve strategických průmyslových hodnotových řetězcích;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1186</w:t>
      </w:r>
      <w:r>
        <w:rPr>
          <w:rStyle w:val="HideTWBExt"/>
        </w:rPr>
        <w:t>&lt;/NumAm&gt;</w:t>
      </w:r>
    </w:p>
    <w:p>
      <w:pPr>
        <w:pStyle w:val="NormalBold"/>
      </w:pPr>
      <w:r>
        <w:rPr>
          <w:rStyle w:val="HideTWBExt"/>
          <w:b w:val="0"/>
        </w:rPr>
        <w:t>&lt;RepeatBlock-By&gt;</w:t>
      </w:r>
      <w:r>
        <w:rPr>
          <w:rStyle w:val="HideTWBExt"/>
          <w:b w:val="0"/>
        </w:rPr>
        <w:t>&lt;Members&gt;</w:t>
      </w:r>
      <w:r>
        <w:t>Michał Kobosko, Martin Hojsík, Ivars Ijabs, Lucia Yar, Joanna Scheuring-Wielgus, Krzysztof Śmiszek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a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uvolnění plného společného potenciálu konkurenceschopnosti v celé Unii podporou celoevropské spolupráce a inkluzivní účasti členských států ve strategických průmyslových hodnotových řetězcích;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1187</w:t>
      </w:r>
      <w:r>
        <w:rPr>
          <w:rStyle w:val="HideTWBExt"/>
        </w:rPr>
        <w:t>&lt;/NumAm&gt;</w:t>
      </w:r>
    </w:p>
    <w:p>
      <w:pPr>
        <w:pStyle w:val="NormalBold"/>
      </w:pPr>
      <w:r>
        <w:rPr>
          <w:rStyle w:val="HideTWBExt"/>
          <w:b w:val="0"/>
        </w:rPr>
        <w:t>&lt;RepeatBlock-By&gt;</w:t>
      </w:r>
      <w:r>
        <w:rPr>
          <w:rStyle w:val="HideTWBExt"/>
          <w:b w:val="0"/>
        </w:rPr>
        <w:t>&lt;Members&gt;</w:t>
      </w:r>
      <w:r>
        <w:t>Mohammed Chahim, Sérgio Gonçalves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snižování strategických závislostí Unie nebo předcházení těmto závislostem a posilování odolnosti a hospodářské bezpečnosti Unie, mimo jiné diverzifikací zdrojů a trhů, podporou zvyšování evropské výroby strategických technologií a </w:t>
            </w:r>
            <w:r>
              <w:rPr>
                <w:b/>
                <w:i/>
              </w:rPr>
              <w:t>budováním, posilováním a ochranou</w:t>
            </w:r>
            <w:r>
              <w:t xml:space="preserve"> kritických hodnotových řetězců a infrastruktury Unie;</w:t>
            </w:r>
          </w:p>
        </w:tc>
        <w:tc>
          <w:tcPr>
            <w:tcW w:w="4876" w:type="dxa"/>
            <w:tcBorders>
              <w:top w:val="nil"/>
              <w:left w:val="nil"/>
              <w:bottom w:val="nil"/>
              <w:right w:val="nil"/>
            </w:tcBorders>
          </w:tcPr>
          <w:p>
            <w:pPr>
              <w:pStyle w:val="Normal6a"/>
            </w:pPr>
            <w:r>
              <w:t>b)</w:t>
            </w:r>
            <w:r>
              <w:tab/>
            </w:r>
            <w:r>
              <w:t xml:space="preserve">snižování strategických závislostí Unie nebo předcházení těmto závislostem a posilování odolnosti a hospodářské bezpečnosti Unie, mimo jiné diverzifikací zdrojů a trhů, </w:t>
            </w:r>
            <w:r>
              <w:rPr>
                <w:b/>
                <w:i/>
              </w:rPr>
              <w:t>snižování expozice Unie závislosti na dovozu fosilních paliv,</w:t>
            </w:r>
            <w:r>
              <w:t xml:space="preserve"> podporou </w:t>
            </w:r>
            <w:r>
              <w:rPr>
                <w:b/>
                <w:i/>
              </w:rPr>
              <w:t>zvýšení výroby energie z obnovitelných zdrojů a udržitelných paliv (ve smyslu nařízení (EU) 2023/1804, nařízení (EU) 2023/1805, nařízení (EU) 2023/2405 a směrnice (EU) 2023/2413) v rámci EU, posilování odolnosti infrastruktury, podpory</w:t>
            </w:r>
            <w:r>
              <w:t xml:space="preserve"> zvyšování evropské výroby strategických technologií a </w:t>
            </w:r>
            <w:r>
              <w:rPr>
                <w:b/>
                <w:i/>
              </w:rPr>
              <w:t>budování, posilování a ochrany</w:t>
            </w:r>
            <w:r>
              <w:t xml:space="preserve"> kritických hodnotových řetězců a infrastruktury Unie;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Tento pozměňovací návrh byl součástí kompromisních pozměňovacích návrhů vyjednaných v souvislosti se stanoviskem výboru TRAN.</w:t>
      </w:r>
    </w:p>
    <w:p>
      <w:r>
        <w:rPr>
          <w:rStyle w:val="HideTWBExt"/>
        </w:rPr>
        <w:t>&lt;/Amend&gt;</w:t>
      </w:r>
    </w:p>
    <w:p>
      <w:pPr>
        <w:pStyle w:val="AmNumberTabs"/>
      </w:pPr>
      <w:r>
        <w:rPr>
          <w:rStyle w:val="HideTWBExt"/>
        </w:rPr>
        <w:t>&lt;Amend&gt;</w:t>
      </w:r>
      <w:r>
        <w:t>Pozměňovací návrh</w:t>
      </w:r>
      <w:r>
        <w:tab/>
      </w:r>
      <w:r>
        <w:tab/>
      </w:r>
      <w:r>
        <w:rPr>
          <w:rStyle w:val="HideTWBExt"/>
        </w:rPr>
        <w:t>&lt;NumAm&gt;</w:t>
      </w:r>
      <w:r>
        <w:t>1188</w:t>
      </w:r>
      <w:r>
        <w:rPr>
          <w:rStyle w:val="HideTWBExt"/>
        </w:rPr>
        <w:t>&lt;/NumAm&gt;</w:t>
      </w:r>
    </w:p>
    <w:p>
      <w:pPr>
        <w:pStyle w:val="NormalBold"/>
      </w:pPr>
      <w:r>
        <w:rPr>
          <w:rStyle w:val="HideTWBExt"/>
          <w:b w:val="0"/>
        </w:rPr>
        <w:t>&lt;RepeatBlock-By&gt;</w:t>
      </w:r>
      <w:r>
        <w:rPr>
          <w:rStyle w:val="HideTWBExt"/>
          <w:b w:val="0"/>
        </w:rPr>
        <w:t>&lt;Members&gt;</w:t>
      </w:r>
      <w:r>
        <w:t>Bruno Tobback, Thomas Pellerin-Carlin, Yannis Maniatis, Nicolás González Casares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snižování strategických závislostí Unie nebo předcházení těmto závislostem a posilování odolnosti a hospodářské bezpečnosti Unie, mimo jiné diverzifikací zdrojů a trhů, podporou zvyšování evropské výroby strategických technologií a budováním, posilováním a ochranou kritických hodnotových řetězců a infrastruktury Unie;</w:t>
            </w:r>
          </w:p>
        </w:tc>
        <w:tc>
          <w:tcPr>
            <w:tcW w:w="4876" w:type="dxa"/>
            <w:tcBorders>
              <w:top w:val="nil"/>
              <w:left w:val="nil"/>
              <w:bottom w:val="nil"/>
              <w:right w:val="nil"/>
            </w:tcBorders>
          </w:tcPr>
          <w:p>
            <w:pPr>
              <w:pStyle w:val="Normal6a"/>
            </w:pPr>
            <w:r>
              <w:t>b)</w:t>
            </w:r>
            <w:r>
              <w:tab/>
            </w:r>
            <w:r>
              <w:t xml:space="preserve">snižování strategických závislostí Unie nebo předcházení těmto závislostem a posilování odolnosti a hospodářské bezpečnosti Unie, mimo jiné </w:t>
            </w:r>
            <w:r>
              <w:rPr>
                <w:b/>
                <w:i/>
              </w:rPr>
              <w:t>postupným ukončením závislosti na fosilních palivech a dekarbonizací našeho energetického systému, zlepšením účinného využívání zdrojů a posílením oběhového hospodářství,</w:t>
            </w:r>
            <w:r>
              <w:t xml:space="preserve"> diverzifikací zdrojů a trhů, podporou zvyšování evropské výroby strategických technologií a </w:t>
            </w:r>
            <w:r>
              <w:rPr>
                <w:b/>
                <w:i/>
              </w:rPr>
              <w:t>materiálů, podporou rozvoje dovedností a vytvářením udržitelných pracovních míst a</w:t>
            </w:r>
            <w:r>
              <w:t xml:space="preserve"> budováním, posilováním a ochranou kritických hodnotových řetězců a infrastruktury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1189</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snižování </w:t>
            </w:r>
            <w:r>
              <w:rPr>
                <w:b/>
                <w:i/>
              </w:rPr>
              <w:t>strategických závislostí Unie nebo předcházení těmto závislostem a posilování odolnosti a</w:t>
            </w:r>
            <w:r>
              <w:t xml:space="preserve"> hospodářské bezpečnosti Unie, mimo jiné diverzifikací zdrojů a trhů</w:t>
            </w:r>
            <w:r>
              <w:rPr>
                <w:b/>
                <w:i/>
              </w:rPr>
              <w:t>, podporou zvyšování evropské výroby</w:t>
            </w:r>
            <w:r>
              <w:t xml:space="preserve"> strategických </w:t>
            </w:r>
            <w:r>
              <w:rPr>
                <w:b/>
                <w:i/>
              </w:rPr>
              <w:t>technologií a budováním, posilováním a ochranou kritických</w:t>
            </w:r>
            <w:r>
              <w:t xml:space="preserve"> hodnotových řetězců </w:t>
            </w:r>
            <w:r>
              <w:rPr>
                <w:b/>
                <w:i/>
              </w:rPr>
              <w:t>a infrastruktury Unie</w:t>
            </w:r>
            <w:r>
              <w:t>;</w:t>
            </w:r>
          </w:p>
        </w:tc>
        <w:tc>
          <w:tcPr>
            <w:tcW w:w="4876" w:type="dxa"/>
            <w:tcBorders>
              <w:top w:val="nil"/>
              <w:left w:val="nil"/>
              <w:bottom w:val="nil"/>
              <w:right w:val="nil"/>
            </w:tcBorders>
          </w:tcPr>
          <w:p>
            <w:pPr>
              <w:pStyle w:val="Normal6a"/>
            </w:pPr>
            <w:r>
              <w:t>b)</w:t>
            </w:r>
            <w:r>
              <w:tab/>
            </w:r>
            <w:r>
              <w:t>snižování </w:t>
            </w:r>
            <w:r>
              <w:rPr>
                <w:b/>
                <w:i/>
              </w:rPr>
              <w:t>a prevence strategické závislosti Unie na přírodních zdrojích a látkách vzbuzujících obavy, mimo jiné prostřednictvím oběhovosti a účinného využívání zdrojů, a posílení</w:t>
            </w:r>
            <w:r>
              <w:t xml:space="preserve"> hospodářské bezpečnosti </w:t>
            </w:r>
            <w:r>
              <w:rPr>
                <w:b/>
                <w:i/>
              </w:rPr>
              <w:t>a odolnosti</w:t>
            </w:r>
            <w:r>
              <w:t xml:space="preserve"> Unie, mimo jiné </w:t>
            </w:r>
            <w:r>
              <w:rPr>
                <w:b/>
                <w:i/>
              </w:rPr>
              <w:t>vůči rizikům souvisejícím s klimatem a přírodou, mimo jiné vytvářením zásob a</w:t>
            </w:r>
            <w:r>
              <w:t xml:space="preserve"> diverzifikací zdrojů a trhů </w:t>
            </w:r>
            <w:r>
              <w:rPr>
                <w:b/>
                <w:i/>
              </w:rPr>
              <w:t>a prohloubením zapojení malých a středních podniků a malých podniků se střední tržní kapitalizací do celoevropských průmyslových</w:t>
            </w:r>
            <w:r>
              <w:t xml:space="preserve"> strategických hodnotových řetězců</w:t>
            </w:r>
            <w:r>
              <w:rPr>
                <w:b/>
                <w:i/>
              </w:rPr>
              <w:t>, a podporou zvýšení evropské výroby, která má zásadní význam pro strategické technologie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1190</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snižování strategických závislostí Unie nebo předcházení těmto závislostem a posilování odolnosti a hospodářské bezpečnosti Unie, mimo jiné diverzifikací zdrojů a trhů, podporou zvyšování evropské výroby strategických technologií a budováním, posilováním a ochranou kritických hodnotových řetězců a infrastruktury Unie;</w:t>
            </w:r>
          </w:p>
        </w:tc>
        <w:tc>
          <w:tcPr>
            <w:tcW w:w="4876" w:type="dxa"/>
            <w:tcBorders>
              <w:top w:val="nil"/>
              <w:left w:val="nil"/>
              <w:bottom w:val="nil"/>
              <w:right w:val="nil"/>
            </w:tcBorders>
          </w:tcPr>
          <w:p>
            <w:pPr>
              <w:pStyle w:val="Normal6a"/>
            </w:pPr>
            <w:r>
              <w:t>b)</w:t>
            </w:r>
            <w:r>
              <w:tab/>
            </w:r>
            <w:r>
              <w:t>snižování strategických závislostí Unie nebo předcházení těmto závislostem a posilování odolnosti a hospodářské bezpečnosti Unie, mimo jiné diverzifikací zdrojů a trhů, podporou zvyšování evropské výroby strategických technologií a budováním, posilováním a ochranou kritických hodnotových řetězců a infrastruktury Unie</w:t>
            </w:r>
            <w:r>
              <w:rPr>
                <w:b/>
                <w:i/>
              </w:rPr>
              <w:t>, cílených investic do klíčových zemědělských vstupů a řešení úzkých míst v dodavatelském řetězci prostřednictvím logistiky, strategické infrastruktury potravin/energie a kritických vstupů pro zemědělství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1191</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snižování strategických závislostí Unie nebo předcházení těmto závislostem a posilování odolnosti a hospodářské bezpečnosti Unie, mimo jiné diverzifikací zdrojů </w:t>
            </w:r>
            <w:r>
              <w:rPr>
                <w:b/>
                <w:i/>
              </w:rPr>
              <w:t>a trhů</w:t>
            </w:r>
            <w:r>
              <w:t>, podporou zvyšování evropské výroby strategických technologií a budováním, posilováním a ochranou kritických hodnotových řetězců a infrastruktury Unie;</w:t>
            </w:r>
          </w:p>
        </w:tc>
        <w:tc>
          <w:tcPr>
            <w:tcW w:w="4876" w:type="dxa"/>
            <w:tcBorders>
              <w:top w:val="nil"/>
              <w:left w:val="nil"/>
              <w:bottom w:val="nil"/>
              <w:right w:val="nil"/>
            </w:tcBorders>
          </w:tcPr>
          <w:p>
            <w:pPr>
              <w:pStyle w:val="Normal6a"/>
            </w:pPr>
            <w:r>
              <w:t>b)</w:t>
            </w:r>
            <w:r>
              <w:tab/>
            </w:r>
            <w:r>
              <w:t>snižování strategických závislostí Unie nebo předcházení těmto závislostem a posilování odolnosti a hospodářské bezpečnosti Unie, mimo jiné diverzifikací zdrojů</w:t>
            </w:r>
            <w:r>
              <w:rPr>
                <w:b/>
                <w:i/>
              </w:rPr>
              <w:t>, snížením závislosti na dovozu fosilních paliv a zlepšením účinného využívání zdrojů</w:t>
            </w:r>
            <w:r>
              <w:t xml:space="preserve">, </w:t>
            </w:r>
            <w:r>
              <w:rPr>
                <w:b/>
                <w:i/>
              </w:rPr>
              <w:t>zajištěním demokratické kontroly nad základní infrastrukturou a službami, přímými veřejnými investicemi a podmíněnou</w:t>
            </w:r>
            <w:r>
              <w:t xml:space="preserve"> podporou zvyšování evropské výroby strategických technologií a budováním, posilováním a ochranou kritických hodnotových řetězců a infrastruktury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1192</w:t>
      </w:r>
      <w:r>
        <w:rPr>
          <w:rStyle w:val="HideTWBExt"/>
        </w:rPr>
        <w:t>&lt;/NumAm&gt;</w:t>
      </w:r>
    </w:p>
    <w:p>
      <w:pPr>
        <w:pStyle w:val="NormalBold"/>
      </w:pPr>
      <w:r>
        <w:rPr>
          <w:rStyle w:val="HideTWBExt"/>
          <w:b w:val="0"/>
        </w:rPr>
        <w:t>&lt;RepeatBlock-By&gt;</w:t>
      </w:r>
      <w:r>
        <w:rPr>
          <w:rStyle w:val="HideTWBExt"/>
          <w:b w:val="0"/>
        </w:rPr>
        <w:t>&lt;Members&gt;</w:t>
      </w:r>
      <w:r>
        <w:t>Yvan Verougstraete, Brigitte van den Berg, Stine Bosse, Grégory Allione, Sigrid Friis, Morten Løkkegaard, Christophe Grudler,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snižování strategických závislostí Unie nebo předcházení těmto závislostem </w:t>
            </w:r>
            <w:r>
              <w:rPr>
                <w:b/>
                <w:i/>
              </w:rPr>
              <w:t>a posilování odolnosti a hospodářské bezpečnosti Unie, mimo jiné diverzifikací zdrojů a trhů, podporou zvyšování evropské výroby strategických technologií a budováním, posilováním a ochranou kritických hodnotových řetězců a infrastruktury Unie;</w:t>
            </w:r>
          </w:p>
        </w:tc>
        <w:tc>
          <w:tcPr>
            <w:tcW w:w="4876" w:type="dxa"/>
            <w:tcBorders>
              <w:top w:val="nil"/>
              <w:left w:val="nil"/>
              <w:bottom w:val="nil"/>
              <w:right w:val="nil"/>
            </w:tcBorders>
          </w:tcPr>
          <w:p>
            <w:pPr>
              <w:pStyle w:val="Normal6a"/>
            </w:pPr>
            <w:r>
              <w:t>b)</w:t>
            </w:r>
            <w:r>
              <w:tab/>
            </w:r>
            <w:r>
              <w:t xml:space="preserve">snižování strategických závislostí Unie </w:t>
            </w:r>
            <w:r>
              <w:rPr>
                <w:b/>
                <w:i/>
              </w:rPr>
              <w:t>a koncentrace dodavatelů</w:t>
            </w:r>
            <w:r>
              <w:t xml:space="preserve"> nebo předcházení těmto závislostem</w:t>
            </w:r>
            <w:r>
              <w:rPr>
                <w:b/>
                <w:i/>
              </w:rPr>
              <w:t>, zejména s cílem zajistit bezpečnost dodávek, včetně dodávek energie, prostřednictvím: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zajištění výrobní kapacity v Unii, zejména ve strategických odvětvích;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 posílení a ochrany kritických hodnotových řetězců Unie;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iii) zlepšení účinného využívání zdrojů a oběhovosti;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iv) diverzifikace zdrojů a trhů;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1193</w:t>
      </w:r>
      <w:r>
        <w:rPr>
          <w:rStyle w:val="HideTWBExt"/>
        </w:rPr>
        <w:t>&lt;/NumAm&gt;</w:t>
      </w:r>
    </w:p>
    <w:p>
      <w:pPr>
        <w:pStyle w:val="NormalBold"/>
      </w:pPr>
      <w:r>
        <w:rPr>
          <w:rStyle w:val="HideTWBExt"/>
          <w:b w:val="0"/>
        </w:rPr>
        <w:t>&lt;RepeatBlock-By&gt;</w:t>
      </w:r>
      <w:r>
        <w:rPr>
          <w:rStyle w:val="HideTWBExt"/>
          <w:b w:val="0"/>
        </w:rPr>
        <w:t>&lt;Members&gt;</w:t>
      </w:r>
      <w:r>
        <w:t>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snižování strategických závislostí Unie nebo předcházení těmto závislostem a posilování odolnosti a hospodářské bezpečnosti Unie, mimo jiné diverzifikací zdrojů a trhů, podporou zvyšování evropské výroby strategických technologií a budováním, posilováním a ochranou kritických hodnotových řetězců a infrastruktury Unie;</w:t>
            </w:r>
          </w:p>
        </w:tc>
        <w:tc>
          <w:tcPr>
            <w:tcW w:w="4876" w:type="dxa"/>
            <w:tcBorders>
              <w:top w:val="nil"/>
              <w:left w:val="nil"/>
              <w:bottom w:val="nil"/>
              <w:right w:val="nil"/>
            </w:tcBorders>
          </w:tcPr>
          <w:p>
            <w:pPr>
              <w:pStyle w:val="Normal6a"/>
            </w:pPr>
            <w:r>
              <w:t>b)</w:t>
            </w:r>
            <w:r>
              <w:tab/>
            </w:r>
            <w:r>
              <w:t>snižování strategických závislostí Unie nebo předcházení těmto závislostem a posilování odolnosti a hospodářské bezpečnosti Unie, mimo jiné diverzifikací zdrojů a trhů, podporou zvyšování evropské výroby strategických technologií a budováním, posilováním a ochranou kritických hodnotových řetězců a infrastruktury Unie</w:t>
            </w:r>
            <w:r>
              <w:rPr>
                <w:b/>
                <w:i/>
              </w:rPr>
              <w:t>, včetně zemědělsko-potravinářských dodavatelských řetězců a kritických zemědělských vstupů nezbytných pro potravinové zabezpečení a strategickou autonomii Unie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1194</w:t>
      </w:r>
      <w:r>
        <w:rPr>
          <w:rStyle w:val="HideTWBExt"/>
        </w:rPr>
        <w:t>&lt;/NumAm&gt;</w:t>
      </w:r>
    </w:p>
    <w:p>
      <w:pPr>
        <w:pStyle w:val="NormalBold"/>
      </w:pPr>
      <w:r>
        <w:rPr>
          <w:rStyle w:val="HideTWBExt"/>
          <w:b w:val="0"/>
        </w:rPr>
        <w:t>&lt;RepeatBlock-By&gt;</w:t>
      </w:r>
      <w:r>
        <w:rPr>
          <w:rStyle w:val="HideTWBExt"/>
          <w:b w:val="0"/>
        </w:rPr>
        <w:t>&lt;Members&gt;</w:t>
      </w:r>
      <w:r>
        <w:t>Jüri Ratas, Riho Terras, Tobias Cremer, Sven Mikser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snižování strategických závislostí Unie nebo předcházení těmto závislostem a posilování odolnosti a hospodářské bezpečnosti Unie, mimo jiné diverzifikací zdrojů a trhů, podporou zvyšování evropské výroby strategických technologií a budováním, posilováním a ochranou kritických hodnotových řetězců a infrastruktury Unie;</w:t>
            </w:r>
          </w:p>
        </w:tc>
        <w:tc>
          <w:tcPr>
            <w:tcW w:w="4876" w:type="dxa"/>
            <w:tcBorders>
              <w:top w:val="nil"/>
              <w:left w:val="nil"/>
              <w:bottom w:val="nil"/>
              <w:right w:val="nil"/>
            </w:tcBorders>
          </w:tcPr>
          <w:p>
            <w:pPr>
              <w:pStyle w:val="Normal6a"/>
            </w:pPr>
            <w:r>
              <w:t>b)</w:t>
            </w:r>
            <w:r>
              <w:tab/>
            </w:r>
            <w:r>
              <w:t>snižování strategických závislostí Unie nebo předcházení těmto závislostem a posilování odolnosti a hospodářské bezpečnosti Unie, mimo jiné diverzifikací zdrojů a trhů, podporou zvyšování evropské výroby strategických technologií a budováním, posilováním a ochranou kritických hodnotových řetězců a infrastruktury Unie</w:t>
            </w:r>
            <w:r>
              <w:rPr>
                <w:b/>
                <w:i/>
              </w:rPr>
              <w:t>, mimo jiné před rostoucími nově vznikajícími hrozbami hybridní i kinetické povahy a instrumentalizací závislostí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1195</w:t>
      </w:r>
      <w:r>
        <w:rPr>
          <w:rStyle w:val="HideTWBExt"/>
        </w:rPr>
        <w:t>&lt;/NumAm&gt;</w:t>
      </w:r>
    </w:p>
    <w:p>
      <w:pPr>
        <w:pStyle w:val="NormalBold"/>
      </w:pPr>
      <w:r>
        <w:rPr>
          <w:rStyle w:val="HideTWBExt"/>
          <w:b w:val="0"/>
        </w:rPr>
        <w:t>&lt;RepeatBlock-By&gt;</w:t>
      </w:r>
      <w:r>
        <w:rPr>
          <w:rStyle w:val="HideTWBExt"/>
          <w:b w:val="0"/>
        </w:rPr>
        <w:t>&lt;Members&gt;</w:t>
      </w:r>
      <w:r>
        <w:t>Radan Kanev, Miriam Lexmann, Paulius Saudargas, 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snižování strategických závislostí Unie nebo předcházení těmto závislostem a posilování odolnosti a hospodářské bezpečnosti Unie, mimo jiné diverzifikací zdrojů a trhů, podporou zvyšování evropské výroby strategických technologií a budováním, posilováním a ochranou kritických hodnotových řetězců a infrastruktury Unie;</w:t>
            </w:r>
          </w:p>
        </w:tc>
        <w:tc>
          <w:tcPr>
            <w:tcW w:w="4876" w:type="dxa"/>
            <w:tcBorders>
              <w:top w:val="nil"/>
              <w:left w:val="nil"/>
              <w:bottom w:val="nil"/>
              <w:right w:val="nil"/>
            </w:tcBorders>
          </w:tcPr>
          <w:p>
            <w:pPr>
              <w:pStyle w:val="Normal6a"/>
            </w:pPr>
            <w:r>
              <w:t>b)</w:t>
            </w:r>
            <w:r>
              <w:tab/>
            </w:r>
            <w:r>
              <w:t>snižování strategických závislostí Unie nebo předcházení těmto závislostem a posilování odolnosti a hospodářské bezpečnosti Unie, mimo jiné diverzifikací zdrojů a trhů, podporou zvyšování evropské výroby strategických technologií a budováním, posilováním a ochranou kritických hodnotových řetězců a infrastruktury Unie</w:t>
            </w:r>
            <w:r>
              <w:rPr>
                <w:b/>
                <w:i/>
              </w:rPr>
              <w:t>, přičemž je nutné současně podporovat celounijní spolupráci a inkluzivní účast členských států ve strategických průmyslových hodnotových řetězcích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1196</w:t>
      </w:r>
      <w:r>
        <w:rPr>
          <w:rStyle w:val="HideTWBExt"/>
        </w:rPr>
        <w:t>&lt;/NumAm&gt;</w:t>
      </w:r>
    </w:p>
    <w:p>
      <w:pPr>
        <w:pStyle w:val="NormalBold"/>
      </w:pPr>
      <w:r>
        <w:rPr>
          <w:rStyle w:val="HideTWBExt"/>
          <w:b w:val="0"/>
        </w:rPr>
        <w:t>&lt;RepeatBlock-By&gt;</w:t>
      </w:r>
      <w:r>
        <w:rPr>
          <w:rStyle w:val="HideTWBExt"/>
          <w:b w:val="0"/>
        </w:rPr>
        <w:t>&lt;Members&gt;</w:t>
      </w:r>
      <w:r>
        <w:t>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snižování strategických závislostí Unie nebo předcházení těmto závislostem a posilování odolnosti a hospodářské bezpečnosti Unie, mimo jiné diverzifikací zdrojů a trhů, podporou zvyšování evropské výroby strategických technologií a budováním, posilováním a ochranou kritických hodnotových řetězců a infrastruktury Unie;</w:t>
            </w:r>
          </w:p>
        </w:tc>
        <w:tc>
          <w:tcPr>
            <w:tcW w:w="4876" w:type="dxa"/>
            <w:tcBorders>
              <w:top w:val="nil"/>
              <w:left w:val="nil"/>
              <w:bottom w:val="nil"/>
              <w:right w:val="nil"/>
            </w:tcBorders>
          </w:tcPr>
          <w:p>
            <w:pPr>
              <w:pStyle w:val="Normal6a"/>
            </w:pPr>
            <w:r>
              <w:t>b)</w:t>
            </w:r>
            <w:r>
              <w:tab/>
            </w:r>
            <w:r>
              <w:t xml:space="preserve">snižování strategických závislostí Unie nebo předcházení těmto závislostem a posilování odolnosti a hospodářské bezpečnosti Unie, mimo jiné diverzifikací zdrojů a trhů, </w:t>
            </w:r>
            <w:r>
              <w:rPr>
                <w:b/>
                <w:i/>
              </w:rPr>
              <w:t>snížením závislosti Unie na dovozu fosilních paliv, účinnějším využíváním zdrojů a větší oběhovostí,</w:t>
            </w:r>
            <w:r>
              <w:t xml:space="preserve"> podporou zvyšování evropské výroby strategických technologií a budováním, posilováním a ochranou kritických hodnotových řetězců a infrastruktury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1197</w:t>
      </w:r>
      <w:r>
        <w:rPr>
          <w:rStyle w:val="HideTWBExt"/>
        </w:rPr>
        <w:t>&lt;/NumAm&gt;</w:t>
      </w:r>
    </w:p>
    <w:p>
      <w:pPr>
        <w:pStyle w:val="NormalBold"/>
      </w:pPr>
      <w:r>
        <w:rPr>
          <w:rStyle w:val="HideTWBExt"/>
          <w:b w:val="0"/>
        </w:rPr>
        <w:t>&lt;RepeatBlock-By&gt;</w:t>
      </w:r>
      <w:r>
        <w:rPr>
          <w:rStyle w:val="HideTWBExt"/>
          <w:b w:val="0"/>
        </w:rPr>
        <w:t>&lt;Members&gt;</w:t>
      </w:r>
      <w:r>
        <w:t>Jan Farský, 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snižování strategických závislostí Unie nebo předcházení těmto závislostem a posilování odolnosti a hospodářské bezpečnosti Unie, mimo jiné diverzifikací zdrojů a trhů, podporou zvyšování evropské výroby strategických technologií a budováním, posilováním a ochranou kritických hodnotových řetězců a infrastruktury Unie;</w:t>
            </w:r>
          </w:p>
        </w:tc>
        <w:tc>
          <w:tcPr>
            <w:tcW w:w="4876" w:type="dxa"/>
            <w:tcBorders>
              <w:top w:val="nil"/>
              <w:left w:val="nil"/>
              <w:bottom w:val="nil"/>
              <w:right w:val="nil"/>
            </w:tcBorders>
          </w:tcPr>
          <w:p>
            <w:pPr>
              <w:pStyle w:val="Normal6a"/>
            </w:pPr>
            <w:r>
              <w:t>b)</w:t>
            </w:r>
            <w:r>
              <w:tab/>
            </w:r>
            <w:r>
              <w:t>snižování strategických závislostí Unie</w:t>
            </w:r>
            <w:r>
              <w:rPr>
                <w:b/>
                <w:i/>
              </w:rPr>
              <w:t>, zvláště na nedemokratických zemích,</w:t>
            </w:r>
            <w:r>
              <w:t xml:space="preserve"> nebo předcházení těmto závislostem a posilování odolnosti a hospodářské bezpečnosti Unie, mimo jiné diverzifikací zdrojů a trhů</w:t>
            </w:r>
            <w:r>
              <w:rPr>
                <w:b/>
                <w:i/>
              </w:rPr>
              <w:t>, posílením spolupráce s důvěryhodnými partnery</w:t>
            </w:r>
            <w:r>
              <w:t>, podporou zvyšování evropské výroby strategických technologií a budováním, posilováním a ochranou kritických hodnotových řetězců a infrastruktury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1198</w:t>
      </w:r>
      <w:r>
        <w:rPr>
          <w:rStyle w:val="HideTWBExt"/>
        </w:rPr>
        <w:t>&lt;/NumAm&gt;</w:t>
      </w:r>
    </w:p>
    <w:p>
      <w:pPr>
        <w:pStyle w:val="NormalBold"/>
      </w:pPr>
      <w:r>
        <w:rPr>
          <w:rStyle w:val="HideTWBExt"/>
          <w:b w:val="0"/>
        </w:rPr>
        <w:t>&lt;RepeatBlock-By&gt;</w:t>
      </w:r>
      <w:r>
        <w:rPr>
          <w:rStyle w:val="HideTWBExt"/>
          <w:b w:val="0"/>
        </w:rPr>
        <w:t>&lt;Members&gt;</w:t>
      </w:r>
      <w:r>
        <w:t>Dario Nardella, Stefano Bonaccini, Cristina Maestre, Maria Grapini, Giorgio Gori, Claire Fita, Eric Sargiacomo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snižování strategických závislostí Unie nebo předcházení těmto závislostem a posilování odolnosti a hospodářské bezpečnosti Unie, mimo jiné diverzifikací zdrojů a trhů, podporou zvyšování evropské výroby strategických technologií a budováním, posilováním a ochranou kritických hodnotových řetězců a infrastruktury Unie;</w:t>
            </w:r>
          </w:p>
        </w:tc>
        <w:tc>
          <w:tcPr>
            <w:tcW w:w="4876" w:type="dxa"/>
            <w:tcBorders>
              <w:top w:val="nil"/>
              <w:left w:val="nil"/>
              <w:bottom w:val="nil"/>
              <w:right w:val="nil"/>
            </w:tcBorders>
          </w:tcPr>
          <w:p>
            <w:pPr>
              <w:pStyle w:val="Normal6a"/>
            </w:pPr>
            <w:r>
              <w:t>b)</w:t>
            </w:r>
            <w:r>
              <w:tab/>
            </w:r>
            <w:r>
              <w:t>snižování strategických závislostí Unie nebo předcházení těmto závislostem a posilování odolnosti a hospodářské bezpečnosti Unie, mimo jiné diverzifikací zdrojů a trhů, podporou zvyšování evropské výroby strategických technologií a budováním, posilováním a ochranou kritických hodnotových řetězců a infrastruktury Unie</w:t>
            </w:r>
            <w:r>
              <w:rPr>
                <w:b/>
                <w:i/>
              </w:rPr>
              <w:t>, včetně zemědělsko-potravinářských dodavatelských řetězců a zemědělských vstupů, které mají strategický význam pro potravinové zabezpečení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1199</w:t>
      </w:r>
      <w:r>
        <w:rPr>
          <w:rStyle w:val="HideTWBExt"/>
        </w:rPr>
        <w:t>&lt;/NumAm&gt;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snižování strategických závislostí Unie nebo předcházení těmto závislostem a posilování odolnosti a hospodářské bezpečnosti Unie, mimo jiné diverzifikací zdrojů a trhů, podporou zvyšování evropské výroby strategických technologií a budováním, posilováním a ochranou kritických hodnotových řetězců a infrastruktury Unie;</w:t>
            </w:r>
          </w:p>
        </w:tc>
        <w:tc>
          <w:tcPr>
            <w:tcW w:w="4876" w:type="dxa"/>
            <w:tcBorders>
              <w:top w:val="nil"/>
              <w:left w:val="nil"/>
              <w:bottom w:val="nil"/>
              <w:right w:val="nil"/>
            </w:tcBorders>
          </w:tcPr>
          <w:p>
            <w:pPr>
              <w:pStyle w:val="Normal6a"/>
            </w:pPr>
            <w:r>
              <w:t>b)</w:t>
            </w:r>
            <w:r>
              <w:tab/>
            </w:r>
            <w:r>
              <w:t>snižování strategických závislostí Unie nebo předcházení těmto závislostem a posilování odolnosti a hospodářské bezpečnosti Unie, mimo jiné diverzifikací zdrojů a trhů, podporou zvyšování evropské výroby strategických technologií a budováním, posilováním a ochranou kritických hodnotových řetězců a infrastruktury Unie</w:t>
            </w:r>
            <w:r>
              <w:rPr>
                <w:b/>
                <w:i/>
              </w:rPr>
              <w:t>, včetně zemědělsko-potravinářských dodavatelských řetězců a zemědělských vstupů, které mají strategický význam pro potravinové zabezpečení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1200</w:t>
      </w:r>
      <w:r>
        <w:rPr>
          <w:rStyle w:val="HideTWBExt"/>
        </w:rPr>
        <w:t>&lt;/NumAm&gt;</w:t>
      </w:r>
    </w:p>
    <w:p>
      <w:pPr>
        <w:pStyle w:val="NormalBold"/>
      </w:pPr>
      <w:r>
        <w:rPr>
          <w:rStyle w:val="HideTWBExt"/>
          <w:b w:val="0"/>
        </w:rPr>
        <w:t>&lt;RepeatBlock-By&gt;</w:t>
      </w:r>
      <w:r>
        <w:rPr>
          <w:rStyle w:val="HideTWBExt"/>
          <w:b w:val="0"/>
        </w:rPr>
        <w:t>&lt;Members&gt;</w:t>
      </w:r>
      <w:r>
        <w:t>Martin Hojsík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snižování strategických závislostí Unie nebo předcházení těmto závislostem a posilování odolnosti a hospodářské bezpečnosti Unie, mimo jiné diverzifikací zdrojů a trhů, podporou zvyšování evropské výroby strategických technologií a budováním, posilováním a ochranou kritických hodnotových řetězců a infrastruktury Unie;</w:t>
            </w:r>
          </w:p>
        </w:tc>
        <w:tc>
          <w:tcPr>
            <w:tcW w:w="4876" w:type="dxa"/>
            <w:tcBorders>
              <w:top w:val="nil"/>
              <w:left w:val="nil"/>
              <w:bottom w:val="nil"/>
              <w:right w:val="nil"/>
            </w:tcBorders>
          </w:tcPr>
          <w:p>
            <w:pPr>
              <w:pStyle w:val="Normal6a"/>
            </w:pPr>
            <w:r>
              <w:t>b)</w:t>
            </w:r>
            <w:r>
              <w:tab/>
            </w:r>
            <w:r>
              <w:t xml:space="preserve">snižování strategických závislostí Unie nebo předcházení těmto závislostem a posilování odolnosti a hospodářské bezpečnosti Unie, mimo jiné diverzifikací zdrojů a trhů, </w:t>
            </w:r>
            <w:r>
              <w:rPr>
                <w:b/>
                <w:i/>
              </w:rPr>
              <w:t>postupným vyřazováním fosilních paliv,</w:t>
            </w:r>
            <w:r>
              <w:t xml:space="preserve"> podporou zvyšování evropské výroby strategických technologií a budováním, posilováním a ochranou kritických hodnotových řetězců a infrastruktury Unie</w:t>
            </w:r>
            <w:r>
              <w:rPr>
                <w:b/>
                <w:i/>
              </w:rPr>
              <w:t>, a to i před dopady změny klimatu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1201</w:t>
      </w:r>
      <w:r>
        <w:rPr>
          <w:rStyle w:val="HideTWBExt"/>
        </w:rPr>
        <w:t>&lt;/NumAm&gt;</w:t>
      </w:r>
    </w:p>
    <w:p>
      <w:pPr>
        <w:pStyle w:val="NormalBold"/>
      </w:pPr>
      <w:r>
        <w:rPr>
          <w:rStyle w:val="HideTWBExt"/>
          <w:b w:val="0"/>
        </w:rPr>
        <w:t>&lt;RepeatBlock-By&gt;</w:t>
      </w:r>
      <w:r>
        <w:rPr>
          <w:rStyle w:val="HideTWBExt"/>
          <w:b w:val="0"/>
        </w:rPr>
        <w:t>&lt;Members&gt;</w:t>
      </w:r>
      <w:r>
        <w:t>Paolo Borchia, Isabella Tovaglieri, Raffaele Stancanelli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snižování strategických závislostí Unie nebo předcházení těmto závislostem a posilování odolnosti a hospodářské bezpečnosti Unie, mimo jiné diverzifikací zdrojů a trhů, podporou zvyšování evropské výroby strategických technologií a budováním, posilováním a ochranou kritických hodnotových řetězců a infrastruktury Unie;</w:t>
            </w:r>
          </w:p>
        </w:tc>
        <w:tc>
          <w:tcPr>
            <w:tcW w:w="4876" w:type="dxa"/>
            <w:tcBorders>
              <w:top w:val="nil"/>
              <w:left w:val="nil"/>
              <w:bottom w:val="nil"/>
              <w:right w:val="nil"/>
            </w:tcBorders>
          </w:tcPr>
          <w:p>
            <w:pPr>
              <w:pStyle w:val="Normal6a"/>
            </w:pPr>
            <w:r>
              <w:t>b)</w:t>
            </w:r>
            <w:r>
              <w:tab/>
            </w:r>
            <w:r>
              <w:t>snižování strategických závislostí Unie nebo předcházení těmto závislostem a posilování odolnosti a hospodářské bezpečnosti Unie, mimo jiné diverzifikací zdrojů a trhů, podporou zvyšování evropské výroby strategických technologií a budováním, posilováním a ochranou kritických hodnotových řetězců</w:t>
            </w:r>
            <w:r>
              <w:rPr>
                <w:b/>
                <w:i/>
              </w:rPr>
              <w:t>, a zejména jejich současných a potenciálních kontrolních bodů,</w:t>
            </w:r>
            <w:r>
              <w:t xml:space="preserve"> a infrastruktury Unie;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Chce-li Evropa snížit svou závislost a posílit svou odolnost, je třeba věnovat zvláštní pozornost „kontrolním bodům“ v inovačních ekosystémech, životně důležitým místům v procesu navrhování a výroby, bez nichž nelze dosáhnout strategických cílů.</w:t>
      </w:r>
    </w:p>
    <w:p>
      <w:r>
        <w:rPr>
          <w:rStyle w:val="HideTWBExt"/>
        </w:rPr>
        <w:t>&lt;/Amend&gt;</w:t>
      </w:r>
    </w:p>
    <w:p>
      <w:pPr>
        <w:pStyle w:val="AmNumberTabs"/>
      </w:pPr>
      <w:r>
        <w:rPr>
          <w:rStyle w:val="HideTWBExt"/>
        </w:rPr>
        <w:t>&lt;Amend&gt;</w:t>
      </w:r>
      <w:r>
        <w:t>Pozměňovací návrh</w:t>
      </w:r>
      <w:r>
        <w:tab/>
      </w:r>
      <w:r>
        <w:tab/>
      </w:r>
      <w:r>
        <w:rPr>
          <w:rStyle w:val="HideTWBExt"/>
        </w:rPr>
        <w:t>&lt;NumAm&gt;</w:t>
      </w:r>
      <w:r>
        <w:t>1202</w:t>
      </w:r>
      <w:r>
        <w:rPr>
          <w:rStyle w:val="HideTWBExt"/>
        </w:rPr>
        <w:t>&lt;/NumAm&gt;</w:t>
      </w:r>
    </w:p>
    <w:p>
      <w:pPr>
        <w:pStyle w:val="NormalBold"/>
      </w:pPr>
      <w:r>
        <w:rPr>
          <w:rStyle w:val="HideTWBExt"/>
          <w:b w:val="0"/>
        </w:rPr>
        <w:t>&lt;RepeatBlock-By&gt;</w:t>
      </w:r>
      <w:r>
        <w:rPr>
          <w:rStyle w:val="HideTWBExt"/>
          <w:b w:val="0"/>
        </w:rPr>
        <w:t>&lt;Members&gt;</w:t>
      </w:r>
      <w:r>
        <w:t>Laura Ballarín Cereza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snižování strategických závislostí Unie nebo předcházení těmto závislostem a posilování odolnosti a hospodářské bezpečnosti Unie, mimo jiné diverzifikací zdrojů a trhů, podporou zvyšování evropské výroby strategických technologií a budováním, posilováním a ochranou kritických hodnotových řetězců a infrastruktury Unie;</w:t>
            </w:r>
          </w:p>
        </w:tc>
        <w:tc>
          <w:tcPr>
            <w:tcW w:w="4876" w:type="dxa"/>
            <w:tcBorders>
              <w:top w:val="nil"/>
              <w:left w:val="nil"/>
              <w:bottom w:val="nil"/>
              <w:right w:val="nil"/>
            </w:tcBorders>
          </w:tcPr>
          <w:p>
            <w:pPr>
              <w:pStyle w:val="Normal6a"/>
            </w:pPr>
            <w:r>
              <w:t>b)</w:t>
            </w:r>
            <w:r>
              <w:tab/>
            </w:r>
            <w:r>
              <w:t xml:space="preserve">snižování strategických závislostí Unie nebo předcházení těmto závislostem a posilování odolnosti a hospodářské bezpečnosti Unie, mimo jiné diverzifikací zdrojů a trhů, podporou zvyšování evropské výroby strategických technologií a budováním, posilováním a ochranou kritických hodnotových řetězců a </w:t>
            </w:r>
            <w:r>
              <w:rPr>
                <w:b/>
                <w:i/>
              </w:rPr>
              <w:t>jejich současných a potenciálních kontrolních bodů, jakož i</w:t>
            </w:r>
            <w:r>
              <w:t xml:space="preserve"> infrastruktury Unie;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Pokud chce Evropa snížit svou závislost a posílit svou odolnost, jsou zásadní součástí tohoto kroku inovační ekosystémy, v nichž se nacházejí tzv. „kontrolní body“ v rozvoji investic.</w:t>
      </w:r>
      <w:r>
        <w:t xml:space="preserve"> </w:t>
      </w:r>
      <w:r>
        <w:t>To jsou zásadní body v procesu navrhování a výroby, bez nichž nemůžeme dosáhnout cíle.</w:t>
      </w:r>
      <w:r>
        <w:t xml:space="preserve"> </w:t>
      </w:r>
      <w:r>
        <w:t>Těmto kontrolním bodům je třeba věnovat zvláštní pozornost.</w:t>
      </w:r>
    </w:p>
    <w:p>
      <w:r>
        <w:rPr>
          <w:rStyle w:val="HideTWBExt"/>
        </w:rPr>
        <w:t>&lt;/Amend&gt;</w:t>
      </w:r>
    </w:p>
    <w:p>
      <w:pPr>
        <w:pStyle w:val="AmNumberTabs"/>
      </w:pPr>
      <w:r>
        <w:rPr>
          <w:rStyle w:val="HideTWBExt"/>
        </w:rPr>
        <w:t>&lt;Amend&gt;</w:t>
      </w:r>
      <w:r>
        <w:t>Pozměňovací návrh</w:t>
      </w:r>
      <w:r>
        <w:tab/>
      </w:r>
      <w:r>
        <w:tab/>
      </w:r>
      <w:r>
        <w:rPr>
          <w:rStyle w:val="HideTWBExt"/>
        </w:rPr>
        <w:t>&lt;NumAm&gt;</w:t>
      </w:r>
      <w:r>
        <w:t>1203</w:t>
      </w:r>
      <w:r>
        <w:rPr>
          <w:rStyle w:val="HideTWBExt"/>
        </w:rPr>
        <w:t>&lt;/NumAm&gt;</w:t>
      </w:r>
    </w:p>
    <w:p>
      <w:pPr>
        <w:pStyle w:val="NormalBold"/>
      </w:pPr>
      <w:r>
        <w:rPr>
          <w:rStyle w:val="HideTWBExt"/>
          <w:b w:val="0"/>
        </w:rPr>
        <w:t>&lt;RepeatBlock-By&gt;</w:t>
      </w:r>
      <w:r>
        <w:rPr>
          <w:rStyle w:val="HideTWBExt"/>
          <w:b w:val="0"/>
        </w:rPr>
        <w:t>&lt;Members&gt;</w:t>
      </w:r>
      <w:r>
        <w:t>Paulo Cunha, 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snižování strategických závislostí Unie nebo předcházení těmto závislostem a posilování odolnosti a hospodářské bezpečnosti Unie, </w:t>
            </w:r>
            <w:r>
              <w:rPr>
                <w:b/>
                <w:i/>
              </w:rPr>
              <w:t>mimo jiné</w:t>
            </w:r>
            <w:r>
              <w:t xml:space="preserve"> diverzifikací zdrojů a trhů, podporou zvyšování evropské výroby strategických technologií a budováním, posilováním a ochranou kritických hodnotových řetězců a infrastruktury Unie;</w:t>
            </w:r>
          </w:p>
        </w:tc>
        <w:tc>
          <w:tcPr>
            <w:tcW w:w="4876" w:type="dxa"/>
            <w:tcBorders>
              <w:top w:val="nil"/>
              <w:left w:val="nil"/>
              <w:bottom w:val="nil"/>
              <w:right w:val="nil"/>
            </w:tcBorders>
          </w:tcPr>
          <w:p>
            <w:pPr>
              <w:pStyle w:val="Normal6a"/>
            </w:pPr>
            <w:r>
              <w:t>b)</w:t>
            </w:r>
            <w:r>
              <w:tab/>
            </w:r>
            <w:r>
              <w:t xml:space="preserve">snižování strategických závislostí Unie nebo předcházení těmto závislostem a posilování odolnosti a hospodářské bezpečnosti Unie, </w:t>
            </w:r>
            <w:r>
              <w:rPr>
                <w:b/>
                <w:i/>
              </w:rPr>
              <w:t>včetně potravinového zabezpečení a zabezpečení dodávek vody, a to</w:t>
            </w:r>
            <w:r>
              <w:t xml:space="preserve"> diverzifikací zdrojů a trhů, podporou zvyšování evropské výroby strategických technologií a budováním, posilováním a ochranou kritických hodnotových řetězců a infrastruktury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1204</w:t>
      </w:r>
      <w:r>
        <w:rPr>
          <w:rStyle w:val="HideTWBExt"/>
        </w:rPr>
        <w:t>&lt;/NumAm&gt;</w:t>
      </w:r>
    </w:p>
    <w:p>
      <w:pPr>
        <w:pStyle w:val="NormalBold"/>
      </w:pPr>
      <w:r>
        <w:rPr>
          <w:rStyle w:val="HideTWBExt"/>
          <w:b w:val="0"/>
        </w:rPr>
        <w:t>&lt;RepeatBlock-By&gt;</w:t>
      </w:r>
      <w:r>
        <w:rPr>
          <w:rStyle w:val="HideTWBExt"/>
          <w:b w:val="0"/>
        </w:rPr>
        <w:t>&lt;Members&gt;</w:t>
      </w:r>
      <w:r>
        <w:t>Letizia Moratti, Massimiliano Salini, Fulvio Martusciello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snižování strategických závislostí Unie nebo předcházení těmto závislostem a posilování odolnosti a hospodářské bezpečnosti Unie, mimo jiné diverzifikací zdrojů a trhů, podporou zvyšování evropské výroby strategických technologií a budováním, posilováním a ochranou kritických hodnotových řetězců a infrastruktury Unie;</w:t>
            </w:r>
          </w:p>
        </w:tc>
        <w:tc>
          <w:tcPr>
            <w:tcW w:w="4876" w:type="dxa"/>
            <w:tcBorders>
              <w:top w:val="nil"/>
              <w:left w:val="nil"/>
              <w:bottom w:val="nil"/>
              <w:right w:val="nil"/>
            </w:tcBorders>
          </w:tcPr>
          <w:p>
            <w:pPr>
              <w:pStyle w:val="Normal6a"/>
            </w:pPr>
            <w:r>
              <w:t>b)</w:t>
            </w:r>
            <w:r>
              <w:tab/>
            </w:r>
            <w:r>
              <w:t>snižování strategických závislostí Unie nebo předcházení těmto závislostem a posilování odolnosti a hospodářské bezpečnosti Unie, mimo jiné diverzifikací zdrojů a trhů, podporou zvyšování evropské výroby strategických technologií a budováním, posilováním a ochranou kritických hodnotových řetězců a infrastruktury Unie</w:t>
            </w:r>
            <w:r>
              <w:rPr>
                <w:b/>
                <w:i/>
              </w:rPr>
              <w:t>, jakož i posilováním potravinového zabezpečení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1205</w:t>
      </w:r>
      <w:r>
        <w:rPr>
          <w:rStyle w:val="HideTWBExt"/>
        </w:rPr>
        <w:t>&lt;/NumAm&gt;</w:t>
      </w:r>
    </w:p>
    <w:p>
      <w:pPr>
        <w:pStyle w:val="NormalBold"/>
      </w:pPr>
      <w:r>
        <w:rPr>
          <w:rStyle w:val="HideTWBExt"/>
          <w:b w:val="0"/>
        </w:rPr>
        <w:t>&lt;RepeatBlock-By&gt;</w:t>
      </w:r>
      <w:r>
        <w:rPr>
          <w:rStyle w:val="HideTWBExt"/>
          <w:b w:val="0"/>
        </w:rPr>
        <w:t>&lt;Members&gt;</w:t>
      </w:r>
      <w:r>
        <w:t>Nicola Procaccini, Carlo Fidanza, Alessandro Ciriani, Elena Donazzan, Pietro Fiocchi, Lara Magoni, Francesco Torselli,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snižování strategických závislostí Unie nebo předcházení těmto závislostem a posilování odolnosti a hospodářské bezpečnosti Unie, mimo jiné diverzifikací zdrojů a trhů, podporou zvyšování evropské výroby strategických technologií a budováním, posilováním a ochranou kritických hodnotových řetězců a infrastruktury Unie;</w:t>
            </w:r>
          </w:p>
        </w:tc>
        <w:tc>
          <w:tcPr>
            <w:tcW w:w="4876" w:type="dxa"/>
            <w:tcBorders>
              <w:top w:val="nil"/>
              <w:left w:val="nil"/>
              <w:bottom w:val="nil"/>
              <w:right w:val="nil"/>
            </w:tcBorders>
          </w:tcPr>
          <w:p>
            <w:pPr>
              <w:pStyle w:val="Normal6a"/>
            </w:pPr>
            <w:r>
              <w:t>b)</w:t>
            </w:r>
            <w:r>
              <w:tab/>
            </w:r>
            <w:r>
              <w:t>snižování strategických závislostí Unie nebo předcházení těmto závislostem a posilování odolnosti a hospodářské bezpečnosti Unie, mimo jiné diverzifikací zdrojů a trhů, podporou zvyšování evropské výroby strategických technologií a budováním, posilováním a ochranou kritických hodnotových řetězců a infrastruktury Unie</w:t>
            </w:r>
            <w:r>
              <w:rPr>
                <w:b/>
                <w:i/>
              </w:rPr>
              <w:t>, včetně potravinového zabezpečení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1206</w:t>
      </w:r>
      <w:r>
        <w:rPr>
          <w:rStyle w:val="HideTWBExt"/>
        </w:rPr>
        <w:t>&lt;/NumAm&gt;</w:t>
      </w:r>
    </w:p>
    <w:p>
      <w:pPr>
        <w:pStyle w:val="NormalBold"/>
      </w:pPr>
      <w:r>
        <w:rPr>
          <w:rStyle w:val="HideTWBExt"/>
          <w:b w:val="0"/>
        </w:rPr>
        <w:t>&lt;RepeatBlock-By&gt;</w:t>
      </w:r>
      <w:r>
        <w:rPr>
          <w:rStyle w:val="HideTWBExt"/>
          <w:b w:val="0"/>
        </w:rPr>
        <w:t>&lt;Members&gt;</w:t>
      </w:r>
      <w:r>
        <w:t>Nicolás González Casares, Mohammed Chahim, Elena Sancho Murillo, Lina Gálvez, Yannis Maniatis, Thomas Pellerin-Carlin, Annalisa Corrado, Christophe Clergeau, Bruno Tobback, Sofie Eriksson, Niels Fuglsang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b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(nové) přispění k přechodu na konkurenceschopné, udržitelné, oběhové, klimaticky neutrální a odolné hospodářství účinně využívající energii, vodu a zdroje a založené na obnovitelných zdrojích;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1207</w:t>
      </w:r>
      <w:r>
        <w:rPr>
          <w:rStyle w:val="HideTWBExt"/>
        </w:rPr>
        <w:t>&lt;/NumAm&gt;</w:t>
      </w:r>
    </w:p>
    <w:p>
      <w:pPr>
        <w:pStyle w:val="NormalBold"/>
      </w:pPr>
      <w:r>
        <w:rPr>
          <w:rStyle w:val="HideTWBExt"/>
          <w:b w:val="0"/>
        </w:rPr>
        <w:t>&lt;RepeatBlock-By&gt;</w:t>
      </w:r>
      <w:r>
        <w:rPr>
          <w:rStyle w:val="HideTWBExt"/>
          <w:b w:val="0"/>
        </w:rPr>
        <w:t>&lt;Members&gt;</w:t>
      </w:r>
      <w:r>
        <w:t>Yvan Verougstraete, Brigitte van den Berg, Sigrid Friis, Christophe Grudler,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řešení selhání trhu a nepříznivých investičních situací</w:t>
            </w:r>
            <w:r>
              <w:rPr>
                <w:b/>
                <w:i/>
              </w:rPr>
              <w:t>, a to i přilákáním soukromého kapitálu a institucionálních investorů, jakož i veřejného financování v přiměřené míře, aniž by docházelo k duplicitám a vytěsňování soukromých investorů</w:t>
            </w:r>
            <w:r>
              <w:t xml:space="preserve">; </w:t>
            </w:r>
            <w:r>
              <w:rPr>
                <w:b/>
                <w:i/>
              </w:rPr>
              <w:t>poskytování služeb integrované platformy k zajištění cílené finanční podpory společnostem ve všech fázích vývoje, startupům, scaleupům a strategickým podnikům, včetně těch, které aktivně zajišťují výrobu, průmyslové využití a uvádění na trh;</w:t>
            </w:r>
          </w:p>
        </w:tc>
        <w:tc>
          <w:tcPr>
            <w:tcW w:w="4876" w:type="dxa"/>
            <w:tcBorders>
              <w:top w:val="nil"/>
              <w:left w:val="nil"/>
              <w:bottom w:val="nil"/>
              <w:right w:val="nil"/>
            </w:tcBorders>
          </w:tcPr>
          <w:p>
            <w:pPr>
              <w:pStyle w:val="Normal6a"/>
            </w:pPr>
            <w:r>
              <w:t>c)</w:t>
            </w:r>
            <w:r>
              <w:tab/>
            </w:r>
            <w:r>
              <w:t>řešení selhání trhu a nepříznivých investičních situací;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1208</w:t>
      </w:r>
      <w:r>
        <w:rPr>
          <w:rStyle w:val="HideTWBExt"/>
        </w:rPr>
        <w:t>&lt;/NumAm&gt;</w:t>
      </w:r>
    </w:p>
    <w:p>
      <w:pPr>
        <w:pStyle w:val="NormalBold"/>
      </w:pPr>
      <w:r>
        <w:rPr>
          <w:rStyle w:val="HideTWBExt"/>
          <w:b w:val="0"/>
        </w:rPr>
        <w:t>&lt;RepeatBlock-By&gt;</w:t>
      </w:r>
      <w:r>
        <w:rPr>
          <w:rStyle w:val="HideTWBExt"/>
          <w:b w:val="0"/>
        </w:rPr>
        <w:t>&lt;Members&gt;</w:t>
      </w:r>
      <w:r>
        <w:t>Jana Nagyová, Ondřej Knotek, Tomáš Kubín, Klara Dostalova, Afroditi Latinopoulou, Anna Bryłka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řešení selhání trhu a nepříznivých investičních situací</w:t>
            </w:r>
            <w:r>
              <w:rPr>
                <w:b/>
                <w:i/>
              </w:rPr>
              <w:t>, a to i přilákáním soukromého kapitálu a institucionálních investorů, jakož i veřejného financování v přiměřené míře, aniž by docházelo k duplicitám a vytěsňování soukromých investorů</w:t>
            </w:r>
            <w:r>
              <w:t xml:space="preserve">; </w:t>
            </w:r>
            <w:r>
              <w:rPr>
                <w:b/>
                <w:i/>
              </w:rPr>
              <w:t>poskytování služeb integrované platformy k zajištění cílené finanční podpory společnostem ve všech fázích vývoje, startupům, scaleupům a strategickým podnikům, včetně těch, které aktivně zajišťují výrobu, průmyslové využití a uvádění na trh;</w:t>
            </w:r>
          </w:p>
        </w:tc>
        <w:tc>
          <w:tcPr>
            <w:tcW w:w="4876" w:type="dxa"/>
            <w:tcBorders>
              <w:top w:val="nil"/>
              <w:left w:val="nil"/>
              <w:bottom w:val="nil"/>
              <w:right w:val="nil"/>
            </w:tcBorders>
          </w:tcPr>
          <w:p>
            <w:pPr>
              <w:pStyle w:val="Normal6a"/>
            </w:pPr>
            <w:r>
              <w:t>c)</w:t>
            </w:r>
            <w:r>
              <w:tab/>
            </w:r>
            <w:r>
              <w:t xml:space="preserve">řešení selhání trhu a nepříznivých investičních situací </w:t>
            </w:r>
            <w:r>
              <w:rPr>
                <w:b/>
                <w:i/>
              </w:rPr>
              <w:t>v celé EU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1209</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řešení </w:t>
            </w:r>
            <w:r>
              <w:rPr>
                <w:b/>
                <w:i/>
              </w:rPr>
              <w:t>selhání trhu a nepříznivých investičních situací, a to i přilákáním</w:t>
            </w:r>
            <w:r>
              <w:t xml:space="preserve"> soukromého </w:t>
            </w:r>
            <w:r>
              <w:rPr>
                <w:b/>
                <w:i/>
              </w:rPr>
              <w:t>kapitálu a institucionálních investorů, jakož i veřejného financování v přiměřené míře, aniž by docházelo k duplicitám a vytěsňování soukromých investorů;</w:t>
            </w:r>
            <w:r>
              <w:t xml:space="preserve"> </w:t>
            </w:r>
            <w:r>
              <w:rPr>
                <w:b/>
                <w:i/>
              </w:rPr>
              <w:t>poskytování služeb integrované platformy k zajištění cílené finanční podpory společnostem ve všech fázích vývoje, startupům, scaleupům a strategickým podnikům, včetně těch, které aktivně zajišťují výrobu, průmyslové využití a uvádění na trh</w:t>
            </w:r>
            <w:r>
              <w:t>;</w:t>
            </w:r>
          </w:p>
        </w:tc>
        <w:tc>
          <w:tcPr>
            <w:tcW w:w="4876" w:type="dxa"/>
            <w:tcBorders>
              <w:top w:val="nil"/>
              <w:left w:val="nil"/>
              <w:bottom w:val="nil"/>
              <w:right w:val="nil"/>
            </w:tcBorders>
          </w:tcPr>
          <w:p>
            <w:pPr>
              <w:pStyle w:val="Normal6a"/>
            </w:pPr>
            <w:r>
              <w:t>c)</w:t>
            </w:r>
            <w:r>
              <w:tab/>
            </w:r>
            <w:r>
              <w:t xml:space="preserve">řešení </w:t>
            </w:r>
            <w:r>
              <w:rPr>
                <w:b/>
                <w:i/>
              </w:rPr>
              <w:t>hlavních potřeb v oblasti infrastruktury, které slouží jako integrovaná platforma pro podporu a prosazování cílené průmyslové politiky ve strategických odvětvích prostřednictvím rozšiřování a podpory především veřejných investic, jakož i mechanismů, jež v případě potřeby umožňují cílené zapojení</w:t>
            </w:r>
            <w:r>
              <w:t xml:space="preserve"> soukromého </w:t>
            </w:r>
            <w:r>
              <w:rPr>
                <w:b/>
                <w:i/>
              </w:rPr>
              <w:t>sektoru ve prospěch strategických cílů, jako je zadávání veřejných zakázek</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1210</w:t>
      </w:r>
      <w:r>
        <w:rPr>
          <w:rStyle w:val="HideTWBExt"/>
        </w:rPr>
        <w:t>&lt;/NumAm&gt;</w:t>
      </w:r>
    </w:p>
    <w:p>
      <w:pPr>
        <w:pStyle w:val="NormalBold"/>
      </w:pPr>
      <w:r>
        <w:rPr>
          <w:rStyle w:val="HideTWBExt"/>
          <w:b w:val="0"/>
        </w:rPr>
        <w:t>&lt;RepeatBlock-By&gt;</w:t>
      </w:r>
      <w:r>
        <w:rPr>
          <w:rStyle w:val="HideTWBExt"/>
          <w:b w:val="0"/>
        </w:rPr>
        <w:t>&lt;Members&gt;</w:t>
      </w:r>
      <w:r>
        <w:t>Nicolás González Casares, Mohammed Chahim, Elena Sancho Murillo, Lina Gálvez, Yannis Maniatis, Thomas Pellerin-Carlin, Annalisa Corrado, Christophe Clergeau, Bruno Tobback, Sofie Eriksson, Niels Fuglsang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řešení selhání trhu a nepříznivých investičních situací, a to i přilákáním soukromého kapitálu a institucionálních investorů, jakož i veřejného financování v přiměřené míře, aniž by docházelo k duplicitám a vytěsňování soukromých investorů; poskytování služeb integrované platformy k zajištění cílené finanční podpory společnostem ve všech fázích vývoje, startupům, scaleupům a strategickým podnikům, včetně těch, které aktivně zajišťují výrobu, průmyslové využití a uvádění na trh;</w:t>
            </w:r>
          </w:p>
        </w:tc>
        <w:tc>
          <w:tcPr>
            <w:tcW w:w="4876" w:type="dxa"/>
            <w:tcBorders>
              <w:top w:val="nil"/>
              <w:left w:val="nil"/>
              <w:bottom w:val="nil"/>
              <w:right w:val="nil"/>
            </w:tcBorders>
          </w:tcPr>
          <w:p>
            <w:pPr>
              <w:pStyle w:val="Normal6a"/>
            </w:pPr>
            <w:r>
              <w:t>c)</w:t>
            </w:r>
            <w:r>
              <w:tab/>
            </w:r>
            <w:r>
              <w:t>řešení selhání trhu</w:t>
            </w:r>
            <w:r>
              <w:rPr>
                <w:b/>
                <w:i/>
              </w:rPr>
              <w:t>, včetně negativních externalit,</w:t>
            </w:r>
            <w:r>
              <w:t xml:space="preserve"> a nepříznivých investičních situací, a to i přilákáním soukromého kapitálu a institucionálních investorů, jakož i veřejného financování v přiměřené míře, aniž by docházelo k duplicitám a vytěsňování soukromých investorů</w:t>
            </w:r>
            <w:r>
              <w:rPr>
                <w:b/>
                <w:i/>
              </w:rPr>
              <w:t>;</w:t>
            </w:r>
            <w:r>
              <w:t xml:space="preserve"> </w:t>
            </w:r>
            <w:r>
              <w:rPr>
                <w:b/>
                <w:i/>
              </w:rPr>
              <w:t>posílení regionálních subjektů s cílem podpořit místní přechod na čistý průmysl</w:t>
            </w:r>
            <w:r>
              <w:t>; poskytování služeb integrované platformy k zajištění cílené finanční podpory společnostem ve všech fázích vývoje, startupům, scaleupům a strategickým podnikům, včetně těch, které aktivně zajišťují výrobu, průmyslové využití a uvádění na trh;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1211</w:t>
      </w:r>
      <w:r>
        <w:rPr>
          <w:rStyle w:val="HideTWBExt"/>
        </w:rPr>
        <w:t>&lt;/NumAm&gt;</w:t>
      </w:r>
    </w:p>
    <w:p>
      <w:pPr>
        <w:pStyle w:val="NormalBold"/>
      </w:pPr>
      <w:r>
        <w:rPr>
          <w:rStyle w:val="HideTWBExt"/>
          <w:b w:val="0"/>
        </w:rPr>
        <w:t>&lt;RepeatBlock-By&gt;</w:t>
      </w:r>
      <w:r>
        <w:rPr>
          <w:rStyle w:val="HideTWBExt"/>
          <w:b w:val="0"/>
        </w:rPr>
        <w:t>&lt;Members&gt;</w:t>
      </w:r>
      <w:r>
        <w:t>Bruno Tobback, Thomas Pellerin-Carlin, Yannis Maniatis, Nicolás González Casares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řešení selhání trhu a nepříznivých investičních situací, a to i přilákáním soukromého kapitálu a institucionálních investorů, jakož i veřejného financování v přiměřené míře, aniž by docházelo k duplicitám a vytěsňování soukromých investorů; poskytování služeb integrované platformy k zajištění cílené finanční podpory společnostem ve všech fázích vývoje, startupům, scaleupům a strategickým podnikům, včetně těch, které aktivně zajišťují výrobu, průmyslové využití a uvádění na trh;</w:t>
            </w:r>
          </w:p>
        </w:tc>
        <w:tc>
          <w:tcPr>
            <w:tcW w:w="4876" w:type="dxa"/>
            <w:tcBorders>
              <w:top w:val="nil"/>
              <w:left w:val="nil"/>
              <w:bottom w:val="nil"/>
              <w:right w:val="nil"/>
            </w:tcBorders>
          </w:tcPr>
          <w:p>
            <w:pPr>
              <w:pStyle w:val="Normal6a"/>
            </w:pPr>
            <w:r>
              <w:t>c)</w:t>
            </w:r>
            <w:r>
              <w:tab/>
            </w:r>
            <w:r>
              <w:t xml:space="preserve">řešení selhání trhu a nepříznivých investičních situací, a to i přilákáním soukromého kapitálu a institucionálních investorů </w:t>
            </w:r>
            <w:r>
              <w:rPr>
                <w:b/>
                <w:i/>
              </w:rPr>
              <w:t>a mobilizací retailových úspor a úspor domácností prostřednictvím specializovaných investičních nástrojů, jako jsou evropské zelené dluhopisy</w:t>
            </w:r>
            <w:r>
              <w:t>, jakož i veřejného financování v přiměřené míře, aniž by docházelo k duplicitám a vytěsňování soukromých investorů; poskytování služeb integrované platformy k zajištění cílené finanční podpory společnostem ve všech fázích vývoje, startupům, scaleupům a strategickým podnikům, včetně těch, které aktivně zajišťují výrobu, průmyslové využití a uvádění na trh;</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Existuje obrovský, z velké části nevyužitý potenciál pro mobilizaci maloobchodních úspor a úspor domácností s cílem přispět k udržitelné transformaci a konkurenceschopnosti průmyslových odvětví EU.</w:t>
      </w:r>
      <w:r>
        <w:t xml:space="preserve"> </w:t>
      </w:r>
      <w:r>
        <w:t>Občané mohou tímto způsobem vyhrát třikrát:</w:t>
      </w:r>
      <w:r>
        <w:t xml:space="preserve"> </w:t>
      </w:r>
      <w:r>
        <w:t>z finančního hlediska se zaručenými příjmy ze svých investic, z hospodářského hlediska tím, že tento potenciál přispěje ke konkurenceschopnosti našich průmyslových odvětví a vytváření pracovních míst, a z hlediska sociálního zapojení tím, že přispěje k prosperitě společnosti, v níž žijí.</w:t>
      </w:r>
    </w:p>
    <w:p>
      <w:r>
        <w:rPr>
          <w:rStyle w:val="HideTWBExt"/>
        </w:rPr>
        <w:t>&lt;/Amend&gt;</w:t>
      </w:r>
    </w:p>
    <w:p>
      <w:pPr>
        <w:pStyle w:val="AmNumberTabs"/>
      </w:pPr>
      <w:r>
        <w:rPr>
          <w:rStyle w:val="HideTWBExt"/>
        </w:rPr>
        <w:t>&lt;Amend&gt;</w:t>
      </w:r>
      <w:r>
        <w:t>Pozměňovací návrh</w:t>
      </w:r>
      <w:r>
        <w:tab/>
      </w:r>
      <w:r>
        <w:tab/>
      </w:r>
      <w:r>
        <w:rPr>
          <w:rStyle w:val="HideTWBExt"/>
        </w:rPr>
        <w:t>&lt;NumAm&gt;</w:t>
      </w:r>
      <w:r>
        <w:t>1212</w:t>
      </w:r>
      <w:r>
        <w:rPr>
          <w:rStyle w:val="HideTWBExt"/>
        </w:rPr>
        <w:t>&lt;/NumAm&gt;</w:t>
      </w:r>
    </w:p>
    <w:p>
      <w:pPr>
        <w:pStyle w:val="NormalBold"/>
      </w:pPr>
      <w:r>
        <w:rPr>
          <w:rStyle w:val="HideTWBExt"/>
          <w:b w:val="0"/>
        </w:rPr>
        <w:t>&lt;RepeatBlock-By&gt;</w:t>
      </w:r>
      <w:r>
        <w:rPr>
          <w:rStyle w:val="HideTWBExt"/>
          <w:b w:val="0"/>
        </w:rPr>
        <w:t>&lt;Members&gt;</w:t>
      </w:r>
      <w:r>
        <w:t>Sarah Knafo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řešení selhání trhu a nepříznivých investičních situací, a to i přilákáním soukromého kapitálu a institucionálních investorů, jakož i veřejného financování v přiměřené míře, aniž by docházelo k duplicitám a vytěsňování soukromých investorů; </w:t>
            </w:r>
            <w:r>
              <w:rPr>
                <w:b/>
                <w:i/>
              </w:rPr>
              <w:t>poskytování služeb integrované platformy k zajištění cílené finanční podpory společnostem ve všech fázích vývoje, startupům, scaleupům a strategickým podnikům, včetně těch, které aktivně zajišťují výrobu, průmyslové využití a uvádění na trh;</w:t>
            </w:r>
          </w:p>
        </w:tc>
        <w:tc>
          <w:tcPr>
            <w:tcW w:w="4876" w:type="dxa"/>
            <w:tcBorders>
              <w:top w:val="nil"/>
              <w:left w:val="nil"/>
              <w:bottom w:val="nil"/>
              <w:right w:val="nil"/>
            </w:tcBorders>
          </w:tcPr>
          <w:p>
            <w:pPr>
              <w:pStyle w:val="Normal6a"/>
            </w:pPr>
            <w:r>
              <w:t>c)</w:t>
            </w:r>
            <w:r>
              <w:tab/>
            </w:r>
            <w:r>
              <w:t>řešení selhání trhu a nepříznivých investičních situací, a to i přilákáním soukromého kapitálu a institucionálních investorů, </w:t>
            </w:r>
            <w:r>
              <w:rPr>
                <w:b/>
                <w:i/>
              </w:rPr>
              <w:t>fondů rizikového kapitálu a fondů soukromého kapitálu, neformálních investorů („business angels“), podnikového rizikového kapitálu, platforem skupinového financování vlastního kapitálu a správců alternativních investičních fondů,</w:t>
            </w:r>
            <w:r>
              <w:t xml:space="preserve"> jakož i veřejného financování v přiměřené míře, aniž by docházelo k duplicitám a vytěsňování soukromých investorů;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1213</w:t>
      </w:r>
      <w:r>
        <w:rPr>
          <w:rStyle w:val="HideTWBExt"/>
        </w:rPr>
        <w:t>&lt;/NumAm&gt;</w:t>
      </w:r>
    </w:p>
    <w:p>
      <w:pPr>
        <w:pStyle w:val="NormalBold"/>
      </w:pPr>
      <w:r>
        <w:rPr>
          <w:rStyle w:val="HideTWBExt"/>
          <w:b w:val="0"/>
        </w:rPr>
        <w:t>&lt;RepeatBlock-By&gt;</w:t>
      </w:r>
      <w:r>
        <w:rPr>
          <w:rStyle w:val="HideTWBExt"/>
          <w:b w:val="0"/>
        </w:rPr>
        <w:t>&lt;Members&gt;</w:t>
      </w:r>
      <w:r>
        <w:t>Laura Ballarín Cereza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řešení selhání trhu a nepříznivých investičních situací, a to i přilákáním soukromého kapitálu a institucionálních investorů, jakož i veřejného financování v přiměřené míře, aniž by docházelo k duplicitám a vytěsňování soukromých investorů; poskytování služeb integrované platformy k zajištění cílené finanční podpory společnostem ve všech fázích vývoje, startupům, scaleupům a strategickým podnikům, včetně těch, které aktivně zajišťují výrobu, průmyslové využití a uvádění na trh;</w:t>
            </w:r>
          </w:p>
        </w:tc>
        <w:tc>
          <w:tcPr>
            <w:tcW w:w="4876" w:type="dxa"/>
            <w:tcBorders>
              <w:top w:val="nil"/>
              <w:left w:val="nil"/>
              <w:bottom w:val="nil"/>
              <w:right w:val="nil"/>
            </w:tcBorders>
          </w:tcPr>
          <w:p>
            <w:pPr>
              <w:pStyle w:val="Normal6a"/>
            </w:pPr>
            <w:r>
              <w:t>c)</w:t>
            </w:r>
            <w:r>
              <w:tab/>
            </w:r>
            <w:r>
              <w:t>řešení selhání trhu a nepříznivých investičních situací, a to i přilákáním soukromého kapitálu a institucionálních investorů, jakož i veřejného financování v přiměřené míře, aniž by docházelo k duplicitám a vytěsňování soukromých investorů; poskytování služeb integrované platformy k zajištění cílené finanční podpory společnostem</w:t>
            </w:r>
            <w:r>
              <w:rPr>
                <w:b/>
                <w:i/>
              </w:rPr>
              <w:t>, ekosystémům a jejich jednotlivým aktérům</w:t>
            </w:r>
            <w:r>
              <w:t xml:space="preserve"> ve všech fázích vývoje, startupům, scaleupům a strategickým podnikům, včetně těch, které aktivně zajišťují výrobu, průmyslové využití a uvádění na trh;</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Jednotlivé společnosti často pracují v rámci ekosystému a jsou závislé na spolupráci se subjekty v rámci tohoto ekosystému i mimo něj a také na službách, které jim samotný ekosystém nabízí.</w:t>
      </w:r>
      <w:r>
        <w:t xml:space="preserve"> </w:t>
      </w:r>
      <w:r>
        <w:t>Hospodářský úspěch proto závisí spíše na hladkém fungování celého systému než na jedné společnosti.</w:t>
      </w:r>
      <w:r>
        <w:t xml:space="preserve"> </w:t>
      </w:r>
      <w:r>
        <w:t>To je klíčový argument pro tvrzení, že pro ekosystémy a jejich složky by měla být k dispozici finanční podpora.</w:t>
      </w:r>
    </w:p>
    <w:p>
      <w:r>
        <w:rPr>
          <w:rStyle w:val="HideTWBExt"/>
        </w:rPr>
        <w:t>&lt;/Amend&gt;</w:t>
      </w:r>
    </w:p>
    <w:p>
      <w:pPr>
        <w:pStyle w:val="AmNumberTabs"/>
      </w:pPr>
      <w:r>
        <w:rPr>
          <w:rStyle w:val="HideTWBExt"/>
        </w:rPr>
        <w:t>&lt;Amend&gt;</w:t>
      </w:r>
      <w:r>
        <w:t>Pozměňovací návrh</w:t>
      </w:r>
      <w:r>
        <w:tab/>
      </w:r>
      <w:r>
        <w:tab/>
      </w:r>
      <w:r>
        <w:rPr>
          <w:rStyle w:val="HideTWBExt"/>
        </w:rPr>
        <w:t>&lt;NumAm&gt;</w:t>
      </w:r>
      <w:r>
        <w:t>1214</w:t>
      </w:r>
      <w:r>
        <w:rPr>
          <w:rStyle w:val="HideTWBExt"/>
        </w:rPr>
        <w:t>&lt;/NumAm&gt;</w:t>
      </w:r>
    </w:p>
    <w:p>
      <w:pPr>
        <w:pStyle w:val="NormalBold"/>
      </w:pPr>
      <w:r>
        <w:rPr>
          <w:rStyle w:val="HideTWBExt"/>
          <w:b w:val="0"/>
        </w:rPr>
        <w:t>&lt;RepeatBlock-By&gt;</w:t>
      </w:r>
      <w:r>
        <w:rPr>
          <w:rStyle w:val="HideTWBExt"/>
          <w:b w:val="0"/>
        </w:rPr>
        <w:t>&lt;Members&gt;</w:t>
      </w:r>
      <w:r>
        <w:t>Paulo Cunha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řešení selhání trhu a nepříznivých investičních situací, a to i přilákáním soukromého kapitálu a institucionálních investorů, jakož i veřejného financování v přiměřené míře, aniž by docházelo k duplicitám a vytěsňování soukromých investorů; poskytování služeb integrované platformy k zajištění cílené finanční podpory společnostem ve všech fázích vývoje, startupům, scaleupům a strategickým podnikům, včetně těch, které aktivně zajišťují výrobu, průmyslové využití a uvádění na trh;</w:t>
            </w:r>
          </w:p>
        </w:tc>
        <w:tc>
          <w:tcPr>
            <w:tcW w:w="4876" w:type="dxa"/>
            <w:tcBorders>
              <w:top w:val="nil"/>
              <w:left w:val="nil"/>
              <w:bottom w:val="nil"/>
              <w:right w:val="nil"/>
            </w:tcBorders>
          </w:tcPr>
          <w:p>
            <w:pPr>
              <w:pStyle w:val="Normal6a"/>
            </w:pPr>
            <w:r>
              <w:t>c)</w:t>
            </w:r>
            <w:r>
              <w:tab/>
            </w:r>
            <w:r>
              <w:t>řešení selhání trhu a nepříznivých investičních situací, a to i přilákáním soukromého kapitálu a institucionálních investorů, jakož i veřejného financování v přiměřené míře, aniž by docházelo k duplicitám a vytěsňování soukromých investorů; poskytování služeb integrované platformy k zajištění cílené finanční podpory společnostem ve všech fázích vývoje, startupům, scaleupům a strategickým podnikům, včetně těch, které aktivně zajišťují výrobu, průmyslové využití a uvádění na trh</w:t>
            </w:r>
            <w:r>
              <w:rPr>
                <w:b/>
                <w:i/>
              </w:rPr>
              <w:t>, konkrétně první průmyslové využití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1215</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řešení selhání trhu a nepříznivých investičních situací, a to i přilákáním soukromého kapitálu a institucionálních investorů, jakož i veřejného financování v přiměřené míře, aniž by docházelo k duplicitám a vytěsňování soukromých investorů; poskytování služeb integrované platformy k zajištění cílené finanční podpory </w:t>
            </w:r>
            <w:r>
              <w:rPr>
                <w:b/>
                <w:i/>
              </w:rPr>
              <w:t>společnostem ve všech fázích vývoje, startupům, scaleupům a strategickým podnikům</w:t>
            </w:r>
            <w:r>
              <w:t>, včetně těch, které aktivně zajišťují výrobu, průmyslové využití a uvádění na trh;</w:t>
            </w:r>
          </w:p>
        </w:tc>
        <w:tc>
          <w:tcPr>
            <w:tcW w:w="4876" w:type="dxa"/>
            <w:tcBorders>
              <w:top w:val="nil"/>
              <w:left w:val="nil"/>
              <w:bottom w:val="nil"/>
              <w:right w:val="nil"/>
            </w:tcBorders>
          </w:tcPr>
          <w:p>
            <w:pPr>
              <w:pStyle w:val="Normal6a"/>
            </w:pPr>
            <w:r>
              <w:t>c)</w:t>
            </w:r>
            <w:r>
              <w:tab/>
            </w:r>
            <w:r>
              <w:t xml:space="preserve">řešení selhání trhu a nepříznivých investičních situací, a to i přilákáním soukromého kapitálu a institucionálních investorů, jakož i veřejného financování v přiměřené míře, aniž by docházelo k duplicitám a vytěsňování soukromých investorů; poskytování služeb integrované platformy k zajištění cílené finanční podpory </w:t>
            </w:r>
            <w:r>
              <w:rPr>
                <w:b/>
                <w:i/>
              </w:rPr>
              <w:t>ekonomickým aktérům se zaměřením na inovační startupy, inovační scaleupy a strategické podniky</w:t>
            </w:r>
            <w:r>
              <w:t>, včetně těch, které aktivně zajišťují výrobu, průmyslové využití a uvádění na trh;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1216</w:t>
      </w:r>
      <w:r>
        <w:rPr>
          <w:rStyle w:val="HideTWBExt"/>
        </w:rPr>
        <w:t>&lt;/NumAm&gt;</w:t>
      </w:r>
    </w:p>
    <w:p>
      <w:pPr>
        <w:pStyle w:val="NormalBold"/>
      </w:pPr>
      <w:r>
        <w:rPr>
          <w:rStyle w:val="HideTWBExt"/>
          <w:b w:val="0"/>
        </w:rPr>
        <w:t>&lt;RepeatBlock-By&gt;</w:t>
      </w:r>
      <w:r>
        <w:rPr>
          <w:rStyle w:val="HideTWBExt"/>
          <w:b w:val="0"/>
        </w:rPr>
        <w:t>&lt;Members&gt;</w:t>
      </w:r>
      <w:r>
        <w:t>Dimitris Tsiodras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řešení selhání trhu a nepříznivých investičních situací, a to i přilákáním soukromého kapitálu a institucionálních investorů, jakož i veřejného financování v přiměřené míře, aniž by docházelo k duplicitám a vytěsňování soukromých investorů; poskytování služeb integrované platformy k zajištění cílené finanční podpory společnostem ve všech fázích vývoje, startupům, scaleupům a strategickým podnikům, včetně těch, které aktivně zajišťují výrobu, průmyslové využití a uvádění na trh;</w:t>
            </w:r>
          </w:p>
        </w:tc>
        <w:tc>
          <w:tcPr>
            <w:tcW w:w="4876" w:type="dxa"/>
            <w:tcBorders>
              <w:top w:val="nil"/>
              <w:left w:val="nil"/>
              <w:bottom w:val="nil"/>
              <w:right w:val="nil"/>
            </w:tcBorders>
          </w:tcPr>
          <w:p>
            <w:pPr>
              <w:pStyle w:val="Normal6a"/>
            </w:pPr>
            <w:r>
              <w:t>c)</w:t>
            </w:r>
            <w:r>
              <w:tab/>
            </w:r>
            <w:r>
              <w:t xml:space="preserve">řešení selhání trhu a nepříznivých investičních situací </w:t>
            </w:r>
            <w:r>
              <w:rPr>
                <w:b/>
                <w:i/>
              </w:rPr>
              <w:t>v celé EU</w:t>
            </w:r>
            <w:r>
              <w:t>, a to i přilákáním soukromého kapitálu a institucionálních investorů, jakož i veřejného financování v přiměřené míře, aniž by docházelo k duplicitám a vytěsňování soukromých investorů; poskytování služeb integrované platformy k zajištění cílené finanční podpory společnostem ve všech fázích vývoje, startupům, scaleupům a strategickým podnikům, včetně těch, které aktivně zajišťují výrobu, průmyslové využití a uvádění na trh;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1217</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řešení selhání trhu a nepříznivých investičních situací, a to i přilákáním soukromého kapitálu a institucionálních investorů, jakož i veřejného financování v přiměřené míře, aniž by docházelo k duplicitám a vytěsňování soukromých investorů; poskytování služeb integrované platformy k zajištění cílené finanční podpory společnostem ve všech fázích vývoje, startupům, scaleupům a strategickým podnikům, včetně těch, které aktivně zajišťují výrobu, průmyslové využití a uvádění na trh;</w:t>
            </w:r>
          </w:p>
        </w:tc>
        <w:tc>
          <w:tcPr>
            <w:tcW w:w="4876" w:type="dxa"/>
            <w:tcBorders>
              <w:top w:val="nil"/>
              <w:left w:val="nil"/>
              <w:bottom w:val="nil"/>
              <w:right w:val="nil"/>
            </w:tcBorders>
          </w:tcPr>
          <w:p>
            <w:pPr>
              <w:pStyle w:val="Normal6a"/>
            </w:pPr>
            <w:r>
              <w:t>c)</w:t>
            </w:r>
            <w:r>
              <w:tab/>
            </w:r>
            <w:r>
              <w:t xml:space="preserve">řešení selhání trhu a nepříznivých investičních situací </w:t>
            </w:r>
            <w:r>
              <w:rPr>
                <w:b/>
                <w:i/>
              </w:rPr>
              <w:t>v celé EU</w:t>
            </w:r>
            <w:r>
              <w:t>, a to i přilákáním soukromého kapitálu a institucionálních investorů, jakož i veřejného financování v přiměřené míře, aniž by docházelo k duplicitám a vytěsňování soukromých investorů; poskytování služeb integrované platformy k zajištění cílené finanční podpory společnostem ve všech fázích vývoje, startupům, scaleupům a strategickým podnikům, včetně těch, které aktivně zajišťují výrobu, průmyslové využití a uvádění na trh;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1218</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řešení selhání trhu a nepříznivých investičních situací, a to i přilákáním soukromého kapitálu a institucionálních investorů, jakož i veřejného financování v přiměřené míře, aniž by docházelo k duplicitám a vytěsňování soukromých investorů; poskytování služeb integrované platformy k zajištění cílené finanční podpory společnostem ve všech fázích vývoje, startupům, scaleupům a strategickým podnikům, včetně těch, které aktivně zajišťují výrobu, průmyslové využití a uvádění na trh;</w:t>
            </w:r>
          </w:p>
        </w:tc>
        <w:tc>
          <w:tcPr>
            <w:tcW w:w="4876" w:type="dxa"/>
            <w:tcBorders>
              <w:top w:val="nil"/>
              <w:left w:val="nil"/>
              <w:bottom w:val="nil"/>
              <w:right w:val="nil"/>
            </w:tcBorders>
          </w:tcPr>
          <w:p>
            <w:pPr>
              <w:pStyle w:val="Normal6a"/>
            </w:pPr>
            <w:r>
              <w:t>c)</w:t>
            </w:r>
            <w:r>
              <w:tab/>
            </w:r>
            <w:r>
              <w:t xml:space="preserve">řešení selhání trhu a nepříznivých investičních situací, a to i přilákáním soukromého kapitálu a institucionálních investorů, jakož i veřejného financování v přiměřené míře, aniž by docházelo k duplicitám a vytěsňování soukromých investorů; poskytování služeb integrované platformy k zajištění cílené finanční podpory společnostem </w:t>
            </w:r>
            <w:r>
              <w:rPr>
                <w:b/>
                <w:i/>
              </w:rPr>
              <w:t>v EU</w:t>
            </w:r>
            <w:r>
              <w:t xml:space="preserve"> ve všech fázích vývoje, startupům, scaleupům a strategickým podnikům, včetně těch, které aktivně zajišťují výrobu, průmyslové využití a uvádění na trh;</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1219</w:t>
      </w:r>
      <w:r>
        <w:rPr>
          <w:rStyle w:val="HideTWBExt"/>
        </w:rPr>
        <w:t>&lt;/NumAm&gt;</w:t>
      </w:r>
    </w:p>
    <w:p>
      <w:pPr>
        <w:pStyle w:val="NormalBold"/>
      </w:pPr>
      <w:r>
        <w:rPr>
          <w:rStyle w:val="HideTWBExt"/>
          <w:b w:val="0"/>
        </w:rPr>
        <w:t>&lt;RepeatBlock-By&gt;</w:t>
      </w:r>
      <w:r>
        <w:rPr>
          <w:rStyle w:val="HideTWBExt"/>
          <w:b w:val="0"/>
        </w:rPr>
        <w:t>&lt;Members&gt;</w:t>
      </w:r>
      <w:r>
        <w:t>Michał Kobosko, Martin Hojsík, Ivars Ijabs, Lucia Yar, Joanna Scheuring-Wielgus, Krzysztof Śmiszek, Yvan Verougstraete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řešení selhání trhu a nepříznivých investičních situací</w:t>
            </w:r>
            <w:r>
              <w:rPr>
                <w:b/>
                <w:i/>
              </w:rPr>
              <w:t>, a to i</w:t>
            </w:r>
            <w:r>
              <w:t xml:space="preserve"> přilákáním soukromého kapitálu a institucionálních investorů, jakož i veřejného financování v přiměřené míře, </w:t>
            </w:r>
            <w:r>
              <w:rPr>
                <w:b/>
                <w:i/>
              </w:rPr>
              <w:t>aniž by docházelo k</w:t>
            </w:r>
            <w:r>
              <w:t xml:space="preserve"> duplicitám a vytěsňování soukromých investorů; poskytování služeb integrované platformy k zajištění cílené finanční podpory společnostem ve všech fázích vývoje, </w:t>
            </w:r>
            <w:r>
              <w:rPr>
                <w:b/>
                <w:i/>
              </w:rPr>
              <w:t>startupům, scaleupům a strategickým podnikům,</w:t>
            </w:r>
            <w:r>
              <w:t xml:space="preserve"> včetně těch, které aktivně zajišťují výrobu, průmyslové využití a uvádění na trh;</w:t>
            </w:r>
          </w:p>
        </w:tc>
        <w:tc>
          <w:tcPr>
            <w:tcW w:w="4876" w:type="dxa"/>
            <w:tcBorders>
              <w:top w:val="nil"/>
              <w:left w:val="nil"/>
              <w:bottom w:val="nil"/>
              <w:right w:val="nil"/>
            </w:tcBorders>
          </w:tcPr>
          <w:p>
            <w:pPr>
              <w:pStyle w:val="Normal6a"/>
            </w:pPr>
            <w:r>
              <w:t>c)</w:t>
            </w:r>
            <w:r>
              <w:tab/>
            </w:r>
            <w:r>
              <w:t xml:space="preserve">řešení selhání trhu a nepříznivých investičních situací </w:t>
            </w:r>
            <w:r>
              <w:rPr>
                <w:b/>
                <w:i/>
              </w:rPr>
              <w:t>v celé EU, zejména</w:t>
            </w:r>
            <w:r>
              <w:t xml:space="preserve"> přilákáním soukromého kapitálu a institucionálních investorů, jakož i veřejného financování v přiměřené míře, </w:t>
            </w:r>
            <w:r>
              <w:rPr>
                <w:b/>
                <w:i/>
              </w:rPr>
              <w:t>a to předcházením</w:t>
            </w:r>
            <w:r>
              <w:t xml:space="preserve"> duplicitám a </w:t>
            </w:r>
            <w:r>
              <w:rPr>
                <w:b/>
                <w:i/>
              </w:rPr>
              <w:t>bez</w:t>
            </w:r>
            <w:r>
              <w:t xml:space="preserve"> vytěsňování </w:t>
            </w:r>
            <w:r>
              <w:rPr>
                <w:b/>
                <w:i/>
              </w:rPr>
              <w:t>jiných</w:t>
            </w:r>
            <w:r>
              <w:t xml:space="preserve"> soukromých </w:t>
            </w:r>
            <w:r>
              <w:rPr>
                <w:b/>
                <w:i/>
              </w:rPr>
              <w:t>nebo veřejných</w:t>
            </w:r>
            <w:r>
              <w:t xml:space="preserve"> investorů; poskytování služeb integrované platformy k zajištění cílené finanční podpory společnostem ve všech fázích vývoje, včetně těch, které aktivně zajišťují výrobu, průmyslové využití a uvádění na trh;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1220</w:t>
      </w:r>
      <w:r>
        <w:rPr>
          <w:rStyle w:val="HideTWBExt"/>
        </w:rPr>
        <w:t>&lt;/NumAm&gt;</w:t>
      </w:r>
    </w:p>
    <w:p>
      <w:pPr>
        <w:pStyle w:val="NormalBold"/>
      </w:pPr>
      <w:r>
        <w:rPr>
          <w:rStyle w:val="HideTWBExt"/>
          <w:b w:val="0"/>
        </w:rPr>
        <w:t>&lt;RepeatBlock-By&gt;</w:t>
      </w:r>
      <w:r>
        <w:rPr>
          <w:rStyle w:val="HideTWBExt"/>
          <w:b w:val="0"/>
        </w:rPr>
        <w:t>&lt;Members&gt;</w:t>
      </w:r>
      <w:r>
        <w:t>Miriam Lexmann, Paulius Saudargas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c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přispívání k geograficky vyváženému šíření excelence mezi členskými státy využitím alespoň 25 % přidělených prostředků prostřednictvím otevřených výzev určených pro subjekty registrované v méně rozvinutých regionech;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1221</w:t>
      </w:r>
      <w:r>
        <w:rPr>
          <w:rStyle w:val="HideTWBExt"/>
        </w:rPr>
        <w:t>&lt;/NumAm&gt;</w:t>
      </w:r>
    </w:p>
    <w:p>
      <w:pPr>
        <w:pStyle w:val="NormalBold"/>
      </w:pPr>
      <w:r>
        <w:rPr>
          <w:rStyle w:val="HideTWBExt"/>
          <w:b w:val="0"/>
        </w:rPr>
        <w:t>&lt;RepeatBlock-By&gt;</w:t>
      </w:r>
      <w:r>
        <w:rPr>
          <w:rStyle w:val="HideTWBExt"/>
          <w:b w:val="0"/>
        </w:rPr>
        <w:t>&lt;Members&gt;</w:t>
      </w:r>
      <w:r>
        <w:t>Radan Kanev, Miriam Lexmann, Paulius Saudargas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c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přispívání k zeměpisné vyváženosti investic zohledněním potřeby investovat do inovativních projektů v méně rozvinutých regionech a zohledňováním této potřeby při poskytování podpory z tohoto fondu;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1222</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prohlubování integrace kapitálových trhů Unie v souladu s cílem vybudovat unii úspor a investic, včetně řešení otázky roztříštěnosti kapitálových trhů Unie, odstranění překážek a vytvoření pobídek pro soukromé investice a diverzifikaci a posílení zdrojů financování podniků Unie ve všech členských státech, včetně členských států s méně rozvinutými kapitálovými trhy;</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1223</w:t>
      </w:r>
      <w:r>
        <w:rPr>
          <w:rStyle w:val="HideTWBExt"/>
        </w:rPr>
        <w:t>&lt;/NumAm&gt;</w:t>
      </w:r>
    </w:p>
    <w:p>
      <w:pPr>
        <w:pStyle w:val="NormalBold"/>
      </w:pPr>
      <w:r>
        <w:rPr>
          <w:rStyle w:val="HideTWBExt"/>
          <w:b w:val="0"/>
        </w:rPr>
        <w:t>&lt;RepeatBlock-By&gt;</w:t>
      </w:r>
      <w:r>
        <w:rPr>
          <w:rStyle w:val="HideTWBExt"/>
          <w:b w:val="0"/>
        </w:rPr>
        <w:t>&lt;Members&gt;</w:t>
      </w:r>
      <w:r>
        <w:t>Yvan Verougstraete, Brigitte van den Berg, Sigrid Friis, Morten Løkkegaard, Christophe Grudler, Barry Andrews,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rPr>
                <w:b/>
                <w:i/>
              </w:rPr>
              <w:t>prohlubování integrace kapitálových trhů Unie v souladu s cílem vybudovat unii úspor a investic</w:t>
            </w:r>
            <w:r>
              <w:t xml:space="preserve">, včetně </w:t>
            </w:r>
            <w:r>
              <w:rPr>
                <w:b/>
                <w:i/>
              </w:rPr>
              <w:t>řešení otázky roztříštěnosti kapitálových trhů Unie, odstranění překážek a vytvoření pobídek pro soukromé investice a diverzifikaci a posílení zdrojů financování</w:t>
            </w:r>
            <w:r>
              <w:t xml:space="preserve"> podniků </w:t>
            </w:r>
            <w:r>
              <w:rPr>
                <w:b/>
                <w:i/>
              </w:rPr>
              <w:t>Unie ve všech členských státech, včetně členských států s méně rozvinutými kapitálovými trhy;</w:t>
            </w:r>
          </w:p>
        </w:tc>
        <w:tc>
          <w:tcPr>
            <w:tcW w:w="4876" w:type="dxa"/>
            <w:tcBorders>
              <w:top w:val="nil"/>
              <w:left w:val="nil"/>
              <w:bottom w:val="nil"/>
              <w:right w:val="nil"/>
            </w:tcBorders>
          </w:tcPr>
          <w:p>
            <w:pPr>
              <w:pStyle w:val="Normal6a"/>
            </w:pPr>
            <w:r>
              <w:t>d)</w:t>
            </w:r>
            <w:r>
              <w:tab/>
            </w:r>
            <w:r>
              <w:rPr>
                <w:b/>
                <w:i/>
              </w:rPr>
              <w:t>podpory příznivého prostředí pro podniky</w:t>
            </w:r>
            <w:r>
              <w:t xml:space="preserve">, včetně </w:t>
            </w:r>
            <w:r>
              <w:rPr>
                <w:b/>
                <w:i/>
              </w:rPr>
              <w:t>malých a středních podniků, malých společností se střední tržní kapitalizací, začínajících</w:t>
            </w:r>
            <w:r>
              <w:t xml:space="preserve"> podniků </w:t>
            </w:r>
            <w:r>
              <w:rPr>
                <w:b/>
                <w:i/>
              </w:rPr>
              <w:t>a rychle se rozvíjejících podniků, aby mohly růst a stát se konkurenceschopnými, zejména prostřednictvím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řešení roztříštěnosti kapitálových trhů Unie;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 odstranění překážek v průběhu celého investičního procesu a vytvoření pobídek pro soukromé investice;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iii) zlepšení přístupu k financování, včetně soukromých investic, mikrofinancování a podpory sociálních podniků;</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iv) prohloubení integrace jednotného trhu;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1224</w:t>
      </w:r>
      <w:r>
        <w:rPr>
          <w:rStyle w:val="HideTWBExt"/>
        </w:rPr>
        <w:t>&lt;/NumAm&gt;</w:t>
      </w:r>
    </w:p>
    <w:p>
      <w:pPr>
        <w:pStyle w:val="NormalBold"/>
      </w:pPr>
      <w:r>
        <w:rPr>
          <w:rStyle w:val="HideTWBExt"/>
          <w:b w:val="0"/>
        </w:rPr>
        <w:t>&lt;RepeatBlock-By&gt;</w:t>
      </w:r>
      <w:r>
        <w:rPr>
          <w:rStyle w:val="HideTWBExt"/>
          <w:b w:val="0"/>
        </w:rPr>
        <w:t>&lt;Members&gt;</w:t>
      </w:r>
      <w:r>
        <w:t>Jörgen Warborn,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prohlubování integrace kapitálových trhů Unie v souladu s cílem vybudovat unii úspor a investic, včetně řešení otázky roztříštěnosti kapitálových trhů Unie, odstranění překážek a vytvoření pobídek pro soukromé investice a diverzifikaci a posílení zdrojů financování podniků Unie </w:t>
            </w:r>
            <w:r>
              <w:rPr>
                <w:b/>
                <w:i/>
              </w:rPr>
              <w:t>ve všech členských státech, včetně členských států s méně rozvinutými kapitálovými trhy</w:t>
            </w:r>
            <w:r>
              <w:t>;</w:t>
            </w:r>
          </w:p>
        </w:tc>
        <w:tc>
          <w:tcPr>
            <w:tcW w:w="4876" w:type="dxa"/>
            <w:tcBorders>
              <w:top w:val="nil"/>
              <w:left w:val="nil"/>
              <w:bottom w:val="nil"/>
              <w:right w:val="nil"/>
            </w:tcBorders>
          </w:tcPr>
          <w:p>
            <w:pPr>
              <w:pStyle w:val="Normal6a"/>
            </w:pPr>
            <w:r>
              <w:t>d)</w:t>
            </w:r>
            <w:r>
              <w:tab/>
            </w:r>
            <w:r>
              <w:t>prohlubování integrace kapitálových trhů Unie v souladu s cílem vybudovat unii úspor a investic, včetně řešení otázky roztříštěnosti kapitálových trhů Unie, odstranění překážek a vytvoření pobídek pro soukromé investice a diverzifikaci a posílení zdrojů financování podniků Unie;</w:t>
            </w:r>
          </w:p>
        </w:tc>
      </w:tr>
    </w:tbl>
    <w:p>
      <w:pPr>
        <w:pStyle w:val="AmOrLang"/>
      </w:pPr>
      <w:r>
        <w:t xml:space="preserve">Or. </w:t>
      </w:r>
      <w:r>
        <w:rPr>
          <w:rStyle w:val="HideTWBExt"/>
        </w:rPr>
        <w:t>&lt;Original&gt;</w:t>
      </w:r>
      <w:r>
        <w:rPr>
          <w:rStyle w:val="HideTWBInt"/>
        </w:rPr>
        <w:t>{SV}</w:t>
      </w:r>
      <w:r>
        <w:t>sv</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Je důležité vyjasnit, že ECF není nástrojem politiky soudržnosti.</w:t>
      </w:r>
      <w:r>
        <w:t xml:space="preserve"> </w:t>
      </w:r>
      <w:r>
        <w:t>Nemůže se jednat o kritérium, podle něhož by se podpora měla dostat ke všem členským státům. Podpora by měla být spíše zaměřena na projekty, které přinášejí největší přidanou hodnotu pro EU jako celek, bez ohledu na jejich zeměpisnou polohu.</w:t>
      </w:r>
    </w:p>
    <w:p>
      <w:r>
        <w:rPr>
          <w:rStyle w:val="HideTWBExt"/>
        </w:rPr>
        <w:t>&lt;/Amend&gt;</w:t>
      </w:r>
    </w:p>
    <w:p>
      <w:pPr>
        <w:pStyle w:val="AmNumberTabs"/>
      </w:pPr>
      <w:r>
        <w:rPr>
          <w:rStyle w:val="HideTWBExt"/>
        </w:rPr>
        <w:t>&lt;Amend&gt;</w:t>
      </w:r>
      <w:r>
        <w:t>Pozměňovací návrh</w:t>
      </w:r>
      <w:r>
        <w:tab/>
      </w:r>
      <w:r>
        <w:tab/>
      </w:r>
      <w:r>
        <w:rPr>
          <w:rStyle w:val="HideTWBExt"/>
        </w:rPr>
        <w:t>&lt;NumAm&gt;</w:t>
      </w:r>
      <w:r>
        <w:t>1225</w:t>
      </w:r>
      <w:r>
        <w:rPr>
          <w:rStyle w:val="HideTWBExt"/>
        </w:rPr>
        <w:t>&lt;/NumAm&gt;</w:t>
      </w:r>
    </w:p>
    <w:p>
      <w:pPr>
        <w:pStyle w:val="NormalBold"/>
      </w:pPr>
      <w:r>
        <w:rPr>
          <w:rStyle w:val="HideTWBExt"/>
          <w:b w:val="0"/>
        </w:rPr>
        <w:t>&lt;RepeatBlock-By&gt;</w:t>
      </w:r>
      <w:r>
        <w:rPr>
          <w:rStyle w:val="HideTWBExt"/>
          <w:b w:val="0"/>
        </w:rPr>
        <w:t>&lt;Members&gt;</w:t>
      </w:r>
      <w:r>
        <w:t>Jüri Ratas, Riho Terras, Tobias Cremer, Sven Mikser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d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posílení EDTIB upřednostněním projektů, které přispívají k technologické suverenitě, odolnosti a bezpečnosti dodávek v 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1226</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d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posílení základního i veřejně vedeného výzkumu zaměřeného na mise;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1227</w:t>
      </w:r>
      <w:r>
        <w:rPr>
          <w:rStyle w:val="HideTWBExt"/>
        </w:rPr>
        <w:t>&lt;/NumAm&gt;</w:t>
      </w:r>
    </w:p>
    <w:p>
      <w:pPr>
        <w:pStyle w:val="NormalBold"/>
      </w:pPr>
      <w:r>
        <w:rPr>
          <w:rStyle w:val="HideTWBExt"/>
          <w:b w:val="0"/>
        </w:rPr>
        <w:t>&lt;RepeatBlock-By&gt;</w:t>
      </w:r>
      <w:r>
        <w:rPr>
          <w:rStyle w:val="HideTWBExt"/>
          <w:b w:val="0"/>
        </w:rPr>
        <w:t>&lt;Members&gt;</w:t>
      </w:r>
      <w:r>
        <w:t>Yvan Verougstraete, Sigrid Friis, Christophe Grudler,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rPr>
                <w:b/>
                <w:i/>
              </w:rPr>
              <w:t>sladění podpory výzkumu, inovací a průmyslové politiky, aby se excelence výzkumu Unie promítla do průmyslové síly Unie na světových trzích a zajistila budoucnost výroby v Evropě;</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Začleněno do písmene a).</w:t>
      </w:r>
    </w:p>
    <w:p>
      <w:r>
        <w:rPr>
          <w:rStyle w:val="HideTWBExt"/>
        </w:rPr>
        <w:t>&lt;/Amend&gt;</w:t>
      </w:r>
    </w:p>
    <w:p>
      <w:pPr>
        <w:pStyle w:val="AmNumberTabs"/>
      </w:pPr>
      <w:r>
        <w:rPr>
          <w:rStyle w:val="HideTWBExt"/>
        </w:rPr>
        <w:t>&lt;Amend&gt;</w:t>
      </w:r>
      <w:r>
        <w:t>Pozměňovací návrh</w:t>
      </w:r>
      <w:r>
        <w:tab/>
      </w:r>
      <w:r>
        <w:tab/>
      </w:r>
      <w:r>
        <w:rPr>
          <w:rStyle w:val="HideTWBExt"/>
        </w:rPr>
        <w:t>&lt;NumAm&gt;</w:t>
      </w:r>
      <w:r>
        <w:t>1228</w:t>
      </w:r>
      <w:r>
        <w:rPr>
          <w:rStyle w:val="HideTWBExt"/>
        </w:rPr>
        <w:t>&lt;/NumAm&gt;</w:t>
      </w:r>
    </w:p>
    <w:p>
      <w:pPr>
        <w:pStyle w:val="NormalBold"/>
      </w:pPr>
      <w:r>
        <w:rPr>
          <w:rStyle w:val="HideTWBExt"/>
          <w:b w:val="0"/>
        </w:rPr>
        <w:t>&lt;RepeatBlock-By&gt;</w:t>
      </w:r>
      <w:r>
        <w:rPr>
          <w:rStyle w:val="HideTWBExt"/>
          <w:b w:val="0"/>
        </w:rPr>
        <w:t>&lt;Members&gt;</w:t>
      </w:r>
      <w:r>
        <w:t>Bruno Tobback, Thomas Pellerin-Carlin, Yannis Maniatis, Nicolás González Casares, Giorgio Gori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sladění podpory výzkumu, inovací a průmyslové politiky, aby se excelence výzkumu Unie promítla do průmyslové síly Unie na světových trzích a zajistila budoucnost výroby v Evropě;</w:t>
            </w:r>
          </w:p>
        </w:tc>
        <w:tc>
          <w:tcPr>
            <w:tcW w:w="4876" w:type="dxa"/>
            <w:tcBorders>
              <w:top w:val="nil"/>
              <w:left w:val="nil"/>
              <w:bottom w:val="nil"/>
              <w:right w:val="nil"/>
            </w:tcBorders>
          </w:tcPr>
          <w:p>
            <w:pPr>
              <w:pStyle w:val="Normal6a"/>
            </w:pPr>
            <w:r>
              <w:t>e)</w:t>
            </w:r>
            <w:r>
              <w:tab/>
            </w:r>
            <w:r>
              <w:t>sladění podpory výzkumu, inovací a průmyslové politiky</w:t>
            </w:r>
            <w:r>
              <w:rPr>
                <w:b/>
                <w:i/>
              </w:rPr>
              <w:t>, mimo jiné posílením inovací a průmyslových ekosystémů</w:t>
            </w:r>
            <w:r>
              <w:t>, aby se excelence výzkumu Unie promítla do průmyslové síly Unie na světových trzích a zajistila budoucnost výroby v Evropě;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1229</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sladění podpory výzkumu, inovací a průmyslové politiky, aby se excelence výzkumu Unie promítla do průmyslové síly Unie na světových trzích a zajistila budoucnost výroby v Evropě;</w:t>
            </w:r>
          </w:p>
        </w:tc>
        <w:tc>
          <w:tcPr>
            <w:tcW w:w="4876" w:type="dxa"/>
            <w:tcBorders>
              <w:top w:val="nil"/>
              <w:left w:val="nil"/>
              <w:bottom w:val="nil"/>
              <w:right w:val="nil"/>
            </w:tcBorders>
          </w:tcPr>
          <w:p>
            <w:pPr>
              <w:pStyle w:val="Normal6a"/>
            </w:pPr>
            <w:r>
              <w:t>e)</w:t>
            </w:r>
            <w:r>
              <w:tab/>
            </w:r>
            <w:r>
              <w:rPr>
                <w:b/>
                <w:i/>
              </w:rPr>
              <w:t>pokud to slouží společenským nebo environmentálním cílům,</w:t>
            </w:r>
            <w:r>
              <w:t xml:space="preserve"> sladění podpory výzkumu, inovací a průmyslové politiky, aby se excelence výzkumu Unie promítla do průmyslové síly Unie na světových trzích a zajistila budoucnost výroby v Evropě;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1230</w:t>
      </w:r>
      <w:r>
        <w:rPr>
          <w:rStyle w:val="HideTWBExt"/>
        </w:rPr>
        <w:t>&lt;/NumAm&gt;</w:t>
      </w:r>
    </w:p>
    <w:p>
      <w:pPr>
        <w:pStyle w:val="NormalBold"/>
      </w:pPr>
      <w:r>
        <w:rPr>
          <w:rStyle w:val="HideTWBExt"/>
          <w:b w:val="0"/>
        </w:rPr>
        <w:t>&lt;RepeatBlock-By&gt;</w:t>
      </w:r>
      <w:r>
        <w:rPr>
          <w:rStyle w:val="HideTWBExt"/>
          <w:b w:val="0"/>
        </w:rPr>
        <w:t>&lt;Members&gt;</w:t>
      </w:r>
      <w:r>
        <w:t>Aldo Patriciello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rPr>
                <w:b/>
                <w:i/>
              </w:rPr>
              <w:t>sladění podpory</w:t>
            </w:r>
            <w:r>
              <w:t xml:space="preserve"> výzkumu, inovací a průmyslové politiky, aby se excelence výzkumu Unie promítla do průmyslové síly Unie na světových trzích a zajistila budoucnost výroby v Evropě;</w:t>
            </w:r>
          </w:p>
        </w:tc>
        <w:tc>
          <w:tcPr>
            <w:tcW w:w="4876" w:type="dxa"/>
            <w:tcBorders>
              <w:top w:val="nil"/>
              <w:left w:val="nil"/>
              <w:bottom w:val="nil"/>
              <w:right w:val="nil"/>
            </w:tcBorders>
          </w:tcPr>
          <w:p>
            <w:pPr>
              <w:pStyle w:val="Normal6a"/>
            </w:pPr>
            <w:r>
              <w:t>e)</w:t>
            </w:r>
            <w:r>
              <w:tab/>
            </w:r>
            <w:r>
              <w:rPr>
                <w:b/>
                <w:i/>
              </w:rPr>
              <w:t>posílení základního a aplikovaného</w:t>
            </w:r>
            <w:r>
              <w:t xml:space="preserve"> výzkumu, inovací a průmyslové politiky, aby se excelence výzkumu Unie promítla do průmyslové síly Unie na světových trzích a zajistila budoucnost výroby v Evropě;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1231</w:t>
      </w:r>
      <w:r>
        <w:rPr>
          <w:rStyle w:val="HideTWBExt"/>
        </w:rPr>
        <w:t>&lt;/NumAm&gt;</w:t>
      </w:r>
    </w:p>
    <w:p>
      <w:pPr>
        <w:pStyle w:val="NormalBold"/>
      </w:pPr>
      <w:r>
        <w:rPr>
          <w:rStyle w:val="HideTWBExt"/>
          <w:b w:val="0"/>
        </w:rPr>
        <w:t>&lt;RepeatBlock-By&gt;</w:t>
      </w:r>
      <w:r>
        <w:rPr>
          <w:rStyle w:val="HideTWBExt"/>
          <w:b w:val="0"/>
        </w:rPr>
        <w:t>&lt;Members&gt;</w:t>
      </w:r>
      <w:r>
        <w:t>Paolo Borchia, Isabella Tovaglieri, Raffaele Stancanelli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rPr>
                <w:b/>
                <w:i/>
              </w:rPr>
              <w:t>sladění podpory</w:t>
            </w:r>
            <w:r>
              <w:t xml:space="preserve"> výzkumu, inovací a průmyslové politiky, aby se excelence výzkumu Unie promítla do průmyslové síly Unie na světových trzích a zajistila budoucnost výroby v Evropě;</w:t>
            </w:r>
          </w:p>
        </w:tc>
        <w:tc>
          <w:tcPr>
            <w:tcW w:w="4876" w:type="dxa"/>
            <w:tcBorders>
              <w:top w:val="nil"/>
              <w:left w:val="nil"/>
              <w:bottom w:val="nil"/>
              <w:right w:val="nil"/>
            </w:tcBorders>
          </w:tcPr>
          <w:p>
            <w:pPr>
              <w:pStyle w:val="Normal6a"/>
            </w:pPr>
            <w:r>
              <w:t>e)</w:t>
            </w:r>
            <w:r>
              <w:tab/>
            </w:r>
            <w:r>
              <w:rPr>
                <w:b/>
                <w:i/>
              </w:rPr>
              <w:t>posílení základního a aplikovaného</w:t>
            </w:r>
            <w:r>
              <w:t> výzkumu, inovací a průmyslové politiky, aby se excelence výzkumu Unie promítla do průmyslové síly Unie na světových trzích a zajistila budoucnost výroby v Evropě;</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Stávající znění čl. 3 odst. 1 písm. e) omezuje úlohu výzkumu na pouhý nástroj sladění s průmyslovou politikou.</w:t>
      </w:r>
      <w:r>
        <w:t xml:space="preserve"> </w:t>
      </w:r>
      <w:r>
        <w:t>Nahrazení výrazu „sladění“ výrazem „posílení základního a aplikovaného“ odráží ambicióznější a přesnější rámec:</w:t>
      </w:r>
      <w:r>
        <w:t xml:space="preserve"> </w:t>
      </w:r>
      <w:r>
        <w:t>základní a aplikovaný výzkum není podřízen průmyslové politice, ale je jejím hlavním zdrojem.</w:t>
      </w:r>
      <w:r>
        <w:t xml:space="preserve"> </w:t>
      </w:r>
      <w:r>
        <w:t>Výslovné uznání obou rozměrů zajišťuje, aby ECF podporoval celý postup od výzkumu až po uvedení na trh, od objevu až po průmyslové využití.</w:t>
      </w:r>
    </w:p>
    <w:p>
      <w:r>
        <w:rPr>
          <w:rStyle w:val="HideTWBExt"/>
        </w:rPr>
        <w:t>&lt;/Amend&gt;</w:t>
      </w:r>
    </w:p>
    <w:p>
      <w:pPr>
        <w:pStyle w:val="AmNumberTabs"/>
      </w:pPr>
      <w:r>
        <w:rPr>
          <w:rStyle w:val="HideTWBExt"/>
        </w:rPr>
        <w:t>&lt;Amend&gt;</w:t>
      </w:r>
      <w:r>
        <w:t>Pozměňovací návrh</w:t>
      </w:r>
      <w:r>
        <w:tab/>
      </w:r>
      <w:r>
        <w:tab/>
      </w:r>
      <w:r>
        <w:rPr>
          <w:rStyle w:val="HideTWBExt"/>
        </w:rPr>
        <w:t>&lt;NumAm&gt;</w:t>
      </w:r>
      <w:r>
        <w:t>1232</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sladění podpory výzkumu, inovací a průmyslové politiky, aby se excelence výzkumu Unie promítla do průmyslové síly Unie na světových trzích a zajistila budoucnost výroby v Evropě;</w:t>
            </w:r>
          </w:p>
        </w:tc>
        <w:tc>
          <w:tcPr>
            <w:tcW w:w="4876" w:type="dxa"/>
            <w:tcBorders>
              <w:top w:val="nil"/>
              <w:left w:val="nil"/>
              <w:bottom w:val="nil"/>
              <w:right w:val="nil"/>
            </w:tcBorders>
          </w:tcPr>
          <w:p>
            <w:pPr>
              <w:pStyle w:val="Normal6a"/>
            </w:pPr>
            <w:r>
              <w:t>e)</w:t>
            </w:r>
            <w:r>
              <w:tab/>
            </w:r>
            <w:r>
              <w:rPr>
                <w:b/>
                <w:i/>
              </w:rPr>
              <w:t>koordinace a</w:t>
            </w:r>
            <w:r>
              <w:t xml:space="preserve"> sladění podpory výzkumu, inovací a průmyslové politiky </w:t>
            </w:r>
            <w:r>
              <w:rPr>
                <w:b/>
                <w:i/>
              </w:rPr>
              <w:t>na úrovni Unie</w:t>
            </w:r>
            <w:r>
              <w:t>, aby se excelence výzkumu Unie promítla do průmyslové síly Unie na světových trzích a zajistila budoucnost výroby v Evropě;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1233</w:t>
      </w:r>
      <w:r>
        <w:rPr>
          <w:rStyle w:val="HideTWBExt"/>
        </w:rPr>
        <w:t>&lt;/NumAm&gt;</w:t>
      </w:r>
    </w:p>
    <w:p>
      <w:pPr>
        <w:pStyle w:val="NormalBold"/>
      </w:pPr>
      <w:r>
        <w:rPr>
          <w:rStyle w:val="HideTWBExt"/>
          <w:b w:val="0"/>
        </w:rPr>
        <w:t>&lt;RepeatBlock-By&gt;</w:t>
      </w:r>
      <w:r>
        <w:rPr>
          <w:rStyle w:val="HideTWBExt"/>
          <w:b w:val="0"/>
        </w:rPr>
        <w:t>&lt;Members&gt;</w:t>
      </w:r>
      <w:r>
        <w:t>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e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e) v zájmu posílení územního rozměru konkurenceschopnosti Unie se specifický cíl podpory rozvoje regionálních a místních inovačních ekosystémů spolu s udržitelným rozvojem měst a iniciativami v oblasti inovací měst provádí prostřednictvím konkurenčních výzev zaměřených na konsorcia usazená ve městech s cílem podpořit opatření usilující o zavádění a rozšiřování technologií, mimo jiné v oblasti čisté energie, mobility s nulovými emisemi, zadávání veřejných zakázek v rámci oběhového hospodářství a dekarbonizace, obnovy a regenerace zastavěného prostředí, pokud přispívají k inovační kapacitě a udržitelnosti regionálních a místních ekonomik.</w:t>
            </w:r>
            <w:r>
              <w:t xml:space="preserve"> </w:t>
            </w:r>
            <w:r>
              <w:rPr>
                <w:b/>
                <w:i/>
              </w:rPr>
              <w:t>Aby se maximalizoval dopad na města a regiony, podporuje fond součinnost s programy přispívajícími k hospodářské, sociální a územní soudržnosti, zejména s programy prováděnými v rámci plánů národního a regionálního partnerství.</w:t>
            </w:r>
            <w:r>
              <w:t xml:space="preserve"> </w:t>
            </w:r>
            <w:r>
              <w:rPr>
                <w:b/>
                <w:i/>
              </w:rPr>
              <w:t>Fond může poskytovat technickou pomoc městům a regionálním a místním orgánům zaměřenou na podporu přípravy projektů, zadávání veřejných zakázek a rozvoje standardizovaných rámců pro monitorování, podávání zpráv a ověřování.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1234</w:t>
      </w:r>
      <w:r>
        <w:rPr>
          <w:rStyle w:val="HideTWBExt"/>
        </w:rPr>
        <w:t>&lt;/NumAm&gt;</w:t>
      </w:r>
    </w:p>
    <w:p>
      <w:pPr>
        <w:pStyle w:val="NormalBold"/>
      </w:pPr>
      <w:r>
        <w:rPr>
          <w:rStyle w:val="HideTWBExt"/>
          <w:b w:val="0"/>
        </w:rPr>
        <w:t>&lt;RepeatBlock-By&gt;</w:t>
      </w:r>
      <w:r>
        <w:rPr>
          <w:rStyle w:val="HideTWBExt"/>
          <w:b w:val="0"/>
        </w:rPr>
        <w:t>&lt;Members&gt;</w:t>
      </w:r>
      <w:r>
        <w:t>Lina Gálvez, Elena Sancho Murillo, Nicolás González Casares, Daniel Attard, René Repasi, Sofie Eriksson, Bruno Tobback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e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přispění – v úzké spolupráci s programem Horizont Evropa – k pokrytí celé cesty výzkumu a inovací od vzniku nápadů ve výzkumných organizacích až po komercializaci na světových trzích, což umožní rozšíření výsledků výzkumu do inovativních řešení a technologií a přispěje k posílení konkurenceschopnosti průmyslu v souladu s průmyslovými strategiemi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1235</w:t>
      </w:r>
      <w:r>
        <w:rPr>
          <w:rStyle w:val="HideTWBExt"/>
        </w:rPr>
        <w:t>&lt;/NumAm&gt;</w:t>
      </w:r>
    </w:p>
    <w:p>
      <w:pPr>
        <w:pStyle w:val="NormalBold"/>
      </w:pPr>
      <w:r>
        <w:rPr>
          <w:rStyle w:val="HideTWBExt"/>
          <w:b w:val="0"/>
        </w:rPr>
        <w:t>&lt;RepeatBlock-By&gt;</w:t>
      </w:r>
      <w:r>
        <w:rPr>
          <w:rStyle w:val="HideTWBExt"/>
          <w:b w:val="0"/>
        </w:rPr>
        <w:t>&lt;Members&gt;</w:t>
      </w:r>
      <w:r>
        <w:t>Bruno Gonçalves, Daniel Attard, Csaba Molnár,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e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zajištění vyváženého zeměpisného rozložení příležitostí v celé Unii a uvolnění plného potenciálu všech regionů usnadněním spolupráce mezi průmyslem, malými a středními podniky, výzkumnými organizacemi a místními a regionálními orgány, včetně regionů soudržnosti, venkovských oblastí, okrajových území a zejména nejvzdálenějších regionů;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1236</w:t>
      </w:r>
      <w:r>
        <w:rPr>
          <w:rStyle w:val="HideTWBExt"/>
        </w:rPr>
        <w:t>&lt;/NumAm&gt;</w:t>
      </w:r>
    </w:p>
    <w:p>
      <w:pPr>
        <w:pStyle w:val="NormalBold"/>
      </w:pPr>
      <w:r>
        <w:rPr>
          <w:rStyle w:val="HideTWBExt"/>
          <w:b w:val="0"/>
        </w:rPr>
        <w:t>&lt;RepeatBlock-By&gt;</w:t>
      </w:r>
      <w:r>
        <w:rPr>
          <w:rStyle w:val="HideTWBExt"/>
          <w:b w:val="0"/>
        </w:rPr>
        <w:t>&lt;Members&gt;</w:t>
      </w:r>
      <w:r>
        <w:t>Mohammed Chahim, Sérgio Gonçalves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e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zajištění vyváženého rozdělení příležitostí v celé Unii a uvolnění plného potenciálu všech regionů s vysokou hodnotou usnadněním spolupráce mezi průmyslem, malými a středními podniky, výzkumnými organizacemi a místními a regionálními orgány, se zvláštním zaměřením na regiony soudržnosti, venkovské oblasti, okrajová území a nejvzdálenější regiony;</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Tento pozměňovací návrh byl součástí kompromisních pozměňovacích návrhů vyjednaných v souvislosti se stanoviskem výboru TRAN.</w:t>
      </w:r>
    </w:p>
    <w:p>
      <w:r>
        <w:rPr>
          <w:rStyle w:val="HideTWBExt"/>
        </w:rPr>
        <w:t>&lt;/Amend&gt;</w:t>
      </w:r>
    </w:p>
    <w:p>
      <w:pPr>
        <w:pStyle w:val="AmNumberTabs"/>
      </w:pPr>
      <w:r>
        <w:rPr>
          <w:rStyle w:val="HideTWBExt"/>
        </w:rPr>
        <w:t>&lt;Amend&gt;</w:t>
      </w:r>
      <w:r>
        <w:t>Pozměňovací návrh</w:t>
      </w:r>
      <w:r>
        <w:tab/>
      </w:r>
      <w:r>
        <w:tab/>
      </w:r>
      <w:r>
        <w:rPr>
          <w:rStyle w:val="HideTWBExt"/>
        </w:rPr>
        <w:t>&lt;NumAm&gt;</w:t>
      </w:r>
      <w:r>
        <w:t>1237</w:t>
      </w:r>
      <w:r>
        <w:rPr>
          <w:rStyle w:val="HideTWBExt"/>
        </w:rPr>
        <w:t>&lt;/NumAm&gt;</w:t>
      </w:r>
    </w:p>
    <w:p>
      <w:pPr>
        <w:pStyle w:val="NormalBold"/>
      </w:pPr>
      <w:r>
        <w:rPr>
          <w:rStyle w:val="HideTWBExt"/>
          <w:b w:val="0"/>
        </w:rPr>
        <w:t>&lt;RepeatBlock-By&gt;</w:t>
      </w:r>
      <w:r>
        <w:rPr>
          <w:rStyle w:val="HideTWBExt"/>
          <w:b w:val="0"/>
        </w:rPr>
        <w:t>&lt;Members&gt;</w:t>
      </w:r>
      <w:r>
        <w:t>Eszter Lakos, Paulius Saudargas, 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e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podpory vytváření místně orientovaných inovačních ekosystémů ve všech členských státech, které zahrnují celé hodnotové řetězce;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1238</w:t>
      </w:r>
      <w:r>
        <w:rPr>
          <w:rStyle w:val="HideTWBExt"/>
        </w:rPr>
        <w:t>&lt;/NumAm&gt;</w:t>
      </w:r>
    </w:p>
    <w:p>
      <w:pPr>
        <w:pStyle w:val="NormalBold"/>
      </w:pPr>
      <w:r>
        <w:rPr>
          <w:rStyle w:val="HideTWBExt"/>
          <w:b w:val="0"/>
        </w:rPr>
        <w:t>&lt;RepeatBlock-By&gt;</w:t>
      </w:r>
      <w:r>
        <w:rPr>
          <w:rStyle w:val="HideTWBExt"/>
          <w:b w:val="0"/>
        </w:rPr>
        <w:t>&lt;Members&gt;</w:t>
      </w:r>
      <w:r>
        <w:t>Bruno Tobback, Thomas Pellerin-Carlin, Yannis Maniatis, Daniel Attard, Nicolás González Casares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rozvoje přeshraniční a kritické infrastruktury Unie, která je klíčová pro její konkurenceschopnost a strategickou nezávislost, zejména </w:t>
            </w:r>
            <w:r>
              <w:rPr>
                <w:b/>
                <w:i/>
              </w:rPr>
              <w:t>infrastruktury</w:t>
            </w:r>
            <w:r>
              <w:t xml:space="preserve"> v oblasti energetiky a dopravy, digitálních technologií</w:t>
            </w:r>
            <w:r>
              <w:rPr>
                <w:b/>
                <w:i/>
              </w:rPr>
              <w:t>,</w:t>
            </w:r>
            <w:r>
              <w:t xml:space="preserve"> bezpečnosti, </w:t>
            </w:r>
            <w:r>
              <w:rPr>
                <w:b/>
                <w:i/>
              </w:rPr>
              <w:t>obrany a vesmíru</w:t>
            </w:r>
            <w:r>
              <w:t>, jakož i sociální infrastruktury a souvisejících dat a služeb;</w:t>
            </w:r>
          </w:p>
        </w:tc>
        <w:tc>
          <w:tcPr>
            <w:tcW w:w="4876" w:type="dxa"/>
            <w:tcBorders>
              <w:top w:val="nil"/>
              <w:left w:val="nil"/>
              <w:bottom w:val="nil"/>
              <w:right w:val="nil"/>
            </w:tcBorders>
          </w:tcPr>
          <w:p>
            <w:pPr>
              <w:pStyle w:val="Normal6a"/>
            </w:pPr>
            <w:r>
              <w:t>f)</w:t>
            </w:r>
            <w:r>
              <w:tab/>
            </w:r>
            <w:r>
              <w:rPr>
                <w:b/>
                <w:i/>
              </w:rPr>
              <w:t>f)</w:t>
            </w:r>
            <w:r>
              <w:t xml:space="preserve"> rozvoje přeshraniční a kritické infrastruktury Unie, která je klíčová pro její konkurenceschopnost a strategickou nezávislost, zejména v oblasti energetiky a dopravy, </w:t>
            </w:r>
            <w:r>
              <w:rPr>
                <w:b/>
                <w:i/>
              </w:rPr>
              <w:t>surovin a infrastruktury oběhového hospodářství, </w:t>
            </w:r>
            <w:r>
              <w:t xml:space="preserve">digitálních technologií </w:t>
            </w:r>
            <w:r>
              <w:rPr>
                <w:b/>
                <w:i/>
              </w:rPr>
              <w:t>a</w:t>
            </w:r>
            <w:r>
              <w:t xml:space="preserve"> bezpečnosti, </w:t>
            </w:r>
            <w:r>
              <w:rPr>
                <w:b/>
                <w:i/>
              </w:rPr>
              <w:t>obranné a vesmírné infrastruktury, technologické infrastruktury</w:t>
            </w:r>
            <w:r>
              <w:t xml:space="preserve">, jakož i sociální infrastruktury a souvisejících dat a služeb; </w:t>
            </w:r>
            <w:r>
              <w:rPr>
                <w:b/>
                <w:i/>
              </w:rPr>
              <w:t>Komise posoudí a případně navrhne nebo mobilizuje finanční a jiné nástroje, mechanismy a podpůrné rámce na úrovni Unie s cílem usnadnit a stimulovat investice členských států do těchto infrastruktur, aby byla posílena konkurenceschopnost, odolnost a strategická autonomie Unie;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Investments in cross-border and strategic infrastructure are essential for strengthening the Union’s competitiveness, resilience and strategic autonomy, particularly in areas such as energy systems, transport networks, digital infrastructure and critical raw materials value chains.</w:t>
      </w:r>
      <w:r>
        <w:t xml:space="preserve"> </w:t>
      </w:r>
      <w:r>
        <w:t>However, such investments are capital-intensive and can be unevenly distributed across Member States.</w:t>
      </w:r>
      <w:r>
        <w:t xml:space="preserve"> </w:t>
      </w:r>
      <w:r>
        <w:t>In the current geopolitical context, it is essential that all Member States willing to undertake these investments are supported rather than constrained.</w:t>
      </w:r>
      <w:r>
        <w:t xml:space="preserve"> </w:t>
      </w:r>
      <w:r>
        <w:t>This is particularly relevant as Member States start from different fiscal positions and budgetary constraints, with Member States sometimes facing higher deficit levels or being subject to corrective procedures under the Union’s fiscal governance framework.</w:t>
      </w:r>
      <w:r>
        <w:t xml:space="preserve"> </w:t>
      </w:r>
      <w:r>
        <w:t>This amendment therefore invites the Commission to assess and, where appropriate, mobilize or propose Union-level instruments, mechanisms and enabling frameworks that facilitate and incentivize such investments, ensuring that Europe can develop the infrastructure base required for the clean transition, industrial competitiveness and security.</w:t>
      </w:r>
    </w:p>
    <w:p>
      <w:r>
        <w:rPr>
          <w:rStyle w:val="HideTWBExt"/>
        </w:rPr>
        <w:t>&lt;/Amend&gt;</w:t>
      </w:r>
    </w:p>
    <w:p>
      <w:pPr>
        <w:pStyle w:val="AmNumberTabs"/>
      </w:pPr>
      <w:r>
        <w:rPr>
          <w:rStyle w:val="HideTWBExt"/>
        </w:rPr>
        <w:t>&lt;Amend&gt;</w:t>
      </w:r>
      <w:r>
        <w:t>Pozměňovací návrh</w:t>
      </w:r>
      <w:r>
        <w:tab/>
      </w:r>
      <w:r>
        <w:tab/>
      </w:r>
      <w:r>
        <w:rPr>
          <w:rStyle w:val="HideTWBExt"/>
        </w:rPr>
        <w:t>&lt;NumAm&gt;</w:t>
      </w:r>
      <w:r>
        <w:t>1239</w:t>
      </w:r>
      <w:r>
        <w:rPr>
          <w:rStyle w:val="HideTWBExt"/>
        </w:rPr>
        <w:t>&lt;/NumAm&gt;</w:t>
      </w:r>
    </w:p>
    <w:p>
      <w:pPr>
        <w:pStyle w:val="NormalBold"/>
      </w:pPr>
      <w:r>
        <w:rPr>
          <w:rStyle w:val="HideTWBExt"/>
          <w:b w:val="0"/>
        </w:rPr>
        <w:t>&lt;RepeatBlock-By&gt;</w:t>
      </w:r>
      <w:r>
        <w:rPr>
          <w:rStyle w:val="HideTWBExt"/>
          <w:b w:val="0"/>
        </w:rPr>
        <w:t>&lt;Members&gt;</w:t>
      </w:r>
      <w:r>
        <w:t>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rozvoje přeshraniční a kritické infrastruktury Unie, která je klíčová pro její konkurenceschopnost </w:t>
            </w:r>
            <w:r>
              <w:rPr>
                <w:b/>
                <w:i/>
              </w:rPr>
              <w:t>a strategickou nezávislost</w:t>
            </w:r>
            <w:r>
              <w:t xml:space="preserve">, zejména </w:t>
            </w:r>
            <w:r>
              <w:rPr>
                <w:b/>
                <w:i/>
              </w:rPr>
              <w:t>infrastruktury v oblasti energetiky a dopravy, digitálních technologií, bezpečnosti, obrany a vesmíru</w:t>
            </w:r>
            <w:r>
              <w:t xml:space="preserve">, jakož i sociální </w:t>
            </w:r>
            <w:r>
              <w:rPr>
                <w:b/>
                <w:i/>
              </w:rPr>
              <w:t>infrastruktury a souvisejících dat a služeb</w:t>
            </w:r>
            <w:r>
              <w:t>;</w:t>
            </w:r>
          </w:p>
        </w:tc>
        <w:tc>
          <w:tcPr>
            <w:tcW w:w="4876" w:type="dxa"/>
            <w:tcBorders>
              <w:top w:val="nil"/>
              <w:left w:val="nil"/>
              <w:bottom w:val="nil"/>
              <w:right w:val="nil"/>
            </w:tcBorders>
          </w:tcPr>
          <w:p>
            <w:pPr>
              <w:pStyle w:val="Normal6a"/>
            </w:pPr>
            <w:r>
              <w:t>f)</w:t>
            </w:r>
            <w:r>
              <w:tab/>
            </w:r>
            <w:r>
              <w:t xml:space="preserve">rozvoje přeshraniční a kritické infrastruktury Unie, která je klíčová pro její konkurenceschopnost, zejména </w:t>
            </w:r>
            <w:r>
              <w:rPr>
                <w:b/>
                <w:i/>
              </w:rPr>
              <w:t>pro energetickou, digitální, vědeckou a výzkumnou a technologickou a kosmickou infrastrukturu</w:t>
            </w:r>
            <w:r>
              <w:t xml:space="preserve">, jakož i sociální </w:t>
            </w:r>
            <w:r>
              <w:rPr>
                <w:b/>
                <w:i/>
              </w:rPr>
              <w:t>infrastrukturu a související data a služby, včetně přístupu ke sdíleným zařízením vědeckého výzkumu – jako jsou vysoce výkonná výpočetní technika, platformy pro kvantovou výpočetní techniku a zařízení pro charakterizaci pokročilých materiálů – umístěným v členských státech a jejich provozu, a přispívání ke sdíleným evropským výzkumným a inovačním ekosystémům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1240</w:t>
      </w:r>
      <w:r>
        <w:rPr>
          <w:rStyle w:val="HideTWBExt"/>
        </w:rPr>
        <w:t>&lt;/NumAm&gt;</w:t>
      </w:r>
    </w:p>
    <w:p>
      <w:pPr>
        <w:pStyle w:val="NormalBold"/>
      </w:pPr>
      <w:r>
        <w:rPr>
          <w:rStyle w:val="HideTWBExt"/>
          <w:b w:val="0"/>
        </w:rPr>
        <w:t>&lt;RepeatBlock-By&gt;</w:t>
      </w:r>
      <w:r>
        <w:rPr>
          <w:rStyle w:val="HideTWBExt"/>
          <w:b w:val="0"/>
        </w:rPr>
        <w:t>&lt;Members&gt;</w:t>
      </w:r>
      <w:r>
        <w:t>Radan Kanev, Miriam Lexmann, Paulius Saudargas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rozvoje přeshraniční a kritické infrastruktury Unie, která je klíčová pro její konkurenceschopnost a strategickou nezávislost, zejména infrastruktury v oblasti energetiky a dopravy, digitálních technologií, bezpečnosti, obrany a vesmíru, jakož i sociální infrastruktury a souvisejících dat a služeb;</w:t>
            </w:r>
          </w:p>
        </w:tc>
        <w:tc>
          <w:tcPr>
            <w:tcW w:w="4876" w:type="dxa"/>
            <w:tcBorders>
              <w:top w:val="nil"/>
              <w:left w:val="nil"/>
              <w:bottom w:val="nil"/>
              <w:right w:val="nil"/>
            </w:tcBorders>
          </w:tcPr>
          <w:p>
            <w:pPr>
              <w:pStyle w:val="Normal6a"/>
            </w:pPr>
            <w:r>
              <w:t>f)</w:t>
            </w:r>
            <w:r>
              <w:tab/>
            </w:r>
            <w:r>
              <w:t xml:space="preserve">rozvoje přeshraniční a kritické infrastruktury Unie, která je klíčová pro její konkurenceschopnost a strategickou nezávislost, zejména infrastruktury v oblasti energetiky a dopravy, digitálních technologií, bezpečnosti, obrany a vesmíru, jakož i sociální infrastruktury a souvisejících dat a služeb; </w:t>
            </w:r>
            <w:r>
              <w:rPr>
                <w:b/>
                <w:i/>
              </w:rPr>
              <w:t>zdůrazňuje, že je třeba věnovat pozornost východním regionům EU sousedícím s Ruskem, Běloruskem a Ukrajinou a považovat investice do jejich přeshraniční a kritické infrastruktury za strategickou investici pro bezpečnost, konkurenceschopnost a budoucí stabilitu Evropy;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1241</w:t>
      </w:r>
      <w:r>
        <w:rPr>
          <w:rStyle w:val="HideTWBExt"/>
        </w:rPr>
        <w:t>&lt;/NumAm&gt;</w:t>
      </w:r>
    </w:p>
    <w:p>
      <w:pPr>
        <w:pStyle w:val="NormalBold"/>
      </w:pPr>
      <w:r>
        <w:rPr>
          <w:rStyle w:val="HideTWBExt"/>
          <w:b w:val="0"/>
        </w:rPr>
        <w:t>&lt;RepeatBlock-By&gt;</w:t>
      </w:r>
      <w:r>
        <w:rPr>
          <w:rStyle w:val="HideTWBExt"/>
          <w:b w:val="0"/>
        </w:rPr>
        <w:t>&lt;Members&gt;</w:t>
      </w:r>
      <w:r>
        <w:t>Krzysztof Hetman, Adam Jarubas, Borys Budka, Kamila Gasiuk-Pihowicz, Mirosława Nykiel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rozvoje přeshraniční a kritické infrastruktury Unie, která je klíčová pro její konkurenceschopnost a strategickou nezávislost, zejména infrastruktury v oblasti energetiky a dopravy, </w:t>
            </w:r>
            <w:r>
              <w:rPr>
                <w:b/>
                <w:i/>
              </w:rPr>
              <w:t>digitálních technologií, bezpečnosti, obrany a vesmíru</w:t>
            </w:r>
            <w:r>
              <w:t>, jakož i sociální infrastruktury a souvisejících dat a služeb;</w:t>
            </w:r>
          </w:p>
        </w:tc>
        <w:tc>
          <w:tcPr>
            <w:tcW w:w="4876" w:type="dxa"/>
            <w:tcBorders>
              <w:top w:val="nil"/>
              <w:left w:val="nil"/>
              <w:bottom w:val="nil"/>
              <w:right w:val="nil"/>
            </w:tcBorders>
          </w:tcPr>
          <w:p>
            <w:pPr>
              <w:pStyle w:val="Normal6a"/>
            </w:pPr>
            <w:r>
              <w:t>f)</w:t>
            </w:r>
            <w:r>
              <w:tab/>
            </w:r>
            <w:r>
              <w:t>rozvoje přeshraniční a kritické infrastruktury Unie, která je klíčová pro její konkurenceschopnost a strategickou nezávislost, zejména infrastruktury v oblasti energetiky</w:t>
            </w:r>
            <w:r>
              <w:rPr>
                <w:b/>
                <w:i/>
              </w:rPr>
              <w:t>, vody</w:t>
            </w:r>
            <w:r>
              <w:t xml:space="preserve"> a dopravy, </w:t>
            </w:r>
            <w:r>
              <w:rPr>
                <w:b/>
                <w:i/>
              </w:rPr>
              <w:t>digitální a bezpečnostní infrastruktury, obranné a kosmické infrastruktury a skladování potravin a potravinového zabezpečení</w:t>
            </w:r>
            <w:r>
              <w:t>, jakož i sociální infrastruktury a souvisejících dat a služeb</w:t>
            </w:r>
            <w:r>
              <w:rPr>
                <w:b/>
                <w:i/>
              </w:rPr>
              <w:t>, a to i v oblastech procházejících transformací energetiky, kde může modernizace a nové využití stávajících sítí a zařízení podpořit nové konkurenceschopné a udržitelné činnosti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1242</w:t>
      </w:r>
      <w:r>
        <w:rPr>
          <w:rStyle w:val="HideTWBExt"/>
        </w:rPr>
        <w:t>&lt;/NumAm&gt;</w:t>
      </w:r>
    </w:p>
    <w:p>
      <w:pPr>
        <w:pStyle w:val="NormalBold"/>
      </w:pPr>
      <w:r>
        <w:rPr>
          <w:rStyle w:val="HideTWBExt"/>
          <w:b w:val="0"/>
        </w:rPr>
        <w:t>&lt;RepeatBlock-By&gt;</w:t>
      </w:r>
      <w:r>
        <w:rPr>
          <w:rStyle w:val="HideTWBExt"/>
          <w:b w:val="0"/>
        </w:rPr>
        <w:t>&lt;Members&gt;</w:t>
      </w:r>
      <w:r>
        <w:t>Davor Ivo Stier, Nikolina Brnjac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rozvoje přeshraniční a kritické infrastruktury Unie, která je klíčová pro její konkurenceschopnost </w:t>
            </w:r>
            <w:r>
              <w:rPr>
                <w:b/>
                <w:i/>
              </w:rPr>
              <w:t>a strategickou nezávislost</w:t>
            </w:r>
            <w:r>
              <w:t>, zejména infrastruktury v oblasti energetiky a dopravy, digitálních technologií, bezpečnosti, obrany a vesmíru, jakož i sociální infrastruktury a souvisejících dat a služeb;</w:t>
            </w:r>
          </w:p>
        </w:tc>
        <w:tc>
          <w:tcPr>
            <w:tcW w:w="4876" w:type="dxa"/>
            <w:tcBorders>
              <w:top w:val="nil"/>
              <w:left w:val="nil"/>
              <w:bottom w:val="nil"/>
              <w:right w:val="nil"/>
            </w:tcBorders>
          </w:tcPr>
          <w:p>
            <w:pPr>
              <w:pStyle w:val="Normal6a"/>
            </w:pPr>
            <w:r>
              <w:t>f)</w:t>
            </w:r>
            <w:r>
              <w:tab/>
            </w:r>
            <w:r>
              <w:t>rozvoje přeshraniční a kritické infrastruktury Unie, která je klíčová pro její konkurenceschopnost</w:t>
            </w:r>
            <w:r>
              <w:rPr>
                <w:b/>
                <w:i/>
              </w:rPr>
              <w:t>, přičemž digitalizace slouží jako základní kámen pro zlepšení systémů řízení dopravy a multimodality a přispívá ke strategické nezávislosti Unie</w:t>
            </w:r>
            <w:r>
              <w:t>, zejména infrastruktury v oblasti energetiky a dopravy, digitálních technologií</w:t>
            </w:r>
            <w:r>
              <w:rPr>
                <w:b/>
                <w:i/>
              </w:rPr>
              <w:t>, kooperativních inteligentních dopravních systémů (C-ITS)</w:t>
            </w:r>
            <w:r>
              <w:t>, bezpečnosti, obrany a vesmíru, jakož i sociální infrastruktury a souvisejících dat a služeb;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1243</w:t>
      </w:r>
      <w:r>
        <w:rPr>
          <w:rStyle w:val="HideTWBExt"/>
        </w:rPr>
        <w:t>&lt;/NumAm&gt;</w:t>
      </w:r>
    </w:p>
    <w:p>
      <w:pPr>
        <w:pStyle w:val="NormalBold"/>
      </w:pPr>
      <w:r>
        <w:rPr>
          <w:rStyle w:val="HideTWBExt"/>
          <w:b w:val="0"/>
        </w:rPr>
        <w:t>&lt;RepeatBlock-By&gt;</w:t>
      </w:r>
      <w:r>
        <w:rPr>
          <w:rStyle w:val="HideTWBExt"/>
          <w:b w:val="0"/>
        </w:rPr>
        <w:t>&lt;Members&gt;</w:t>
      </w:r>
      <w:r>
        <w:t>Yvan Verougstraete, Brigitte van den Berg, Stine Bosse, Sigrid Friis, Christophe Grudler, Barry Andrews,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rozvoje přeshraniční a kritické infrastruktury </w:t>
            </w:r>
            <w:r>
              <w:rPr>
                <w:b/>
                <w:i/>
              </w:rPr>
              <w:t>Unie, která je klíčová pro její konkurenceschopnost a strategickou nezávislost, zejména infrastruktury v oblasti energetiky a dopravy, digitálních technologií, bezpečnosti, obrany a vesmíru, jakož i sociální infrastruktury a souvisejících dat a služeb</w:t>
            </w:r>
            <w:r>
              <w:t>;</w:t>
            </w:r>
          </w:p>
        </w:tc>
        <w:tc>
          <w:tcPr>
            <w:tcW w:w="4876" w:type="dxa"/>
            <w:tcBorders>
              <w:top w:val="nil"/>
              <w:left w:val="nil"/>
              <w:bottom w:val="nil"/>
              <w:right w:val="nil"/>
            </w:tcBorders>
          </w:tcPr>
          <w:p>
            <w:pPr>
              <w:pStyle w:val="Normal6a"/>
            </w:pPr>
            <w:r>
              <w:t>f)</w:t>
            </w:r>
            <w:r>
              <w:tab/>
            </w:r>
            <w:r>
              <w:t xml:space="preserve">rozvoje </w:t>
            </w:r>
            <w:r>
              <w:rPr>
                <w:b/>
                <w:i/>
              </w:rPr>
              <w:t>a ochrany</w:t>
            </w:r>
            <w:r>
              <w:t xml:space="preserve"> přeshraniční a kritické infrastruktury </w:t>
            </w:r>
            <w:r>
              <w:rPr>
                <w:b/>
                <w:i/>
              </w:rPr>
              <w:t>ve všech příslušných odvětvích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1244</w:t>
      </w:r>
      <w:r>
        <w:rPr>
          <w:rStyle w:val="HideTWBExt"/>
        </w:rPr>
        <w:t>&lt;/NumAm&gt;</w:t>
      </w:r>
    </w:p>
    <w:p>
      <w:pPr>
        <w:pStyle w:val="NormalBold"/>
      </w:pPr>
      <w:r>
        <w:rPr>
          <w:rStyle w:val="HideTWBExt"/>
          <w:b w:val="0"/>
        </w:rPr>
        <w:t>&lt;RepeatBlock-By&gt;</w:t>
      </w:r>
      <w:r>
        <w:rPr>
          <w:rStyle w:val="HideTWBExt"/>
          <w:b w:val="0"/>
        </w:rPr>
        <w:t>&lt;Members&gt;</w:t>
      </w:r>
      <w:r>
        <w:t>Oliver Schenk, Marion Walsmann, Hildegard Bentele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rozvoje přeshraniční a kritické infrastruktury Unie, která je klíčová pro její konkurenceschopnost a strategickou nezávislost, zejména </w:t>
            </w:r>
            <w:r>
              <w:rPr>
                <w:b/>
                <w:i/>
              </w:rPr>
              <w:t>infrastruktury</w:t>
            </w:r>
            <w:r>
              <w:t xml:space="preserve"> v oblasti energetiky a dopravy, digitálních technologií, bezpečnosti, obrany a vesmíru, </w:t>
            </w:r>
            <w:r>
              <w:rPr>
                <w:b/>
                <w:i/>
              </w:rPr>
              <w:t>jakož i</w:t>
            </w:r>
            <w:r>
              <w:t xml:space="preserve"> sociální infrastruktury a souvisejících dat a služeb;</w:t>
            </w:r>
          </w:p>
        </w:tc>
        <w:tc>
          <w:tcPr>
            <w:tcW w:w="4876" w:type="dxa"/>
            <w:tcBorders>
              <w:top w:val="nil"/>
              <w:left w:val="nil"/>
              <w:bottom w:val="nil"/>
              <w:right w:val="nil"/>
            </w:tcBorders>
          </w:tcPr>
          <w:p>
            <w:pPr>
              <w:pStyle w:val="Normal6a"/>
            </w:pPr>
            <w:r>
              <w:t>f)</w:t>
            </w:r>
            <w:r>
              <w:tab/>
            </w:r>
            <w:r>
              <w:t xml:space="preserve">rozvoje přeshraniční a kritické infrastruktury Unie, která je klíčová pro její konkurenceschopnost a strategickou nezávislost, zejména v oblasti energetiky a dopravy, digitálních technologií, bezpečnosti, obrany a vesmíru, </w:t>
            </w:r>
            <w:r>
              <w:rPr>
                <w:b/>
                <w:i/>
              </w:rPr>
              <w:t>spolu se základní infrastrukturou potřebnou pro vývoj těchto klíčových projektů, pro demonstrační projektové činnosti a pro zavádění a rozšiřování výsledků těchto projektů v praxi, a dále pak rozvoje</w:t>
            </w:r>
            <w:r>
              <w:t> sociální infrastruktury a souvisejících dat a služeb;</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Pozměňovací návrh vyjasňuje, že podpora může zahrnovat také infrastrukturu nezbytnou pro vývoj, demonstrace, zavádění a rozšiřování strategických a kritických projektů.</w:t>
      </w:r>
      <w:r>
        <w:t xml:space="preserve"> </w:t>
      </w:r>
      <w:r>
        <w:t>Tím je zajištěn komplexnější a účinnější přístup k posílení konkurenceschopnosti, odolnosti a strategické nezávislosti Unie.</w:t>
      </w:r>
    </w:p>
    <w:p>
      <w:r>
        <w:rPr>
          <w:rStyle w:val="HideTWBExt"/>
        </w:rPr>
        <w:t>&lt;/Amend&gt;</w:t>
      </w:r>
    </w:p>
    <w:p>
      <w:pPr>
        <w:pStyle w:val="AmNumberTabs"/>
      </w:pPr>
      <w:r>
        <w:rPr>
          <w:rStyle w:val="HideTWBExt"/>
        </w:rPr>
        <w:t>&lt;Amend&gt;</w:t>
      </w:r>
      <w:r>
        <w:t>Pozměňovací návrh</w:t>
      </w:r>
      <w:r>
        <w:tab/>
      </w:r>
      <w:r>
        <w:tab/>
      </w:r>
      <w:r>
        <w:rPr>
          <w:rStyle w:val="HideTWBExt"/>
        </w:rPr>
        <w:t>&lt;NumAm&gt;</w:t>
      </w:r>
      <w:r>
        <w:t>1245</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rozvoje přeshraniční a kritické infrastruktury Unie, která je klíčová pro její konkurenceschopnost a strategickou nezávislost, zejména infrastruktury v oblasti energetiky a dopravy, digitálních technologií, bezpečnosti, obrany a vesmíru, jakož i sociální infrastruktury a souvisejících dat a služeb;</w:t>
            </w:r>
          </w:p>
        </w:tc>
        <w:tc>
          <w:tcPr>
            <w:tcW w:w="4876" w:type="dxa"/>
            <w:tcBorders>
              <w:top w:val="nil"/>
              <w:left w:val="nil"/>
              <w:bottom w:val="nil"/>
              <w:right w:val="nil"/>
            </w:tcBorders>
          </w:tcPr>
          <w:p>
            <w:pPr>
              <w:pStyle w:val="Normal6a"/>
            </w:pPr>
            <w:r>
              <w:t>f)</w:t>
            </w:r>
            <w:r>
              <w:tab/>
            </w:r>
            <w:r>
              <w:t xml:space="preserve">rozvoje přeshraniční a kritické infrastruktury Unie, která je klíčová pro její konkurenceschopnost a strategickou nezávislost, zejména infrastruktury v oblasti energetiky a dopravy, digitálních technologií, bezpečnosti, obrany a vesmíru, </w:t>
            </w:r>
            <w:r>
              <w:rPr>
                <w:b/>
                <w:i/>
              </w:rPr>
              <w:t>infrastruktury související se zemědělsko-potravinářským odvětvím, včetně hospodaření se zdroji, infrastruktury vodohospodářského a dodavatelského řetězce/energetické sítě,</w:t>
            </w:r>
            <w:r>
              <w:t xml:space="preserve"> jakož i sociální infrastruktury a souvisejících dat a služeb;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1246</w:t>
      </w:r>
      <w:r>
        <w:rPr>
          <w:rStyle w:val="HideTWBExt"/>
        </w:rPr>
        <w:t>&lt;/NumAm&gt;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rozvoje přeshraniční a kritické infrastruktury Unie, která je klíčová pro její konkurenceschopnost </w:t>
            </w:r>
            <w:r>
              <w:rPr>
                <w:b/>
                <w:i/>
              </w:rPr>
              <w:t>a strategickou nezávislost</w:t>
            </w:r>
            <w:r>
              <w:t xml:space="preserve">, </w:t>
            </w:r>
            <w:r>
              <w:rPr>
                <w:b/>
                <w:i/>
              </w:rPr>
              <w:t>zejména</w:t>
            </w:r>
            <w:r>
              <w:t xml:space="preserve"> infrastruktury v oblasti energetiky a dopravy, digitálních technologií</w:t>
            </w:r>
            <w:r>
              <w:rPr>
                <w:b/>
                <w:i/>
              </w:rPr>
              <w:t>,</w:t>
            </w:r>
            <w:r>
              <w:t xml:space="preserve"> bezpečnosti, obrany a vesmíru, jakož i sociální infrastruktury a souvisejících dat a služeb;</w:t>
            </w:r>
          </w:p>
        </w:tc>
        <w:tc>
          <w:tcPr>
            <w:tcW w:w="4876" w:type="dxa"/>
            <w:tcBorders>
              <w:top w:val="nil"/>
              <w:left w:val="nil"/>
              <w:bottom w:val="nil"/>
              <w:right w:val="nil"/>
            </w:tcBorders>
          </w:tcPr>
          <w:p>
            <w:pPr>
              <w:pStyle w:val="Normal6a"/>
            </w:pPr>
            <w:r>
              <w:t>f)</w:t>
            </w:r>
            <w:r>
              <w:tab/>
            </w:r>
            <w:r>
              <w:t xml:space="preserve">rozvoje přeshraniční a kritické infrastruktury Unie, která je klíčová pro její konkurenceschopnost, infrastruktury </w:t>
            </w:r>
            <w:r>
              <w:rPr>
                <w:b/>
                <w:i/>
              </w:rPr>
              <w:t>související s rozvojem transevropské dopravní sítě a strategické nezávislosti, zejména</w:t>
            </w:r>
            <w:r>
              <w:t xml:space="preserve"> v oblasti energetiky a dopravy, digitálních technologií </w:t>
            </w:r>
            <w:r>
              <w:rPr>
                <w:b/>
                <w:i/>
              </w:rPr>
              <w:t>a</w:t>
            </w:r>
            <w:r>
              <w:t xml:space="preserve"> bezpečnosti</w:t>
            </w:r>
            <w:r>
              <w:rPr>
                <w:b/>
                <w:i/>
              </w:rPr>
              <w:t>, potravinového zabezpečení</w:t>
            </w:r>
            <w:r>
              <w:t>, obrany a vesmíru, jakož i sociální infrastruktury a souvisejících dat a služeb;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1247</w:t>
      </w:r>
      <w:r>
        <w:rPr>
          <w:rStyle w:val="HideTWBExt"/>
        </w:rPr>
        <w:t>&lt;/NumAm&gt;</w:t>
      </w:r>
    </w:p>
    <w:p>
      <w:pPr>
        <w:pStyle w:val="NormalBold"/>
      </w:pPr>
      <w:r>
        <w:rPr>
          <w:rStyle w:val="HideTWBExt"/>
          <w:b w:val="0"/>
        </w:rPr>
        <w:t>&lt;RepeatBlock-By&gt;</w:t>
      </w:r>
      <w:r>
        <w:rPr>
          <w:rStyle w:val="HideTWBExt"/>
          <w:b w:val="0"/>
        </w:rPr>
        <w:t>&lt;Members&gt;</w:t>
      </w:r>
      <w:r>
        <w:t>Michał Kobosko, Ivars Ijabs, Joanna Scheuring-Wielgus, Krzysztof Śmiszek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rozvoje přeshraniční a kritické infrastruktury Unie, která </w:t>
            </w:r>
            <w:r>
              <w:rPr>
                <w:b/>
                <w:i/>
              </w:rPr>
              <w:t>je klíčová</w:t>
            </w:r>
            <w:r>
              <w:t xml:space="preserve"> pro její konkurenceschopnost </w:t>
            </w:r>
            <w:r>
              <w:rPr>
                <w:b/>
                <w:i/>
              </w:rPr>
              <w:t>a</w:t>
            </w:r>
            <w:r>
              <w:t xml:space="preserve"> strategickou nezávislost, zejména </w:t>
            </w:r>
            <w:r>
              <w:rPr>
                <w:b/>
                <w:i/>
              </w:rPr>
              <w:t>infrastruktury</w:t>
            </w:r>
            <w:r>
              <w:t xml:space="preserve"> v oblasti energetiky </w:t>
            </w:r>
            <w:r>
              <w:rPr>
                <w:b/>
                <w:i/>
              </w:rPr>
              <w:t>a</w:t>
            </w:r>
            <w:r>
              <w:t xml:space="preserve"> dopravy, digitálních technologií, bezpečnosti, obrany </w:t>
            </w:r>
            <w:r>
              <w:rPr>
                <w:b/>
                <w:i/>
              </w:rPr>
              <w:t>a</w:t>
            </w:r>
            <w:r>
              <w:t xml:space="preserve"> vesmíru</w:t>
            </w:r>
            <w:r>
              <w:rPr>
                <w:b/>
                <w:i/>
              </w:rPr>
              <w:t>, jakož i</w:t>
            </w:r>
            <w:r>
              <w:t xml:space="preserve"> sociální infrastruktury a souvisejících dat a služeb;</w:t>
            </w:r>
          </w:p>
        </w:tc>
        <w:tc>
          <w:tcPr>
            <w:tcW w:w="4876" w:type="dxa"/>
            <w:tcBorders>
              <w:top w:val="nil"/>
              <w:left w:val="nil"/>
              <w:bottom w:val="nil"/>
              <w:right w:val="nil"/>
            </w:tcBorders>
          </w:tcPr>
          <w:p>
            <w:pPr>
              <w:pStyle w:val="Normal6a"/>
            </w:pPr>
            <w:r>
              <w:t>f)</w:t>
            </w:r>
            <w:r>
              <w:tab/>
            </w:r>
            <w:r>
              <w:t xml:space="preserve">rozvoje </w:t>
            </w:r>
            <w:r>
              <w:rPr>
                <w:b/>
                <w:i/>
              </w:rPr>
              <w:t>a posílení</w:t>
            </w:r>
            <w:r>
              <w:t xml:space="preserve"> přeshraniční a kritické infrastruktury Unie, která </w:t>
            </w:r>
            <w:r>
              <w:rPr>
                <w:b/>
                <w:i/>
              </w:rPr>
              <w:t>má zásadní význam</w:t>
            </w:r>
            <w:r>
              <w:t xml:space="preserve"> pro její konkurenceschopnost </w:t>
            </w:r>
            <w:r>
              <w:rPr>
                <w:b/>
                <w:i/>
              </w:rPr>
              <w:t>(včetně palivové infrastruktury pro účely vojenské mobility),</w:t>
            </w:r>
            <w:r>
              <w:t xml:space="preserve"> strategickou nezávislost </w:t>
            </w:r>
            <w:r>
              <w:rPr>
                <w:b/>
                <w:i/>
              </w:rPr>
              <w:t>a odolnost</w:t>
            </w:r>
            <w:r>
              <w:t>, zejména v oblasti energetiky</w:t>
            </w:r>
            <w:r>
              <w:rPr>
                <w:b/>
                <w:i/>
              </w:rPr>
              <w:t>,</w:t>
            </w:r>
            <w:r>
              <w:t xml:space="preserve"> dopravy, digitálních technologií, bezpečnosti </w:t>
            </w:r>
            <w:r>
              <w:rPr>
                <w:b/>
                <w:i/>
              </w:rPr>
              <w:t>(včetně kybernetické bezpečnosti)</w:t>
            </w:r>
            <w:r>
              <w:t>, obrany</w:t>
            </w:r>
            <w:r>
              <w:rPr>
                <w:b/>
                <w:i/>
              </w:rPr>
              <w:t>,</w:t>
            </w:r>
            <w:r>
              <w:t xml:space="preserve"> vesmíru </w:t>
            </w:r>
            <w:r>
              <w:rPr>
                <w:b/>
                <w:i/>
              </w:rPr>
              <w:t>a vodohospodářství,</w:t>
            </w:r>
            <w:r>
              <w:t xml:space="preserve"> sociální infrastruktury a souvisejících dat a služeb;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1248</w:t>
      </w:r>
      <w:r>
        <w:rPr>
          <w:rStyle w:val="HideTWBExt"/>
        </w:rPr>
        <w:t>&lt;/NumAm&gt;</w:t>
      </w:r>
    </w:p>
    <w:p>
      <w:pPr>
        <w:pStyle w:val="NormalBold"/>
      </w:pPr>
      <w:r>
        <w:rPr>
          <w:rStyle w:val="HideTWBExt"/>
          <w:b w:val="0"/>
        </w:rPr>
        <w:t>&lt;RepeatBlock-By&gt;</w:t>
      </w:r>
      <w:r>
        <w:rPr>
          <w:rStyle w:val="HideTWBExt"/>
          <w:b w:val="0"/>
        </w:rPr>
        <w:t>&lt;Members&gt;</w:t>
      </w:r>
      <w:r>
        <w:t>Mirosława Nykiel, Borys Budka, Adam Jarubas, Krzysztof Hetman,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rozvoje přeshraniční a kritické infrastruktury Unie, která </w:t>
            </w:r>
            <w:r>
              <w:rPr>
                <w:b/>
                <w:i/>
              </w:rPr>
              <w:t>je klíčová</w:t>
            </w:r>
            <w:r>
              <w:t xml:space="preserve"> pro její konkurenceschopnost </w:t>
            </w:r>
            <w:r>
              <w:rPr>
                <w:b/>
                <w:i/>
              </w:rPr>
              <w:t>a</w:t>
            </w:r>
            <w:r>
              <w:t xml:space="preserve"> strategickou nezávislost, zejména </w:t>
            </w:r>
            <w:r>
              <w:rPr>
                <w:b/>
                <w:i/>
              </w:rPr>
              <w:t>infrastruktury</w:t>
            </w:r>
            <w:r>
              <w:t xml:space="preserve"> v oblasti energetiky </w:t>
            </w:r>
            <w:r>
              <w:rPr>
                <w:b/>
                <w:i/>
              </w:rPr>
              <w:t>a</w:t>
            </w:r>
            <w:r>
              <w:t xml:space="preserve"> dopravy, digitálních technologií, bezpečnosti</w:t>
            </w:r>
            <w:r>
              <w:rPr>
                <w:b/>
                <w:i/>
              </w:rPr>
              <w:t>, obrany a vesmíru, jakož i</w:t>
            </w:r>
            <w:r>
              <w:t xml:space="preserve"> sociální infrastruktury a souvisejících dat a služeb;</w:t>
            </w:r>
          </w:p>
        </w:tc>
        <w:tc>
          <w:tcPr>
            <w:tcW w:w="4876" w:type="dxa"/>
            <w:tcBorders>
              <w:top w:val="nil"/>
              <w:left w:val="nil"/>
              <w:bottom w:val="nil"/>
              <w:right w:val="nil"/>
            </w:tcBorders>
          </w:tcPr>
          <w:p>
            <w:pPr>
              <w:pStyle w:val="Normal6a"/>
            </w:pPr>
            <w:r>
              <w:t>f)</w:t>
            </w:r>
            <w:r>
              <w:tab/>
            </w:r>
            <w:r>
              <w:t xml:space="preserve">rozvoje </w:t>
            </w:r>
            <w:r>
              <w:rPr>
                <w:b/>
                <w:i/>
              </w:rPr>
              <w:t>a posílení</w:t>
            </w:r>
            <w:r>
              <w:t xml:space="preserve"> přeshraniční a kritické infrastruktury Unie, která </w:t>
            </w:r>
            <w:r>
              <w:rPr>
                <w:b/>
                <w:i/>
              </w:rPr>
              <w:t>má zásadní význam</w:t>
            </w:r>
            <w:r>
              <w:t xml:space="preserve"> pro její konkurenceschopnost </w:t>
            </w:r>
            <w:r>
              <w:rPr>
                <w:b/>
                <w:i/>
              </w:rPr>
              <w:t>(včetně palivové infrastruktury pro účely vojenské mobility),</w:t>
            </w:r>
            <w:r>
              <w:t xml:space="preserve"> strategickou nezávislost </w:t>
            </w:r>
            <w:r>
              <w:rPr>
                <w:b/>
                <w:i/>
              </w:rPr>
              <w:t>a odolnost</w:t>
            </w:r>
            <w:r>
              <w:t>, zejména v oblasti energetiky</w:t>
            </w:r>
            <w:r>
              <w:rPr>
                <w:b/>
                <w:i/>
              </w:rPr>
              <w:t>,</w:t>
            </w:r>
            <w:r>
              <w:t xml:space="preserve"> dopravy, digitálních technologií, bezpečnosti </w:t>
            </w:r>
            <w:r>
              <w:rPr>
                <w:b/>
                <w:i/>
              </w:rPr>
              <w:t>(včetně kybernetické bezpečnosti), obranné, vesmírné, vodohospodářské a</w:t>
            </w:r>
            <w:r>
              <w:t xml:space="preserve"> sociální infrastruktury a souvisejících dat a služeb;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1249</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rozvoje přeshraniční a kritické infrastruktury Unie, která je klíčová pro </w:t>
            </w:r>
            <w:r>
              <w:rPr>
                <w:b/>
                <w:i/>
              </w:rPr>
              <w:t>její konkurenceschopnost a</w:t>
            </w:r>
            <w:r>
              <w:t xml:space="preserve"> strategickou </w:t>
            </w:r>
            <w:r>
              <w:rPr>
                <w:b/>
                <w:i/>
              </w:rPr>
              <w:t>nezávislost, zejména infrastruktury</w:t>
            </w:r>
            <w:r>
              <w:t xml:space="preserve"> v oblasti energetiky a dopravy, digitálních technologií, bezpečnosti, obrany a vesmíru, jakož i sociální </w:t>
            </w:r>
            <w:r>
              <w:rPr>
                <w:b/>
                <w:i/>
              </w:rPr>
              <w:t>infrastruktury a souvisejících dat a služeb</w:t>
            </w:r>
            <w:r>
              <w:t>;</w:t>
            </w:r>
          </w:p>
        </w:tc>
        <w:tc>
          <w:tcPr>
            <w:tcW w:w="4876" w:type="dxa"/>
            <w:tcBorders>
              <w:top w:val="nil"/>
              <w:left w:val="nil"/>
              <w:bottom w:val="nil"/>
              <w:right w:val="nil"/>
            </w:tcBorders>
          </w:tcPr>
          <w:p>
            <w:pPr>
              <w:pStyle w:val="Normal6a"/>
            </w:pPr>
            <w:r>
              <w:t>f)</w:t>
            </w:r>
            <w:r>
              <w:tab/>
            </w:r>
            <w:r>
              <w:t xml:space="preserve">rozvoje přeshraniční a kritické infrastruktury Unie, která je klíčová pro </w:t>
            </w:r>
            <w:r>
              <w:rPr>
                <w:b/>
                <w:i/>
              </w:rPr>
              <w:t>řešení společenských a environmentálních výzev;</w:t>
            </w:r>
            <w:r>
              <w:t xml:space="preserve"> </w:t>
            </w:r>
            <w:r>
              <w:rPr>
                <w:b/>
                <w:i/>
              </w:rPr>
              <w:t>veřejné a demokratické kontroly nad</w:t>
            </w:r>
            <w:r>
              <w:t xml:space="preserve"> strategickou </w:t>
            </w:r>
            <w:r>
              <w:rPr>
                <w:b/>
                <w:i/>
              </w:rPr>
              <w:t>a kritickou infrastrukturou</w:t>
            </w:r>
            <w:r>
              <w:t xml:space="preserve"> v oblasti energetiky a dopravy</w:t>
            </w:r>
            <w:r>
              <w:rPr>
                <w:b/>
                <w:i/>
              </w:rPr>
              <w:t>, infrastrukturou v oblasti veřejného zdraví a léčivých přípravků</w:t>
            </w:r>
            <w:r>
              <w:t xml:space="preserve">, digitálních technologií, bezpečnosti, obrany a vesmíru, jakož i </w:t>
            </w:r>
            <w:r>
              <w:rPr>
                <w:b/>
                <w:i/>
              </w:rPr>
              <w:t>nad</w:t>
            </w:r>
            <w:r>
              <w:t xml:space="preserve"> sociální </w:t>
            </w:r>
            <w:r>
              <w:rPr>
                <w:b/>
                <w:i/>
              </w:rPr>
              <w:t>infrastrukturou a souvisejícími daty a službami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1250</w:t>
      </w:r>
      <w:r>
        <w:rPr>
          <w:rStyle w:val="HideTWBExt"/>
        </w:rPr>
        <w:t>&lt;/NumAm&gt;</w:t>
      </w:r>
    </w:p>
    <w:p>
      <w:pPr>
        <w:pStyle w:val="NormalBold"/>
      </w:pPr>
      <w:r>
        <w:rPr>
          <w:rStyle w:val="HideTWBExt"/>
          <w:b w:val="0"/>
        </w:rPr>
        <w:t>&lt;RepeatBlock-By&gt;</w:t>
      </w:r>
      <w:r>
        <w:rPr>
          <w:rStyle w:val="HideTWBExt"/>
          <w:b w:val="0"/>
        </w:rPr>
        <w:t>&lt;Members&gt;</w:t>
      </w:r>
      <w:r>
        <w:t>Mohammed Chahim, Sérgio Gonçalves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rozvoje přeshraniční a kritické infrastruktury Unie, která je klíčová pro její konkurenceschopnost a strategickou nezávislost, zejména infrastruktury v oblasti energetiky </w:t>
            </w:r>
            <w:r>
              <w:rPr>
                <w:b/>
                <w:i/>
              </w:rPr>
              <w:t>a</w:t>
            </w:r>
            <w:r>
              <w:t xml:space="preserve"> dopravy, digitálních technologií, bezpečnosti, obrany a vesmíru, jakož i sociální infrastruktury a souvisejících dat a služeb;</w:t>
            </w:r>
          </w:p>
        </w:tc>
        <w:tc>
          <w:tcPr>
            <w:tcW w:w="4876" w:type="dxa"/>
            <w:tcBorders>
              <w:top w:val="nil"/>
              <w:left w:val="nil"/>
              <w:bottom w:val="nil"/>
              <w:right w:val="nil"/>
            </w:tcBorders>
          </w:tcPr>
          <w:p>
            <w:pPr>
              <w:pStyle w:val="Normal6a"/>
            </w:pPr>
            <w:r>
              <w:t>f)</w:t>
            </w:r>
            <w:r>
              <w:tab/>
            </w:r>
            <w:r>
              <w:t>rozvoje přeshraniční a kritické infrastruktury Unie, která je klíčová pro její konkurenceschopnost</w:t>
            </w:r>
            <w:r>
              <w:rPr>
                <w:b/>
                <w:i/>
              </w:rPr>
              <w:t>, odolnost, úsilí o dekarbonizaci</w:t>
            </w:r>
            <w:r>
              <w:t xml:space="preserve"> a strategickou nezávislost, zejména infrastruktury v oblasti energetiky</w:t>
            </w:r>
            <w:r>
              <w:rPr>
                <w:b/>
                <w:i/>
              </w:rPr>
              <w:t>,</w:t>
            </w:r>
            <w:r>
              <w:t xml:space="preserve"> dopravy </w:t>
            </w:r>
            <w:r>
              <w:rPr>
                <w:b/>
                <w:i/>
              </w:rPr>
              <w:t>a logistiky</w:t>
            </w:r>
            <w:r>
              <w:t>, digitálních technologií, bezpečnosti, obrany a vesmíru, jakož i sociální infrastruktury a souvisejících dat a služeb;</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Tento pozměňovací návrh byl součástí kompromisních pozměňovacích návrhů vyjednaných v souvislosti se stanoviskem výboru TRAN.</w:t>
      </w:r>
    </w:p>
    <w:p>
      <w:r>
        <w:rPr>
          <w:rStyle w:val="HideTWBExt"/>
        </w:rPr>
        <w:t>&lt;/Amend&gt;</w:t>
      </w:r>
    </w:p>
    <w:p>
      <w:pPr>
        <w:pStyle w:val="AmNumberTabs"/>
      </w:pPr>
      <w:r>
        <w:rPr>
          <w:rStyle w:val="HideTWBExt"/>
        </w:rPr>
        <w:t>&lt;Amend&gt;</w:t>
      </w:r>
      <w:r>
        <w:t>Pozměňovací návrh</w:t>
      </w:r>
      <w:r>
        <w:tab/>
      </w:r>
      <w:r>
        <w:tab/>
      </w:r>
      <w:r>
        <w:rPr>
          <w:rStyle w:val="HideTWBExt"/>
        </w:rPr>
        <w:t>&lt;NumAm&gt;</w:t>
      </w:r>
      <w:r>
        <w:t>1251</w:t>
      </w:r>
      <w:r>
        <w:rPr>
          <w:rStyle w:val="HideTWBExt"/>
        </w:rPr>
        <w:t>&lt;/NumAm&gt;</w:t>
      </w:r>
    </w:p>
    <w:p>
      <w:pPr>
        <w:pStyle w:val="NormalBold"/>
      </w:pPr>
      <w:r>
        <w:rPr>
          <w:rStyle w:val="HideTWBExt"/>
          <w:b w:val="0"/>
        </w:rPr>
        <w:t>&lt;RepeatBlock-By&gt;</w:t>
      </w:r>
      <w:r>
        <w:rPr>
          <w:rStyle w:val="HideTWBExt"/>
          <w:b w:val="0"/>
        </w:rPr>
        <w:t>&lt;Members&gt;</w:t>
      </w:r>
      <w:r>
        <w:t>Paulo Cunha, 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rozvoje přeshraniční a kritické infrastruktury Unie, která je klíčová pro její konkurenceschopnost </w:t>
            </w:r>
            <w:r>
              <w:rPr>
                <w:b/>
                <w:i/>
              </w:rPr>
              <w:t>a</w:t>
            </w:r>
            <w:r>
              <w:t xml:space="preserve"> strategickou nezávislost, zejména </w:t>
            </w:r>
            <w:r>
              <w:rPr>
                <w:b/>
                <w:i/>
              </w:rPr>
              <w:t>infrastruktury</w:t>
            </w:r>
            <w:r>
              <w:t xml:space="preserve"> v oblasti energetiky a dopravy, digitálních technologií</w:t>
            </w:r>
            <w:r>
              <w:rPr>
                <w:b/>
                <w:i/>
              </w:rPr>
              <w:t>,</w:t>
            </w:r>
            <w:r>
              <w:t xml:space="preserve"> bezpečnosti, obrany a vesmíru, </w:t>
            </w:r>
            <w:r>
              <w:rPr>
                <w:b/>
                <w:i/>
              </w:rPr>
              <w:t>jakož i</w:t>
            </w:r>
            <w:r>
              <w:t xml:space="preserve"> sociální infrastruktury a souvisejících dat a služeb;</w:t>
            </w:r>
          </w:p>
        </w:tc>
        <w:tc>
          <w:tcPr>
            <w:tcW w:w="4876" w:type="dxa"/>
            <w:tcBorders>
              <w:top w:val="nil"/>
              <w:left w:val="nil"/>
              <w:bottom w:val="nil"/>
              <w:right w:val="nil"/>
            </w:tcBorders>
          </w:tcPr>
          <w:p>
            <w:pPr>
              <w:pStyle w:val="Normal6a"/>
            </w:pPr>
            <w:r>
              <w:t>f)</w:t>
            </w:r>
            <w:r>
              <w:tab/>
            </w:r>
            <w:r>
              <w:t xml:space="preserve">rozvoje </w:t>
            </w:r>
            <w:r>
              <w:rPr>
                <w:b/>
                <w:i/>
              </w:rPr>
              <w:t>a posílení</w:t>
            </w:r>
            <w:r>
              <w:t xml:space="preserve"> přeshraniční a kritické infrastruktury Unie, která je klíčová pro její konkurenceschopnost</w:t>
            </w:r>
            <w:r>
              <w:rPr>
                <w:b/>
                <w:i/>
              </w:rPr>
              <w:t>,</w:t>
            </w:r>
            <w:r>
              <w:t xml:space="preserve"> strategickou nezávislost </w:t>
            </w:r>
            <w:r>
              <w:rPr>
                <w:b/>
                <w:i/>
              </w:rPr>
              <w:t>a odolnost</w:t>
            </w:r>
            <w:r>
              <w:t xml:space="preserve">, zejména v oblasti energetiky a dopravy, digitálních technologií </w:t>
            </w:r>
            <w:r>
              <w:rPr>
                <w:b/>
                <w:i/>
              </w:rPr>
              <w:t>a</w:t>
            </w:r>
            <w:r>
              <w:t xml:space="preserve"> bezpečnosti, obrany a vesmíru, </w:t>
            </w:r>
            <w:r>
              <w:rPr>
                <w:b/>
                <w:i/>
              </w:rPr>
              <w:t>vodohospodářské a</w:t>
            </w:r>
            <w:r>
              <w:t xml:space="preserve"> sociální infrastruktury a souvisejících dat a služeb;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1252</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rozvoje přeshraniční a kritické infrastruktury Unie, která je klíčová pro její konkurenceschopnost a strategickou nezávislost, zejména infrastruktury v oblasti energetiky a dopravy, digitálních technologií</w:t>
            </w:r>
            <w:r>
              <w:rPr>
                <w:b/>
                <w:i/>
              </w:rPr>
              <w:t>,</w:t>
            </w:r>
            <w:r>
              <w:t xml:space="preserve"> bezpečnosti, obrany a vesmíru, jakož i sociální infrastruktury a souvisejících dat a služeb;</w:t>
            </w:r>
          </w:p>
        </w:tc>
        <w:tc>
          <w:tcPr>
            <w:tcW w:w="4876" w:type="dxa"/>
            <w:tcBorders>
              <w:top w:val="nil"/>
              <w:left w:val="nil"/>
              <w:bottom w:val="nil"/>
              <w:right w:val="nil"/>
            </w:tcBorders>
          </w:tcPr>
          <w:p>
            <w:pPr>
              <w:pStyle w:val="Normal6a"/>
            </w:pPr>
            <w:r>
              <w:t>f)</w:t>
            </w:r>
            <w:r>
              <w:tab/>
            </w:r>
            <w:r>
              <w:t xml:space="preserve">rozvoje přeshraniční a kritické infrastruktury Unie, která je klíčová pro její konkurenceschopnost a strategickou nezávislost, zejména infrastruktury v oblasti energetiky a dopravy, digitálních technologií </w:t>
            </w:r>
            <w:r>
              <w:rPr>
                <w:b/>
                <w:i/>
              </w:rPr>
              <w:t>a</w:t>
            </w:r>
            <w:r>
              <w:t xml:space="preserve"> bezpečnosti</w:t>
            </w:r>
            <w:r>
              <w:rPr>
                <w:b/>
                <w:i/>
              </w:rPr>
              <w:t>, kooperativních inteligentních dopravních systémů (C-ITS)</w:t>
            </w:r>
            <w:r>
              <w:t>, obrany a vesmíru, jakož i sociální infrastruktury a souvisejících dat a služeb;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1253</w:t>
      </w:r>
      <w:r>
        <w:rPr>
          <w:rStyle w:val="HideTWBExt"/>
        </w:rPr>
        <w:t>&lt;/NumAm&gt;</w:t>
      </w:r>
    </w:p>
    <w:p>
      <w:pPr>
        <w:pStyle w:val="NormalBold"/>
      </w:pPr>
      <w:r>
        <w:rPr>
          <w:rStyle w:val="HideTWBExt"/>
          <w:b w:val="0"/>
        </w:rPr>
        <w:t>&lt;RepeatBlock-By&gt;</w:t>
      </w:r>
      <w:r>
        <w:rPr>
          <w:rStyle w:val="HideTWBExt"/>
          <w:b w:val="0"/>
        </w:rPr>
        <w:t>&lt;Members&gt;</w:t>
      </w:r>
      <w:r>
        <w:t>Nicola Procaccini, Carlo Fidanza, Alessandro Ciriani, Elena Donazzan, Pietro Fiocchi, Lara Magoni, Francesco Torselli,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rozvoje přeshraniční a kritické infrastruktury Unie, která je klíčová pro její konkurenceschopnost a strategickou nezávislost, zejména </w:t>
            </w:r>
            <w:r>
              <w:rPr>
                <w:b/>
                <w:i/>
              </w:rPr>
              <w:t>infrastruktury</w:t>
            </w:r>
            <w:r>
              <w:t xml:space="preserve"> v oblasti energetiky a dopravy, digitálních technologií</w:t>
            </w:r>
            <w:r>
              <w:rPr>
                <w:b/>
                <w:i/>
              </w:rPr>
              <w:t>,</w:t>
            </w:r>
            <w:r>
              <w:t xml:space="preserve"> bezpečnosti, obrany </w:t>
            </w:r>
            <w:r>
              <w:rPr>
                <w:b/>
                <w:i/>
              </w:rPr>
              <w:t>a</w:t>
            </w:r>
            <w:r>
              <w:t xml:space="preserve"> vesmíru, jakož i sociální infrastruktury a souvisejících dat a služeb;</w:t>
            </w:r>
          </w:p>
        </w:tc>
        <w:tc>
          <w:tcPr>
            <w:tcW w:w="4876" w:type="dxa"/>
            <w:tcBorders>
              <w:top w:val="nil"/>
              <w:left w:val="nil"/>
              <w:bottom w:val="nil"/>
              <w:right w:val="nil"/>
            </w:tcBorders>
          </w:tcPr>
          <w:p>
            <w:pPr>
              <w:pStyle w:val="Normal6a"/>
            </w:pPr>
            <w:r>
              <w:t>f)</w:t>
            </w:r>
            <w:r>
              <w:tab/>
            </w:r>
            <w:r>
              <w:t>rozvoje přeshraniční a kritické infrastruktury Unie, která je klíčová pro její konkurenceschopnost</w:t>
            </w:r>
            <w:r>
              <w:rPr>
                <w:b/>
                <w:i/>
              </w:rPr>
              <w:t>, odolnost</w:t>
            </w:r>
            <w:r>
              <w:t xml:space="preserve"> a strategickou nezávislost, zejména v oblasti energetiky a dopravy, digitálních technologií </w:t>
            </w:r>
            <w:r>
              <w:rPr>
                <w:b/>
                <w:i/>
              </w:rPr>
              <w:t>a</w:t>
            </w:r>
            <w:r>
              <w:t xml:space="preserve"> bezpečnosti, </w:t>
            </w:r>
            <w:r>
              <w:rPr>
                <w:b/>
                <w:i/>
              </w:rPr>
              <w:t>infrastruktury v oblasti</w:t>
            </w:r>
            <w:r>
              <w:t xml:space="preserve"> obrany</w:t>
            </w:r>
            <w:r>
              <w:rPr>
                <w:b/>
                <w:i/>
              </w:rPr>
              <w:t>,</w:t>
            </w:r>
            <w:r>
              <w:t xml:space="preserve"> vesmíru</w:t>
            </w:r>
            <w:r>
              <w:rPr>
                <w:b/>
                <w:i/>
              </w:rPr>
              <w:t>, vodohospodářství a potravinové logistiky</w:t>
            </w:r>
            <w:r>
              <w:t>, jakož i sociální infrastruktury a souvisejících dat a služeb;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1254</w:t>
      </w:r>
      <w:r>
        <w:rPr>
          <w:rStyle w:val="HideTWBExt"/>
        </w:rPr>
        <w:t>&lt;/NumAm&gt;</w:t>
      </w:r>
    </w:p>
    <w:p>
      <w:pPr>
        <w:pStyle w:val="NormalBold"/>
      </w:pPr>
      <w:r>
        <w:rPr>
          <w:rStyle w:val="HideTWBExt"/>
          <w:b w:val="0"/>
        </w:rPr>
        <w:t>&lt;RepeatBlock-By&gt;</w:t>
      </w:r>
      <w:r>
        <w:rPr>
          <w:rStyle w:val="HideTWBExt"/>
          <w:b w:val="0"/>
        </w:rPr>
        <w:t>&lt;Members&gt;</w:t>
      </w:r>
      <w:r>
        <w:t>Aldo Patriciello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rozvoje přeshraniční a kritické infrastruktury Unie, která je klíčová pro její konkurenceschopnost a strategickou nezávislost, zejména </w:t>
            </w:r>
            <w:r>
              <w:rPr>
                <w:b/>
                <w:i/>
              </w:rPr>
              <w:t>infrastruktury</w:t>
            </w:r>
            <w:r>
              <w:t xml:space="preserve"> v oblasti energetiky a dopravy, digitálních technologií</w:t>
            </w:r>
            <w:r>
              <w:rPr>
                <w:b/>
                <w:i/>
              </w:rPr>
              <w:t>,</w:t>
            </w:r>
            <w:r>
              <w:t xml:space="preserve"> bezpečnosti, obrany a vesmíru, jakož i sociální infrastruktury a souvisejících dat a služeb;</w:t>
            </w:r>
          </w:p>
        </w:tc>
        <w:tc>
          <w:tcPr>
            <w:tcW w:w="4876" w:type="dxa"/>
            <w:tcBorders>
              <w:top w:val="nil"/>
              <w:left w:val="nil"/>
              <w:bottom w:val="nil"/>
              <w:right w:val="nil"/>
            </w:tcBorders>
          </w:tcPr>
          <w:p>
            <w:pPr>
              <w:pStyle w:val="Normal6a"/>
            </w:pPr>
            <w:r>
              <w:t>f)</w:t>
            </w:r>
            <w:r>
              <w:tab/>
            </w:r>
            <w:r>
              <w:t xml:space="preserve">rozvoje přeshraniční a kritické infrastruktury Unie, která je klíčová pro její konkurenceschopnost a strategickou nezávislost, zejména v oblasti energetiky a dopravy, digitálních technologií </w:t>
            </w:r>
            <w:r>
              <w:rPr>
                <w:b/>
                <w:i/>
              </w:rPr>
              <w:t>a</w:t>
            </w:r>
            <w:r>
              <w:t xml:space="preserve"> bezpečnosti, obrany a vesmíru</w:t>
            </w:r>
            <w:r>
              <w:rPr>
                <w:b/>
                <w:i/>
              </w:rPr>
              <w:t>, výzkumné a technologické infrastruktury</w:t>
            </w:r>
            <w:r>
              <w:t>, jakož i sociální infrastruktury a souvisejících dat a služeb;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1255</w:t>
      </w:r>
      <w:r>
        <w:rPr>
          <w:rStyle w:val="HideTWBExt"/>
        </w:rPr>
        <w:t>&lt;/NumAm&gt;</w:t>
      </w:r>
    </w:p>
    <w:p>
      <w:pPr>
        <w:pStyle w:val="NormalBold"/>
      </w:pPr>
      <w:r>
        <w:rPr>
          <w:rStyle w:val="HideTWBExt"/>
          <w:b w:val="0"/>
        </w:rPr>
        <w:t>&lt;RepeatBlock-By&gt;</w:t>
      </w:r>
      <w:r>
        <w:rPr>
          <w:rStyle w:val="HideTWBExt"/>
          <w:b w:val="0"/>
        </w:rPr>
        <w:t>&lt;Members&gt;</w:t>
      </w:r>
      <w:r>
        <w:t>Massimiliano Salini, Letizia Moratti, Fulvio Martusciello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rozvoje přeshraniční a kritické infrastruktury Unie, která je klíčová pro její konkurenceschopnost </w:t>
            </w:r>
            <w:r>
              <w:rPr>
                <w:b/>
                <w:i/>
              </w:rPr>
              <w:t>a strategickou nezávislost</w:t>
            </w:r>
            <w:r>
              <w:t xml:space="preserve">, zejména infrastruktury v oblasti energetiky </w:t>
            </w:r>
            <w:r>
              <w:rPr>
                <w:b/>
                <w:i/>
              </w:rPr>
              <w:t>a dopravy</w:t>
            </w:r>
            <w:r>
              <w:t xml:space="preserve">, digitálních technologií, </w:t>
            </w:r>
            <w:r>
              <w:rPr>
                <w:b/>
                <w:i/>
              </w:rPr>
              <w:t>bezpečnosti, obrany</w:t>
            </w:r>
            <w:r>
              <w:t xml:space="preserve"> a vesmíru, jakož i sociální infrastruktury a souvisejících dat a služeb;</w:t>
            </w:r>
          </w:p>
        </w:tc>
        <w:tc>
          <w:tcPr>
            <w:tcW w:w="4876" w:type="dxa"/>
            <w:tcBorders>
              <w:top w:val="nil"/>
              <w:left w:val="nil"/>
              <w:bottom w:val="nil"/>
              <w:right w:val="nil"/>
            </w:tcBorders>
          </w:tcPr>
          <w:p>
            <w:pPr>
              <w:pStyle w:val="Normal6a"/>
            </w:pPr>
            <w:r>
              <w:t>f)</w:t>
            </w:r>
            <w:r>
              <w:tab/>
            </w:r>
            <w:r>
              <w:t xml:space="preserve">rozvoje přeshraniční a kritické infrastruktury Unie, která je klíčová pro její konkurenceschopnost, zejména infrastruktury v oblasti energetiky, digitálních technologií, </w:t>
            </w:r>
            <w:r>
              <w:rPr>
                <w:b/>
                <w:i/>
              </w:rPr>
              <w:t>dopravy</w:t>
            </w:r>
            <w:r>
              <w:t xml:space="preserve"> a vesmíru, jakož i sociální infrastruktury a souvisejících dat a služeb;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1256</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rozvoje </w:t>
            </w:r>
            <w:r>
              <w:rPr>
                <w:b/>
                <w:i/>
              </w:rPr>
              <w:t>přeshraniční a</w:t>
            </w:r>
            <w:r>
              <w:t xml:space="preserve"> kritické infrastruktury </w:t>
            </w:r>
            <w:r>
              <w:rPr>
                <w:b/>
                <w:i/>
              </w:rPr>
              <w:t>Unie</w:t>
            </w:r>
            <w:r>
              <w:t xml:space="preserve">, která je klíčová pro její konkurenceschopnost </w:t>
            </w:r>
            <w:r>
              <w:rPr>
                <w:b/>
                <w:i/>
              </w:rPr>
              <w:t>a strategickou nezávislost</w:t>
            </w:r>
            <w:r>
              <w:t xml:space="preserve">, zejména infrastruktury </w:t>
            </w:r>
            <w:r>
              <w:rPr>
                <w:b/>
                <w:i/>
              </w:rPr>
              <w:t>v oblasti energetiky a dopravy, digitálních technologií, bezpečnosti, obrany a vesmíru</w:t>
            </w:r>
            <w:r>
              <w:t>, jakož i sociální infrastruktury a souvisejících dat a služeb;</w:t>
            </w:r>
          </w:p>
        </w:tc>
        <w:tc>
          <w:tcPr>
            <w:tcW w:w="4876" w:type="dxa"/>
            <w:tcBorders>
              <w:top w:val="nil"/>
              <w:left w:val="nil"/>
              <w:bottom w:val="nil"/>
              <w:right w:val="nil"/>
            </w:tcBorders>
          </w:tcPr>
          <w:p>
            <w:pPr>
              <w:pStyle w:val="Normal6a"/>
            </w:pPr>
            <w:r>
              <w:t>f)</w:t>
            </w:r>
            <w:r>
              <w:tab/>
            </w:r>
            <w:r>
              <w:rPr>
                <w:b/>
                <w:i/>
              </w:rPr>
              <w:t>podpory</w:t>
            </w:r>
            <w:r>
              <w:t xml:space="preserve"> rozvoje </w:t>
            </w:r>
            <w:r>
              <w:rPr>
                <w:b/>
                <w:i/>
              </w:rPr>
              <w:t>a odolnosti</w:t>
            </w:r>
            <w:r>
              <w:t xml:space="preserve"> kritické infrastruktury, která je klíčová pro její konkurenceschopnost</w:t>
            </w:r>
            <w:r>
              <w:rPr>
                <w:b/>
                <w:i/>
              </w:rPr>
              <w:t>, a strategické nezávislosti</w:t>
            </w:r>
            <w:r>
              <w:t xml:space="preserve">, zejména </w:t>
            </w:r>
            <w:r>
              <w:rPr>
                <w:b/>
                <w:i/>
              </w:rPr>
              <w:t>energetické a dopravní, zdravotnické, digitální a bezpečnostní, obranné a kosmické</w:t>
            </w:r>
            <w:r>
              <w:t xml:space="preserve"> infrastruktury, jakož i sociální infrastruktury a souvisejících dat a služeb;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1257</w:t>
      </w:r>
      <w:r>
        <w:rPr>
          <w:rStyle w:val="HideTWBExt"/>
        </w:rPr>
        <w:t>&lt;/NumAm&gt;</w:t>
      </w:r>
    </w:p>
    <w:p>
      <w:pPr>
        <w:pStyle w:val="NormalBold"/>
      </w:pPr>
      <w:r>
        <w:rPr>
          <w:rStyle w:val="HideTWBExt"/>
          <w:b w:val="0"/>
        </w:rPr>
        <w:t>&lt;RepeatBlock-By&gt;</w:t>
      </w:r>
      <w:r>
        <w:rPr>
          <w:rStyle w:val="HideTWBExt"/>
          <w:b w:val="0"/>
        </w:rPr>
        <w:t>&lt;Members&gt;</w:t>
      </w:r>
      <w:r>
        <w:t>Christophe Clergeau, Jean-Marc Germain, Nikos Papandreou, Romana Jerković, Kristian Vigenin, Thomas Pellerin-Carlin, Vytenis Povilas Andriukaitis, Victor Negrescu, Estelle Ceulemans, Daniel Attard, Raphaël Glucksmann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rozvoje přeshraniční a kritické infrastruktury Unie, která je klíčová pro její konkurenceschopnost a strategickou nezávislost, zejména infrastruktury v oblasti </w:t>
            </w:r>
            <w:r>
              <w:rPr>
                <w:b/>
                <w:i/>
              </w:rPr>
              <w:t>energetiky a dopravy, digitálních technologií, bezpečnosti</w:t>
            </w:r>
            <w:r>
              <w:t>, obrany a vesmíru, jakož i sociální infrastruktury a souvisejících dat a služeb;</w:t>
            </w:r>
          </w:p>
        </w:tc>
        <w:tc>
          <w:tcPr>
            <w:tcW w:w="4876" w:type="dxa"/>
            <w:tcBorders>
              <w:top w:val="nil"/>
              <w:left w:val="nil"/>
              <w:bottom w:val="nil"/>
              <w:right w:val="nil"/>
            </w:tcBorders>
          </w:tcPr>
          <w:p>
            <w:pPr>
              <w:pStyle w:val="Normal6a"/>
            </w:pPr>
            <w:r>
              <w:t>f)</w:t>
            </w:r>
            <w:r>
              <w:tab/>
            </w:r>
            <w:r>
              <w:t xml:space="preserve">rozvoje přeshraniční a kritické infrastruktury Unie, která je klíčová pro její konkurenceschopnost a strategickou nezávislost, zejména </w:t>
            </w:r>
            <w:r>
              <w:rPr>
                <w:b/>
                <w:i/>
              </w:rPr>
              <w:t>energetické a dopravní, digitální a bezpečnostní infrastruktury,</w:t>
            </w:r>
            <w:r>
              <w:t xml:space="preserve"> infrastruktury v oblasti </w:t>
            </w:r>
            <w:r>
              <w:rPr>
                <w:b/>
                <w:i/>
              </w:rPr>
              <w:t>veřejného zdraví</w:t>
            </w:r>
            <w:r>
              <w:t>, obrany a vesmíru, jakož i sociální infrastruktury a souvisejících dat a služeb;</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Cílem tohoto pozměňovacího návrhu je znovu zavést pozměňovací návrhy přijaté ve stanovisku výboru SANT.</w:t>
      </w:r>
    </w:p>
    <w:p>
      <w:r>
        <w:rPr>
          <w:rStyle w:val="HideTWBExt"/>
        </w:rPr>
        <w:t>&lt;/Amend&gt;</w:t>
      </w:r>
    </w:p>
    <w:p>
      <w:pPr>
        <w:pStyle w:val="AmNumberTabs"/>
      </w:pPr>
      <w:r>
        <w:rPr>
          <w:rStyle w:val="HideTWBExt"/>
        </w:rPr>
        <w:t>&lt;Amend&gt;</w:t>
      </w:r>
      <w:r>
        <w:t>Pozměňovací návrh</w:t>
      </w:r>
      <w:r>
        <w:tab/>
      </w:r>
      <w:r>
        <w:tab/>
      </w:r>
      <w:r>
        <w:rPr>
          <w:rStyle w:val="HideTWBExt"/>
        </w:rPr>
        <w:t>&lt;NumAm&gt;</w:t>
      </w:r>
      <w:r>
        <w:t>1258</w:t>
      </w:r>
      <w:r>
        <w:rPr>
          <w:rStyle w:val="HideTWBExt"/>
        </w:rPr>
        <w:t>&lt;/NumAm&gt;</w:t>
      </w:r>
    </w:p>
    <w:p>
      <w:pPr>
        <w:pStyle w:val="NormalBold"/>
      </w:pPr>
      <w:r>
        <w:rPr>
          <w:rStyle w:val="HideTWBExt"/>
          <w:b w:val="0"/>
        </w:rPr>
        <w:t>&lt;RepeatBlock-By&gt;</w:t>
      </w:r>
      <w:r>
        <w:rPr>
          <w:rStyle w:val="HideTWBExt"/>
          <w:b w:val="0"/>
        </w:rPr>
        <w:t>&lt;Members&gt;</w:t>
      </w:r>
      <w:r>
        <w:t>Wouter Beke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rozvoje přeshraniční a kritické infrastruktury Unie, která je klíčová pro její konkurenceschopnost a strategickou nezávislost, zejména infrastruktury </w:t>
            </w:r>
            <w:r>
              <w:rPr>
                <w:b/>
                <w:i/>
              </w:rPr>
              <w:t>v oblasti energetiky a dopravy, digitálních technologií, bezpečnosti, obrany a vesmíru</w:t>
            </w:r>
            <w:r>
              <w:t>, jakož i sociální infrastruktury a souvisejících dat a služeb;</w:t>
            </w:r>
          </w:p>
        </w:tc>
        <w:tc>
          <w:tcPr>
            <w:tcW w:w="4876" w:type="dxa"/>
            <w:tcBorders>
              <w:top w:val="nil"/>
              <w:left w:val="nil"/>
              <w:bottom w:val="nil"/>
              <w:right w:val="nil"/>
            </w:tcBorders>
          </w:tcPr>
          <w:p>
            <w:pPr>
              <w:pStyle w:val="Normal6a"/>
            </w:pPr>
            <w:r>
              <w:t>f)</w:t>
            </w:r>
            <w:r>
              <w:tab/>
            </w:r>
            <w:r>
              <w:t xml:space="preserve">rozvoje přeshraniční a kritické infrastruktury Unie, která je klíčová pro její konkurenceschopnost a strategickou nezávislost, zejména </w:t>
            </w:r>
            <w:r>
              <w:rPr>
                <w:b/>
                <w:i/>
              </w:rPr>
              <w:t>energetické a dopravní, digitální a bezpečnostní, obranné a kosmické</w:t>
            </w:r>
            <w:r>
              <w:t xml:space="preserve"> infrastruktury, jakož i </w:t>
            </w:r>
            <w:r>
              <w:rPr>
                <w:b/>
                <w:i/>
              </w:rPr>
              <w:t>zemědělsko-potravinářské a</w:t>
            </w:r>
            <w:r>
              <w:t xml:space="preserve"> sociální infrastruktury a souvisejících dat a služeb;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1259</w:t>
      </w:r>
      <w:r>
        <w:rPr>
          <w:rStyle w:val="HideTWBExt"/>
        </w:rPr>
        <w:t>&lt;/NumAm&gt;</w:t>
      </w:r>
    </w:p>
    <w:p>
      <w:pPr>
        <w:pStyle w:val="NormalBold"/>
      </w:pPr>
      <w:r>
        <w:rPr>
          <w:rStyle w:val="HideTWBExt"/>
          <w:b w:val="0"/>
        </w:rPr>
        <w:t>&lt;RepeatBlock-By&gt;</w:t>
      </w:r>
      <w:r>
        <w:rPr>
          <w:rStyle w:val="HideTWBExt"/>
          <w:b w:val="0"/>
        </w:rPr>
        <w:t>&lt;Members&gt;</w:t>
      </w:r>
      <w:r>
        <w:t>Christophe Clergeau, Jean-Marc Germain, Merja Kyllönen, Nora Mebarek, Thomas Pellerin-Carlin, André Franqueira Rodrigues, Bruno Tobback, 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rozvoje přeshraniční a kritické infrastruktury Unie, která je klíčová pro její konkurenceschopnost a strategickou nezávislost, zejména infrastruktury </w:t>
            </w:r>
            <w:r>
              <w:rPr>
                <w:b/>
                <w:i/>
              </w:rPr>
              <w:t>v oblasti energetiky a dopravy, digitálních technologií, bezpečnosti, obrany a vesmíru</w:t>
            </w:r>
            <w:r>
              <w:t>, jakož i sociální infrastruktury a souvisejících dat a služeb;</w:t>
            </w:r>
          </w:p>
        </w:tc>
        <w:tc>
          <w:tcPr>
            <w:tcW w:w="4876" w:type="dxa"/>
            <w:tcBorders>
              <w:top w:val="nil"/>
              <w:left w:val="nil"/>
              <w:bottom w:val="nil"/>
              <w:right w:val="nil"/>
            </w:tcBorders>
          </w:tcPr>
          <w:p>
            <w:pPr>
              <w:pStyle w:val="Normal6a"/>
            </w:pPr>
            <w:r>
              <w:t>f)</w:t>
            </w:r>
            <w:r>
              <w:tab/>
            </w:r>
            <w:r>
              <w:t xml:space="preserve">rozvoje přeshraniční a kritické infrastruktury Unie, která je klíčová pro její konkurenceschopnost a strategickou nezávislost, zejména </w:t>
            </w:r>
            <w:r>
              <w:rPr>
                <w:b/>
                <w:i/>
              </w:rPr>
              <w:t>energetické a dopravní, digitální a bezpečnostní, obranné, námořní a kosmické</w:t>
            </w:r>
            <w:r>
              <w:t xml:space="preserve"> infrastruktury, jakož i sociální infrastruktury a souvisejících dat a služeb;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1260</w:t>
      </w:r>
      <w:r>
        <w:rPr>
          <w:rStyle w:val="HideTWBExt"/>
        </w:rPr>
        <w:t>&lt;/NumAm&gt;</w:t>
      </w:r>
    </w:p>
    <w:p>
      <w:pPr>
        <w:pStyle w:val="NormalBold"/>
      </w:pPr>
      <w:r>
        <w:rPr>
          <w:rStyle w:val="HideTWBExt"/>
          <w:b w:val="0"/>
        </w:rPr>
        <w:t>&lt;RepeatBlock-By&gt;</w:t>
      </w:r>
      <w:r>
        <w:rPr>
          <w:rStyle w:val="HideTWBExt"/>
          <w:b w:val="0"/>
        </w:rPr>
        <w:t>&lt;Members&gt;</w:t>
      </w:r>
      <w:r>
        <w:t>Daniel Attard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rozvoje přeshraniční a kritické infrastruktury Unie, která je klíčová pro její konkurenceschopnost a strategickou nezávislost, zejména infrastruktury </w:t>
            </w:r>
            <w:r>
              <w:rPr>
                <w:b/>
                <w:i/>
              </w:rPr>
              <w:t>v oblasti energetiky a dopravy, digitálních technologií, bezpečnosti, obrany a vesmíru</w:t>
            </w:r>
            <w:r>
              <w:t>, jakož i sociální infrastruktury a souvisejících dat a služeb;</w:t>
            </w:r>
          </w:p>
        </w:tc>
        <w:tc>
          <w:tcPr>
            <w:tcW w:w="4876" w:type="dxa"/>
            <w:tcBorders>
              <w:top w:val="nil"/>
              <w:left w:val="nil"/>
              <w:bottom w:val="nil"/>
              <w:right w:val="nil"/>
            </w:tcBorders>
          </w:tcPr>
          <w:p>
            <w:pPr>
              <w:pStyle w:val="Normal6a"/>
            </w:pPr>
            <w:r>
              <w:t>f)</w:t>
            </w:r>
            <w:r>
              <w:tab/>
            </w:r>
            <w:r>
              <w:t xml:space="preserve">rozvoje přeshraniční a kritické infrastruktury Unie, která je klíčová pro její konkurenceschopnost a strategickou nezávislost, zejména </w:t>
            </w:r>
            <w:r>
              <w:rPr>
                <w:b/>
                <w:i/>
              </w:rPr>
              <w:t>energetické a dopravní, vodohospodářské, digitální a bezpečnostní, obranné a kosmické</w:t>
            </w:r>
            <w:r>
              <w:t xml:space="preserve"> infrastruktury, jakož i sociální infrastruktury a souvisejících dat a služeb;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1261</w:t>
      </w:r>
      <w:r>
        <w:rPr>
          <w:rStyle w:val="HideTWBExt"/>
        </w:rPr>
        <w:t>&lt;/NumAm&gt;</w:t>
      </w:r>
    </w:p>
    <w:p>
      <w:pPr>
        <w:pStyle w:val="NormalBold"/>
      </w:pPr>
      <w:r>
        <w:rPr>
          <w:rStyle w:val="HideTWBExt"/>
          <w:b w:val="0"/>
        </w:rPr>
        <w:t>&lt;RepeatBlock-By&gt;</w:t>
      </w:r>
      <w:r>
        <w:rPr>
          <w:rStyle w:val="HideTWBExt"/>
          <w:b w:val="0"/>
        </w:rPr>
        <w:t>&lt;Members&gt;</w:t>
      </w:r>
      <w:r>
        <w:t>Sigrid Friis, Martin Hojsík, Morten Løkkegaard, Emma Wiesner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rozvoje přeshraniční a kritické infrastruktury Unie, která je klíčová pro její konkurenceschopnost a strategickou nezávislost, zejména infrastruktury </w:t>
            </w:r>
            <w:r>
              <w:rPr>
                <w:b/>
                <w:i/>
              </w:rPr>
              <w:t>v oblasti energetiky a dopravy, digitálních technologií, bezpečnosti, obrany a vesmíru</w:t>
            </w:r>
            <w:r>
              <w:t>, jakož i sociální infrastruktury a souvisejících dat a služeb;</w:t>
            </w:r>
          </w:p>
        </w:tc>
        <w:tc>
          <w:tcPr>
            <w:tcW w:w="4876" w:type="dxa"/>
            <w:tcBorders>
              <w:top w:val="nil"/>
              <w:left w:val="nil"/>
              <w:bottom w:val="nil"/>
              <w:right w:val="nil"/>
            </w:tcBorders>
          </w:tcPr>
          <w:p>
            <w:pPr>
              <w:pStyle w:val="Normal6a"/>
            </w:pPr>
            <w:r>
              <w:t>f)</w:t>
            </w:r>
            <w:r>
              <w:tab/>
            </w:r>
            <w:r>
              <w:t xml:space="preserve">rozvoje přeshraniční a kritické infrastruktury Unie, která je klíčová pro její konkurenceschopnost a strategickou nezávislost, zejména </w:t>
            </w:r>
            <w:r>
              <w:rPr>
                <w:b/>
                <w:i/>
              </w:rPr>
              <w:t>energetické a dopravní, potravinové, digitální a bezpečnostní, obranné a kosmické</w:t>
            </w:r>
            <w:r>
              <w:t xml:space="preserve"> infrastruktury, jakož i sociální infrastruktury a souvisejících dat a služeb;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1262</w:t>
      </w:r>
      <w:r>
        <w:rPr>
          <w:rStyle w:val="HideTWBExt"/>
        </w:rPr>
        <w:t>&lt;/NumAm&gt;</w:t>
      </w:r>
    </w:p>
    <w:p>
      <w:pPr>
        <w:pStyle w:val="NormalBold"/>
      </w:pPr>
      <w:r>
        <w:rPr>
          <w:rStyle w:val="HideTWBExt"/>
          <w:b w:val="0"/>
        </w:rPr>
        <w:t>&lt;RepeatBlock-By&gt;</w:t>
      </w:r>
      <w:r>
        <w:rPr>
          <w:rStyle w:val="HideTWBExt"/>
          <w:b w:val="0"/>
        </w:rPr>
        <w:t>&lt;Members&gt;</w:t>
      </w:r>
      <w:r>
        <w:t>Dario Nardella, Stefano Bonaccini, Cristina Maestre, Maria Grapini, Giorgio Gori, Claire Fita, Eric Sargiacomo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rozvoje přeshraniční a kritické infrastruktury Unie, která je klíčová pro její konkurenceschopnost a strategickou nezávislost, zejména </w:t>
            </w:r>
            <w:r>
              <w:rPr>
                <w:b/>
                <w:i/>
              </w:rPr>
              <w:t>infrastruktury</w:t>
            </w:r>
            <w:r>
              <w:t xml:space="preserve"> v oblasti energetiky a dopravy, digitálních technologií</w:t>
            </w:r>
            <w:r>
              <w:rPr>
                <w:b/>
                <w:i/>
              </w:rPr>
              <w:t>,</w:t>
            </w:r>
            <w:r>
              <w:t xml:space="preserve"> bezpečnosti, obrany </w:t>
            </w:r>
            <w:r>
              <w:rPr>
                <w:b/>
                <w:i/>
              </w:rPr>
              <w:t>a</w:t>
            </w:r>
            <w:r>
              <w:t xml:space="preserve"> vesmíru, jakož i sociální infrastruktury a souvisejících dat a služeb;</w:t>
            </w:r>
          </w:p>
        </w:tc>
        <w:tc>
          <w:tcPr>
            <w:tcW w:w="4876" w:type="dxa"/>
            <w:tcBorders>
              <w:top w:val="nil"/>
              <w:left w:val="nil"/>
              <w:bottom w:val="nil"/>
              <w:right w:val="nil"/>
            </w:tcBorders>
          </w:tcPr>
          <w:p>
            <w:pPr>
              <w:pStyle w:val="Normal6a"/>
            </w:pPr>
            <w:r>
              <w:t>f)</w:t>
            </w:r>
            <w:r>
              <w:tab/>
            </w:r>
            <w:r>
              <w:t xml:space="preserve">rozvoje přeshraniční a kritické infrastruktury Unie, která je klíčová pro její konkurenceschopnost a strategickou nezávislost, zejména v oblasti energetiky a dopravy, digitálních technologií </w:t>
            </w:r>
            <w:r>
              <w:rPr>
                <w:b/>
                <w:i/>
              </w:rPr>
              <w:t>a</w:t>
            </w:r>
            <w:r>
              <w:t xml:space="preserve"> bezpečnosti, obrany</w:t>
            </w:r>
            <w:r>
              <w:rPr>
                <w:b/>
                <w:i/>
              </w:rPr>
              <w:t>,</w:t>
            </w:r>
            <w:r>
              <w:t xml:space="preserve"> vesmíru</w:t>
            </w:r>
            <w:r>
              <w:rPr>
                <w:b/>
                <w:i/>
              </w:rPr>
              <w:t>, vodohospodářství, potravinové logistiky</w:t>
            </w:r>
            <w:r>
              <w:t>, jakož i sociální infrastruktury a souvisejících dat a služeb;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1263</w:t>
      </w:r>
      <w:r>
        <w:rPr>
          <w:rStyle w:val="HideTWBExt"/>
        </w:rPr>
        <w:t>&lt;/NumAm&gt;</w:t>
      </w:r>
    </w:p>
    <w:p>
      <w:pPr>
        <w:pStyle w:val="NormalBold"/>
      </w:pPr>
      <w:r>
        <w:rPr>
          <w:rStyle w:val="HideTWBExt"/>
          <w:b w:val="0"/>
        </w:rPr>
        <w:t>&lt;RepeatBlock-By&gt;</w:t>
      </w:r>
      <w:r>
        <w:rPr>
          <w:rStyle w:val="HideTWBExt"/>
          <w:b w:val="0"/>
        </w:rPr>
        <w:t>&lt;Members&gt;</w:t>
      </w:r>
      <w:r>
        <w:t>Jüri Ratas, Riho Terras, Tobias Cremer, Sven Mikser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rozvoje přeshraniční a kritické infrastruktury Unie, která je klíčová pro její konkurenceschopnost a strategickou nezávislost, zejména infrastruktury v oblasti energetiky a dopravy, digitálních technologií, bezpečnosti, obrany a vesmíru, jakož i sociální infrastruktury a souvisejících dat a služeb;</w:t>
            </w:r>
          </w:p>
        </w:tc>
        <w:tc>
          <w:tcPr>
            <w:tcW w:w="4876" w:type="dxa"/>
            <w:tcBorders>
              <w:top w:val="nil"/>
              <w:left w:val="nil"/>
              <w:bottom w:val="nil"/>
              <w:right w:val="nil"/>
            </w:tcBorders>
          </w:tcPr>
          <w:p>
            <w:pPr>
              <w:pStyle w:val="Normal6a"/>
            </w:pPr>
            <w:r>
              <w:rPr>
                <w:i/>
              </w:rPr>
              <w:t>(Netýká se českého znění.)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1264</w:t>
      </w:r>
      <w:r>
        <w:rPr>
          <w:rStyle w:val="HideTWBExt"/>
        </w:rPr>
        <w:t>&lt;/NumAm&gt;</w:t>
      </w:r>
    </w:p>
    <w:p>
      <w:pPr>
        <w:pStyle w:val="NormalBold"/>
      </w:pPr>
      <w:r>
        <w:rPr>
          <w:rStyle w:val="HideTWBExt"/>
          <w:b w:val="0"/>
        </w:rPr>
        <w:t>&lt;RepeatBlock-By&gt;</w:t>
      </w:r>
      <w:r>
        <w:rPr>
          <w:rStyle w:val="HideTWBExt"/>
          <w:b w:val="0"/>
        </w:rPr>
        <w:t>&lt;Members&gt;</w:t>
      </w:r>
      <w:r>
        <w:t>Christian Ehler, Oliver Schenk, Matej Tonin, Adina Vălean, Pilar del Castillo Vera, Hildegard Bentele, Angelika Niebler, Eszter Lakos, Virgil-Daniel Popescu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rozvoje přeshraniční a kritické infrastruktury Unie, která je klíčová pro její konkurenceschopnost a strategickou nezávislost, zejména infrastruktury v oblasti energetiky a dopravy, digitálních technologií, bezpečnosti, obrany a vesmíru</w:t>
            </w:r>
            <w:r>
              <w:rPr>
                <w:b/>
                <w:i/>
              </w:rPr>
              <w:t>, jakož i sociální infrastruktury</w:t>
            </w:r>
            <w:r>
              <w:t xml:space="preserve"> a souvisejících dat a služeb;</w:t>
            </w:r>
          </w:p>
        </w:tc>
        <w:tc>
          <w:tcPr>
            <w:tcW w:w="4876" w:type="dxa"/>
            <w:tcBorders>
              <w:top w:val="nil"/>
              <w:left w:val="nil"/>
              <w:bottom w:val="nil"/>
              <w:right w:val="nil"/>
            </w:tcBorders>
          </w:tcPr>
          <w:p>
            <w:pPr>
              <w:pStyle w:val="Normal6a"/>
            </w:pPr>
            <w:r>
              <w:t>f)</w:t>
            </w:r>
            <w:r>
              <w:tab/>
            </w:r>
            <w:r>
              <w:t>rozvoje přeshraniční a kritické infrastruktury Unie, která je klíčová pro její konkurenceschopnost a strategickou nezávislost, zejména infrastruktury v oblasti energetiky a dopravy, digitálních technologií, bezpečnosti, obrany a vesmíru a souvisejících dat a služeb;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1265</w:t>
      </w:r>
      <w:r>
        <w:rPr>
          <w:rStyle w:val="HideTWBExt"/>
        </w:rPr>
        <w:t>&lt;/NumAm&gt;</w:t>
      </w:r>
    </w:p>
    <w:p>
      <w:pPr>
        <w:pStyle w:val="NormalBold"/>
      </w:pPr>
      <w:r>
        <w:rPr>
          <w:rStyle w:val="HideTWBExt"/>
          <w:b w:val="0"/>
        </w:rPr>
        <w:t>&lt;RepeatBlock-By&gt;</w:t>
      </w:r>
      <w:r>
        <w:rPr>
          <w:rStyle w:val="HideTWBExt"/>
          <w:b w:val="0"/>
        </w:rPr>
        <w:t>&lt;Members&gt;</w:t>
      </w:r>
      <w:r>
        <w:t>Aura Salla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rozvoje přeshraniční a kritické infrastruktury Unie, která je klíčová pro její konkurenceschopnost a strategickou nezávislost, zejména infrastruktury v oblasti energetiky a dopravy, digitálních technologií, bezpečnosti, obrany a vesmíru</w:t>
            </w:r>
            <w:r>
              <w:rPr>
                <w:b/>
                <w:i/>
              </w:rPr>
              <w:t>, jakož i sociální infrastruktury</w:t>
            </w:r>
            <w:r>
              <w:t xml:space="preserve"> a souvisejících dat a služeb;</w:t>
            </w:r>
          </w:p>
        </w:tc>
        <w:tc>
          <w:tcPr>
            <w:tcW w:w="4876" w:type="dxa"/>
            <w:tcBorders>
              <w:top w:val="nil"/>
              <w:left w:val="nil"/>
              <w:bottom w:val="nil"/>
              <w:right w:val="nil"/>
            </w:tcBorders>
          </w:tcPr>
          <w:p>
            <w:pPr>
              <w:pStyle w:val="Normal6a"/>
            </w:pPr>
            <w:r>
              <w:t>f)</w:t>
            </w:r>
            <w:r>
              <w:tab/>
            </w:r>
            <w:r>
              <w:t>rozvoje přeshraniční a kritické infrastruktury Unie, která je klíčová pro její konkurenceschopnost a strategickou nezávislost, zejména infrastruktury v oblasti energetiky a dopravy, digitálních technologií, bezpečnosti, obrany a vesmíru a souvisejících dat a služeb;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1266</w:t>
      </w:r>
      <w:r>
        <w:rPr>
          <w:rStyle w:val="HideTWBExt"/>
        </w:rPr>
        <w:t>&lt;/NumAm&gt;</w:t>
      </w:r>
    </w:p>
    <w:p>
      <w:pPr>
        <w:pStyle w:val="NormalBold"/>
      </w:pPr>
      <w:r>
        <w:rPr>
          <w:rStyle w:val="HideTWBExt"/>
          <w:b w:val="0"/>
        </w:rPr>
        <w:t>&lt;RepeatBlock-By&gt;</w:t>
      </w:r>
      <w:r>
        <w:rPr>
          <w:rStyle w:val="HideTWBExt"/>
          <w:b w:val="0"/>
        </w:rPr>
        <w:t>&lt;Members&gt;</w:t>
      </w:r>
      <w:r>
        <w:t>Jörgen Warborn,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rozvoje přeshraniční a kritické infrastruktury Unie, která </w:t>
            </w:r>
            <w:r>
              <w:rPr>
                <w:b/>
                <w:i/>
              </w:rPr>
              <w:t>je klíčová</w:t>
            </w:r>
            <w:r>
              <w:t xml:space="preserve"> pro její konkurenceschopnost a strategickou </w:t>
            </w:r>
            <w:r>
              <w:rPr>
                <w:b/>
                <w:i/>
              </w:rPr>
              <w:t>nezávislost</w:t>
            </w:r>
            <w:r>
              <w:t xml:space="preserve">, zejména </w:t>
            </w:r>
            <w:r>
              <w:rPr>
                <w:b/>
                <w:i/>
              </w:rPr>
              <w:t>infrastruktury</w:t>
            </w:r>
            <w:r>
              <w:t xml:space="preserve"> v oblasti energetiky a dopravy, </w:t>
            </w:r>
            <w:r>
              <w:rPr>
                <w:b/>
                <w:i/>
              </w:rPr>
              <w:t>digitálních technologií, bezpečnosti, obrany a vesmíru, jakož i sociální</w:t>
            </w:r>
            <w:r>
              <w:t xml:space="preserve"> infrastruktury </w:t>
            </w:r>
            <w:r>
              <w:rPr>
                <w:b/>
                <w:i/>
              </w:rPr>
              <w:t>a</w:t>
            </w:r>
            <w:r>
              <w:t xml:space="preserve"> souvisejících dat a služeb;</w:t>
            </w:r>
          </w:p>
        </w:tc>
        <w:tc>
          <w:tcPr>
            <w:tcW w:w="4876" w:type="dxa"/>
            <w:tcBorders>
              <w:top w:val="nil"/>
              <w:left w:val="nil"/>
              <w:bottom w:val="nil"/>
              <w:right w:val="nil"/>
            </w:tcBorders>
          </w:tcPr>
          <w:p>
            <w:pPr>
              <w:pStyle w:val="Normal6a"/>
            </w:pPr>
            <w:r>
              <w:t>f)</w:t>
            </w:r>
            <w:r>
              <w:tab/>
            </w:r>
            <w:r>
              <w:t xml:space="preserve">rozvoje přeshraniční a kritické infrastruktury Unie, která </w:t>
            </w:r>
            <w:r>
              <w:rPr>
                <w:b/>
                <w:i/>
              </w:rPr>
              <w:t>má zásadní význam</w:t>
            </w:r>
            <w:r>
              <w:t xml:space="preserve"> pro její konkurenceschopnost a strategickou </w:t>
            </w:r>
            <w:r>
              <w:rPr>
                <w:b/>
                <w:i/>
              </w:rPr>
              <w:t>autonomii</w:t>
            </w:r>
            <w:r>
              <w:t xml:space="preserve">, zejména v oblasti energetiky a dopravy, </w:t>
            </w:r>
            <w:r>
              <w:rPr>
                <w:b/>
                <w:i/>
              </w:rPr>
              <w:t>digitální a bezpečnostní infrastruktury, obranné a kosmické</w:t>
            </w:r>
            <w:r>
              <w:t xml:space="preserve"> infrastruktury</w:t>
            </w:r>
            <w:r>
              <w:rPr>
                <w:b/>
                <w:i/>
              </w:rPr>
              <w:t>, jakož i</w:t>
            </w:r>
            <w:r>
              <w:t xml:space="preserve"> souvisejících dat a služeb;</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1267</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f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aktivního vytváření vysoce kvalitních pracovních míst prostřednictvím podpory dobrých a spravedlivých mezd, pracovních podmínek, silného sociálního dialogu a kolektivního vyjednávání, posílení míry sdružování v odborech, podpory demokracie na pracovišti a boje proti zneužívání a vykořisťování pracovníků;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1268</w:t>
      </w:r>
      <w:r>
        <w:rPr>
          <w:rStyle w:val="HideTWBExt"/>
        </w:rPr>
        <w:t>&lt;/NumAm&gt;</w:t>
      </w:r>
    </w:p>
    <w:p>
      <w:pPr>
        <w:pStyle w:val="NormalBold"/>
      </w:pPr>
      <w:r>
        <w:rPr>
          <w:rStyle w:val="HideTWBExt"/>
          <w:b w:val="0"/>
        </w:rPr>
        <w:t>&lt;RepeatBlock-By&gt;</w:t>
      </w:r>
      <w:r>
        <w:rPr>
          <w:rStyle w:val="HideTWBExt"/>
          <w:b w:val="0"/>
        </w:rPr>
        <w:t>&lt;Members&gt;</w:t>
      </w:r>
      <w:r>
        <w:t>Jüri Ratas, Riho Terras, Tobias Cremer, Sven Mikser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f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posílení ochrany a monitorování přeshraniční a kritické infrastruktury Unie a rozvoje schopností nezbytných pro odolnost, ochranu a monitorování strategické infrastruktury, jako je energetická, dopravní, vodní a podvodní infrastruktura;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1269</w:t>
      </w:r>
      <w:r>
        <w:rPr>
          <w:rStyle w:val="HideTWBExt"/>
        </w:rPr>
        <w:t>&lt;/NumAm&gt;</w:t>
      </w:r>
    </w:p>
    <w:p>
      <w:pPr>
        <w:pStyle w:val="NormalBold"/>
      </w:pPr>
      <w:r>
        <w:rPr>
          <w:rStyle w:val="HideTWBExt"/>
          <w:b w:val="0"/>
        </w:rPr>
        <w:t>&lt;RepeatBlock-By&gt;</w:t>
      </w:r>
      <w:r>
        <w:rPr>
          <w:rStyle w:val="HideTWBExt"/>
          <w:b w:val="0"/>
        </w:rPr>
        <w:t>&lt;Members&gt;</w:t>
      </w:r>
      <w:r>
        <w:t>Yvan Verougstraete, Sigrid Friis, Christophe Grudler,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g)</w:t>
            </w:r>
            <w:r>
              <w:tab/>
            </w:r>
            <w:r>
              <w:rPr>
                <w:b/>
                <w:i/>
              </w:rPr>
              <w:t>posílení konkurenceschopnosti malých a středních podniků a malých podniků se střední tržní kapitalizací usazených v Unii a jejich schopnosti růst a rozšiřovat se, zejména zlepšením jejich přístupu k financování, včetně soukromých investic, mikrofinancování a podpory sociálních podniků, jakož i usnadněním přístupu k financování Unie prostřednictvím rychlejších, zjednodušených a harmonizovaných postupů;</w:t>
            </w:r>
            <w:r>
              <w:t xml:space="preserve"> </w:t>
            </w:r>
            <w:r>
              <w:rPr>
                <w:b/>
                <w:i/>
              </w:rPr>
              <w:t>snížení a zajištění přiměřené zátěže související s podáváním zpráv;</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Začleněno do předchozího odstavce.</w:t>
      </w:r>
    </w:p>
    <w:p>
      <w:r>
        <w:rPr>
          <w:rStyle w:val="HideTWBExt"/>
        </w:rPr>
        <w:t>&lt;/Amend&gt;</w:t>
      </w:r>
    </w:p>
    <w:p>
      <w:pPr>
        <w:pStyle w:val="AmNumberTabs"/>
      </w:pPr>
      <w:r>
        <w:rPr>
          <w:rStyle w:val="HideTWBExt"/>
        </w:rPr>
        <w:t>&lt;Amend&gt;</w:t>
      </w:r>
      <w:r>
        <w:t>Pozměňovací návrh</w:t>
      </w:r>
      <w:r>
        <w:tab/>
      </w:r>
      <w:r>
        <w:tab/>
      </w:r>
      <w:r>
        <w:rPr>
          <w:rStyle w:val="HideTWBExt"/>
        </w:rPr>
        <w:t>&lt;NumAm&gt;</w:t>
      </w:r>
      <w:r>
        <w:t>1270</w:t>
      </w:r>
      <w:r>
        <w:rPr>
          <w:rStyle w:val="HideTWBExt"/>
        </w:rPr>
        <w:t>&lt;/NumAm&gt;</w:t>
      </w:r>
    </w:p>
    <w:p>
      <w:pPr>
        <w:pStyle w:val="NormalBold"/>
      </w:pPr>
      <w:r>
        <w:rPr>
          <w:rStyle w:val="HideTWBExt"/>
          <w:b w:val="0"/>
        </w:rPr>
        <w:t>&lt;RepeatBlock-By&gt;</w:t>
      </w:r>
      <w:r>
        <w:rPr>
          <w:rStyle w:val="HideTWBExt"/>
          <w:b w:val="0"/>
        </w:rPr>
        <w:t>&lt;Members&gt;</w:t>
      </w:r>
      <w:r>
        <w:t>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posílení konkurenceschopnosti malých a středních podniků a malých </w:t>
            </w:r>
            <w:r>
              <w:rPr>
                <w:b/>
                <w:i/>
              </w:rPr>
              <w:t>podniků</w:t>
            </w:r>
            <w:r>
              <w:t xml:space="preserve"> se střední tržní kapitalizací usazených v Unii a jejich schopnosti </w:t>
            </w:r>
            <w:r>
              <w:rPr>
                <w:b/>
                <w:i/>
              </w:rPr>
              <w:t>růst a rozšiřovat se</w:t>
            </w:r>
            <w:r>
              <w:t>, zejména zlepšením jejich přístupu k financování, včetně soukromých investic</w:t>
            </w:r>
            <w:r>
              <w:rPr>
                <w:b/>
                <w:i/>
              </w:rPr>
              <w:t>,</w:t>
            </w:r>
            <w:r>
              <w:t xml:space="preserve"> mikrofinancování a podpory sociálních podniků, </w:t>
            </w:r>
            <w:r>
              <w:rPr>
                <w:b/>
                <w:i/>
              </w:rPr>
              <w:t>jakož i usnadněním</w:t>
            </w:r>
            <w:r>
              <w:t xml:space="preserve"> přístupu </w:t>
            </w:r>
            <w:r>
              <w:rPr>
                <w:b/>
                <w:i/>
              </w:rPr>
              <w:t>k financování</w:t>
            </w:r>
            <w:r>
              <w:t xml:space="preserve"> Unie prostřednictvím rychlejších, zjednodušených a harmonizovaných postupů</w:t>
            </w:r>
            <w:r>
              <w:rPr>
                <w:b/>
                <w:i/>
              </w:rPr>
              <w:t>;</w:t>
            </w:r>
            <w:r>
              <w:t xml:space="preserve"> </w:t>
            </w:r>
            <w:r>
              <w:rPr>
                <w:b/>
                <w:i/>
              </w:rPr>
              <w:t>snížení</w:t>
            </w:r>
            <w:r>
              <w:t xml:space="preserve"> a zajištění přiměřené </w:t>
            </w:r>
            <w:r>
              <w:rPr>
                <w:b/>
                <w:i/>
              </w:rPr>
              <w:t>zátěže související s podáváním zpráv</w:t>
            </w:r>
            <w:r>
              <w:t>;</w:t>
            </w:r>
          </w:p>
        </w:tc>
        <w:tc>
          <w:tcPr>
            <w:tcW w:w="4876" w:type="dxa"/>
            <w:tcBorders>
              <w:top w:val="nil"/>
              <w:left w:val="nil"/>
              <w:bottom w:val="nil"/>
              <w:right w:val="nil"/>
            </w:tcBorders>
          </w:tcPr>
          <w:p>
            <w:pPr>
              <w:pStyle w:val="Normal6a"/>
            </w:pPr>
            <w:r>
              <w:t>g)</w:t>
            </w:r>
            <w:r>
              <w:tab/>
            </w:r>
            <w:r>
              <w:t xml:space="preserve">posílení konkurenceschopnosti malých a středních podniků a malých </w:t>
            </w:r>
            <w:r>
              <w:rPr>
                <w:b/>
                <w:i/>
              </w:rPr>
              <w:t>společností</w:t>
            </w:r>
            <w:r>
              <w:t xml:space="preserve"> se střední tržní kapitalizací usazených v Unii</w:t>
            </w:r>
            <w:r>
              <w:rPr>
                <w:b/>
                <w:i/>
              </w:rPr>
              <w:t>, které působí v rámci oblastí politiky,</w:t>
            </w:r>
            <w:r>
              <w:t xml:space="preserve"> a jejich schopnosti </w:t>
            </w:r>
            <w:r>
              <w:rPr>
                <w:b/>
                <w:i/>
              </w:rPr>
              <w:t>růstu a rozšiřování</w:t>
            </w:r>
            <w:r>
              <w:t xml:space="preserve">, zejména zlepšením jejich přístupu k financování, včetně soukromých investic </w:t>
            </w:r>
            <w:r>
              <w:rPr>
                <w:b/>
                <w:i/>
              </w:rPr>
              <w:t>a</w:t>
            </w:r>
            <w:r>
              <w:t xml:space="preserve"> mikrofinancování a podpory sociálních podniků, </w:t>
            </w:r>
            <w:r>
              <w:rPr>
                <w:b/>
                <w:i/>
              </w:rPr>
              <w:t>s ohledem na to, že většina inovativních malých a středních podniků působí v rámci regionálních průmyslových ekosystémů a klastrových sítí;</w:t>
            </w:r>
            <w:r>
              <w:t xml:space="preserve"> </w:t>
            </w:r>
            <w:r>
              <w:rPr>
                <w:b/>
                <w:i/>
              </w:rPr>
              <w:t>usnadnění</w:t>
            </w:r>
            <w:r>
              <w:t xml:space="preserve"> přístupu </w:t>
            </w:r>
            <w:r>
              <w:rPr>
                <w:b/>
                <w:i/>
              </w:rPr>
              <w:t>těchto malých a středních podniků a společností se střední tržní kapitalizací k finančním prostředkům</w:t>
            </w:r>
            <w:r>
              <w:t xml:space="preserve"> Unie prostřednictvím rychlejších, zjednodušených a harmonizovaných postupů</w:t>
            </w:r>
            <w:r>
              <w:rPr>
                <w:b/>
                <w:i/>
              </w:rPr>
              <w:t>, a to i pomocí regionálních zprostředkujících subjektů s přenesenou řídicí kapacitou;</w:t>
            </w:r>
            <w:r>
              <w:t xml:space="preserve"> a zajištění </w:t>
            </w:r>
            <w:r>
              <w:rPr>
                <w:b/>
                <w:i/>
              </w:rPr>
              <w:t>toho, aby u výzev vyhlašovaných v rámci pracovních programů ECF v nejširším měřítku byly přidělovány</w:t>
            </w:r>
            <w:r>
              <w:t xml:space="preserve"> přiměřené </w:t>
            </w:r>
            <w:r>
              <w:rPr>
                <w:b/>
                <w:i/>
              </w:rPr>
              <w:t>prostředky konsorciím vedeným malými a středními podniky nebo konsorciím podporujícím malé a střední podniky, a to i v regionech se zavedenými strategiemi inteligentní specializace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1271</w:t>
      </w:r>
      <w:r>
        <w:rPr>
          <w:rStyle w:val="HideTWBExt"/>
        </w:rPr>
        <w:t>&lt;/NumAm&gt;</w:t>
      </w:r>
    </w:p>
    <w:p>
      <w:pPr>
        <w:pStyle w:val="NormalBold"/>
      </w:pPr>
      <w:r>
        <w:rPr>
          <w:rStyle w:val="HideTWBExt"/>
          <w:b w:val="0"/>
        </w:rPr>
        <w:t>&lt;RepeatBlock-By&gt;</w:t>
      </w:r>
      <w:r>
        <w:rPr>
          <w:rStyle w:val="HideTWBExt"/>
          <w:b w:val="0"/>
        </w:rPr>
        <w:t>&lt;Members&gt;</w:t>
      </w:r>
      <w:r>
        <w:t>Letizia Moratti, Massimiliano Salini, Fulvio Martusciello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posílení konkurenceschopnosti malých a středních podniků a malých podniků se střední tržní kapitalizací usazených v Unii a jejich schopnosti růst a rozšiřovat se, zejména zlepšením jejich přístupu k financování, včetně soukromých investic, mikrofinancování a podpory sociálních podniků, jakož i usnadněním přístupu k financování Unie prostřednictvím rychlejších, zjednodušených a harmonizovaných postupů; snížení a zajištění přiměřené zátěže související s podáváním zpráv</w:t>
            </w:r>
            <w:r>
              <w:rPr>
                <w:b/>
                <w:i/>
              </w:rPr>
              <w:t>;</w:t>
            </w:r>
          </w:p>
        </w:tc>
        <w:tc>
          <w:tcPr>
            <w:tcW w:w="4876" w:type="dxa"/>
            <w:tcBorders>
              <w:top w:val="nil"/>
              <w:left w:val="nil"/>
              <w:bottom w:val="nil"/>
              <w:right w:val="nil"/>
            </w:tcBorders>
          </w:tcPr>
          <w:p>
            <w:pPr>
              <w:pStyle w:val="Normal6a"/>
            </w:pPr>
            <w:r>
              <w:t>g)</w:t>
            </w:r>
            <w:r>
              <w:tab/>
            </w:r>
            <w:r>
              <w:t>posílení konkurenceschopnosti malých a středních podniků a malých podniků se střední tržní kapitalizací usazených v Unii a jejich schopnosti růst a rozšiřovat se, zejména zlepšením jejich přístupu k financování, včetně soukromých investic, mikrofinancování a podpory sociálních podniků, jakož i usnadněním přístupu k financování Unie prostřednictvím rychlejších, zjednodušených a harmonizovaných postupů; snížení a zajištění přiměřené zátěže související s podáváním zpráv</w:t>
            </w:r>
            <w:r>
              <w:rPr>
                <w:b/>
                <w:i/>
              </w:rPr>
              <w:t>.</w:t>
            </w:r>
            <w:r>
              <w:t xml:space="preserve"> </w:t>
            </w:r>
            <w:r>
              <w:rPr>
                <w:b/>
                <w:i/>
              </w:rPr>
              <w:t>Zajistí se jasné rozlišení mezi malými a středními podniky a malými společnostmi se střední tržní kapitalizací s přihlédnutím k jejich rozdílným strukturálním charakteristikám, finančním kapacitám a administrativním zdrojům a poskytování přizpůsobených podpůrných nástrojů podle specifických potřeb každé kategorie.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1272</w:t>
      </w:r>
      <w:r>
        <w:rPr>
          <w:rStyle w:val="HideTWBExt"/>
        </w:rPr>
        <w:t>&lt;/NumAm&gt;</w:t>
      </w:r>
    </w:p>
    <w:p>
      <w:pPr>
        <w:pStyle w:val="NormalBold"/>
      </w:pPr>
      <w:r>
        <w:rPr>
          <w:rStyle w:val="HideTWBExt"/>
          <w:b w:val="0"/>
        </w:rPr>
        <w:t>&lt;RepeatBlock-By&gt;</w:t>
      </w:r>
      <w:r>
        <w:rPr>
          <w:rStyle w:val="HideTWBExt"/>
          <w:b w:val="0"/>
        </w:rPr>
        <w:t>&lt;Members&gt;</w:t>
      </w:r>
      <w:r>
        <w:t>Paolo Borchia, Isabella Tovaglieri, Raffaele Stancanelli, András Gyürk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posílení konkurenceschopnosti malých a středních podniků a malých </w:t>
            </w:r>
            <w:r>
              <w:rPr>
                <w:b/>
                <w:i/>
              </w:rPr>
              <w:t>podniků</w:t>
            </w:r>
            <w:r>
              <w:t xml:space="preserve"> se střední tržní kapitalizací usazených v Unii a jejich schopnosti růst </w:t>
            </w:r>
            <w:r>
              <w:rPr>
                <w:b/>
                <w:i/>
              </w:rPr>
              <w:t>a</w:t>
            </w:r>
            <w:r>
              <w:t xml:space="preserve"> rozšiřovat </w:t>
            </w:r>
            <w:r>
              <w:rPr>
                <w:b/>
                <w:i/>
              </w:rPr>
              <w:t>se</w:t>
            </w:r>
            <w:r>
              <w:t>, zejména zlepšením jejich přístupu k financování, včetně soukromých investic, mikrofinancování a podpory sociálních podniků, jakož i usnadněním přístupu k financování Unie prostřednictvím rychlejších, zjednodušených a harmonizovaných postupů; snížení a zajištění přiměřené zátěže související s podáváním zpráv;</w:t>
            </w:r>
          </w:p>
        </w:tc>
        <w:tc>
          <w:tcPr>
            <w:tcW w:w="4876" w:type="dxa"/>
            <w:tcBorders>
              <w:top w:val="nil"/>
              <w:left w:val="nil"/>
              <w:bottom w:val="nil"/>
              <w:right w:val="nil"/>
            </w:tcBorders>
          </w:tcPr>
          <w:p>
            <w:pPr>
              <w:pStyle w:val="Normal6a"/>
            </w:pPr>
            <w:r>
              <w:t>g)</w:t>
            </w:r>
            <w:r>
              <w:tab/>
            </w:r>
            <w:r>
              <w:t xml:space="preserve">posílení konkurenceschopnosti </w:t>
            </w:r>
            <w:r>
              <w:rPr>
                <w:b/>
                <w:i/>
              </w:rPr>
              <w:t>mikropodniků,</w:t>
            </w:r>
            <w:r>
              <w:t xml:space="preserve"> malých a středních podniků</w:t>
            </w:r>
            <w:r>
              <w:rPr>
                <w:b/>
                <w:i/>
              </w:rPr>
              <w:t>, startupů, scaleupů</w:t>
            </w:r>
            <w:r>
              <w:t xml:space="preserve"> a malých </w:t>
            </w:r>
            <w:r>
              <w:rPr>
                <w:b/>
                <w:i/>
              </w:rPr>
              <w:t>společností</w:t>
            </w:r>
            <w:r>
              <w:t xml:space="preserve"> se střední tržní kapitalizací usazených v Unii a jejich schopnosti růst</w:t>
            </w:r>
            <w:r>
              <w:rPr>
                <w:b/>
                <w:i/>
              </w:rPr>
              <w:t>,</w:t>
            </w:r>
            <w:r>
              <w:t xml:space="preserve"> rozšiřovat </w:t>
            </w:r>
            <w:r>
              <w:rPr>
                <w:b/>
                <w:i/>
              </w:rPr>
              <w:t>svou činnost, inovovat, internacionalizovat a získávat přístup na nové trhy a posílení jejich přítomnosti na místní úrovni</w:t>
            </w:r>
            <w:r>
              <w:t>, zejména zlepšením jejich přístupu k financování, včetně soukromých investic, mikrofinancování a podpory sociálních podniků, jakož i usnadněním přístupu k financování Unie prostřednictvím rychlejších, zjednodušených a harmonizovaných postupů; snížení a zajištění přiměřené zátěže související s podáváním zpráv;</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Posílení konkurenceschopnosti menších podniků nemusí nutně znamenat rozšiřování: zahrnuje také konsolidaci jejich investiční kapacity a posílení jejich místní přítomnosti. Pozměňovací návrh zajišťuje větší viditelnost pro růst podniků, úspěšnost na trhu a internacionalizaci, a to i pro mikropodniky.</w:t>
      </w:r>
    </w:p>
    <w:p>
      <w:r>
        <w:rPr>
          <w:rStyle w:val="HideTWBExt"/>
        </w:rPr>
        <w:t>&lt;/Amend&gt;</w:t>
      </w:r>
    </w:p>
    <w:p>
      <w:pPr>
        <w:pStyle w:val="AmNumberTabs"/>
      </w:pPr>
      <w:r>
        <w:rPr>
          <w:rStyle w:val="HideTWBExt"/>
        </w:rPr>
        <w:t>&lt;Amend&gt;</w:t>
      </w:r>
      <w:r>
        <w:t>Pozměňovací návrh</w:t>
      </w:r>
      <w:r>
        <w:tab/>
      </w:r>
      <w:r>
        <w:tab/>
      </w:r>
      <w:r>
        <w:rPr>
          <w:rStyle w:val="HideTWBExt"/>
        </w:rPr>
        <w:t>&lt;NumAm&gt;</w:t>
      </w:r>
      <w:r>
        <w:t>1273</w:t>
      </w:r>
      <w:r>
        <w:rPr>
          <w:rStyle w:val="HideTWBExt"/>
        </w:rPr>
        <w:t>&lt;/NumAm&gt;</w:t>
      </w:r>
    </w:p>
    <w:p>
      <w:pPr>
        <w:pStyle w:val="NormalBold"/>
      </w:pPr>
      <w:r>
        <w:rPr>
          <w:rStyle w:val="HideTWBExt"/>
          <w:b w:val="0"/>
        </w:rPr>
        <w:t>&lt;RepeatBlock-By&gt;</w:t>
      </w:r>
      <w:r>
        <w:rPr>
          <w:rStyle w:val="HideTWBExt"/>
          <w:b w:val="0"/>
        </w:rPr>
        <w:t>&lt;Members&gt;</w:t>
      </w:r>
      <w:r>
        <w:t>Daniel Attard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posílení konkurenceschopnosti malých a středních podniků a malých podniků se střední tržní kapitalizací usazených v Unii a jejich schopnosti růst a rozšiřovat se, zejména zlepšením jejich přístupu k financování, včetně soukromých investic, mikrofinancování a podpory sociálních podniků, jakož i usnadněním přístupu k financování Unie prostřednictvím rychlejších, zjednodušených a harmonizovaných postupů; snížení a zajištění přiměřené zátěže související s podáváním zpráv;</w:t>
            </w:r>
          </w:p>
        </w:tc>
        <w:tc>
          <w:tcPr>
            <w:tcW w:w="4876" w:type="dxa"/>
            <w:tcBorders>
              <w:top w:val="nil"/>
              <w:left w:val="nil"/>
              <w:bottom w:val="nil"/>
              <w:right w:val="nil"/>
            </w:tcBorders>
          </w:tcPr>
          <w:p>
            <w:pPr>
              <w:pStyle w:val="Normal6a"/>
            </w:pPr>
            <w:r>
              <w:t>g)</w:t>
            </w:r>
            <w:r>
              <w:tab/>
            </w:r>
            <w:r>
              <w:t xml:space="preserve">posílení konkurenceschopnosti malých a středních podniků a malých podniků se střední tržní kapitalizací usazených v Unii a jejich schopnosti růst a rozšiřovat se, zejména zlepšením jejich přístupu k financování, včetně soukromých investic, mikrofinancování a podpory sociálních podniků, jakož i usnadněním přístupu k financování Unie prostřednictvím rychlejších, zjednodušených a harmonizovaných postupů; snížení a zajištění přiměřené zátěže související s podáváním zpráv; </w:t>
            </w:r>
            <w:r>
              <w:rPr>
                <w:b/>
                <w:i/>
              </w:rPr>
              <w:t>a zachování oddělených toků financování pro malé a střední podniky a malé společnosti se střední tržní kapitalizací s cílem řešit jejich odlišné finanční potřeby a kapacity;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1274</w:t>
      </w:r>
      <w:r>
        <w:rPr>
          <w:rStyle w:val="HideTWBExt"/>
        </w:rPr>
        <w:t>&lt;/NumAm&gt;</w:t>
      </w:r>
    </w:p>
    <w:p>
      <w:pPr>
        <w:pStyle w:val="NormalBold"/>
      </w:pPr>
      <w:r>
        <w:rPr>
          <w:rStyle w:val="HideTWBExt"/>
          <w:b w:val="0"/>
        </w:rPr>
        <w:t>&lt;RepeatBlock-By&gt;</w:t>
      </w:r>
      <w:r>
        <w:rPr>
          <w:rStyle w:val="HideTWBExt"/>
          <w:b w:val="0"/>
        </w:rPr>
        <w:t>&lt;Members&gt;</w:t>
      </w:r>
      <w:r>
        <w:t>Borys Budka, Danuše Nerudová, Davor Ivo Stier, Nikolina Brnjac, Karlo Ressler, Miriam Lexmann, Adam Jarubas, Krzysztof Hetman, Kamila Gasiuk-Pihowicz, Mirosława Nykiel, Iuliu Winkler, Loránt Vincze, Andrzej Halicki, Virgil-Daniel Popescu, Inese Vaidere, Tomáš Zdechovský, Siegfried Mureşan, Ioan-Rareş Bogdan, Daniel Buda, Gheorghe Falcă, Adina Vălean, Romana Tomc, Eszter Lakos, Jan Farský, Rasa Juknevičienė, Andrey Kovatchev, Andrey Novakov, Ilia Lazarov, Emil Radev, Sandra Kalniete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rPr>
                <w:b/>
                <w:i/>
              </w:rPr>
              <w:t>posílení</w:t>
            </w:r>
            <w:r>
              <w:t xml:space="preserve"> konkurenceschopnosti malých a středních podniků a malých </w:t>
            </w:r>
            <w:r>
              <w:rPr>
                <w:b/>
                <w:i/>
              </w:rPr>
              <w:t>podniků</w:t>
            </w:r>
            <w:r>
              <w:t xml:space="preserve"> se střední tržní kapitalizací usazených </w:t>
            </w:r>
            <w:r>
              <w:rPr>
                <w:b/>
                <w:i/>
              </w:rPr>
              <w:t>v Unii</w:t>
            </w:r>
            <w:r>
              <w:t xml:space="preserve"> a jejich schopnosti růst a rozšiřovat se, zejména zlepšením jejich přístupu k financování, včetně soukromých investic, mikrofinancování a podpory sociálních podniků, jakož i usnadněním přístupu k financování Unie prostřednictvím rychlejších, zjednodušených a harmonizovaných postupů; snížení a zajištění přiměřené zátěže související s podáváním zpráv;</w:t>
            </w:r>
          </w:p>
        </w:tc>
        <w:tc>
          <w:tcPr>
            <w:tcW w:w="4876" w:type="dxa"/>
            <w:tcBorders>
              <w:top w:val="nil"/>
              <w:left w:val="nil"/>
              <w:bottom w:val="nil"/>
              <w:right w:val="nil"/>
            </w:tcBorders>
          </w:tcPr>
          <w:p>
            <w:pPr>
              <w:pStyle w:val="Normal6a"/>
            </w:pPr>
            <w:r>
              <w:t>g)</w:t>
            </w:r>
            <w:r>
              <w:tab/>
            </w:r>
            <w:r>
              <w:rPr>
                <w:b/>
                <w:i/>
              </w:rPr>
              <w:t>maximalizace dopadu financování EU na konkurenceschopnost posílením</w:t>
            </w:r>
            <w:r>
              <w:t xml:space="preserve"> konkurenceschopnosti malých a středních podniků a malých </w:t>
            </w:r>
            <w:r>
              <w:rPr>
                <w:b/>
                <w:i/>
              </w:rPr>
              <w:t>společností</w:t>
            </w:r>
            <w:r>
              <w:t xml:space="preserve"> se střední tržní kapitalizací usazených </w:t>
            </w:r>
            <w:r>
              <w:rPr>
                <w:b/>
                <w:i/>
              </w:rPr>
              <w:t>ve všech členských státech Unie</w:t>
            </w:r>
            <w:r>
              <w:t xml:space="preserve"> a jejich schopnosti růst a rozšiřovat se, zejména zlepšením jejich přístupu k financování, včetně soukromých investic, mikrofinancování a podpory sociálních podniků, jakož i usnadněním přístupu k financování Unie prostřednictvím rychlejších, zjednodušených a harmonizovaných postupů; snížení a zajištění přiměřené zátěže související s podáváním zpráv;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1275</w:t>
      </w:r>
      <w:r>
        <w:rPr>
          <w:rStyle w:val="HideTWBExt"/>
        </w:rPr>
        <w:t>&lt;/NumAm&gt;</w:t>
      </w:r>
    </w:p>
    <w:p>
      <w:pPr>
        <w:pStyle w:val="NormalBold"/>
      </w:pPr>
      <w:r>
        <w:rPr>
          <w:rStyle w:val="HideTWBExt"/>
          <w:b w:val="0"/>
        </w:rPr>
        <w:t>&lt;RepeatBlock-By&gt;</w:t>
      </w:r>
      <w:r>
        <w:rPr>
          <w:rStyle w:val="HideTWBExt"/>
          <w:b w:val="0"/>
        </w:rPr>
        <w:t>&lt;Members&gt;</w:t>
      </w:r>
      <w:r>
        <w:t>Dimitris Tsiodras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posílení konkurenceschopnosti malých a středních podniků </w:t>
            </w:r>
            <w:r>
              <w:rPr>
                <w:b/>
                <w:i/>
              </w:rPr>
              <w:t>a malých podniků se střední tržní kapitalizací</w:t>
            </w:r>
            <w:r>
              <w:t xml:space="preserve"> usazených v Unii a jejich schopnosti růst a </w:t>
            </w:r>
            <w:r>
              <w:rPr>
                <w:b/>
                <w:i/>
              </w:rPr>
              <w:t>rozšiřovat se</w:t>
            </w:r>
            <w:r>
              <w:t>, zejména zlepšením jejich přístupu k financování, včetně soukromých investic, mikrofinancování a podpory sociálních podniků, jakož i usnadněním přístupu k financování Unie prostřednictvím rychlejších, zjednodušených a harmonizovaných postupů</w:t>
            </w:r>
            <w:r>
              <w:rPr>
                <w:b/>
                <w:i/>
              </w:rPr>
              <w:t>;</w:t>
            </w:r>
            <w:r>
              <w:t xml:space="preserve"> snížení a zajištění přiměřené zátěže </w:t>
            </w:r>
            <w:r>
              <w:rPr>
                <w:b/>
                <w:i/>
              </w:rPr>
              <w:t>související</w:t>
            </w:r>
            <w:r>
              <w:t xml:space="preserve"> s podáváním zpráv;</w:t>
            </w:r>
          </w:p>
        </w:tc>
        <w:tc>
          <w:tcPr>
            <w:tcW w:w="4876" w:type="dxa"/>
            <w:tcBorders>
              <w:top w:val="nil"/>
              <w:left w:val="nil"/>
              <w:bottom w:val="nil"/>
              <w:right w:val="nil"/>
            </w:tcBorders>
          </w:tcPr>
          <w:p>
            <w:pPr>
              <w:pStyle w:val="Normal6a"/>
            </w:pPr>
            <w:r>
              <w:t>g)</w:t>
            </w:r>
            <w:r>
              <w:tab/>
            </w:r>
            <w:r>
              <w:t xml:space="preserve">posílení konkurenceschopnosti malých a středních podniků usazených v </w:t>
            </w:r>
            <w:r>
              <w:rPr>
                <w:b/>
                <w:i/>
              </w:rPr>
              <w:t>celé</w:t>
            </w:r>
            <w:r>
              <w:t xml:space="preserve"> Unii a jejich schopnosti </w:t>
            </w:r>
            <w:r>
              <w:rPr>
                <w:b/>
                <w:i/>
              </w:rPr>
              <w:t>zajistit dlouhodobou životaschopnost a kontinuitu operací v EU,</w:t>
            </w:r>
            <w:r>
              <w:t xml:space="preserve"> růst a </w:t>
            </w:r>
            <w:r>
              <w:rPr>
                <w:b/>
                <w:i/>
              </w:rPr>
              <w:t>rozšiřování</w:t>
            </w:r>
            <w:r>
              <w:t xml:space="preserve">, zejména zlepšením jejich přístupu k financování, včetně soukromých investic, mikrofinancování a podpory sociálních podniků, jakož i usnadněním přístupu k financování Unie prostřednictvím rychlejších, zjednodušených a harmonizovaných postupů </w:t>
            </w:r>
            <w:r>
              <w:rPr>
                <w:b/>
                <w:i/>
              </w:rPr>
              <w:t>při současném</w:t>
            </w:r>
            <w:r>
              <w:t xml:space="preserve"> snížení a zajištění přiměřené zátěže </w:t>
            </w:r>
            <w:r>
              <w:rPr>
                <w:b/>
                <w:i/>
              </w:rPr>
              <w:t>spojené</w:t>
            </w:r>
            <w:r>
              <w:t xml:space="preserve"> s podáváním zpráv;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1276</w:t>
      </w:r>
      <w:r>
        <w:rPr>
          <w:rStyle w:val="HideTWBExt"/>
        </w:rPr>
        <w:t>&lt;/NumAm&gt;</w:t>
      </w:r>
    </w:p>
    <w:p>
      <w:pPr>
        <w:pStyle w:val="NormalBold"/>
      </w:pPr>
      <w:r>
        <w:rPr>
          <w:rStyle w:val="HideTWBExt"/>
          <w:b w:val="0"/>
        </w:rPr>
        <w:t>&lt;RepeatBlock-By&gt;</w:t>
      </w:r>
      <w:r>
        <w:rPr>
          <w:rStyle w:val="HideTWBExt"/>
          <w:b w:val="0"/>
        </w:rPr>
        <w:t>&lt;Members&gt;</w:t>
      </w:r>
      <w:r>
        <w:t>Nicola Procaccini, Carlo Fidanza, Alessandro Ciriani, Elena Donazzan, Pietro Fiocchi, Lara Magoni, Francesco Torselli,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posílení konkurenceschopnosti malých a středních podniků a malých </w:t>
            </w:r>
            <w:r>
              <w:rPr>
                <w:b/>
                <w:i/>
              </w:rPr>
              <w:t>podniků</w:t>
            </w:r>
            <w:r>
              <w:t xml:space="preserve"> se střední tržní kapitalizací usazených v Unii a jejich schopnosti růst a rozšiřovat se, zejména zlepšením jejich přístupu k financování, včetně soukromých investic, mikrofinancování a podpory sociálních podniků, jakož i usnadněním přístupu k financování Unie prostřednictvím rychlejších, zjednodušených a harmonizovaných postupů; snížení a zajištění přiměřené zátěže související s podáváním zpráv;</w:t>
            </w:r>
          </w:p>
        </w:tc>
        <w:tc>
          <w:tcPr>
            <w:tcW w:w="4876" w:type="dxa"/>
            <w:tcBorders>
              <w:top w:val="nil"/>
              <w:left w:val="nil"/>
              <w:bottom w:val="nil"/>
              <w:right w:val="nil"/>
            </w:tcBorders>
          </w:tcPr>
          <w:p>
            <w:pPr>
              <w:pStyle w:val="Normal6a"/>
            </w:pPr>
            <w:r>
              <w:t>g)</w:t>
            </w:r>
            <w:r>
              <w:tab/>
            </w:r>
            <w:r>
              <w:t xml:space="preserve">posílení konkurenceschopnosti malých a středních podniků a malých </w:t>
            </w:r>
            <w:r>
              <w:rPr>
                <w:b/>
                <w:i/>
              </w:rPr>
              <w:t>společností</w:t>
            </w:r>
            <w:r>
              <w:t xml:space="preserve"> se střední tržní kapitalizací usazených v Unii a jejich schopnosti růst a rozšiřovat se </w:t>
            </w:r>
            <w:r>
              <w:rPr>
                <w:b/>
                <w:i/>
              </w:rPr>
              <w:t>a zintenzivňovat svou přítomnost na místní úrovni</w:t>
            </w:r>
            <w:r>
              <w:t>, zejména zlepšením jejich přístupu k financování, včetně soukromých investic, mikrofinancování a podpory sociálních podniků, jakož i usnadněním přístupu k financování Unie prostřednictvím rychlejších, zjednodušených a harmonizovaných postupů; snížení a zajištění přiměřené zátěže související s podáváním zpráv;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1277</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posílení </w:t>
            </w:r>
            <w:r>
              <w:rPr>
                <w:b/>
                <w:i/>
              </w:rPr>
              <w:t>konkurenceschopnosti</w:t>
            </w:r>
            <w:r>
              <w:t xml:space="preserve"> malých a středních podniků a </w:t>
            </w:r>
            <w:r>
              <w:rPr>
                <w:b/>
                <w:i/>
              </w:rPr>
              <w:t>malých podniků se střední tržní kapitalizací</w:t>
            </w:r>
            <w:r>
              <w:t xml:space="preserve"> usazených v Unii a jejich schopnosti </w:t>
            </w:r>
            <w:r>
              <w:rPr>
                <w:b/>
                <w:i/>
              </w:rPr>
              <w:t>růst a rozšiřovat se</w:t>
            </w:r>
            <w:r>
              <w:t>, zejména zlepšením jejich přístupu k financování, včetně soukromých investic</w:t>
            </w:r>
            <w:r>
              <w:rPr>
                <w:b/>
                <w:i/>
              </w:rPr>
              <w:t>, mikrofinancování</w:t>
            </w:r>
            <w:r>
              <w:t xml:space="preserve"> a podpory sociálních podniků, jakož i usnadněním přístupu k financování Unie prostřednictvím rychlejších, zjednodušených a harmonizovaných postupů; snížení a zajištění přiměřené zátěže související s podáváním zpráv;</w:t>
            </w:r>
          </w:p>
        </w:tc>
        <w:tc>
          <w:tcPr>
            <w:tcW w:w="4876" w:type="dxa"/>
            <w:tcBorders>
              <w:top w:val="nil"/>
              <w:left w:val="nil"/>
              <w:bottom w:val="nil"/>
              <w:right w:val="nil"/>
            </w:tcBorders>
          </w:tcPr>
          <w:p>
            <w:pPr>
              <w:pStyle w:val="Normal6a"/>
            </w:pPr>
            <w:r>
              <w:t>g)</w:t>
            </w:r>
            <w:r>
              <w:tab/>
            </w:r>
            <w:r>
              <w:t xml:space="preserve">posílení malých a středních podniků a </w:t>
            </w:r>
            <w:r>
              <w:rPr>
                <w:b/>
                <w:i/>
              </w:rPr>
              <w:t>odvětví sociální ekonomiky</w:t>
            </w:r>
            <w:r>
              <w:t xml:space="preserve"> usazených v Unii a jejich schopnosti </w:t>
            </w:r>
            <w:r>
              <w:rPr>
                <w:b/>
                <w:i/>
              </w:rPr>
              <w:t>růstu a rozšiřování</w:t>
            </w:r>
            <w:r>
              <w:t>, zejména zlepšením jejich přístupu k financování, včetně soukromých investic a podpory sociálních podniků, jakož i usnadněním přístupu k financování Unie prostřednictvím rychlejších, zjednodušených a harmonizovaných postupů; snížení a zajištění přiměřené zátěže související s podáváním zpráv;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1278</w:t>
      </w:r>
      <w:r>
        <w:rPr>
          <w:rStyle w:val="HideTWBExt"/>
        </w:rPr>
        <w:t>&lt;/NumAm&gt;</w:t>
      </w:r>
    </w:p>
    <w:p>
      <w:pPr>
        <w:pStyle w:val="NormalBold"/>
      </w:pPr>
      <w:r>
        <w:rPr>
          <w:rStyle w:val="HideTWBExt"/>
          <w:b w:val="0"/>
        </w:rPr>
        <w:t>&lt;RepeatBlock-By&gt;</w:t>
      </w:r>
      <w:r>
        <w:rPr>
          <w:rStyle w:val="HideTWBExt"/>
          <w:b w:val="0"/>
        </w:rPr>
        <w:t>&lt;Members&gt;</w:t>
      </w:r>
      <w:r>
        <w:t>András Gyürk,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g</w:t>
      </w:r>
      <w:r>
        <w:rPr>
          <w:rStyle w:val="HideTWBExt"/>
        </w:rPr>
        <w:t>&lt;/Article&gt;</w:t>
      </w:r>
    </w:p>
    <w:p>
      <w:r>
        <w:rPr>
          <w:rStyle w:val="HideTWBExt"/>
        </w:rPr>
        <w:t>&lt;DocAmend2&gt;</w:t>
      </w:r>
      <w:r>
        <w:t>Návrh nařízení</w:t>
      </w:r>
      <w:r>
        <w:rPr>
          <w:rStyle w:val="HideTWBExt"/>
        </w:rPr>
        <w:t>&lt;/DocAmend2&gt;</w:t>
      </w:r>
    </w:p>
    <w:p>
      <w:r>
        <w:rPr>
          <w:rStyle w:val="HideTWBExt"/>
        </w:rPr>
        <w:t>&lt;Article2&gt;</w:t>
      </w:r>
      <w:r>
        <w:t>Čl. 3 – odst. 1 – písm. g</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posílení konkurenceschopnosti malých a středních podniků a malých </w:t>
            </w:r>
            <w:r>
              <w:rPr>
                <w:b/>
                <w:i/>
              </w:rPr>
              <w:t>podniků</w:t>
            </w:r>
            <w:r>
              <w:t xml:space="preserve"> se střední tržní kapitalizací usazených v Unii a jejich schopnosti </w:t>
            </w:r>
            <w:r>
              <w:rPr>
                <w:b/>
                <w:i/>
              </w:rPr>
              <w:t>růst a rozšiřovat se</w:t>
            </w:r>
            <w:r>
              <w:t xml:space="preserve">, zejména zlepšením jejich přístupu k financování, včetně soukromých investic, </w:t>
            </w:r>
            <w:r>
              <w:rPr>
                <w:b/>
                <w:i/>
              </w:rPr>
              <w:t>mikrofinancování a podpory sociálních podniků, jakož i usnadněním přístupu k financování Unie</w:t>
            </w:r>
            <w:r>
              <w:t xml:space="preserve"> prostřednictvím rychlejších, zjednodušených a harmonizovaných postupů; snížení a zajištění přiměřené zátěže související s podáváním zpráv;</w:t>
            </w:r>
          </w:p>
        </w:tc>
        <w:tc>
          <w:tcPr>
            <w:tcW w:w="4876" w:type="dxa"/>
            <w:tcBorders>
              <w:top w:val="nil"/>
              <w:left w:val="nil"/>
              <w:bottom w:val="nil"/>
              <w:right w:val="nil"/>
            </w:tcBorders>
          </w:tcPr>
          <w:p>
            <w:pPr>
              <w:pStyle w:val="Normal6a"/>
            </w:pPr>
            <w:r>
              <w:t>g)</w:t>
            </w:r>
            <w:r>
              <w:tab/>
            </w:r>
            <w:r>
              <w:t xml:space="preserve">posílení konkurenceschopnosti malých a středních podniků a malých </w:t>
            </w:r>
            <w:r>
              <w:rPr>
                <w:b/>
                <w:i/>
              </w:rPr>
              <w:t>společností</w:t>
            </w:r>
            <w:r>
              <w:t xml:space="preserve"> se střední tržní kapitalizací usazených v </w:t>
            </w:r>
            <w:r>
              <w:rPr>
                <w:b/>
                <w:i/>
              </w:rPr>
              <w:t>celé</w:t>
            </w:r>
            <w:r>
              <w:t xml:space="preserve"> Unii a jejich schopnosti </w:t>
            </w:r>
            <w:r>
              <w:rPr>
                <w:b/>
                <w:i/>
              </w:rPr>
              <w:t>zajistit dlouhodobou transparentnost a kontinuitu operací v Evropě, schopnosti růstu a rozšiřování</w:t>
            </w:r>
            <w:r>
              <w:t>, zejména zlepšením jejich přístupu k financování, včetně soukromých investic, prostřednictvím rychlejších, zjednodušených a harmonizovaných postupů; snížení a zajištění přiměřené zátěže související s podáváním zpráv;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1279</w:t>
      </w:r>
      <w:r>
        <w:rPr>
          <w:rStyle w:val="HideTWBExt"/>
        </w:rPr>
        <w:t>&lt;/NumAm&gt;</w:t>
      </w:r>
    </w:p>
    <w:p>
      <w:pPr>
        <w:pStyle w:val="NormalBold"/>
      </w:pPr>
      <w:r>
        <w:rPr>
          <w:rStyle w:val="HideTWBExt"/>
          <w:b w:val="0"/>
        </w:rPr>
        <w:t>&lt;RepeatBlock-By&gt;</w:t>
      </w:r>
      <w:r>
        <w:rPr>
          <w:rStyle w:val="HideTWBExt"/>
          <w:b w:val="0"/>
        </w:rPr>
        <w:t>&lt;Members&gt;</w:t>
      </w:r>
      <w:r>
        <w:t>Christian Ehler, Oliver Schenk, Matej Tonin, Adina Vălean, Pilar del Castillo Vera, Hildegard Bentele, Angelika Niebler, Eszter Lakos, Radan Kanev, Susana Solís Pérez, Virgil-Daniel Popescu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posílení konkurenceschopnosti malých a středních podniků a malých </w:t>
            </w:r>
            <w:r>
              <w:rPr>
                <w:b/>
                <w:i/>
              </w:rPr>
              <w:t>podniků</w:t>
            </w:r>
            <w:r>
              <w:t xml:space="preserve"> se střední tržní kapitalizací usazených v Unii a jejich schopnosti </w:t>
            </w:r>
            <w:r>
              <w:rPr>
                <w:b/>
                <w:i/>
              </w:rPr>
              <w:t>růst a rozšiřovat se</w:t>
            </w:r>
            <w:r>
              <w:t xml:space="preserve">, zejména zlepšením jejich přístupu k financování, včetně soukromých investic, mikrofinancování a </w:t>
            </w:r>
            <w:r>
              <w:rPr>
                <w:b/>
                <w:i/>
              </w:rPr>
              <w:t>podpory sociálních podniků, jakož i</w:t>
            </w:r>
            <w:r>
              <w:t xml:space="preserve"> usnadněním přístupu k financování Unie prostřednictvím rychlejších, zjednodušených a harmonizovaných postupů; snížení a zajištění přiměřené zátěže související s podáváním zpráv;</w:t>
            </w:r>
          </w:p>
        </w:tc>
        <w:tc>
          <w:tcPr>
            <w:tcW w:w="4876" w:type="dxa"/>
            <w:tcBorders>
              <w:top w:val="nil"/>
              <w:left w:val="nil"/>
              <w:bottom w:val="nil"/>
              <w:right w:val="nil"/>
            </w:tcBorders>
          </w:tcPr>
          <w:p>
            <w:pPr>
              <w:pStyle w:val="Normal6a"/>
            </w:pPr>
            <w:r>
              <w:t>g)</w:t>
            </w:r>
            <w:r>
              <w:tab/>
            </w:r>
            <w:r>
              <w:t xml:space="preserve">posílení konkurenceschopnosti malých a středních podniků a malých </w:t>
            </w:r>
            <w:r>
              <w:rPr>
                <w:b/>
                <w:i/>
              </w:rPr>
              <w:t>společností</w:t>
            </w:r>
            <w:r>
              <w:t xml:space="preserve"> se střední tržní kapitalizací usazených v Unii a jejich schopnosti </w:t>
            </w:r>
            <w:r>
              <w:rPr>
                <w:b/>
                <w:i/>
              </w:rPr>
              <w:t>růstu a rozšiřování</w:t>
            </w:r>
            <w:r>
              <w:t>, zejména zlepšením jejich přístupu k financování, včetně soukromých investic, mikrofinancování a usnadněním přístupu k financování Unie prostřednictvím rychlejších, zjednodušených a harmonizovaných postupů; snížení a zajištění přiměřené zátěže související s podáváním zpráv;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1280</w:t>
      </w:r>
      <w:r>
        <w:rPr>
          <w:rStyle w:val="HideTWBExt"/>
        </w:rPr>
        <w:t>&lt;/NumAm&gt;</w:t>
      </w:r>
    </w:p>
    <w:p>
      <w:pPr>
        <w:pStyle w:val="NormalBold"/>
      </w:pPr>
      <w:r>
        <w:rPr>
          <w:rStyle w:val="HideTWBExt"/>
          <w:b w:val="0"/>
        </w:rPr>
        <w:t>&lt;RepeatBlock-By&gt;</w:t>
      </w:r>
      <w:r>
        <w:rPr>
          <w:rStyle w:val="HideTWBExt"/>
          <w:b w:val="0"/>
        </w:rPr>
        <w:t>&lt;Members&gt;</w:t>
      </w:r>
      <w:r>
        <w:t>Aura Salla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posílení konkurenceschopnosti malých a středních podniků a malých </w:t>
            </w:r>
            <w:r>
              <w:rPr>
                <w:b/>
                <w:i/>
              </w:rPr>
              <w:t>podniků</w:t>
            </w:r>
            <w:r>
              <w:t xml:space="preserve"> se střední tržní kapitalizací usazených v Unii a jejich schopnosti </w:t>
            </w:r>
            <w:r>
              <w:rPr>
                <w:b/>
                <w:i/>
              </w:rPr>
              <w:t>růst a rozšiřovat se</w:t>
            </w:r>
            <w:r>
              <w:t xml:space="preserve">, zejména zlepšením jejich přístupu k financování, včetně soukromých investic, mikrofinancování a </w:t>
            </w:r>
            <w:r>
              <w:rPr>
                <w:b/>
                <w:i/>
              </w:rPr>
              <w:t>podpory sociálních podniků, jakož i</w:t>
            </w:r>
            <w:r>
              <w:t xml:space="preserve"> usnadněním přístupu k financování Unie prostřednictvím rychlejších, zjednodušených a harmonizovaných postupů; snížení a zajištění přiměřené zátěže související s podáváním zpráv;</w:t>
            </w:r>
          </w:p>
        </w:tc>
        <w:tc>
          <w:tcPr>
            <w:tcW w:w="4876" w:type="dxa"/>
            <w:tcBorders>
              <w:top w:val="nil"/>
              <w:left w:val="nil"/>
              <w:bottom w:val="nil"/>
              <w:right w:val="nil"/>
            </w:tcBorders>
          </w:tcPr>
          <w:p>
            <w:pPr>
              <w:pStyle w:val="Normal6a"/>
            </w:pPr>
            <w:r>
              <w:t>g)</w:t>
            </w:r>
            <w:r>
              <w:tab/>
            </w:r>
            <w:r>
              <w:t xml:space="preserve">posílení konkurenceschopnosti malých a středních podniků a malých </w:t>
            </w:r>
            <w:r>
              <w:rPr>
                <w:b/>
                <w:i/>
              </w:rPr>
              <w:t>společností</w:t>
            </w:r>
            <w:r>
              <w:t xml:space="preserve"> se střední tržní kapitalizací usazených v Unii a jejich schopnosti </w:t>
            </w:r>
            <w:r>
              <w:rPr>
                <w:b/>
                <w:i/>
              </w:rPr>
              <w:t>růstu a rozšiřování</w:t>
            </w:r>
            <w:r>
              <w:t>, zejména zlepšením jejich přístupu k financování, včetně soukromých investic, mikrofinancování a usnadněním přístupu k financování Unie prostřednictvím rychlejších, zjednodušených a harmonizovaných postupů; snížení a zajištění přiměřené zátěže související s podáváním zpráv;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1281</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rPr>
                <w:b/>
                <w:i/>
              </w:rPr>
              <w:t>posílení konkurenceschopnosti</w:t>
            </w:r>
            <w:r>
              <w:t xml:space="preserve"> malých a středních podniků </w:t>
            </w:r>
            <w:r>
              <w:rPr>
                <w:b/>
                <w:i/>
              </w:rPr>
              <w:t>a</w:t>
            </w:r>
            <w:r>
              <w:t xml:space="preserve"> malých </w:t>
            </w:r>
            <w:r>
              <w:rPr>
                <w:b/>
                <w:i/>
              </w:rPr>
              <w:t>podniků</w:t>
            </w:r>
            <w:r>
              <w:t xml:space="preserve"> se střední tržní kapitalizací usazených v Unii </w:t>
            </w:r>
            <w:r>
              <w:rPr>
                <w:b/>
                <w:i/>
              </w:rPr>
              <w:t>a jejich schopnosti</w:t>
            </w:r>
            <w:r>
              <w:t xml:space="preserve"> růst a rozšiřovat se, zejména zlepšením jejich přístupu k financování, včetně soukromých investic, mikrofinancování a </w:t>
            </w:r>
            <w:r>
              <w:rPr>
                <w:b/>
                <w:i/>
              </w:rPr>
              <w:t>podpory sociálních podniků, jakož i</w:t>
            </w:r>
            <w:r>
              <w:t xml:space="preserve"> usnadněním přístupu k financování Unie prostřednictvím rychlejších, zjednodušených a harmonizovaných postupů</w:t>
            </w:r>
            <w:r>
              <w:rPr>
                <w:b/>
                <w:i/>
              </w:rPr>
              <w:t>;</w:t>
            </w:r>
            <w:r>
              <w:t xml:space="preserve"> </w:t>
            </w:r>
            <w:r>
              <w:rPr>
                <w:b/>
                <w:i/>
              </w:rPr>
              <w:t>snížení a zajištění přiměřené zátěže související s podáváním</w:t>
            </w:r>
            <w:r>
              <w:t xml:space="preserve"> zpráv;</w:t>
            </w:r>
          </w:p>
        </w:tc>
        <w:tc>
          <w:tcPr>
            <w:tcW w:w="4876" w:type="dxa"/>
            <w:tcBorders>
              <w:top w:val="nil"/>
              <w:left w:val="nil"/>
              <w:bottom w:val="nil"/>
              <w:right w:val="nil"/>
            </w:tcBorders>
          </w:tcPr>
          <w:p>
            <w:pPr>
              <w:pStyle w:val="Normal6a"/>
            </w:pPr>
            <w:r>
              <w:t>g)</w:t>
            </w:r>
            <w:r>
              <w:tab/>
            </w:r>
            <w:r>
              <w:rPr>
                <w:b/>
                <w:i/>
              </w:rPr>
              <w:t>podpory schopnosti</w:t>
            </w:r>
            <w:r>
              <w:t xml:space="preserve"> malých a středních podniků</w:t>
            </w:r>
            <w:r>
              <w:rPr>
                <w:b/>
                <w:i/>
              </w:rPr>
              <w:t>,</w:t>
            </w:r>
            <w:r>
              <w:t xml:space="preserve"> malých </w:t>
            </w:r>
            <w:r>
              <w:rPr>
                <w:b/>
                <w:i/>
              </w:rPr>
              <w:t>společností</w:t>
            </w:r>
            <w:r>
              <w:t xml:space="preserve"> se střední tržní kapitalizací </w:t>
            </w:r>
            <w:r>
              <w:rPr>
                <w:b/>
                <w:i/>
              </w:rPr>
              <w:t>a inovativních scaleupů a sociálních podniků</w:t>
            </w:r>
            <w:r>
              <w:t xml:space="preserve"> usazených v Unii růst a rozšiřovat se, zejména zlepšením jejich přístupu </w:t>
            </w:r>
            <w:r>
              <w:rPr>
                <w:b/>
                <w:i/>
              </w:rPr>
              <w:t>na jednotný trh a</w:t>
            </w:r>
            <w:r>
              <w:t xml:space="preserve"> k financování, včetně soukromých investic, mikrofinancování a usnadněním přístupu k financování Unie prostřednictvím rychlejších, zjednodušených a harmonizovaných </w:t>
            </w:r>
            <w:r>
              <w:rPr>
                <w:b/>
                <w:i/>
              </w:rPr>
              <w:t>a přiměřených</w:t>
            </w:r>
            <w:r>
              <w:t xml:space="preserve"> postupů </w:t>
            </w:r>
            <w:r>
              <w:rPr>
                <w:b/>
                <w:i/>
              </w:rPr>
              <w:t>a podávání</w:t>
            </w:r>
            <w:r>
              <w:t xml:space="preserve"> zpráv;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1282</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g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posílení konkurenceschopnosti malých společností se střední tržní kapitalizací usazených v celé Unii a jejich schopnosti zajistit dlouhodobou životaschopnost a kontinuitu operací v rámci EU, růst a rozšiřovat svou činnost, zejména zlepšením jejich přístupu k financování, včetně soukromých investic, jakož i usnadněním přístupu k finančním prostředkům Unie prostřednictvím rychlejších, zjednodušených a harmonizovaných postupů a snížením a zajištěním přiměřené zátěže spojené s podáváním zpráv;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1283</w:t>
      </w:r>
      <w:r>
        <w:rPr>
          <w:rStyle w:val="HideTWBExt"/>
        </w:rPr>
        <w:t>&lt;/NumAm&gt;</w:t>
      </w:r>
    </w:p>
    <w:p>
      <w:pPr>
        <w:pStyle w:val="NormalBold"/>
      </w:pPr>
      <w:r>
        <w:rPr>
          <w:rStyle w:val="HideTWBExt"/>
          <w:b w:val="0"/>
        </w:rPr>
        <w:t>&lt;RepeatBlock-By&gt;</w:t>
      </w:r>
      <w:r>
        <w:rPr>
          <w:rStyle w:val="HideTWBExt"/>
          <w:b w:val="0"/>
        </w:rPr>
        <w:t>&lt;Members&gt;</w:t>
      </w:r>
      <w:r>
        <w:t>Dimitris Tsiodras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g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posílení konkurenceschopnosti malých společností se střední tržní kapitalizací usazených v celé Unii a jejich schopnosti zajistit dlouhodobou životaschopnost a kontinuitu operací v rámci EU, růst a rozšiřovat svou činnost, zejména zlepšením jejich přístupu k financování, včetně soukromých investic, jakož i usnadněním přístupu k finančním prostředkům Unie prostřednictvím rychlejších, zjednodušených a harmonizovaných postupů a snížením a zajištěním přiměřené zátěže spojené s podáváním zpráv;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1284</w:t>
      </w:r>
      <w:r>
        <w:rPr>
          <w:rStyle w:val="HideTWBExt"/>
        </w:rPr>
        <w:t>&lt;/NumAm&gt;</w:t>
      </w:r>
    </w:p>
    <w:p>
      <w:pPr>
        <w:pStyle w:val="NormalBold"/>
      </w:pPr>
      <w:r>
        <w:rPr>
          <w:rStyle w:val="HideTWBExt"/>
          <w:b w:val="0"/>
        </w:rPr>
        <w:t>&lt;RepeatBlock-By&gt;</w:t>
      </w:r>
      <w:r>
        <w:rPr>
          <w:rStyle w:val="HideTWBExt"/>
          <w:b w:val="0"/>
        </w:rPr>
        <w:t>&lt;Members&gt;</w:t>
      </w:r>
      <w:r>
        <w:t>Yvan Verougstraete, Sigrid Friis, Christophe Grudler,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h)</w:t>
            </w:r>
            <w:r>
              <w:tab/>
            </w:r>
            <w:r>
              <w:rPr>
                <w:b/>
                <w:i/>
              </w:rPr>
              <w:t>řešení nedostatku dovedností kriticky potřebných pro všechny druhy kvalitních pracovních míst v odvětvích se strategickým významem pro konkurenceschopnost EU, a to prostřednictvím horizontálních i specifických investic do dovedností, přispíváním k dostupnosti dovedností v oblasti budoucích nových technologií a snahou doprovázet investiční činnost investicemi do dovedností a uvádět, kdy jsou tyto investice zahrnuty;</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začleněno do předchozího odstavce.</w:t>
      </w:r>
    </w:p>
    <w:p>
      <w:r>
        <w:rPr>
          <w:rStyle w:val="HideTWBExt"/>
        </w:rPr>
        <w:t>&lt;/Amend&gt;</w:t>
      </w:r>
    </w:p>
    <w:p>
      <w:pPr>
        <w:pStyle w:val="AmNumberTabs"/>
      </w:pPr>
      <w:r>
        <w:rPr>
          <w:rStyle w:val="HideTWBExt"/>
        </w:rPr>
        <w:t>&lt;Amend&gt;</w:t>
      </w:r>
      <w:r>
        <w:t>Pozměňovací návrh</w:t>
      </w:r>
      <w:r>
        <w:tab/>
      </w:r>
      <w:r>
        <w:tab/>
      </w:r>
      <w:r>
        <w:rPr>
          <w:rStyle w:val="HideTWBExt"/>
        </w:rPr>
        <w:t>&lt;NumAm&gt;</w:t>
      </w:r>
      <w:r>
        <w:t>1285</w:t>
      </w:r>
      <w:r>
        <w:rPr>
          <w:rStyle w:val="HideTWBExt"/>
        </w:rPr>
        <w:t>&lt;/NumAm&gt;</w:t>
      </w:r>
    </w:p>
    <w:p>
      <w:pPr>
        <w:pStyle w:val="NormalBold"/>
      </w:pPr>
      <w:r>
        <w:rPr>
          <w:rStyle w:val="HideTWBExt"/>
          <w:b w:val="0"/>
        </w:rPr>
        <w:t>&lt;RepeatBlock-By&gt;</w:t>
      </w:r>
      <w:r>
        <w:rPr>
          <w:rStyle w:val="HideTWBExt"/>
          <w:b w:val="0"/>
        </w:rPr>
        <w:t>&lt;Members&gt;</w:t>
      </w:r>
      <w:r>
        <w:t>Aldo Patriciello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řešení nedostatku dovedností kriticky potřebných pro všechny druhy kvalitních pracovních míst v odvětvích se strategickým významem pro konkurenceschopnost EU, a to prostřednictvím horizontálních i specifických investic do dovedností, přispíváním k dostupnosti dovedností v oblasti budoucích nových technologií a snahou doprovázet investiční činnost investicemi do dovedností a uvádět, kdy jsou tyto investice zahrnuty;</w:t>
            </w:r>
          </w:p>
        </w:tc>
        <w:tc>
          <w:tcPr>
            <w:tcW w:w="4876" w:type="dxa"/>
            <w:tcBorders>
              <w:top w:val="nil"/>
              <w:left w:val="nil"/>
              <w:bottom w:val="nil"/>
              <w:right w:val="nil"/>
            </w:tcBorders>
          </w:tcPr>
          <w:p>
            <w:pPr>
              <w:pStyle w:val="Normal6a"/>
            </w:pPr>
            <w:r>
              <w:t>h)</w:t>
            </w:r>
            <w:r>
              <w:tab/>
            </w:r>
            <w:r>
              <w:t xml:space="preserve">řešení nedostatku dovedností kriticky potřebných pro všechny druhy kvalitních pracovních míst v odvětvích se strategickým významem pro konkurenceschopnost EU, a to prostřednictvím horizontálních i specifických investic do dovedností, </w:t>
            </w:r>
            <w:r>
              <w:rPr>
                <w:b/>
                <w:i/>
              </w:rPr>
              <w:t>integrovaných programů, partnerství veřejného a soukromého sektoru, spolupráce mezi výzkumnými ústavy a univerzitami,</w:t>
            </w:r>
            <w:r>
              <w:t xml:space="preserve"> přispíváním k dostupnosti dovedností v oblasti budoucích nových technologií a snahou doprovázet investiční činnost investicemi do dovedností a uvádět, kdy jsou tyto investice zahrnuty;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1286</w:t>
      </w:r>
      <w:r>
        <w:rPr>
          <w:rStyle w:val="HideTWBExt"/>
        </w:rPr>
        <w:t>&lt;/NumAm&gt;</w:t>
      </w:r>
    </w:p>
    <w:p>
      <w:pPr>
        <w:pStyle w:val="NormalBold"/>
      </w:pPr>
      <w:r>
        <w:rPr>
          <w:rStyle w:val="HideTWBExt"/>
          <w:b w:val="0"/>
        </w:rPr>
        <w:t>&lt;RepeatBlock-By&gt;</w:t>
      </w:r>
      <w:r>
        <w:rPr>
          <w:rStyle w:val="HideTWBExt"/>
          <w:b w:val="0"/>
        </w:rPr>
        <w:t>&lt;Members&gt;</w:t>
      </w:r>
      <w:r>
        <w:t>Paolo Borchia, Isabella Tovaglieri, Raffaele Stancanelli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řešení nedostatku dovedností kriticky potřebných pro všechny druhy kvalitních pracovních míst v odvětvích se strategickým významem pro konkurenceschopnost EU, a to prostřednictvím horizontálních i specifických investic do dovedností, přispíváním k dostupnosti dovedností v oblasti budoucích nových technologií a snahou doprovázet investiční činnost investicemi do dovedností a uvádět, kdy jsou tyto investice zahrnuty;</w:t>
            </w:r>
          </w:p>
        </w:tc>
        <w:tc>
          <w:tcPr>
            <w:tcW w:w="4876" w:type="dxa"/>
            <w:tcBorders>
              <w:top w:val="nil"/>
              <w:left w:val="nil"/>
              <w:bottom w:val="nil"/>
              <w:right w:val="nil"/>
            </w:tcBorders>
          </w:tcPr>
          <w:p>
            <w:pPr>
              <w:pStyle w:val="Normal6a"/>
            </w:pPr>
            <w:r>
              <w:t>h)</w:t>
            </w:r>
            <w:r>
              <w:tab/>
            </w:r>
            <w:r>
              <w:t xml:space="preserve">řešení nedostatku dovedností kriticky potřebných pro všechny druhy kvalitních pracovních míst v odvětvích se strategickým významem pro konkurenceschopnost EU, a to prostřednictvím horizontálních i specifických investic do dovedností, </w:t>
            </w:r>
            <w:r>
              <w:rPr>
                <w:b/>
                <w:i/>
              </w:rPr>
              <w:t>integrovaných programů, partnerství veřejného a soukromého sektoru, spolupráce mezi výzkumnými ústavy a univerzitami,</w:t>
            </w:r>
            <w:r>
              <w:t xml:space="preserve"> přispíváním k dostupnosti dovedností v oblasti budoucích nových technologií a snahou doprovázet investiční činnost investicemi do dovedností a uvádět, kdy jsou tyto investice zahrnuty;</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Nedostatek kvalifikovaných pracovníků ve strategických odvětvích nelze řešit pouze investicemi. Integrované programy, které propojují vzdělávání a potřeby trhu práce, partnerství veřejného a soukromého sektoru, která slaďují odbornou přípravu s požadavky průmyslu, a strukturovaná spolupráce mezi výzkumnými ústavy a univerzitami jsou základními mechanismy pro budování lidského kapitálu, na němž závisí evropská konkurenceschopnost.</w:t>
      </w:r>
    </w:p>
    <w:p>
      <w:r>
        <w:rPr>
          <w:rStyle w:val="HideTWBExt"/>
        </w:rPr>
        <w:t>&lt;/Amend&gt;</w:t>
      </w:r>
    </w:p>
    <w:p>
      <w:pPr>
        <w:pStyle w:val="AmNumberTabs"/>
      </w:pPr>
      <w:r>
        <w:rPr>
          <w:rStyle w:val="HideTWBExt"/>
        </w:rPr>
        <w:t>&lt;Amend&gt;</w:t>
      </w:r>
      <w:r>
        <w:t>Pozměňovací návrh</w:t>
      </w:r>
      <w:r>
        <w:tab/>
      </w:r>
      <w:r>
        <w:tab/>
      </w:r>
      <w:r>
        <w:rPr>
          <w:rStyle w:val="HideTWBExt"/>
        </w:rPr>
        <w:t>&lt;NumAm&gt;</w:t>
      </w:r>
      <w:r>
        <w:t>1287</w:t>
      </w:r>
      <w:r>
        <w:rPr>
          <w:rStyle w:val="HideTWBExt"/>
        </w:rPr>
        <w:t>&lt;/NumAm&gt;</w:t>
      </w:r>
    </w:p>
    <w:p>
      <w:pPr>
        <w:pStyle w:val="NormalBold"/>
      </w:pPr>
      <w:r>
        <w:rPr>
          <w:rStyle w:val="HideTWBExt"/>
          <w:b w:val="0"/>
        </w:rPr>
        <w:t>&lt;RepeatBlock-By&gt;</w:t>
      </w:r>
      <w:r>
        <w:rPr>
          <w:rStyle w:val="HideTWBExt"/>
          <w:b w:val="0"/>
        </w:rPr>
        <w:t>&lt;Members&gt;</w:t>
      </w:r>
      <w:r>
        <w:t>Matthias Ecke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řešení nedostatku dovedností kriticky potřebných pro všechny druhy kvalitních pracovních míst v odvětvích se strategickým významem pro konkurenceschopnost EU, a to prostřednictvím horizontálních i specifických investic do dovedností, přispíváním k dostupnosti dovedností v oblasti budoucích nových technologií a snahou doprovázet investiční činnost investicemi do dovedností a uvádět, kdy jsou tyto investice zahrnuty;</w:t>
            </w:r>
          </w:p>
        </w:tc>
        <w:tc>
          <w:tcPr>
            <w:tcW w:w="4876" w:type="dxa"/>
            <w:tcBorders>
              <w:top w:val="nil"/>
              <w:left w:val="nil"/>
              <w:bottom w:val="nil"/>
              <w:right w:val="nil"/>
            </w:tcBorders>
          </w:tcPr>
          <w:p>
            <w:pPr>
              <w:pStyle w:val="Normal6a"/>
            </w:pPr>
            <w:r>
              <w:t>h)</w:t>
            </w:r>
            <w:r>
              <w:tab/>
            </w:r>
            <w:r>
              <w:t xml:space="preserve">řešení nedostatku dovedností kriticky potřebných pro všechny druhy kvalitních pracovních míst v odvětvích se strategickým významem pro konkurenceschopnost EU, a to prostřednictvím horizontálních i specifických investic do dovedností, </w:t>
            </w:r>
            <w:r>
              <w:rPr>
                <w:b/>
                <w:i/>
              </w:rPr>
              <w:t>vyčleněním pěti procent rozpočtu v rámci každého okna pro dovednosti,</w:t>
            </w:r>
            <w:r>
              <w:t xml:space="preserve"> přispíváním k dostupnosti dovedností v oblasti budoucích nových technologií a snahou doprovázet investiční činnost investicemi do dovedností a uvádět, kdy jsou tyto investice zahrnuty;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1288</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řešení nedostatku dovedností </w:t>
            </w:r>
            <w:r>
              <w:rPr>
                <w:b/>
                <w:i/>
              </w:rPr>
              <w:t>kriticky potřebných</w:t>
            </w:r>
            <w:r>
              <w:t xml:space="preserve"> pro všechny druhy kvalitních pracovních míst </w:t>
            </w:r>
            <w:r>
              <w:rPr>
                <w:b/>
                <w:i/>
              </w:rPr>
              <w:t>v</w:t>
            </w:r>
            <w:r>
              <w:t xml:space="preserve"> odvětvích </w:t>
            </w:r>
            <w:r>
              <w:rPr>
                <w:b/>
                <w:i/>
              </w:rPr>
              <w:t>se strategickým významem</w:t>
            </w:r>
            <w:r>
              <w:t xml:space="preserve"> pro konkurenceschopnost EU, a to prostřednictvím horizontálních i specifických investic do dovedností, přispíváním k dostupnosti dovedností v oblasti budoucích nových technologií a snahou doprovázet investiční činnost investicemi do dovedností a uvádět, kdy jsou tyto investice zahrnuty;</w:t>
            </w:r>
          </w:p>
        </w:tc>
        <w:tc>
          <w:tcPr>
            <w:tcW w:w="4876" w:type="dxa"/>
            <w:tcBorders>
              <w:top w:val="nil"/>
              <w:left w:val="nil"/>
              <w:bottom w:val="nil"/>
              <w:right w:val="nil"/>
            </w:tcBorders>
          </w:tcPr>
          <w:p>
            <w:pPr>
              <w:pStyle w:val="Normal6a"/>
            </w:pPr>
            <w:r>
              <w:t>h)</w:t>
            </w:r>
            <w:r>
              <w:tab/>
            </w:r>
            <w:r>
              <w:t>řešení nedostatku dovedností</w:t>
            </w:r>
            <w:r>
              <w:rPr>
                <w:b/>
                <w:i/>
              </w:rPr>
              <w:t>, které mají zásadní význam</w:t>
            </w:r>
            <w:r>
              <w:t xml:space="preserve"> pro všechny druhy kvalitních pracovních míst </w:t>
            </w:r>
            <w:r>
              <w:rPr>
                <w:b/>
                <w:i/>
              </w:rPr>
              <w:t>ve strategických</w:t>
            </w:r>
            <w:r>
              <w:t xml:space="preserve"> odvětvích pro konkurenceschopnost EU </w:t>
            </w:r>
            <w:r>
              <w:rPr>
                <w:b/>
                <w:i/>
              </w:rPr>
              <w:t>a v klíčových oblastech, jako jsou venkovské a zemědělské komunity</w:t>
            </w:r>
            <w:r>
              <w:t>, a to prostřednictvím horizontálních i specifických investic do dovedností, přispíváním k dostupnosti dovedností v oblasti budoucích nových technologií a snahou doprovázet investiční činnost investicemi do dovedností a uvádět, kdy jsou tyto investice zahrnuty;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1289</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řešení nedostatku dovedností </w:t>
            </w:r>
            <w:r>
              <w:rPr>
                <w:b/>
                <w:i/>
              </w:rPr>
              <w:t>kriticky potřebných</w:t>
            </w:r>
            <w:r>
              <w:t xml:space="preserve"> pro všechny druhy kvalitních pracovních míst </w:t>
            </w:r>
            <w:r>
              <w:rPr>
                <w:b/>
                <w:i/>
              </w:rPr>
              <w:t>v odvětvích se strategickým významem pro konkurenceschopnost EU</w:t>
            </w:r>
            <w:r>
              <w:t xml:space="preserve">, a to prostřednictvím horizontálních i specifických investic do dovedností, přispíváním k dostupnosti </w:t>
            </w:r>
            <w:r>
              <w:rPr>
                <w:b/>
                <w:i/>
              </w:rPr>
              <w:t>dovedností v oblasti budoucích nových</w:t>
            </w:r>
            <w:r>
              <w:t xml:space="preserve"> technologií a </w:t>
            </w:r>
            <w:r>
              <w:rPr>
                <w:b/>
                <w:i/>
              </w:rPr>
              <w:t>snahou doprovázet investiční činnost</w:t>
            </w:r>
            <w:r>
              <w:t xml:space="preserve"> investicemi do dovedností </w:t>
            </w:r>
            <w:r>
              <w:rPr>
                <w:b/>
                <w:i/>
              </w:rPr>
              <w:t>a uvádět, kdy jsou tyto investice zahrnuty</w:t>
            </w:r>
            <w:r>
              <w:t>;</w:t>
            </w:r>
          </w:p>
        </w:tc>
        <w:tc>
          <w:tcPr>
            <w:tcW w:w="4876" w:type="dxa"/>
            <w:tcBorders>
              <w:top w:val="nil"/>
              <w:left w:val="nil"/>
              <w:bottom w:val="nil"/>
              <w:right w:val="nil"/>
            </w:tcBorders>
          </w:tcPr>
          <w:p>
            <w:pPr>
              <w:pStyle w:val="Normal6a"/>
            </w:pPr>
            <w:r>
              <w:t>h)</w:t>
            </w:r>
            <w:r>
              <w:tab/>
            </w:r>
            <w:r>
              <w:t xml:space="preserve">řešení </w:t>
            </w:r>
            <w:r>
              <w:rPr>
                <w:b/>
                <w:i/>
              </w:rPr>
              <w:t>a předvídání</w:t>
            </w:r>
            <w:r>
              <w:t xml:space="preserve"> nedostatku dovedností</w:t>
            </w:r>
            <w:r>
              <w:rPr>
                <w:b/>
                <w:i/>
              </w:rPr>
              <w:t>, které mají zásadní význam</w:t>
            </w:r>
            <w:r>
              <w:t xml:space="preserve"> pro všechny druhy kvalitních pracovních míst, a to prostřednictvím horizontálních i specifických investic do dovedností </w:t>
            </w:r>
            <w:r>
              <w:rPr>
                <w:b/>
                <w:i/>
              </w:rPr>
              <w:t>se zaměřením na strategická odvětví</w:t>
            </w:r>
            <w:r>
              <w:t xml:space="preserve">, přispíváním k dostupnosti </w:t>
            </w:r>
            <w:r>
              <w:rPr>
                <w:b/>
                <w:i/>
              </w:rPr>
              <w:t>flexibilních pracovníků pro rozvoj hlubokých</w:t>
            </w:r>
            <w:r>
              <w:t xml:space="preserve"> technologií a </w:t>
            </w:r>
            <w:r>
              <w:rPr>
                <w:b/>
                <w:i/>
              </w:rPr>
              <w:t>řešení genderových rozdílů v dovednostech a případně veřejnou podporou spojenou s</w:t>
            </w:r>
            <w:r>
              <w:t xml:space="preserve"> investicemi do dovedností;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1290</w:t>
      </w:r>
      <w:r>
        <w:rPr>
          <w:rStyle w:val="HideTWBExt"/>
        </w:rPr>
        <w:t>&lt;/NumAm&gt;</w:t>
      </w:r>
    </w:p>
    <w:p>
      <w:pPr>
        <w:pStyle w:val="NormalBold"/>
      </w:pPr>
      <w:r>
        <w:rPr>
          <w:rStyle w:val="HideTWBExt"/>
          <w:b w:val="0"/>
        </w:rPr>
        <w:t>&lt;RepeatBlock-By&gt;</w:t>
      </w:r>
      <w:r>
        <w:rPr>
          <w:rStyle w:val="HideTWBExt"/>
          <w:b w:val="0"/>
        </w:rPr>
        <w:t>&lt;Members&gt;</w:t>
      </w:r>
      <w:r>
        <w:t>Dario Nardella, Stefano Bonaccini, Cristina Maestre, Maria Grapini, Giorgio Gori, Claire Fita, Eric Sargiacomo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řešení nedostatku dovedností </w:t>
            </w:r>
            <w:r>
              <w:rPr>
                <w:b/>
                <w:i/>
              </w:rPr>
              <w:t>kriticky potřebných</w:t>
            </w:r>
            <w:r>
              <w:t xml:space="preserve"> pro všechny druhy kvalitních pracovních míst </w:t>
            </w:r>
            <w:r>
              <w:rPr>
                <w:b/>
                <w:i/>
              </w:rPr>
              <w:t>v</w:t>
            </w:r>
            <w:r>
              <w:t xml:space="preserve"> odvětvích </w:t>
            </w:r>
            <w:r>
              <w:rPr>
                <w:b/>
                <w:i/>
              </w:rPr>
              <w:t>se strategickým významem</w:t>
            </w:r>
            <w:r>
              <w:t xml:space="preserve"> pro konkurenceschopnost EU, a to prostřednictvím horizontálních i specifických investic do dovedností, přispíváním k dostupnosti dovedností v </w:t>
            </w:r>
            <w:r>
              <w:rPr>
                <w:b/>
                <w:i/>
              </w:rPr>
              <w:t>oblasti</w:t>
            </w:r>
            <w:r>
              <w:t xml:space="preserve"> budoucích nových </w:t>
            </w:r>
            <w:r>
              <w:rPr>
                <w:b/>
                <w:i/>
              </w:rPr>
              <w:t>technologií</w:t>
            </w:r>
            <w:r>
              <w:t xml:space="preserve"> a snahou </w:t>
            </w:r>
            <w:r>
              <w:rPr>
                <w:b/>
                <w:i/>
              </w:rPr>
              <w:t>doprovázet investiční činnost</w:t>
            </w:r>
            <w:r>
              <w:t xml:space="preserve"> investicemi do dovedností a </w:t>
            </w:r>
            <w:r>
              <w:rPr>
                <w:b/>
                <w:i/>
              </w:rPr>
              <w:t>uvádět</w:t>
            </w:r>
            <w:r>
              <w:t>, kdy jsou tyto investice zahrnuty;</w:t>
            </w:r>
          </w:p>
        </w:tc>
        <w:tc>
          <w:tcPr>
            <w:tcW w:w="4876" w:type="dxa"/>
            <w:tcBorders>
              <w:top w:val="nil"/>
              <w:left w:val="nil"/>
              <w:bottom w:val="nil"/>
              <w:right w:val="nil"/>
            </w:tcBorders>
          </w:tcPr>
          <w:p>
            <w:pPr>
              <w:pStyle w:val="Normal6a"/>
            </w:pPr>
            <w:r>
              <w:t>h)</w:t>
            </w:r>
            <w:r>
              <w:tab/>
            </w:r>
            <w:r>
              <w:t>řešení nedostatku dovedností</w:t>
            </w:r>
            <w:r>
              <w:rPr>
                <w:b/>
                <w:i/>
              </w:rPr>
              <w:t>, které mají zásadní význam</w:t>
            </w:r>
            <w:r>
              <w:t xml:space="preserve"> pro všechny druhy kvalitních pracovních míst </w:t>
            </w:r>
            <w:r>
              <w:rPr>
                <w:b/>
                <w:i/>
              </w:rPr>
              <w:t>ve strategických</w:t>
            </w:r>
            <w:r>
              <w:t xml:space="preserve"> odvětvích pro konkurenceschopnost EU</w:t>
            </w:r>
            <w:r>
              <w:rPr>
                <w:b/>
                <w:i/>
              </w:rPr>
              <w:t>, včetně zemědělství a zemědělsko-potravinářského odvětví</w:t>
            </w:r>
            <w:r>
              <w:t xml:space="preserve">, a to prostřednictvím horizontálních i specifických investic do dovedností, přispíváním k dostupnosti dovedností v budoucích nových </w:t>
            </w:r>
            <w:r>
              <w:rPr>
                <w:b/>
                <w:i/>
              </w:rPr>
              <w:t>technologiích</w:t>
            </w:r>
            <w:r>
              <w:t xml:space="preserve"> a snahou </w:t>
            </w:r>
            <w:r>
              <w:rPr>
                <w:b/>
                <w:i/>
              </w:rPr>
              <w:t>doplnit investice</w:t>
            </w:r>
            <w:r>
              <w:t xml:space="preserve"> investicemi do dovedností a </w:t>
            </w:r>
            <w:r>
              <w:rPr>
                <w:b/>
                <w:i/>
              </w:rPr>
              <w:t>uvést</w:t>
            </w:r>
            <w:r>
              <w:t>, kdy jsou tyto investice zahrnuty;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1291</w:t>
      </w:r>
      <w:r>
        <w:rPr>
          <w:rStyle w:val="HideTWBExt"/>
        </w:rPr>
        <w:t>&lt;/NumAm&gt;</w:t>
      </w:r>
    </w:p>
    <w:p>
      <w:pPr>
        <w:pStyle w:val="NormalBold"/>
      </w:pPr>
      <w:r>
        <w:rPr>
          <w:rStyle w:val="HideTWBExt"/>
          <w:b w:val="0"/>
        </w:rPr>
        <w:t>&lt;RepeatBlock-By&gt;</w:t>
      </w:r>
      <w:r>
        <w:rPr>
          <w:rStyle w:val="HideTWBExt"/>
          <w:b w:val="0"/>
        </w:rPr>
        <w:t>&lt;Members&gt;</w:t>
      </w:r>
      <w:r>
        <w:t>Nicola Procaccini, Carlo Fidanza, Alessandro Ciriani, Elena Donazzan, Pietro Fiocchi, Lara Magoni, Francesco Torselli,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řešení nedostatku dovedností </w:t>
            </w:r>
            <w:r>
              <w:rPr>
                <w:b/>
                <w:i/>
              </w:rPr>
              <w:t>kriticky potřebných</w:t>
            </w:r>
            <w:r>
              <w:t xml:space="preserve"> pro všechny druhy kvalitních pracovních míst </w:t>
            </w:r>
            <w:r>
              <w:rPr>
                <w:b/>
                <w:i/>
              </w:rPr>
              <w:t>v</w:t>
            </w:r>
            <w:r>
              <w:t xml:space="preserve"> odvětvích </w:t>
            </w:r>
            <w:r>
              <w:rPr>
                <w:b/>
                <w:i/>
              </w:rPr>
              <w:t>se strategickým významem</w:t>
            </w:r>
            <w:r>
              <w:t xml:space="preserve"> pro konkurenceschopnost EU, a to prostřednictvím horizontálních i specifických investic do dovedností, přispíváním k dostupnosti dovedností v </w:t>
            </w:r>
            <w:r>
              <w:rPr>
                <w:b/>
                <w:i/>
              </w:rPr>
              <w:t>oblasti</w:t>
            </w:r>
            <w:r>
              <w:t xml:space="preserve"> budoucích nových </w:t>
            </w:r>
            <w:r>
              <w:rPr>
                <w:b/>
                <w:i/>
              </w:rPr>
              <w:t>technologií</w:t>
            </w:r>
            <w:r>
              <w:t xml:space="preserve"> a snahou </w:t>
            </w:r>
            <w:r>
              <w:rPr>
                <w:b/>
                <w:i/>
              </w:rPr>
              <w:t>doprovázet investiční činnost</w:t>
            </w:r>
            <w:r>
              <w:t xml:space="preserve"> investicemi do dovedností a </w:t>
            </w:r>
            <w:r>
              <w:rPr>
                <w:b/>
                <w:i/>
              </w:rPr>
              <w:t>uvádět</w:t>
            </w:r>
            <w:r>
              <w:t xml:space="preserve">, kdy jsou </w:t>
            </w:r>
            <w:r>
              <w:rPr>
                <w:b/>
                <w:i/>
              </w:rPr>
              <w:t>tyto investice</w:t>
            </w:r>
            <w:r>
              <w:t xml:space="preserve"> zahrnuty;</w:t>
            </w:r>
          </w:p>
        </w:tc>
        <w:tc>
          <w:tcPr>
            <w:tcW w:w="4876" w:type="dxa"/>
            <w:tcBorders>
              <w:top w:val="nil"/>
              <w:left w:val="nil"/>
              <w:bottom w:val="nil"/>
              <w:right w:val="nil"/>
            </w:tcBorders>
          </w:tcPr>
          <w:p>
            <w:pPr>
              <w:pStyle w:val="Normal6a"/>
            </w:pPr>
            <w:r>
              <w:t>h)</w:t>
            </w:r>
            <w:r>
              <w:tab/>
            </w:r>
            <w:r>
              <w:t>řešení nedostatku dovedností</w:t>
            </w:r>
            <w:r>
              <w:rPr>
                <w:b/>
                <w:i/>
              </w:rPr>
              <w:t>, které mají zásadní význam</w:t>
            </w:r>
            <w:r>
              <w:t xml:space="preserve"> pro všechny druhy kvalitních pracovních míst </w:t>
            </w:r>
            <w:r>
              <w:rPr>
                <w:b/>
                <w:i/>
              </w:rPr>
              <w:t>ve strategických</w:t>
            </w:r>
            <w:r>
              <w:t xml:space="preserve"> odvětvích</w:t>
            </w:r>
            <w:r>
              <w:rPr>
                <w:b/>
                <w:i/>
              </w:rPr>
              <w:t>, včetně zemědělství a zemědělsko-potravinářského odvětví,</w:t>
            </w:r>
            <w:r>
              <w:t xml:space="preserve"> pro konkurenceschopnost EU, a to prostřednictvím horizontálních i specifických investic do dovedností, přispíváním k dostupnosti dovedností v budoucích nových </w:t>
            </w:r>
            <w:r>
              <w:rPr>
                <w:b/>
                <w:i/>
              </w:rPr>
              <w:t>technologiích</w:t>
            </w:r>
            <w:r>
              <w:t xml:space="preserve"> a snahou </w:t>
            </w:r>
            <w:r>
              <w:rPr>
                <w:b/>
                <w:i/>
              </w:rPr>
              <w:t>doplnit investice</w:t>
            </w:r>
            <w:r>
              <w:t xml:space="preserve"> investicemi do dovedností a </w:t>
            </w:r>
            <w:r>
              <w:rPr>
                <w:b/>
                <w:i/>
              </w:rPr>
              <w:t>uvést</w:t>
            </w:r>
            <w:r>
              <w:t>, kdy jsou zahrnuty;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1292</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rPr>
                <w:b/>
                <w:i/>
              </w:rPr>
              <w:t>řešení</w:t>
            </w:r>
            <w:r>
              <w:t xml:space="preserve"> nedostatku dovedností </w:t>
            </w:r>
            <w:r>
              <w:rPr>
                <w:b/>
                <w:i/>
              </w:rPr>
              <w:t>kriticky potřebných pro všechny druhy</w:t>
            </w:r>
            <w:r>
              <w:t xml:space="preserve"> kvalitních pracovních míst v odvětvích </w:t>
            </w:r>
            <w:r>
              <w:rPr>
                <w:b/>
                <w:i/>
              </w:rPr>
              <w:t>se strategickým významem</w:t>
            </w:r>
            <w:r>
              <w:t xml:space="preserve"> pro konkurenceschopnost EU, a to </w:t>
            </w:r>
            <w:r>
              <w:rPr>
                <w:b/>
                <w:i/>
              </w:rPr>
              <w:t>prostřednictvím</w:t>
            </w:r>
            <w:r>
              <w:t xml:space="preserve"> horizontálních i specifických </w:t>
            </w:r>
            <w:r>
              <w:rPr>
                <w:b/>
                <w:i/>
              </w:rPr>
              <w:t>investic do</w:t>
            </w:r>
            <w:r>
              <w:t xml:space="preserve"> dovedností, </w:t>
            </w:r>
            <w:r>
              <w:rPr>
                <w:b/>
                <w:i/>
              </w:rPr>
              <w:t>přispíváním</w:t>
            </w:r>
            <w:r>
              <w:t xml:space="preserve"> k dostupnosti dovedností v oblasti budoucích nových technologií a </w:t>
            </w:r>
            <w:r>
              <w:rPr>
                <w:b/>
                <w:i/>
              </w:rPr>
              <w:t>snahou doprovázet investiční činnost</w:t>
            </w:r>
            <w:r>
              <w:t xml:space="preserve"> investicemi do dovedností a uvádět, kdy jsou tyto investice zahrnuty;</w:t>
            </w:r>
          </w:p>
        </w:tc>
        <w:tc>
          <w:tcPr>
            <w:tcW w:w="4876" w:type="dxa"/>
            <w:tcBorders>
              <w:top w:val="nil"/>
              <w:left w:val="nil"/>
              <w:bottom w:val="nil"/>
              <w:right w:val="nil"/>
            </w:tcBorders>
          </w:tcPr>
          <w:p>
            <w:pPr>
              <w:pStyle w:val="Normal6a"/>
            </w:pPr>
            <w:r>
              <w:t>h)</w:t>
            </w:r>
            <w:r>
              <w:tab/>
            </w:r>
            <w:r>
              <w:rPr>
                <w:b/>
                <w:i/>
              </w:rPr>
              <w:t>snížení</w:t>
            </w:r>
            <w:r>
              <w:t xml:space="preserve"> nedostatku </w:t>
            </w:r>
            <w:r>
              <w:rPr>
                <w:b/>
                <w:i/>
              </w:rPr>
              <w:t>klíčových</w:t>
            </w:r>
            <w:r>
              <w:t xml:space="preserve"> dovedností </w:t>
            </w:r>
            <w:r>
              <w:rPr>
                <w:b/>
                <w:i/>
              </w:rPr>
              <w:t>ve střednědobém a dlouhodobém horizontu u všech typů</w:t>
            </w:r>
            <w:r>
              <w:t xml:space="preserve"> kvalitních pracovních míst v odvětvích</w:t>
            </w:r>
            <w:r>
              <w:rPr>
                <w:b/>
                <w:i/>
              </w:rPr>
              <w:t>, která jsou strategická</w:t>
            </w:r>
            <w:r>
              <w:t xml:space="preserve"> pro konkurenceschopnost EU, a to </w:t>
            </w:r>
            <w:r>
              <w:rPr>
                <w:b/>
                <w:i/>
              </w:rPr>
              <w:t>investicemi do</w:t>
            </w:r>
            <w:r>
              <w:t xml:space="preserve"> horizontálních i specifických dovedností, </w:t>
            </w:r>
            <w:r>
              <w:rPr>
                <w:b/>
                <w:i/>
              </w:rPr>
              <w:t>přispěním</w:t>
            </w:r>
            <w:r>
              <w:t xml:space="preserve"> k dostupnosti dovedností v oblasti budoucích nových technologií a </w:t>
            </w:r>
            <w:r>
              <w:rPr>
                <w:b/>
                <w:i/>
              </w:rPr>
              <w:t>kombinací investic s</w:t>
            </w:r>
            <w:r>
              <w:t xml:space="preserve"> investicemi do dovedností a uvádět, kdy jsou tyto investice zahrnuty;</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1293</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řešení nedostatku dovedností </w:t>
            </w:r>
            <w:r>
              <w:rPr>
                <w:b/>
                <w:i/>
              </w:rPr>
              <w:t>kriticky potřebných</w:t>
            </w:r>
            <w:r>
              <w:t xml:space="preserve"> pro všechny druhy kvalitních pracovních míst </w:t>
            </w:r>
            <w:r>
              <w:rPr>
                <w:b/>
                <w:i/>
              </w:rPr>
              <w:t>v odvětvích se strategickým významem pro konkurenceschopnost EU</w:t>
            </w:r>
            <w:r>
              <w:t xml:space="preserve">, a to prostřednictvím horizontálních i specifických investic do dovedností, přispíváním k dostupnosti dovedností </w:t>
            </w:r>
            <w:r>
              <w:rPr>
                <w:b/>
                <w:i/>
              </w:rPr>
              <w:t>v oblasti</w:t>
            </w:r>
            <w:r>
              <w:t xml:space="preserve"> budoucích nových technologií </w:t>
            </w:r>
            <w:r>
              <w:rPr>
                <w:b/>
                <w:i/>
              </w:rPr>
              <w:t>a snahou doprovázet investiční činnost</w:t>
            </w:r>
            <w:r>
              <w:t xml:space="preserve"> investicemi do dovedností </w:t>
            </w:r>
            <w:r>
              <w:rPr>
                <w:b/>
                <w:i/>
              </w:rPr>
              <w:t>a</w:t>
            </w:r>
            <w:r>
              <w:t xml:space="preserve"> uvádět, kdy jsou </w:t>
            </w:r>
            <w:r>
              <w:rPr>
                <w:b/>
                <w:i/>
              </w:rPr>
              <w:t>tyto investice</w:t>
            </w:r>
            <w:r>
              <w:t xml:space="preserve"> zahrnuty;</w:t>
            </w:r>
          </w:p>
        </w:tc>
        <w:tc>
          <w:tcPr>
            <w:tcW w:w="4876" w:type="dxa"/>
            <w:tcBorders>
              <w:top w:val="nil"/>
              <w:left w:val="nil"/>
              <w:bottom w:val="nil"/>
              <w:right w:val="nil"/>
            </w:tcBorders>
          </w:tcPr>
          <w:p>
            <w:pPr>
              <w:pStyle w:val="Normal6a"/>
            </w:pPr>
            <w:r>
              <w:t>h)</w:t>
            </w:r>
            <w:r>
              <w:tab/>
            </w:r>
            <w:r>
              <w:t>řešení nedostatku dovedností</w:t>
            </w:r>
            <w:r>
              <w:rPr>
                <w:b/>
                <w:i/>
              </w:rPr>
              <w:t>, které mají zásadní význam</w:t>
            </w:r>
            <w:r>
              <w:t xml:space="preserve"> pro všechny druhy kvalitních pracovních míst, a to prostřednictvím horizontálních i specifických investic do dovedností, přispíváním k dostupnosti dovedností</w:t>
            </w:r>
            <w:r>
              <w:rPr>
                <w:b/>
                <w:i/>
              </w:rPr>
              <w:t>, a to i do</w:t>
            </w:r>
            <w:r>
              <w:t xml:space="preserve"> budoucích nových technologií</w:t>
            </w:r>
            <w:r>
              <w:rPr>
                <w:b/>
                <w:i/>
              </w:rPr>
              <w:t>, a doplněním investic</w:t>
            </w:r>
            <w:r>
              <w:t> investicemi do dovedností</w:t>
            </w:r>
            <w:r>
              <w:rPr>
                <w:b/>
                <w:i/>
              </w:rPr>
              <w:t>, přičemž je třeba</w:t>
            </w:r>
            <w:r>
              <w:t xml:space="preserve"> uvádět, kdy jsou zahrnuty;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1294</w:t>
      </w:r>
      <w:r>
        <w:rPr>
          <w:rStyle w:val="HideTWBExt"/>
        </w:rPr>
        <w:t>&lt;/NumAm&gt;</w:t>
      </w:r>
    </w:p>
    <w:p>
      <w:pPr>
        <w:pStyle w:val="NormalBold"/>
      </w:pPr>
      <w:r>
        <w:rPr>
          <w:rStyle w:val="HideTWBExt"/>
          <w:b w:val="0"/>
        </w:rPr>
        <w:t>&lt;RepeatBlock-By&gt;</w:t>
      </w:r>
      <w:r>
        <w:rPr>
          <w:rStyle w:val="HideTWBExt"/>
          <w:b w:val="0"/>
        </w:rPr>
        <w:t>&lt;Members&gt;</w:t>
      </w:r>
      <w:r>
        <w:t>Yvan Verougstraete, Sigrid Friis, Christophe Grudler,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w:t>
            </w:r>
            <w:r>
              <w:tab/>
            </w:r>
            <w:r>
              <w:rPr>
                <w:b/>
                <w:i/>
              </w:rPr>
              <w:t>zajištění integrace jednotného trhu, včetně podpory iniciativ v jakékoli fázi investičního vývoje s pozitivními vedlejšími účinky pro jednotný trh a odolnost jeho hodnotových řetězců;</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Začleněno do předchozího odstavce.</w:t>
      </w:r>
    </w:p>
    <w:p>
      <w:r>
        <w:rPr>
          <w:rStyle w:val="HideTWBExt"/>
        </w:rPr>
        <w:t>&lt;/Amend&gt;</w:t>
      </w:r>
    </w:p>
    <w:p>
      <w:pPr>
        <w:pStyle w:val="AmNumberTabs"/>
      </w:pPr>
      <w:r>
        <w:rPr>
          <w:rStyle w:val="HideTWBExt"/>
        </w:rPr>
        <w:t>&lt;Amend&gt;</w:t>
      </w:r>
      <w:r>
        <w:t>Pozměňovací návrh</w:t>
      </w:r>
      <w:r>
        <w:tab/>
      </w:r>
      <w:r>
        <w:tab/>
      </w:r>
      <w:r>
        <w:rPr>
          <w:rStyle w:val="HideTWBExt"/>
        </w:rPr>
        <w:t>&lt;NumAm&gt;</w:t>
      </w:r>
      <w:r>
        <w:t>1295</w:t>
      </w:r>
      <w:r>
        <w:rPr>
          <w:rStyle w:val="HideTWBExt"/>
        </w:rPr>
        <w:t>&lt;/NumAm&gt;</w:t>
      </w:r>
    </w:p>
    <w:p>
      <w:pPr>
        <w:pStyle w:val="NormalBold"/>
      </w:pPr>
      <w:r>
        <w:rPr>
          <w:rStyle w:val="HideTWBExt"/>
          <w:b w:val="0"/>
        </w:rPr>
        <w:t>&lt;RepeatBlock-By&gt;</w:t>
      </w:r>
      <w:r>
        <w:rPr>
          <w:rStyle w:val="HideTWBExt"/>
          <w:b w:val="0"/>
        </w:rPr>
        <w:t>&lt;Members&gt;</w:t>
      </w:r>
      <w:r>
        <w:t>Raúl de la Hoz Quintano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zajištění integrace jednotného trhu, včetně podpory iniciativ v jakékoli fázi investičního vývoje s pozitivními vedlejšími účinky pro jednotný trh a odolnost jeho hodnotových řetězců;</w:t>
            </w:r>
          </w:p>
        </w:tc>
        <w:tc>
          <w:tcPr>
            <w:tcW w:w="4876" w:type="dxa"/>
            <w:tcBorders>
              <w:top w:val="nil"/>
              <w:left w:val="nil"/>
              <w:bottom w:val="nil"/>
              <w:right w:val="nil"/>
            </w:tcBorders>
          </w:tcPr>
          <w:p>
            <w:pPr>
              <w:pStyle w:val="Normal6a"/>
            </w:pPr>
            <w:r>
              <w:t>i)</w:t>
            </w:r>
            <w:r>
              <w:tab/>
            </w:r>
            <w:r>
              <w:t>zajištění integrace jednotného trhu, včetně podpory iniciativ v jakékoli fázi investičního vývoje s pozitivními vedlejšími účinky pro jednotný trh a odolnost jeho hodnotových řetězců</w:t>
            </w:r>
            <w:r>
              <w:rPr>
                <w:b/>
                <w:i/>
              </w:rPr>
              <w:t>.</w:t>
            </w:r>
            <w:r>
              <w:t xml:space="preserve"> </w:t>
            </w:r>
            <w:r>
              <w:rPr>
                <w:b/>
                <w:i/>
              </w:rPr>
              <w:t>Evropský fond pro konkurenceschopnost by měl hrát klíčovou úlohu při ochraně základních zásad nenarušené hospodářské soutěže zakotvených ve Smlouvě o fungování Evropské unie a při zachování integrity a rovných podmínek jednotného trhu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1296</w:t>
      </w:r>
      <w:r>
        <w:rPr>
          <w:rStyle w:val="HideTWBExt"/>
        </w:rPr>
        <w:t>&lt;/NumAm&gt;</w:t>
      </w:r>
    </w:p>
    <w:p>
      <w:pPr>
        <w:pStyle w:val="NormalBold"/>
      </w:pPr>
      <w:r>
        <w:rPr>
          <w:rStyle w:val="HideTWBExt"/>
          <w:b w:val="0"/>
        </w:rPr>
        <w:t>&lt;RepeatBlock-By&gt;</w:t>
      </w:r>
      <w:r>
        <w:rPr>
          <w:rStyle w:val="HideTWBExt"/>
          <w:b w:val="0"/>
        </w:rPr>
        <w:t>&lt;Members&gt;</w:t>
      </w:r>
      <w:r>
        <w:t>Jüri Ratas, Riho Terras, Tobias Cremer, Sven Mikser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zajištění integrace jednotného trhu, včetně podpory iniciativ v jakékoli fázi investičního vývoje s pozitivními vedlejšími účinky pro jednotný trh a odolnost jeho hodnotových řetězců;</w:t>
            </w:r>
          </w:p>
        </w:tc>
        <w:tc>
          <w:tcPr>
            <w:tcW w:w="4876" w:type="dxa"/>
            <w:tcBorders>
              <w:top w:val="nil"/>
              <w:left w:val="nil"/>
              <w:bottom w:val="nil"/>
              <w:right w:val="nil"/>
            </w:tcBorders>
          </w:tcPr>
          <w:p>
            <w:pPr>
              <w:pStyle w:val="Normal6a"/>
            </w:pPr>
            <w:r>
              <w:t>i)</w:t>
            </w:r>
            <w:r>
              <w:tab/>
            </w:r>
            <w:r>
              <w:t>zajištění integrace jednotného trhu, včetně podpory iniciativ v jakékoli fázi investičního vývoje s pozitivními vedlejšími účinky pro jednotný trh a odolnost jeho hodnotových řetězců</w:t>
            </w:r>
            <w:r>
              <w:rPr>
                <w:b/>
                <w:i/>
              </w:rPr>
              <w:t>, snížení roztříštěnosti a rizika zbytečné duplicity evropských obranných produktů a technologií a zohlednění zvláštních potřeb členských států v případě naplnění konvenčních vojenských hrozeb</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1297</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zajištění </w:t>
            </w:r>
            <w:r>
              <w:rPr>
                <w:b/>
                <w:i/>
              </w:rPr>
              <w:t>integrace jednotného trhu, včetně podpory</w:t>
            </w:r>
            <w:r>
              <w:t xml:space="preserve"> iniciativ </w:t>
            </w:r>
            <w:r>
              <w:rPr>
                <w:b/>
                <w:i/>
              </w:rPr>
              <w:t>v jakékoli fázi investičního vývoje s pozitivními vedlejšími účinky pro jednotný trh</w:t>
            </w:r>
            <w:r>
              <w:t xml:space="preserve"> a odolnost </w:t>
            </w:r>
            <w:r>
              <w:rPr>
                <w:b/>
                <w:i/>
              </w:rPr>
              <w:t>jeho</w:t>
            </w:r>
            <w:r>
              <w:t xml:space="preserve"> hodnotových řetězců</w:t>
            </w:r>
            <w:r>
              <w:rPr>
                <w:b/>
                <w:i/>
              </w:rPr>
              <w:t>;</w:t>
            </w:r>
          </w:p>
        </w:tc>
        <w:tc>
          <w:tcPr>
            <w:tcW w:w="4876" w:type="dxa"/>
            <w:tcBorders>
              <w:top w:val="nil"/>
              <w:left w:val="nil"/>
              <w:bottom w:val="nil"/>
              <w:right w:val="nil"/>
            </w:tcBorders>
          </w:tcPr>
          <w:p>
            <w:pPr>
              <w:pStyle w:val="Normal6a"/>
            </w:pPr>
            <w:r>
              <w:t>i)</w:t>
            </w:r>
            <w:r>
              <w:tab/>
            </w:r>
            <w:r>
              <w:t xml:space="preserve">zajištění </w:t>
            </w:r>
            <w:r>
              <w:rPr>
                <w:b/>
                <w:i/>
              </w:rPr>
              <w:t>pozitivních vedlejších účinků pro společnost, mimo jiné podporou široké dostupnosti a cenové dostupnosti výsledků podporovaných</w:t>
            </w:r>
            <w:r>
              <w:t xml:space="preserve"> iniciativ</w:t>
            </w:r>
            <w:r>
              <w:rPr>
                <w:b/>
                <w:i/>
              </w:rPr>
              <w:t>, jakož i jejich přínosu k vzestupné konvergenci pro dobré životní podmínky, zdraví, prosperitu, kvalitu života, dobré pracovní podmínky, demokratická práva a svobody, vysoké environmentální normy</w:t>
            </w:r>
            <w:r>
              <w:t xml:space="preserve"> a odolnost hodnotových řetězců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1298</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zajištění integrace jednotného trhu, včetně podpory iniciativ v jakékoli fázi investičního vývoje s pozitivními vedlejšími účinky pro jednotný trh a odolnost jeho hodnotových řetězců;</w:t>
            </w:r>
          </w:p>
        </w:tc>
        <w:tc>
          <w:tcPr>
            <w:tcW w:w="4876" w:type="dxa"/>
            <w:tcBorders>
              <w:top w:val="nil"/>
              <w:left w:val="nil"/>
              <w:bottom w:val="nil"/>
              <w:right w:val="nil"/>
            </w:tcBorders>
          </w:tcPr>
          <w:p>
            <w:pPr>
              <w:pStyle w:val="Normal6a"/>
            </w:pPr>
            <w:r>
              <w:t>i)</w:t>
            </w:r>
            <w:r>
              <w:tab/>
            </w:r>
            <w:r>
              <w:t>zajištění integrace jednotného trhu, včetně podpory iniciativ v jakékoli fázi investičního vývoje s pozitivními vedlejšími účinky pro jednotný trh a odolnost jeho hodnotových řetězců</w:t>
            </w:r>
            <w:r>
              <w:rPr>
                <w:b/>
                <w:i/>
              </w:rPr>
              <w:t>, zejména v odvětvích s nulovými emisemi ve smyslu nařízení (EU) 2024/1735 (akt o průmyslu pro nulové čisté emise)</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Je třeba jasně stanovit právní a politickou vazbu mezi ECF a širším regulačním rámcem EU pro technologie pro nulové čisté emise a zajistit, aby financování Unie upřednostňovalo projekty s hmatatelnými celkovými dopady na růst, strategickou autonomii a integraci jednotného trhu.</w:t>
      </w:r>
    </w:p>
    <w:p>
      <w:r>
        <w:rPr>
          <w:rStyle w:val="HideTWBExt"/>
        </w:rPr>
        <w:t>&lt;/Amend&gt;</w:t>
      </w:r>
    </w:p>
    <w:p>
      <w:pPr>
        <w:pStyle w:val="AmNumberTabs"/>
      </w:pPr>
      <w:r>
        <w:rPr>
          <w:rStyle w:val="HideTWBExt"/>
        </w:rPr>
        <w:t>&lt;Amend&gt;</w:t>
      </w:r>
      <w:r>
        <w:t>Pozměňovací návrh</w:t>
      </w:r>
      <w:r>
        <w:tab/>
      </w:r>
      <w:r>
        <w:tab/>
      </w:r>
      <w:r>
        <w:rPr>
          <w:rStyle w:val="HideTWBExt"/>
        </w:rPr>
        <w:t>&lt;NumAm&gt;</w:t>
      </w:r>
      <w:r>
        <w:t>1299</w:t>
      </w:r>
      <w:r>
        <w:rPr>
          <w:rStyle w:val="HideTWBExt"/>
        </w:rPr>
        <w:t>&lt;/NumAm&gt;</w:t>
      </w:r>
    </w:p>
    <w:p>
      <w:pPr>
        <w:pStyle w:val="NormalBold"/>
      </w:pPr>
      <w:r>
        <w:rPr>
          <w:rStyle w:val="HideTWBExt"/>
          <w:b w:val="0"/>
        </w:rPr>
        <w:t>&lt;RepeatBlock-By&gt;</w:t>
      </w:r>
      <w:r>
        <w:rPr>
          <w:rStyle w:val="HideTWBExt"/>
          <w:b w:val="0"/>
        </w:rPr>
        <w:t>&lt;Members&gt;</w:t>
      </w:r>
      <w:r>
        <w:t>Matej Tonin, 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zajištění integrace jednotného trhu, včetně podpory iniciativ v jakékoli fázi investičního vývoje s pozitivními vedlejšími účinky pro jednotný trh a odolnost jeho hodnotových řetězců;</w:t>
            </w:r>
          </w:p>
        </w:tc>
        <w:tc>
          <w:tcPr>
            <w:tcW w:w="4876" w:type="dxa"/>
            <w:tcBorders>
              <w:top w:val="nil"/>
              <w:left w:val="nil"/>
              <w:bottom w:val="nil"/>
              <w:right w:val="nil"/>
            </w:tcBorders>
          </w:tcPr>
          <w:p>
            <w:pPr>
              <w:pStyle w:val="Normal6a"/>
            </w:pPr>
            <w:r>
              <w:t>i)</w:t>
            </w:r>
            <w:r>
              <w:tab/>
            </w:r>
            <w:r>
              <w:t>zajištění integrace jednotného trhu, včetně podpory iniciativ v jakékoli fázi investičního vývoje s pozitivními vedlejšími účinky pro jednotný trh a odolnost jeho hodnotových řetězců</w:t>
            </w:r>
            <w:r>
              <w:rPr>
                <w:b/>
                <w:i/>
              </w:rPr>
              <w:t>, zejména ve všech odvětvích s nulovými čistými emisemi ve smyslu nařízení (EU) 2024/1735 (akt o průmyslu pro nulové čisté emise)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1300</w:t>
      </w:r>
      <w:r>
        <w:rPr>
          <w:rStyle w:val="HideTWBExt"/>
        </w:rPr>
        <w:t>&lt;/NumAm&gt;</w:t>
      </w:r>
    </w:p>
    <w:p>
      <w:pPr>
        <w:pStyle w:val="NormalBold"/>
      </w:pPr>
      <w:r>
        <w:rPr>
          <w:rStyle w:val="HideTWBExt"/>
          <w:b w:val="0"/>
        </w:rPr>
        <w:t>&lt;RepeatBlock-By&gt;</w:t>
      </w:r>
      <w:r>
        <w:rPr>
          <w:rStyle w:val="HideTWBExt"/>
          <w:b w:val="0"/>
        </w:rPr>
        <w:t>&lt;Members&gt;</w:t>
      </w:r>
      <w:r>
        <w:t>Bruno Tobback, Thomas Pellerin-Carlin, Yannis Maniatis, Nicolás González Casares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zajištění integrace jednotného trhu, včetně podpory iniciativ v jakékoli fázi investičního vývoje s pozitivními vedlejšími účinky pro jednotný trh a odolnost jeho hodnotových řetězců;</w:t>
            </w:r>
          </w:p>
        </w:tc>
        <w:tc>
          <w:tcPr>
            <w:tcW w:w="4876" w:type="dxa"/>
            <w:tcBorders>
              <w:top w:val="nil"/>
              <w:left w:val="nil"/>
              <w:bottom w:val="nil"/>
              <w:right w:val="nil"/>
            </w:tcBorders>
          </w:tcPr>
          <w:p>
            <w:pPr>
              <w:pStyle w:val="Normal6a"/>
            </w:pPr>
            <w:r>
              <w:t>i)</w:t>
            </w:r>
            <w:r>
              <w:tab/>
            </w:r>
            <w:r>
              <w:t xml:space="preserve">zajištění </w:t>
            </w:r>
            <w:r>
              <w:rPr>
                <w:b/>
                <w:i/>
              </w:rPr>
              <w:t>harmonizace ve všech členských státech a</w:t>
            </w:r>
            <w:r>
              <w:t xml:space="preserve"> integrace jednotného trhu, včetně podpory iniciativ v jakékoli fázi investičního vývoje s pozitivními vedlejšími účinky pro jednotný trh a odolnost jeho hodnotových řetězců;</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Jedním z nejdůležitějších prvků pro dosažení plného potenciálu jednotného trhu je zajištění harmonizace ve všech členských státech.</w:t>
      </w:r>
    </w:p>
    <w:p>
      <w:r>
        <w:rPr>
          <w:rStyle w:val="HideTWBExt"/>
        </w:rPr>
        <w:t>&lt;/Amend&gt;</w:t>
      </w:r>
    </w:p>
    <w:p>
      <w:pPr>
        <w:pStyle w:val="AmNumberTabs"/>
      </w:pPr>
      <w:r>
        <w:rPr>
          <w:rStyle w:val="HideTWBExt"/>
        </w:rPr>
        <w:t>&lt;Amend&gt;</w:t>
      </w:r>
      <w:r>
        <w:t>Pozměňovací návrh</w:t>
      </w:r>
      <w:r>
        <w:tab/>
      </w:r>
      <w:r>
        <w:tab/>
      </w:r>
      <w:r>
        <w:rPr>
          <w:rStyle w:val="HideTWBExt"/>
        </w:rPr>
        <w:t>&lt;NumAm&gt;</w:t>
      </w:r>
      <w:r>
        <w:t>1301</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zajištění integrace </w:t>
            </w:r>
            <w:r>
              <w:rPr>
                <w:b/>
                <w:i/>
              </w:rPr>
              <w:t>jednotného</w:t>
            </w:r>
            <w:r>
              <w:t xml:space="preserve"> trhu, včetně podpory iniciativ v jakékoli fázi investičního vývoje s pozitivními vedlejšími účinky pro </w:t>
            </w:r>
            <w:r>
              <w:rPr>
                <w:b/>
                <w:i/>
              </w:rPr>
              <w:t>jednotný</w:t>
            </w:r>
            <w:r>
              <w:t xml:space="preserve"> trh a odolnost jeho hodnotových řetězců;</w:t>
            </w:r>
          </w:p>
        </w:tc>
        <w:tc>
          <w:tcPr>
            <w:tcW w:w="4876" w:type="dxa"/>
            <w:tcBorders>
              <w:top w:val="nil"/>
              <w:left w:val="nil"/>
              <w:bottom w:val="nil"/>
              <w:right w:val="nil"/>
            </w:tcBorders>
          </w:tcPr>
          <w:p>
            <w:pPr>
              <w:pStyle w:val="Normal6a"/>
            </w:pPr>
            <w:r>
              <w:t>i)</w:t>
            </w:r>
            <w:r>
              <w:tab/>
            </w:r>
            <w:r>
              <w:t>zajištění integrace </w:t>
            </w:r>
            <w:r>
              <w:rPr>
                <w:b/>
                <w:i/>
              </w:rPr>
              <w:t>vnitřního</w:t>
            </w:r>
            <w:r>
              <w:t xml:space="preserve"> trhu, včetně podpory iniciativ v jakékoli fázi investičního vývoje s pozitivními vedlejšími účinky pro </w:t>
            </w:r>
            <w:r>
              <w:rPr>
                <w:b/>
                <w:i/>
              </w:rPr>
              <w:t>vnitřní</w:t>
            </w:r>
            <w:r>
              <w:t> trh a odolnost jeho hodnotových řetězců;</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1302</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i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ochrany, obnovy a zlepšování kvality životního prostředí, včetně ovzduší, vody a půdy, snižováním znečištění, zastavením a zvrácením úbytku biologické rozmanitosti a řešením degradace suchozemských a mořských ekosystémů při současném zvyšování klimatické a vodohospodářské odolnosti;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1303</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i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ib)</w:t>
            </w:r>
            <w:r>
              <w:tab/>
            </w:r>
            <w:r>
              <w:rPr>
                <w:b/>
                <w:i/>
              </w:rPr>
              <w:t>podpory přechodu k udržitelnému, oběhovému, klimaticky neutrálnímu a odolnému hospodářství, které účinně využívá energii, vodu a zdroje, je neutrální z hlediska změny klimatu a plně založené na obnovitelných zdrojích energie, a to i pokud jde o odolnost vůči změně klimatu;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1304</w:t>
      </w:r>
      <w:r>
        <w:rPr>
          <w:rStyle w:val="HideTWBExt"/>
        </w:rPr>
        <w:t>&lt;/NumAm&gt;</w:t>
      </w:r>
    </w:p>
    <w:p>
      <w:pPr>
        <w:pStyle w:val="NormalBold"/>
      </w:pPr>
      <w:r>
        <w:rPr>
          <w:rStyle w:val="HideTWBExt"/>
          <w:b w:val="0"/>
        </w:rPr>
        <w:t>&lt;RepeatBlock-By&gt;</w:t>
      </w:r>
      <w:r>
        <w:rPr>
          <w:rStyle w:val="HideTWBExt"/>
          <w:b w:val="0"/>
        </w:rPr>
        <w:t>&lt;Members&gt;</w:t>
      </w:r>
      <w:r>
        <w:t>Nicolás González Casares, Mohammed Chahim, Elena Sancho Murillo, Lina Gálvez, Yannis Maniatis, Thomas Pellerin-Carlin, Annalisa Corrado, Christophe Clergeau, Bruno Tobback, Sofie Eriksson, Niels Fuglsang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podpůrných opatření pro vypracování, provádění a sledování příslušných právních předpisů a politik Unie</w:t>
            </w:r>
            <w:r>
              <w:rPr>
                <w:b/>
                <w:i/>
              </w:rPr>
              <w:t>;</w:t>
            </w:r>
          </w:p>
        </w:tc>
        <w:tc>
          <w:tcPr>
            <w:tcW w:w="4876" w:type="dxa"/>
            <w:tcBorders>
              <w:top w:val="nil"/>
              <w:left w:val="nil"/>
              <w:bottom w:val="nil"/>
              <w:right w:val="nil"/>
            </w:tcBorders>
          </w:tcPr>
          <w:p>
            <w:pPr>
              <w:pStyle w:val="Normal6a"/>
            </w:pPr>
            <w:r>
              <w:t>j)</w:t>
            </w:r>
            <w:r>
              <w:tab/>
            </w:r>
            <w:r>
              <w:t>podpůrných opatření pro vypracování, provádění a sledování příslušných právních předpisů a politik Unie</w:t>
            </w:r>
            <w:r>
              <w:rPr>
                <w:b/>
                <w:i/>
              </w:rPr>
              <w:t>, včetně právních předpisů a cílů Unie v oblasti životního prostředí a klimatu a příslušných právních předpisů a politik v oblasti energetiky, s cílem dosáhnout do roku 2050 klimatické neutrality způsobem, který podporuje inovace, zajišťuje energetickou bezpečnost a zachovává globální konkurenceschopnost evropského průmyslu.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1305</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 xml:space="preserve">podpůrných opatření pro vypracování, provádění </w:t>
            </w:r>
            <w:r>
              <w:rPr>
                <w:b/>
                <w:i/>
              </w:rPr>
              <w:t>a</w:t>
            </w:r>
            <w:r>
              <w:t xml:space="preserve"> sledování příslušných právních předpisů a politik Unie;</w:t>
            </w:r>
          </w:p>
        </w:tc>
        <w:tc>
          <w:tcPr>
            <w:tcW w:w="4876" w:type="dxa"/>
            <w:tcBorders>
              <w:top w:val="nil"/>
              <w:left w:val="nil"/>
              <w:bottom w:val="nil"/>
              <w:right w:val="nil"/>
            </w:tcBorders>
          </w:tcPr>
          <w:p>
            <w:pPr>
              <w:pStyle w:val="Normal6a"/>
            </w:pPr>
            <w:r>
              <w:t>j)</w:t>
            </w:r>
            <w:r>
              <w:tab/>
            </w:r>
            <w:r>
              <w:t>podpůrných opatření pro vypracování, provádění</w:t>
            </w:r>
            <w:r>
              <w:rPr>
                <w:b/>
                <w:i/>
              </w:rPr>
              <w:t>,</w:t>
            </w:r>
            <w:r>
              <w:t xml:space="preserve"> sledování </w:t>
            </w:r>
            <w:r>
              <w:rPr>
                <w:b/>
                <w:i/>
              </w:rPr>
              <w:t>a prosazování</w:t>
            </w:r>
            <w:r>
              <w:t xml:space="preserve"> příslušných právních předpisů a politik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1306</w:t>
      </w:r>
      <w:r>
        <w:rPr>
          <w:rStyle w:val="HideTWBExt"/>
        </w:rPr>
        <w:t>&lt;/NumAm&gt;</w:t>
      </w:r>
    </w:p>
    <w:p>
      <w:pPr>
        <w:pStyle w:val="NormalBold"/>
      </w:pPr>
      <w:r>
        <w:rPr>
          <w:rStyle w:val="HideTWBExt"/>
          <w:b w:val="0"/>
        </w:rPr>
        <w:t>&lt;RepeatBlock-By&gt;</w:t>
      </w:r>
      <w:r>
        <w:rPr>
          <w:rStyle w:val="HideTWBExt"/>
          <w:b w:val="0"/>
        </w:rPr>
        <w:t>&lt;Members&gt;</w:t>
      </w:r>
      <w:r>
        <w:t>Eszter Lakos, Paulius Saudargas, 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j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ja)</w:t>
            </w:r>
            <w:r>
              <w:tab/>
            </w:r>
            <w:r>
              <w:rPr>
                <w:b/>
                <w:i/>
              </w:rPr>
              <w:t>nových podpůrných opatření pro vysílání misí EU, jak je stanoveno v nařízení (EU) 2021/695,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1307</w:t>
      </w:r>
      <w:r>
        <w:rPr>
          <w:rStyle w:val="HideTWBExt"/>
        </w:rPr>
        <w:t>&lt;/NumAm&gt;</w:t>
      </w:r>
    </w:p>
    <w:p>
      <w:pPr>
        <w:pStyle w:val="NormalBold"/>
      </w:pPr>
      <w:r>
        <w:rPr>
          <w:rStyle w:val="HideTWBExt"/>
          <w:b w:val="0"/>
        </w:rPr>
        <w:t>&lt;RepeatBlock-By&gt;</w:t>
      </w:r>
      <w:r>
        <w:rPr>
          <w:rStyle w:val="HideTWBExt"/>
          <w:b w:val="0"/>
        </w:rPr>
        <w:t>&lt;Members&gt;</w:t>
      </w:r>
      <w:r>
        <w:t>Julie Rechagneux, Aleksandar Nikolic,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zajištění spravedlivého přechodu k udržitelné, dekarbonizované a digitální ekonomice</w:t>
            </w:r>
            <w:r>
              <w:rPr>
                <w:b/>
                <w:i/>
              </w:rPr>
              <w:t>, která je spravedlivá a podporuje pracovníky a komunity</w:t>
            </w:r>
            <w:r>
              <w:t>.</w:t>
            </w:r>
          </w:p>
        </w:tc>
        <w:tc>
          <w:tcPr>
            <w:tcW w:w="4876" w:type="dxa"/>
            <w:tcBorders>
              <w:top w:val="nil"/>
              <w:left w:val="nil"/>
              <w:bottom w:val="nil"/>
              <w:right w:val="nil"/>
            </w:tcBorders>
          </w:tcPr>
          <w:p>
            <w:pPr>
              <w:pStyle w:val="Normal6a"/>
            </w:pPr>
            <w:r>
              <w:t>k)</w:t>
            </w:r>
            <w:r>
              <w:tab/>
            </w:r>
            <w:r>
              <w:t>zajištění spravedlivého</w:t>
            </w:r>
            <w:r>
              <w:rPr>
                <w:b/>
                <w:i/>
              </w:rPr>
              <w:t>, technologicky neutrálního</w:t>
            </w:r>
            <w:r>
              <w:t xml:space="preserve"> přechodu k udržitelné, dekarbonizované a digitální ekonomice </w:t>
            </w:r>
            <w:r>
              <w:rPr>
                <w:b/>
                <w:i/>
              </w:rPr>
              <w:t>prostřednictvím boje proti deindustrializaci, podpory reindustrializace a relokalizace strategických činností do Unie, zachování a modernizace stávajících průmyslových kapacit při současné podpoře rozvoje nových a pokročilých výrobních odvětví a podpory dotčených pracovníků, komunit a regionů, včetně průmyslově znevýhodněných regionů, průmyslových center a venkovských komunit, s cílem zachovat kvalitní pracovní místa v průmyslu a umožnit obyvatelstvu přístup ke kvalifikovaným pracovním místům v blízkosti místa bydliště</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1308</w:t>
      </w:r>
      <w:r>
        <w:rPr>
          <w:rStyle w:val="HideTWBExt"/>
        </w:rPr>
        <w:t>&lt;/NumAm&gt;</w:t>
      </w:r>
    </w:p>
    <w:p>
      <w:pPr>
        <w:pStyle w:val="NormalBold"/>
      </w:pPr>
      <w:r>
        <w:rPr>
          <w:rStyle w:val="HideTWBExt"/>
          <w:b w:val="0"/>
        </w:rPr>
        <w:t>&lt;RepeatBlock-By&gt;</w:t>
      </w:r>
      <w:r>
        <w:rPr>
          <w:rStyle w:val="HideTWBExt"/>
          <w:b w:val="0"/>
        </w:rPr>
        <w:t>&lt;Members&gt;</w:t>
      </w:r>
      <w:r>
        <w:t>Mirosława Nykiel, Borys Budka, Adam Jarubas, Krzysztof Hetman,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rPr>
                <w:b/>
                <w:i/>
              </w:rPr>
              <w:t>zajištění spravedlivého přechodu k udržitelné, dekarbonizované a digitální ekonomice, která je spravedlivá a podporuje pracovníky a komunity</w:t>
            </w:r>
            <w:r>
              <w:t>.</w:t>
            </w:r>
          </w:p>
        </w:tc>
        <w:tc>
          <w:tcPr>
            <w:tcW w:w="4876" w:type="dxa"/>
            <w:tcBorders>
              <w:top w:val="nil"/>
              <w:left w:val="nil"/>
              <w:bottom w:val="nil"/>
              <w:right w:val="nil"/>
            </w:tcBorders>
          </w:tcPr>
          <w:p>
            <w:pPr>
              <w:pStyle w:val="Normal6a"/>
            </w:pPr>
            <w:r>
              <w:t>k)</w:t>
            </w:r>
            <w:r>
              <w:tab/>
            </w:r>
            <w:r>
              <w:rPr>
                <w:b/>
                <w:i/>
              </w:rPr>
              <w:t>podpory spravedlivé transformace a hospodářské konvergence Unie zajištěním plné a široké účasti subjektů ze všech členských států v Evropském fondu pro konkurenceschopnost, zejména subjektů z oblastí procházejících průmyslovou transformací uvedených v článku 174 SFEU, jakož i z regionů s nižší úrovní inovací nebo omezenou absorpční kapacitou, s cílem posílit dlouhodobou konkurenceschopnost a odolnost hospodářství Unie jako celku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1309</w:t>
      </w:r>
      <w:r>
        <w:rPr>
          <w:rStyle w:val="HideTWBExt"/>
        </w:rPr>
        <w:t>&lt;/NumAm&gt;</w:t>
      </w:r>
    </w:p>
    <w:p>
      <w:pPr>
        <w:pStyle w:val="NormalBold"/>
      </w:pPr>
      <w:r>
        <w:rPr>
          <w:rStyle w:val="HideTWBExt"/>
          <w:b w:val="0"/>
        </w:rPr>
        <w:t>&lt;RepeatBlock-By&gt;</w:t>
      </w:r>
      <w:r>
        <w:rPr>
          <w:rStyle w:val="HideTWBExt"/>
          <w:b w:val="0"/>
        </w:rPr>
        <w:t>&lt;Members&gt;</w:t>
      </w:r>
      <w:r>
        <w:t>Krzysztof Hetman, Adam Jarubas, Borys Budka, Kamila Gasiuk-Pihowicz, Mirosława Nykiel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zajištění spravedlivého přechodu k udržitelné, dekarbonizované a digitální ekonomice, která je spravedlivá a podporuje pracovníky a komunity.</w:t>
            </w:r>
          </w:p>
        </w:tc>
        <w:tc>
          <w:tcPr>
            <w:tcW w:w="4876" w:type="dxa"/>
            <w:tcBorders>
              <w:top w:val="nil"/>
              <w:left w:val="nil"/>
              <w:bottom w:val="nil"/>
              <w:right w:val="nil"/>
            </w:tcBorders>
          </w:tcPr>
          <w:p>
            <w:pPr>
              <w:pStyle w:val="Normal6a"/>
            </w:pPr>
            <w:r>
              <w:t>k)</w:t>
            </w:r>
            <w:r>
              <w:tab/>
            </w:r>
            <w:r>
              <w:t>zajištění spravedlivého přechodu k udržitelné, dekarbonizované</w:t>
            </w:r>
            <w:r>
              <w:rPr>
                <w:b/>
                <w:i/>
              </w:rPr>
              <w:t>, vodohospodářsky odolné</w:t>
            </w:r>
            <w:r>
              <w:t xml:space="preserve"> a digitální ekonomice, která je spravedlivá a podporuje pracovníky a komunity. </w:t>
            </w:r>
            <w:r>
              <w:rPr>
                <w:b/>
                <w:i/>
              </w:rPr>
              <w:t>V každé oblasti politiky je určitá částka rozpočtu vyčleněna na podporu činností, které kladou důraz na spravedlivou transformaci v oblastech negativně ovlivněných přechodem ke klimatické neutralitě.</w:t>
            </w:r>
            <w:r>
              <w:t xml:space="preserve"> </w:t>
            </w:r>
            <w:r>
              <w:rPr>
                <w:b/>
                <w:i/>
              </w:rPr>
              <w:t>To by mělo zahrnovat zejména činnosti, které využívají místní infrastrukturu a nabízejí pracovní zakázky příslušným odvětvím a společnostem.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1310</w:t>
      </w:r>
      <w:r>
        <w:rPr>
          <w:rStyle w:val="HideTWBExt"/>
        </w:rPr>
        <w:t>&lt;/NumAm&gt;</w:t>
      </w:r>
    </w:p>
    <w:p>
      <w:pPr>
        <w:pStyle w:val="NormalBold"/>
      </w:pPr>
      <w:r>
        <w:rPr>
          <w:rStyle w:val="HideTWBExt"/>
          <w:b w:val="0"/>
        </w:rPr>
        <w:t>&lt;RepeatBlock-By&gt;</w:t>
      </w:r>
      <w:r>
        <w:rPr>
          <w:rStyle w:val="HideTWBExt"/>
          <w:b w:val="0"/>
        </w:rPr>
        <w:t>&lt;Members&gt;</w:t>
      </w:r>
      <w:r>
        <w:t>Sarah Knafo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zajištění </w:t>
            </w:r>
            <w:r>
              <w:rPr>
                <w:b/>
                <w:i/>
              </w:rPr>
              <w:t>spravedlivého přechodu k udržitelné, dekarbonizované a digitální ekonomice, která je spravedlivá a podporuje pracovníky a komunity</w:t>
            </w:r>
            <w:r>
              <w:t>.</w:t>
            </w:r>
          </w:p>
        </w:tc>
        <w:tc>
          <w:tcPr>
            <w:tcW w:w="4876" w:type="dxa"/>
            <w:tcBorders>
              <w:top w:val="nil"/>
              <w:left w:val="nil"/>
              <w:bottom w:val="nil"/>
              <w:right w:val="nil"/>
            </w:tcBorders>
          </w:tcPr>
          <w:p>
            <w:pPr>
              <w:pStyle w:val="Normal6a"/>
            </w:pPr>
            <w:r>
              <w:t>k)</w:t>
            </w:r>
            <w:r>
              <w:tab/>
            </w:r>
            <w:r>
              <w:t xml:space="preserve">zajištění </w:t>
            </w:r>
            <w:r>
              <w:rPr>
                <w:b/>
                <w:i/>
              </w:rPr>
              <w:t>vyvážené průmyslové transformace prostřednictvím boje proti deindustrializaci, podpory reindustrializace a relokalizace strategických činností do Unie, zachování a modernizace stávajících průmyslových kapacit při současné podpoře rozvoje vyspělých výrobních odvětví a podpory dotčených pracovníků, komunit a regionů, včetně průmyslových center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1311</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zajištění spravedlivého přechodu </w:t>
            </w:r>
            <w:r>
              <w:rPr>
                <w:b/>
                <w:i/>
              </w:rPr>
              <w:t>k udržitelné, dekarbonizované</w:t>
            </w:r>
            <w:r>
              <w:t xml:space="preserve"> a digitální ekonomice</w:t>
            </w:r>
            <w:r>
              <w:rPr>
                <w:b/>
                <w:i/>
              </w:rPr>
              <w:t>, která je spravedlivá a podporuje</w:t>
            </w:r>
            <w:r>
              <w:t xml:space="preserve"> pracovníky a komunity</w:t>
            </w:r>
            <w:r>
              <w:rPr>
                <w:b/>
                <w:i/>
              </w:rPr>
              <w:t>.</w:t>
            </w:r>
          </w:p>
        </w:tc>
        <w:tc>
          <w:tcPr>
            <w:tcW w:w="4876" w:type="dxa"/>
            <w:tcBorders>
              <w:top w:val="nil"/>
              <w:left w:val="nil"/>
              <w:bottom w:val="nil"/>
              <w:right w:val="nil"/>
            </w:tcBorders>
          </w:tcPr>
          <w:p>
            <w:pPr>
              <w:pStyle w:val="Normal6a"/>
            </w:pPr>
            <w:r>
              <w:t>k)</w:t>
            </w:r>
            <w:r>
              <w:tab/>
            </w:r>
            <w:r>
              <w:t xml:space="preserve">zajištění spravedlivého přechodu </w:t>
            </w:r>
            <w:r>
              <w:rPr>
                <w:b/>
                <w:i/>
              </w:rPr>
              <w:t>směrem k cílům Unie v oblasti energetiky a klimatu pro roky 2030, 2040 a 2050</w:t>
            </w:r>
            <w:r>
              <w:t xml:space="preserve"> a digitální ekonomice </w:t>
            </w:r>
            <w:r>
              <w:rPr>
                <w:b/>
                <w:i/>
              </w:rPr>
              <w:t>podporující občany,</w:t>
            </w:r>
            <w:r>
              <w:t xml:space="preserve"> pracovníky a komunity </w:t>
            </w:r>
            <w:r>
              <w:rPr>
                <w:b/>
                <w:i/>
              </w:rPr>
              <w:t>se zaměřením na ty nejzranitelnější a přispívající k bezpečné, odolné, demokratické a zdravé společnosti;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1312</w:t>
      </w:r>
      <w:r>
        <w:rPr>
          <w:rStyle w:val="HideTWBExt"/>
        </w:rPr>
        <w:t>&lt;/NumAm&gt;</w:t>
      </w:r>
    </w:p>
    <w:p>
      <w:pPr>
        <w:pStyle w:val="NormalBold"/>
      </w:pPr>
      <w:r>
        <w:rPr>
          <w:rStyle w:val="HideTWBExt"/>
          <w:b w:val="0"/>
        </w:rPr>
        <w:t>&lt;RepeatBlock-By&gt;</w:t>
      </w:r>
      <w:r>
        <w:rPr>
          <w:rStyle w:val="HideTWBExt"/>
          <w:b w:val="0"/>
        </w:rPr>
        <w:t>&lt;Members&gt;</w:t>
      </w:r>
      <w:r>
        <w:t>Paolo Borchia, Isabella Tovaglieri, Raffaele Stancanelli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zajištění spravedlivého přechodu k udržitelné, dekarbonizované a digitální ekonomice, která je spravedlivá a podporuje pracovníky a komunity</w:t>
            </w:r>
            <w:r>
              <w:rPr>
                <w:b/>
                <w:i/>
              </w:rPr>
              <w:t>.</w:t>
            </w:r>
          </w:p>
        </w:tc>
        <w:tc>
          <w:tcPr>
            <w:tcW w:w="4876" w:type="dxa"/>
            <w:tcBorders>
              <w:top w:val="nil"/>
              <w:left w:val="nil"/>
              <w:bottom w:val="nil"/>
              <w:right w:val="nil"/>
            </w:tcBorders>
          </w:tcPr>
          <w:p>
            <w:pPr>
              <w:pStyle w:val="Normal6a"/>
            </w:pPr>
            <w:r>
              <w:t>k)</w:t>
            </w:r>
            <w:r>
              <w:tab/>
            </w:r>
            <w:r>
              <w:t xml:space="preserve">zajištění spravedlivého přechodu k udržitelné, dekarbonizované a digitální ekonomice, která je spravedlivá a podporuje pracovníky a komunity </w:t>
            </w:r>
            <w:r>
              <w:rPr>
                <w:b/>
                <w:i/>
              </w:rPr>
              <w:t>ve všech regionech a členských státech, v souladu s technologickou neutralitou a se zvláštním zaměřením na regiony závislé na energeticky náročných průmyslových odvětvích</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Spravedlivá transformace musí být výslovně územní a technologicky neutrální a musí zahrnovat zvláštní opatření na podporu společenských transformací, včetně hospodářské diverzifikace, prohlubování dovedností a změny kvalifikace, v regionech nejvíce postižených přechodem na klimatickou neutralitu.</w:t>
      </w:r>
    </w:p>
    <w:p>
      <w:r>
        <w:rPr>
          <w:rStyle w:val="HideTWBExt"/>
        </w:rPr>
        <w:t>&lt;/Amend&gt;</w:t>
      </w:r>
    </w:p>
    <w:p>
      <w:pPr>
        <w:pStyle w:val="AmNumberTabs"/>
      </w:pPr>
      <w:r>
        <w:rPr>
          <w:rStyle w:val="HideTWBExt"/>
        </w:rPr>
        <w:t>&lt;Amend&gt;</w:t>
      </w:r>
      <w:r>
        <w:t>Pozměňovací návrh</w:t>
      </w:r>
      <w:r>
        <w:tab/>
      </w:r>
      <w:r>
        <w:tab/>
      </w:r>
      <w:r>
        <w:rPr>
          <w:rStyle w:val="HideTWBExt"/>
        </w:rPr>
        <w:t>&lt;NumAm&gt;</w:t>
      </w:r>
      <w:r>
        <w:t>1313</w:t>
      </w:r>
      <w:r>
        <w:rPr>
          <w:rStyle w:val="HideTWBExt"/>
        </w:rPr>
        <w:t>&lt;/NumAm&gt;</w:t>
      </w:r>
    </w:p>
    <w:p>
      <w:pPr>
        <w:pStyle w:val="NormalBold"/>
      </w:pPr>
      <w:r>
        <w:rPr>
          <w:rStyle w:val="HideTWBExt"/>
          <w:b w:val="0"/>
        </w:rPr>
        <w:t>&lt;RepeatBlock-By&gt;</w:t>
      </w:r>
      <w:r>
        <w:rPr>
          <w:rStyle w:val="HideTWBExt"/>
          <w:b w:val="0"/>
        </w:rPr>
        <w:t>&lt;Members&gt;</w:t>
      </w:r>
      <w:r>
        <w:t>Jana Nagyová, Ondřej Knotek, Tomáš Kubín, Klara Dostalova, Afroditi Latinopoulou, Anna Bryłka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zajištění spravedlivého přechodu k udržitelné, dekarbonizované a digitální ekonomice, která je spravedlivá a podporuje pracovníky a komunity</w:t>
            </w:r>
            <w:r>
              <w:rPr>
                <w:b/>
                <w:i/>
              </w:rPr>
              <w:t>.</w:t>
            </w:r>
          </w:p>
        </w:tc>
        <w:tc>
          <w:tcPr>
            <w:tcW w:w="4876" w:type="dxa"/>
            <w:tcBorders>
              <w:top w:val="nil"/>
              <w:left w:val="nil"/>
              <w:bottom w:val="nil"/>
              <w:right w:val="nil"/>
            </w:tcBorders>
          </w:tcPr>
          <w:p>
            <w:pPr>
              <w:pStyle w:val="Normal6a"/>
            </w:pPr>
            <w:r>
              <w:t>k)</w:t>
            </w:r>
            <w:r>
              <w:tab/>
            </w:r>
            <w:r>
              <w:t>zajištění spravedlivého přechodu k udržitelné, dekarbonizované a digitální ekonomice, která je spravedlivá a podporuje pracovníky a komunity</w:t>
            </w:r>
            <w:r>
              <w:rPr>
                <w:b/>
                <w:i/>
              </w:rPr>
              <w:t>, a to i v odvětvích vyžadujících zvýšené úsilí o transformaci, zejména v energeticky náročných odvětvích;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1314</w:t>
      </w:r>
      <w:r>
        <w:rPr>
          <w:rStyle w:val="HideTWBExt"/>
        </w:rPr>
        <w:t>&lt;/NumAm&gt;</w:t>
      </w:r>
    </w:p>
    <w:p>
      <w:pPr>
        <w:pStyle w:val="NormalBold"/>
      </w:pPr>
      <w:r>
        <w:rPr>
          <w:rStyle w:val="HideTWBExt"/>
          <w:b w:val="0"/>
        </w:rPr>
        <w:t>&lt;RepeatBlock-By&gt;</w:t>
      </w:r>
      <w:r>
        <w:rPr>
          <w:rStyle w:val="HideTWBExt"/>
          <w:b w:val="0"/>
        </w:rPr>
        <w:t>&lt;Members&gt;</w:t>
      </w:r>
      <w:r>
        <w:t>Dimitris Tsiodras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zajištění spravedlivého přechodu k udržitelné, dekarbonizované a digitální ekonomice, která je spravedlivá a podporuje pracovníky a komunity</w:t>
            </w:r>
            <w:r>
              <w:rPr>
                <w:b/>
                <w:i/>
              </w:rPr>
              <w:t>.</w:t>
            </w:r>
          </w:p>
        </w:tc>
        <w:tc>
          <w:tcPr>
            <w:tcW w:w="4876" w:type="dxa"/>
            <w:tcBorders>
              <w:top w:val="nil"/>
              <w:left w:val="nil"/>
              <w:bottom w:val="nil"/>
              <w:right w:val="nil"/>
            </w:tcBorders>
          </w:tcPr>
          <w:p>
            <w:pPr>
              <w:pStyle w:val="Normal6a"/>
            </w:pPr>
            <w:r>
              <w:t>k)</w:t>
            </w:r>
            <w:r>
              <w:tab/>
            </w:r>
            <w:r>
              <w:t>zajištění spravedlivého přechodu k udržitelné, dekarbonizované a digitální ekonomice, která je spravedlivá a podporuje pracovníky a komunity</w:t>
            </w:r>
            <w:r>
              <w:rPr>
                <w:b/>
                <w:i/>
              </w:rPr>
              <w:t>, a to i v odvětvích vyžadujících zvýšené úsilí o transformaci, zejména v energeticky náročných odvětvích;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1315</w:t>
      </w:r>
      <w:r>
        <w:rPr>
          <w:rStyle w:val="HideTWBExt"/>
        </w:rPr>
        <w:t>&lt;/NumAm&gt;</w:t>
      </w:r>
    </w:p>
    <w:p>
      <w:pPr>
        <w:pStyle w:val="NormalBold"/>
      </w:pPr>
      <w:r>
        <w:rPr>
          <w:rStyle w:val="HideTWBExt"/>
          <w:b w:val="0"/>
        </w:rPr>
        <w:t>&lt;RepeatBlock-By&gt;</w:t>
      </w:r>
      <w:r>
        <w:rPr>
          <w:rStyle w:val="HideTWBExt"/>
          <w:b w:val="0"/>
        </w:rPr>
        <w:t>&lt;Members&gt;</w:t>
      </w:r>
      <w:r>
        <w:t>Nicolás González Casares, Mohammed Chahim, Elena Sancho Murillo, Lina Gálvez, Yannis Maniatis, Thomas Pellerin-Carlin, Annalisa Corrado, Christophe Clergeau, Bruno Tobback, Daniel Attard, Niels Fuglsang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zajištění spravedlivého přechodu k udržitelné, dekarbonizované a digitální ekonomice, která je spravedlivá a podporuje pracovníky a komunity.</w:t>
            </w:r>
          </w:p>
        </w:tc>
        <w:tc>
          <w:tcPr>
            <w:tcW w:w="4876" w:type="dxa"/>
            <w:tcBorders>
              <w:top w:val="nil"/>
              <w:left w:val="nil"/>
              <w:bottom w:val="nil"/>
              <w:right w:val="nil"/>
            </w:tcBorders>
          </w:tcPr>
          <w:p>
            <w:pPr>
              <w:pStyle w:val="Normal6a"/>
            </w:pPr>
            <w:r>
              <w:t>k)</w:t>
            </w:r>
            <w:r>
              <w:tab/>
            </w:r>
            <w:r>
              <w:t>zajištění spravedlivého přechodu k udržitelné, dekarbonizované a digitální ekonomice, která je spravedlivá a podporuje pracovníky</w:t>
            </w:r>
            <w:r>
              <w:rPr>
                <w:b/>
                <w:i/>
              </w:rPr>
              <w:t>, občany, sociální aktéry, zranitelné domácnosti</w:t>
            </w:r>
            <w:r>
              <w:t xml:space="preserve"> a komunity.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1316</w:t>
      </w:r>
      <w:r>
        <w:rPr>
          <w:rStyle w:val="HideTWBExt"/>
        </w:rPr>
        <w:t>&lt;/NumAm&gt;</w:t>
      </w:r>
    </w:p>
    <w:p>
      <w:pPr>
        <w:pStyle w:val="NormalBold"/>
      </w:pPr>
      <w:r>
        <w:rPr>
          <w:rStyle w:val="HideTWBExt"/>
          <w:b w:val="0"/>
        </w:rPr>
        <w:t>&lt;RepeatBlock-By&gt;</w:t>
      </w:r>
      <w:r>
        <w:rPr>
          <w:rStyle w:val="HideTWBExt"/>
          <w:b w:val="0"/>
        </w:rPr>
        <w:t>&lt;Members&gt;</w:t>
      </w:r>
      <w:r>
        <w:t>Jörgen Warborn,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zajištění </w:t>
            </w:r>
            <w:r>
              <w:rPr>
                <w:b/>
                <w:i/>
              </w:rPr>
              <w:t>spravedlivého přechodu k udržitelné, dekarbonizované</w:t>
            </w:r>
            <w:r>
              <w:t xml:space="preserve"> a digitální </w:t>
            </w:r>
            <w:r>
              <w:rPr>
                <w:b/>
                <w:i/>
              </w:rPr>
              <w:t>ekonomice, která je spravedlivá a podporuje pracovníky a komunity</w:t>
            </w:r>
            <w:r>
              <w:t>.</w:t>
            </w:r>
          </w:p>
        </w:tc>
        <w:tc>
          <w:tcPr>
            <w:tcW w:w="4876" w:type="dxa"/>
            <w:tcBorders>
              <w:top w:val="nil"/>
              <w:left w:val="nil"/>
              <w:bottom w:val="nil"/>
              <w:right w:val="nil"/>
            </w:tcBorders>
          </w:tcPr>
          <w:p>
            <w:pPr>
              <w:pStyle w:val="Normal6a"/>
            </w:pPr>
            <w:r>
              <w:t>k)</w:t>
            </w:r>
            <w:r>
              <w:tab/>
            </w:r>
            <w:r>
              <w:t xml:space="preserve">zajištění </w:t>
            </w:r>
            <w:r>
              <w:rPr>
                <w:b/>
                <w:i/>
              </w:rPr>
              <w:t>toho, aby přechod na udržitelnou, dekarbonizovanou</w:t>
            </w:r>
            <w:r>
              <w:t xml:space="preserve"> a digitální </w:t>
            </w:r>
            <w:r>
              <w:rPr>
                <w:b/>
                <w:i/>
              </w:rPr>
              <w:t>ekonomiku zachoval nebo zvýšil hospodářskou konkurenceschopnost ve prospěch pracovníků a místních komunit</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1317</w:t>
      </w:r>
      <w:r>
        <w:rPr>
          <w:rStyle w:val="HideTWBExt"/>
        </w:rPr>
        <w:t>&lt;/NumAm&gt;</w:t>
      </w:r>
    </w:p>
    <w:p>
      <w:pPr>
        <w:pStyle w:val="NormalBold"/>
      </w:pPr>
      <w:r>
        <w:rPr>
          <w:rStyle w:val="HideTWBExt"/>
          <w:b w:val="0"/>
        </w:rPr>
        <w:t>&lt;RepeatBlock-By&gt;</w:t>
      </w:r>
      <w:r>
        <w:rPr>
          <w:rStyle w:val="HideTWBExt"/>
          <w:b w:val="0"/>
        </w:rPr>
        <w:t>&lt;Members&gt;</w:t>
      </w:r>
      <w:r>
        <w:t>Dario Nardella, Stefano Bonaccini, Cristina Maestre, Maria Grapini, Giorgio Gori, Claire Fita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zajištění spravedlivého přechodu k udržitelné, dekarbonizované a digitální ekonomice, která je spravedlivá a podporuje pracovníky a komunity.</w:t>
            </w:r>
          </w:p>
        </w:tc>
        <w:tc>
          <w:tcPr>
            <w:tcW w:w="4876" w:type="dxa"/>
            <w:tcBorders>
              <w:top w:val="nil"/>
              <w:left w:val="nil"/>
              <w:bottom w:val="nil"/>
              <w:right w:val="nil"/>
            </w:tcBorders>
          </w:tcPr>
          <w:p>
            <w:pPr>
              <w:pStyle w:val="Normal6a"/>
            </w:pPr>
            <w:r>
              <w:t>k)</w:t>
            </w:r>
            <w:r>
              <w:tab/>
            </w:r>
            <w:r>
              <w:t xml:space="preserve">zajištění spravedlivého přechodu k udržitelné, dekarbonizované a digitální ekonomice, která je spravedlivá a podporuje pracovníky a komunity </w:t>
            </w:r>
            <w:r>
              <w:rPr>
                <w:b/>
                <w:i/>
              </w:rPr>
              <w:t>v městských i venkovských oblastech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1318</w:t>
      </w:r>
      <w:r>
        <w:rPr>
          <w:rStyle w:val="HideTWBExt"/>
        </w:rPr>
        <w:t>&lt;/NumAm&gt;</w:t>
      </w:r>
    </w:p>
    <w:p>
      <w:pPr>
        <w:pStyle w:val="NormalBold"/>
      </w:pPr>
      <w:r>
        <w:rPr>
          <w:rStyle w:val="HideTWBExt"/>
          <w:b w:val="0"/>
        </w:rPr>
        <w:t>&lt;RepeatBlock-By&gt;</w:t>
      </w:r>
      <w:r>
        <w:rPr>
          <w:rStyle w:val="HideTWBExt"/>
          <w:b w:val="0"/>
        </w:rPr>
        <w:t>&lt;Members&gt;</w:t>
      </w:r>
      <w:r>
        <w:t>Nicola Procaccini, Carlo Fidanza, Alessandro Ciriani, Elena Donazzan, Pietro Fiocchi, Lara Magoni, Francesco Torselli,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zajištění spravedlivého přechodu k udržitelné, dekarbonizované a digitální ekonomice, která je spravedlivá a podporuje pracovníky a komunity.</w:t>
            </w:r>
          </w:p>
        </w:tc>
        <w:tc>
          <w:tcPr>
            <w:tcW w:w="4876" w:type="dxa"/>
            <w:tcBorders>
              <w:top w:val="nil"/>
              <w:left w:val="nil"/>
              <w:bottom w:val="nil"/>
              <w:right w:val="nil"/>
            </w:tcBorders>
          </w:tcPr>
          <w:p>
            <w:pPr>
              <w:pStyle w:val="Normal6a"/>
            </w:pPr>
            <w:r>
              <w:t>k)</w:t>
            </w:r>
            <w:r>
              <w:tab/>
            </w:r>
            <w:r>
              <w:t>zajištění spravedlivého přechodu k udržitelné, dekarbonizované a digitální ekonomice, která je spravedlivá a podporuje pracovníky a komunity</w:t>
            </w:r>
            <w:r>
              <w:rPr>
                <w:b/>
                <w:i/>
              </w:rPr>
              <w:t>, a to jak v městských, tak ve venkovských oblastech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1319</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zajištění spravedlivého přechodu k udržitelné, dekarbonizované a digitální ekonomice, která je spravedlivá a podporuje pracovníky a komunity.</w:t>
            </w:r>
          </w:p>
        </w:tc>
        <w:tc>
          <w:tcPr>
            <w:tcW w:w="4876" w:type="dxa"/>
            <w:tcBorders>
              <w:top w:val="nil"/>
              <w:left w:val="nil"/>
              <w:bottom w:val="nil"/>
              <w:right w:val="nil"/>
            </w:tcBorders>
          </w:tcPr>
          <w:p>
            <w:pPr>
              <w:pStyle w:val="Normal6a"/>
            </w:pPr>
            <w:r>
              <w:t>k)</w:t>
            </w:r>
            <w:r>
              <w:tab/>
            </w:r>
            <w:r>
              <w:t xml:space="preserve">zajištění spravedlivého přechodu k udržitelné, dekarbonizované a digitální ekonomice, která je spravedlivá a podporuje pracovníky a komunity </w:t>
            </w:r>
            <w:r>
              <w:rPr>
                <w:b/>
                <w:i/>
              </w:rPr>
              <w:t>ve všech regionech EU</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1320</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zajištění spravedlivého přechodu k udržitelné, </w:t>
            </w:r>
            <w:r>
              <w:rPr>
                <w:b/>
                <w:i/>
              </w:rPr>
              <w:t>dekarbonizované</w:t>
            </w:r>
            <w:r>
              <w:t xml:space="preserve"> a digitální ekonomice, která je spravedlivá a </w:t>
            </w:r>
            <w:r>
              <w:rPr>
                <w:b/>
                <w:i/>
              </w:rPr>
              <w:t>podporuje</w:t>
            </w:r>
            <w:r>
              <w:t xml:space="preserve"> pracovníky a </w:t>
            </w:r>
            <w:r>
              <w:rPr>
                <w:b/>
                <w:i/>
              </w:rPr>
              <w:t>komunity</w:t>
            </w:r>
            <w:r>
              <w:t>.</w:t>
            </w:r>
          </w:p>
        </w:tc>
        <w:tc>
          <w:tcPr>
            <w:tcW w:w="4876" w:type="dxa"/>
            <w:tcBorders>
              <w:top w:val="nil"/>
              <w:left w:val="nil"/>
              <w:bottom w:val="nil"/>
              <w:right w:val="nil"/>
            </w:tcBorders>
          </w:tcPr>
          <w:p>
            <w:pPr>
              <w:pStyle w:val="Normal6a"/>
            </w:pPr>
            <w:r>
              <w:t>k)</w:t>
            </w:r>
            <w:r>
              <w:tab/>
            </w:r>
            <w:r>
              <w:t xml:space="preserve">zajištění spravedlivého přechodu k udržitelné, </w:t>
            </w:r>
            <w:r>
              <w:rPr>
                <w:b/>
                <w:i/>
              </w:rPr>
              <w:t>zelené</w:t>
            </w:r>
            <w:r>
              <w:t xml:space="preserve"> a digitální ekonomice, která je spravedlivá a </w:t>
            </w:r>
            <w:r>
              <w:rPr>
                <w:b/>
                <w:i/>
              </w:rPr>
              <w:t>mezi níž a</w:t>
            </w:r>
            <w:r>
              <w:t xml:space="preserve"> pracovníky a </w:t>
            </w:r>
            <w:r>
              <w:rPr>
                <w:b/>
                <w:i/>
              </w:rPr>
              <w:t>komunitami existuje oboustranná podpora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1321</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zajištění spravedlivého přechodu k udržitelné, dekarbonizované a digitální ekonomice, která je spravedlivá a podporuje pracovníky a komunity.</w:t>
            </w:r>
          </w:p>
        </w:tc>
        <w:tc>
          <w:tcPr>
            <w:tcW w:w="4876" w:type="dxa"/>
            <w:tcBorders>
              <w:top w:val="nil"/>
              <w:left w:val="nil"/>
              <w:bottom w:val="nil"/>
              <w:right w:val="nil"/>
            </w:tcBorders>
          </w:tcPr>
          <w:p>
            <w:pPr>
              <w:pStyle w:val="Normal6a"/>
            </w:pPr>
            <w:r>
              <w:t>k)</w:t>
            </w:r>
            <w:r>
              <w:tab/>
            </w:r>
            <w:r>
              <w:t xml:space="preserve">zajištění spravedlivého přechodu k udržitelné, dekarbonizované a digitální ekonomice, která je spravedlivá a podporuje pracovníky a komunity </w:t>
            </w:r>
            <w:r>
              <w:rPr>
                <w:b/>
                <w:i/>
              </w:rPr>
              <w:t>a venkovské oblasti</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1322</w:t>
      </w:r>
      <w:r>
        <w:rPr>
          <w:rStyle w:val="HideTWBExt"/>
        </w:rPr>
        <w:t>&lt;/NumAm&gt;</w:t>
      </w:r>
    </w:p>
    <w:p>
      <w:pPr>
        <w:pStyle w:val="NormalBold"/>
      </w:pPr>
      <w:r>
        <w:rPr>
          <w:rStyle w:val="HideTWBExt"/>
          <w:b w:val="0"/>
        </w:rPr>
        <w:t>&lt;RepeatBlock-By&gt;</w:t>
      </w:r>
      <w:r>
        <w:rPr>
          <w:rStyle w:val="HideTWBExt"/>
          <w:b w:val="0"/>
        </w:rPr>
        <w:t>&lt;Members&gt;</w:t>
      </w:r>
      <w:r>
        <w:t>Yvan Verougstraete, Stine Bosse, Grégory Allione, Sigrid Friis, Morten Løkkegaard, Christophe Grudler, Emma Wiesner,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rPr>
                <w:b/>
                <w:i/>
              </w:rPr>
              <w:t>zajištění</w:t>
            </w:r>
            <w:r>
              <w:t xml:space="preserve"> spravedlivého přechodu k udržitelné, dekarbonizované a digitální ekonomice, která </w:t>
            </w:r>
            <w:r>
              <w:rPr>
                <w:b/>
                <w:i/>
              </w:rPr>
              <w:t>je spravedlivá a podporuje</w:t>
            </w:r>
            <w:r>
              <w:t xml:space="preserve"> pracovníky a komunity</w:t>
            </w:r>
            <w:r>
              <w:rPr>
                <w:b/>
                <w:i/>
              </w:rPr>
              <w:t>.</w:t>
            </w:r>
          </w:p>
        </w:tc>
        <w:tc>
          <w:tcPr>
            <w:tcW w:w="4876" w:type="dxa"/>
            <w:tcBorders>
              <w:top w:val="nil"/>
              <w:left w:val="nil"/>
              <w:bottom w:val="nil"/>
              <w:right w:val="nil"/>
            </w:tcBorders>
          </w:tcPr>
          <w:p>
            <w:pPr>
              <w:pStyle w:val="Normal6a"/>
            </w:pPr>
            <w:r>
              <w:t>k)</w:t>
            </w:r>
            <w:r>
              <w:tab/>
            </w:r>
            <w:r>
              <w:rPr>
                <w:b/>
                <w:i/>
              </w:rPr>
              <w:t>umožnění</w:t>
            </w:r>
            <w:r>
              <w:t xml:space="preserve"> spravedlivého přechodu k udržitelné, dekarbonizované a digitální ekonomice, která </w:t>
            </w:r>
            <w:r>
              <w:rPr>
                <w:b/>
                <w:i/>
              </w:rPr>
              <w:t>bude mít pozitivní dopad na klima,</w:t>
            </w:r>
            <w:r>
              <w:t xml:space="preserve"> pracovníky a komunity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1323</w:t>
      </w:r>
      <w:r>
        <w:rPr>
          <w:rStyle w:val="HideTWBExt"/>
        </w:rPr>
        <w:t>&lt;/NumAm&gt;</w:t>
      </w:r>
    </w:p>
    <w:p>
      <w:pPr>
        <w:pStyle w:val="NormalBold"/>
      </w:pPr>
      <w:r>
        <w:rPr>
          <w:rStyle w:val="HideTWBExt"/>
          <w:b w:val="0"/>
        </w:rPr>
        <w:t>&lt;RepeatBlock-By&gt;</w:t>
      </w:r>
      <w:r>
        <w:rPr>
          <w:rStyle w:val="HideTWBExt"/>
          <w:b w:val="0"/>
        </w:rPr>
        <w:t>&lt;Members&gt;</w:t>
      </w:r>
      <w:r>
        <w:t>Martin Hojsík, Sigrid Friis, Yvan Verougstraete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zajištění spravedlivého přechodu k udržitelné, dekarbonizované a digitální ekonomice, která je spravedlivá a podporuje pracovníky a komunity.</w:t>
            </w:r>
          </w:p>
        </w:tc>
        <w:tc>
          <w:tcPr>
            <w:tcW w:w="4876" w:type="dxa"/>
            <w:tcBorders>
              <w:top w:val="nil"/>
              <w:left w:val="nil"/>
              <w:bottom w:val="nil"/>
              <w:right w:val="nil"/>
            </w:tcBorders>
          </w:tcPr>
          <w:p>
            <w:pPr>
              <w:pStyle w:val="Normal6a"/>
            </w:pPr>
            <w:r>
              <w:t>k)</w:t>
            </w:r>
            <w:r>
              <w:tab/>
            </w:r>
            <w:r>
              <w:t>zajištění spravedlivého přechodu k udržitelné</w:t>
            </w:r>
            <w:r>
              <w:rPr>
                <w:b/>
                <w:i/>
              </w:rPr>
              <w:t>, čisté</w:t>
            </w:r>
            <w:r>
              <w:t>, dekarbonizované a digitální ekonomice, která je spravedlivá a podporuje pracovníky a komunity.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1324</w:t>
      </w:r>
      <w:r>
        <w:rPr>
          <w:rStyle w:val="HideTWBExt"/>
        </w:rPr>
        <w:t>&lt;/NumAm&gt;</w:t>
      </w:r>
    </w:p>
    <w:p>
      <w:pPr>
        <w:pStyle w:val="NormalBold"/>
      </w:pPr>
      <w:r>
        <w:rPr>
          <w:rStyle w:val="HideTWBExt"/>
          <w:b w:val="0"/>
        </w:rPr>
        <w:t>&lt;RepeatBlock-By&gt;</w:t>
      </w:r>
      <w:r>
        <w:rPr>
          <w:rStyle w:val="HideTWBExt"/>
          <w:b w:val="0"/>
        </w:rPr>
        <w:t>&lt;Members&gt;</w:t>
      </w:r>
      <w:r>
        <w:t>Dimitris Tsiodras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k – bod i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w:t>
            </w:r>
            <w:r>
              <w:tab/>
            </w:r>
            <w:r>
              <w:rPr>
                <w:b/>
                <w:i/>
              </w:rPr>
              <w:t>zajištění vyváženého rozdělení příležitostí v celé Unii, uvolnění plného kvalitativního potenciálu všech členských států a regionů, podpory spolupráce a integrace do udržitelných, inkluzivních a odolných hodnotových řetězců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1325</w:t>
      </w:r>
      <w:r>
        <w:rPr>
          <w:rStyle w:val="HideTWBExt"/>
        </w:rPr>
        <w:t>&lt;/NumAm&gt;</w:t>
      </w:r>
    </w:p>
    <w:p>
      <w:pPr>
        <w:pStyle w:val="NormalBold"/>
      </w:pPr>
      <w:r>
        <w:rPr>
          <w:rStyle w:val="HideTWBExt"/>
          <w:b w:val="0"/>
        </w:rPr>
        <w:t>&lt;RepeatBlock-By&gt;</w:t>
      </w:r>
      <w:r>
        <w:rPr>
          <w:rStyle w:val="HideTWBExt"/>
          <w:b w:val="0"/>
        </w:rPr>
        <w:t>&lt;Members&gt;</w:t>
      </w:r>
      <w:r>
        <w:t>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k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rozvoje a podpory regionálních, územních a místních inovačních a zaváděcích ekosystémů s cílem posílit územní rozměr konkurenceschopnosti usnadněním spolupráce mezi průmyslem, malými a středními podniky, výzkumnými organizacemi a místními a regionálními orgány;</w:t>
            </w:r>
            <w:r>
              <w:t xml:space="preserve"> </w:t>
            </w:r>
            <w:r>
              <w:rPr>
                <w:b/>
                <w:i/>
              </w:rPr>
              <w:t>podpory územně ukotvených průmyslových, technologických a dovednostních kapacit;</w:t>
            </w:r>
            <w:r>
              <w:t xml:space="preserve"> </w:t>
            </w:r>
            <w:r>
              <w:rPr>
                <w:b/>
                <w:i/>
              </w:rPr>
              <w:t>a umožnění zavádění inovativních opatření, která přispějí ke konkurenceschopnosti a odolnosti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1326</w:t>
      </w:r>
      <w:r>
        <w:rPr>
          <w:rStyle w:val="HideTWBExt"/>
        </w:rPr>
        <w:t>&lt;/NumAm&gt;</w:t>
      </w:r>
    </w:p>
    <w:p>
      <w:pPr>
        <w:pStyle w:val="NormalBold"/>
      </w:pPr>
      <w:r>
        <w:rPr>
          <w:rStyle w:val="HideTWBExt"/>
          <w:b w:val="0"/>
        </w:rPr>
        <w:t>&lt;RepeatBlock-By&gt;</w:t>
      </w:r>
      <w:r>
        <w:rPr>
          <w:rStyle w:val="HideTWBExt"/>
          <w:b w:val="0"/>
        </w:rPr>
        <w:t>&lt;Members&gt;</w:t>
      </w:r>
      <w:r>
        <w:t>Jana Nagyová, Ondřej Knotek, Tomáš Kubín, Klara Dostalova, Afroditi Latinopoulou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k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Fond nepodporuje pouze průlomové technologie, ale zahrnuje zejména „deep-tech“ transformaci tradičních průmyslových odvětví.</w:t>
            </w:r>
            <w:r>
              <w:t xml:space="preserve"> </w:t>
            </w:r>
            <w:r>
              <w:rPr>
                <w:b/>
                <w:i/>
              </w:rPr>
              <w:t>Způsobilé projekty zahrnují rozsáhlou modernizaci průmyslu, zavedení pokročilých výrobních procesů (průmysl 4.0) a dekarbonizaci stávajících výrobních linek, pokud přispívají k celkové strategické autonomii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1327</w:t>
      </w:r>
      <w:r>
        <w:rPr>
          <w:rStyle w:val="HideTWBExt"/>
        </w:rPr>
        <w:t>&lt;/NumAm&gt;</w:t>
      </w:r>
    </w:p>
    <w:p>
      <w:pPr>
        <w:pStyle w:val="NormalBold"/>
      </w:pPr>
      <w:r>
        <w:rPr>
          <w:rStyle w:val="HideTWBExt"/>
          <w:b w:val="0"/>
        </w:rPr>
        <w:t>&lt;RepeatBlock-By&gt;</w:t>
      </w:r>
      <w:r>
        <w:rPr>
          <w:rStyle w:val="HideTWBExt"/>
          <w:b w:val="0"/>
        </w:rPr>
        <w:t>&lt;Members&gt;</w:t>
      </w:r>
      <w:r>
        <w:t>Giorgio Gori, Stefano Bonaccini, Annalisa Corrado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k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(l) rozvoje a podpory regionálních, územních a místních inovačních a zaváděcích ekosystémů, s cílem posílit územní rozměr konkurenceschopnosti usnadněním spolupráce mezi průmyslem, malými a středními podniky, výzkumnými organizacemi a místními a regionálními orgány, a podpory územně zakotvených průmyslových, technologických a dovednostních kapacit.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1328</w:t>
      </w:r>
      <w:r>
        <w:rPr>
          <w:rStyle w:val="HideTWBExt"/>
        </w:rPr>
        <w:t>&lt;/NumAm&gt;</w:t>
      </w:r>
    </w:p>
    <w:p>
      <w:pPr>
        <w:pStyle w:val="NormalBold"/>
      </w:pPr>
      <w:r>
        <w:rPr>
          <w:rStyle w:val="HideTWBExt"/>
          <w:b w:val="0"/>
        </w:rPr>
        <w:t>&lt;RepeatBlock-By&gt;</w:t>
      </w:r>
      <w:r>
        <w:rPr>
          <w:rStyle w:val="HideTWBExt"/>
          <w:b w:val="0"/>
        </w:rPr>
        <w:t>&lt;Members&gt;</w:t>
      </w:r>
      <w:r>
        <w:t>Krzysztof Hetman, Adam Jarubas, Borys Budka, Kamila Gasiuk-Pihowicz, Mirosława Nykiel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k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zajištění vyváženosti mezi zásadou excelence a spravedlivým přístupem k financování v celé Unii řešením strukturálních rozdílů v účasti a možnosti plně využívat programu Unie v oblasti konkurenceschopnosti pro společnosty ze všech částí Unie, včetně těch, které působí v oblastech procházejících transformací energetiky;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1329</w:t>
      </w:r>
      <w:r>
        <w:rPr>
          <w:rStyle w:val="HideTWBExt"/>
        </w:rPr>
        <w:t>&lt;/NumAm&gt;</w:t>
      </w:r>
    </w:p>
    <w:p>
      <w:pPr>
        <w:pStyle w:val="NormalBold"/>
      </w:pPr>
      <w:r>
        <w:rPr>
          <w:rStyle w:val="HideTWBExt"/>
          <w:b w:val="0"/>
        </w:rPr>
        <w:t>&lt;RepeatBlock-By&gt;</w:t>
      </w:r>
      <w:r>
        <w:rPr>
          <w:rStyle w:val="HideTWBExt"/>
          <w:b w:val="0"/>
        </w:rPr>
        <w:t>&lt;Members&gt;</w:t>
      </w:r>
      <w:r>
        <w:t>Raúl de la Hoz Quintano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k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provádění převážně horizontálních intervencí zlepšujících rámcové podmínky pro špičkový výzkum, budování inovačních kapacit a globální konkurenceschopnost všech evropských společností a minimalizace řízení shora dolů a strategického zaměření na konkrétní odvětví, společnosti nebo hodnotové řetězce a minimalizace selektivní podpory v tomto směru;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1330</w:t>
      </w:r>
      <w:r>
        <w:rPr>
          <w:rStyle w:val="HideTWBExt"/>
        </w:rPr>
        <w:t>&lt;/NumAm&gt;</w:t>
      </w:r>
    </w:p>
    <w:p>
      <w:pPr>
        <w:pStyle w:val="NormalBold"/>
      </w:pPr>
      <w:r>
        <w:rPr>
          <w:rStyle w:val="HideTWBExt"/>
          <w:b w:val="0"/>
        </w:rPr>
        <w:t>&lt;RepeatBlock-By&gt;</w:t>
      </w:r>
      <w:r>
        <w:rPr>
          <w:rStyle w:val="HideTWBExt"/>
          <w:b w:val="0"/>
        </w:rPr>
        <w:t>&lt;Members&gt;</w:t>
      </w:r>
      <w:r>
        <w:t>Sigrid Friis, Martin Hojsík, Morten Løkkegaard, Emma Wiesner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k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(l) posílení potravinového zabezpečení a konkurenceschopnosti Unie investicemi do odolných a dekarbonizovaných hodnotových řetězců, které přispívají k diverzifikaci zemědělsko-potravinářského odvětví, snižují závislost Unie na dovozu a dodávají výživné produkty, které jsou základem zdravé stravy.</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Klíčovým cílem ECF by měla být podpora udržitelných zemědělsko-potravinářských hodnotových řetězců, které posilují odolnost zemědělců a potravinových systémů a dodávají výživné produkty, jež podporují přístup ke zdravé stravě pro všechny občany EU. Investice do zemědělsko-potravinářského odvětví mají zásadní význam pro potravinové zabezpečení a dlouhodobou hospodářskou udržitelnost jednoho z klíčových konkurenceschopných odvětví Unie.</w:t>
      </w:r>
    </w:p>
    <w:p>
      <w:r>
        <w:rPr>
          <w:rStyle w:val="HideTWBExt"/>
        </w:rPr>
        <w:t>&lt;/Amend&gt;</w:t>
      </w:r>
    </w:p>
    <w:p>
      <w:pPr>
        <w:pStyle w:val="AmNumberTabs"/>
      </w:pPr>
      <w:r>
        <w:rPr>
          <w:rStyle w:val="HideTWBExt"/>
        </w:rPr>
        <w:t>&lt;Amend&gt;</w:t>
      </w:r>
      <w:r>
        <w:t>Pozměňovací návrh</w:t>
      </w:r>
      <w:r>
        <w:tab/>
      </w:r>
      <w:r>
        <w:tab/>
      </w:r>
      <w:r>
        <w:rPr>
          <w:rStyle w:val="HideTWBExt"/>
        </w:rPr>
        <w:t>&lt;NumAm&gt;</w:t>
      </w:r>
      <w:r>
        <w:t>1331</w:t>
      </w:r>
      <w:r>
        <w:rPr>
          <w:rStyle w:val="HideTWBExt"/>
        </w:rPr>
        <w:t>&lt;/NumAm&gt;</w:t>
      </w:r>
    </w:p>
    <w:p>
      <w:pPr>
        <w:pStyle w:val="NormalBold"/>
      </w:pPr>
      <w:r>
        <w:rPr>
          <w:rStyle w:val="HideTWBExt"/>
          <w:b w:val="0"/>
        </w:rPr>
        <w:t>&lt;RepeatBlock-By&gt;</w:t>
      </w:r>
      <w:r>
        <w:rPr>
          <w:rStyle w:val="HideTWBExt"/>
          <w:b w:val="0"/>
        </w:rPr>
        <w:t>&lt;Members&gt;</w:t>
      </w:r>
      <w:r>
        <w:t>Borys Budka, Eszter Lakos, Romana Tomc, Adina Vălean, Gheorghe Falcă, Daniel Buda, Ioan-Rareş Bogdan, Siegfried Mureşan, Tomáš Zdechovský, Inese Vaidere, Virgil-Daniel Popescu, Andrzej Halicki, Loránt Vincze, Iuliu Winkler, Mirosława Nykiel, Kamila Gasiuk-Pihowicz, Krzysztof Hetman, Adam Jarubas, Miriam Lexmann, Karlo Ressler, Nikolina Brnjac, Davor Ivo Stier, Danuše Nerudová, Jan Farský, Rasa Juknevičienė, Andrey Kovatchev, Andrey Novakov, Ilia Lazarov, Emil Radev, Sandra Kalniete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k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zajištění vyváženého rozdělení příležitostí v celé Unii, uvolnění plného kvalitativního potenciálu všech tržních subjektů a regionů a podpory spolupráce a integrace do udržitelných, inkluzivních a odolných hodnotových řetězců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1332</w:t>
      </w:r>
      <w:r>
        <w:rPr>
          <w:rStyle w:val="HideTWBExt"/>
        </w:rPr>
        <w:t>&lt;/NumAm&gt;</w:t>
      </w:r>
    </w:p>
    <w:p>
      <w:pPr>
        <w:pStyle w:val="NormalBold"/>
      </w:pPr>
      <w:r>
        <w:rPr>
          <w:rStyle w:val="HideTWBExt"/>
          <w:b w:val="0"/>
        </w:rPr>
        <w:t>&lt;RepeatBlock-By&gt;</w:t>
      </w:r>
      <w:r>
        <w:rPr>
          <w:rStyle w:val="HideTWBExt"/>
          <w:b w:val="0"/>
        </w:rPr>
        <w:t>&lt;Members&gt;</w:t>
      </w:r>
      <w:r>
        <w:t>Mirosława Nykiel, Borys Budka, Adam Jarubas, Krzysztof Hetman,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k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zajištění vyváženého rozdělení příležitostí v celé Unii, uvolnění plného kvalitativního potenciálu všech členských států a regionů a podpory spolupráce a integrace do udržitelných, inkluzivních a odolných hodnotových řetězců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1333</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k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zajištění vyváženého rozdělení příležitostí v celé Unii, uvolnění plného kvalitativního potenciálu všech členských států a regionů a podpory spolupráce a integrace do udržitelných, inkluzivních a odolných hodnotových řetězců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1334</w:t>
      </w:r>
      <w:r>
        <w:rPr>
          <w:rStyle w:val="HideTWBExt"/>
        </w:rPr>
        <w:t>&lt;/NumAm&gt;</w:t>
      </w:r>
    </w:p>
    <w:p>
      <w:pPr>
        <w:pStyle w:val="NormalBold"/>
      </w:pPr>
      <w:r>
        <w:rPr>
          <w:rStyle w:val="HideTWBExt"/>
          <w:b w:val="0"/>
        </w:rPr>
        <w:t>&lt;RepeatBlock-By&gt;</w:t>
      </w:r>
      <w:r>
        <w:rPr>
          <w:rStyle w:val="HideTWBExt"/>
          <w:b w:val="0"/>
        </w:rPr>
        <w:t>&lt;Members&gt;</w:t>
      </w:r>
      <w:r>
        <w:t>András Gyürk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k a (nové)</w:t>
      </w:r>
      <w:r>
        <w:rPr>
          <w:rStyle w:val="HideTWBExt"/>
        </w:rPr>
        <w:t>&lt;/Article&gt;</w:t>
      </w:r>
    </w:p>
    <w:p>
      <w:r>
        <w:rPr>
          <w:rStyle w:val="HideTWBExt"/>
        </w:rPr>
        <w:t>&lt;DocAmend2&gt;</w:t>
      </w:r>
      <w:r>
        <w:t>Návrh nařízení</w:t>
      </w:r>
      <w:r>
        <w:rPr>
          <w:rStyle w:val="HideTWBExt"/>
        </w:rPr>
        <w:t>&lt;/DocAmend2&gt;</w:t>
      </w:r>
    </w:p>
    <w:p>
      <w:r>
        <w:rPr>
          <w:rStyle w:val="HideTWBExt"/>
        </w:rPr>
        <w:t>&lt;Article2&gt;</w:t>
      </w:r>
      <w:r>
        <w:t>Čl. 3 – odst. 1 – písm. k a (nové)</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podpory spravedlivého rozdělení příležitostí v celé Unii, mobilizace potenciálu všech tržních subjektů a regionů a usnadnění jejich integrace do udržitelných, inkluzivních a odolných hodnotových řetězců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1335</w:t>
      </w:r>
      <w:r>
        <w:rPr>
          <w:rStyle w:val="HideTWBExt"/>
        </w:rPr>
        <w:t>&lt;/NumAm&gt;</w:t>
      </w:r>
    </w:p>
    <w:p>
      <w:pPr>
        <w:pStyle w:val="NormalBold"/>
      </w:pPr>
      <w:r>
        <w:rPr>
          <w:rStyle w:val="HideTWBExt"/>
          <w:b w:val="0"/>
        </w:rPr>
        <w:t>&lt;RepeatBlock-By&gt;</w:t>
      </w:r>
      <w:r>
        <w:rPr>
          <w:rStyle w:val="HideTWBExt"/>
          <w:b w:val="0"/>
        </w:rPr>
        <w:t>&lt;Members&gt;</w:t>
      </w:r>
      <w:r>
        <w:t>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k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zajištění vodohospodářské odolnosti v celé Unii podporou udržitelného a účinného využívání vody, modernizací infrastruktury související s vodou a přispěním k dlouhodobé odolnosti vůči suchu a nedostatku vody.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1336</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k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řešení životních a výrobních nákladů v EU, včetně cen energií, nákladů na bydlení, nedostatečných investic do infrastruktury a zhoršování její kvality a důsledků změny klimatu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1337</w:t>
      </w:r>
      <w:r>
        <w:rPr>
          <w:rStyle w:val="HideTWBExt"/>
        </w:rPr>
        <w:t>&lt;/NumAm&gt;</w:t>
      </w:r>
    </w:p>
    <w:p>
      <w:pPr>
        <w:pStyle w:val="NormalBold"/>
      </w:pPr>
      <w:r>
        <w:rPr>
          <w:rStyle w:val="HideTWBExt"/>
          <w:b w:val="0"/>
        </w:rPr>
        <w:t>&lt;RepeatBlock-By&gt;</w:t>
      </w:r>
      <w:r>
        <w:rPr>
          <w:rStyle w:val="HideTWBExt"/>
          <w:b w:val="0"/>
        </w:rPr>
        <w:t>&lt;Members&gt;</w:t>
      </w:r>
      <w:r>
        <w:t>Daniel Attard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k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urychlení provádění ECF na základě poradenských center v každém členském státě, která budou financována z ECF a fungovat jako jednotná kontaktní místa na podporu projektů ECF a možností financování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1338</w:t>
      </w:r>
      <w:r>
        <w:rPr>
          <w:rStyle w:val="HideTWBExt"/>
        </w:rPr>
        <w:t>&lt;/NumAm&gt;</w:t>
      </w:r>
    </w:p>
    <w:p>
      <w:pPr>
        <w:pStyle w:val="NormalBold"/>
      </w:pPr>
      <w:r>
        <w:rPr>
          <w:rStyle w:val="HideTWBExt"/>
          <w:b w:val="0"/>
        </w:rPr>
        <w:t>&lt;RepeatBlock-By&gt;</w:t>
      </w:r>
      <w:r>
        <w:rPr>
          <w:rStyle w:val="HideTWBExt"/>
          <w:b w:val="0"/>
        </w:rPr>
        <w:t>&lt;Members&gt;</w:t>
      </w:r>
      <w:r>
        <w:t>Mirosława Nykiel, Borys Budka, Adam Jarubas, Krzysztof Hetman,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k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kb)</w:t>
            </w:r>
            <w:r>
              <w:tab/>
            </w:r>
            <w:r>
              <w:rPr>
                <w:b/>
                <w:i/>
              </w:rPr>
              <w:t>V zájmu posílení územního rozměru konkurenceschopnosti Unie se specifický cíl podpory rozvoje regionálních a místních inovačních ekosystémů spolu s udržitelným rozvojem měst a iniciativami v oblasti inovací měst provádí prostřednictvím konkurenčních výzev zaměřených na konsorcia ukotvená ve městech s cílem podpořit opatření na zavádění a rozšiřování technologií, mimo jiné v oblasti čisté energie, mobility s nulovými emisemi, zadávání veřejných zakázek v rámci oběhového hospodářství a dekarbonizace, obnovy a regenerace zastavěného prostředí, pokud přispívají k inovační kapacitě a udržitelnosti regionálních a místních ekonomik.</w:t>
            </w:r>
            <w:r>
              <w:t xml:space="preserve"> </w:t>
            </w:r>
            <w:r>
              <w:rPr>
                <w:b/>
                <w:i/>
              </w:rPr>
              <w:t>Aby se maximalizoval dopad na města a regiony, podporuje fond součinnost s programy přispívajícími k hospodářské, sociální a územní soudržnosti, zejména s programy prováděnými v rámci plánů národního a regionálního partnerství.</w:t>
            </w:r>
            <w:r>
              <w:t xml:space="preserve"> </w:t>
            </w:r>
            <w:r>
              <w:rPr>
                <w:b/>
                <w:i/>
              </w:rPr>
              <w:t>Fond může poskytovat technickou pomoc městům a regionálním a místním orgánům zaměřenou na podporu přípravy projektů, zadávání veřejných zakázek a rozvoje standardizovaných rámců pro monitorování, podávání zpráv a ověřování.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1339</w:t>
      </w:r>
      <w:r>
        <w:rPr>
          <w:rStyle w:val="HideTWBExt"/>
        </w:rPr>
        <w:t>&lt;/NumAm&gt;</w:t>
      </w:r>
    </w:p>
    <w:p>
      <w:pPr>
        <w:pStyle w:val="NormalBold"/>
      </w:pPr>
      <w:r>
        <w:rPr>
          <w:rStyle w:val="HideTWBExt"/>
          <w:b w:val="0"/>
        </w:rPr>
        <w:t>&lt;RepeatBlock-By&gt;</w:t>
      </w:r>
      <w:r>
        <w:rPr>
          <w:rStyle w:val="HideTWBExt"/>
          <w:b w:val="0"/>
        </w:rPr>
        <w:t>&lt;Members&gt;</w:t>
      </w:r>
      <w:r>
        <w:t>Krzysztof Hetman, Adam Jarubas, Borys Budka, Kamila Gasiuk-Pihowicz, Mirosława Nykiel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k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kb)</w:t>
            </w:r>
            <w:r>
              <w:tab/>
            </w:r>
            <w:r>
              <w:rPr>
                <w:b/>
                <w:i/>
              </w:rPr>
              <w:t>uplatňování cílených mechanismů k zajištění tohoto vyváženého přístupu, včetně specializovaných výzev, pro společnosti, které investují do oblastí procházejících energetickou transformací nebo vystavených strukturálním dopadům vyplývajícím z provádění cílů Unie v oblasti klimatu a energetiky, s cílem zabránit přetrvávajícímu nedostatku investic a uvolnit potenciál ke zvýšení konkurenceschopnosti, odolnosti a bezpečnosti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1340</w:t>
      </w:r>
      <w:r>
        <w:rPr>
          <w:rStyle w:val="HideTWBExt"/>
        </w:rPr>
        <w:t>&lt;/NumAm&gt;</w:t>
      </w:r>
    </w:p>
    <w:p>
      <w:pPr>
        <w:pStyle w:val="NormalBold"/>
      </w:pPr>
      <w:r>
        <w:rPr>
          <w:rStyle w:val="HideTWBExt"/>
          <w:b w:val="0"/>
        </w:rPr>
        <w:t>&lt;RepeatBlock-By&gt;</w:t>
      </w:r>
      <w:r>
        <w:rPr>
          <w:rStyle w:val="HideTWBExt"/>
          <w:b w:val="0"/>
        </w:rPr>
        <w:t>&lt;Members&gt;</w:t>
      </w:r>
      <w:r>
        <w:t>Borys Budka, Danuše Nerudová, Davor Ivo Stier, Nikolina Brnjac, Eszter Lakos, Karlo Ressler, Miriam Lexmann, Adam Jarubas, Krzysztof Hetman, Kamila Gasiuk-Pihowicz, Mirosława Nykiel, Iuliu Winkler, Loránt Vincze, Andrzej Halicki, Virgil-Daniel Popescu, Inese Vaidere, Tomáš Zdechovský, Siegfried Mureşan, Ioan-Rareş Bogdan, Daniel Buda, Gheorghe Falcă, Adina Vălean, Romana Tomc, Eva Maydell, Jan Farský, Rasa Juknevičienė, Andrey Kovatchev, Andrey Novakov, Ilia Lazarov, Sandra Kalniete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k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kb)</w:t>
            </w:r>
            <w:r>
              <w:tab/>
            </w:r>
            <w:r>
              <w:rPr>
                <w:b/>
                <w:i/>
              </w:rPr>
              <w:t>podpory sbližování inovací, integrace hodnotového řetězce a šíření technologií v celé Unii směrováním cílené podpory do subjektů se sídlem v členských státech a regionech, které v oblasti inovací nedosahují dostatečných výsledků, se zvláštním důrazem na malé a střední podniky, startupy a scaleupy, přičemž je třeba zabránit nepřiměřenému zvyšování stávající zeměpisné koncentrace technologických a inovačních kapacit.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1341</w:t>
      </w:r>
      <w:r>
        <w:rPr>
          <w:rStyle w:val="HideTWBExt"/>
        </w:rPr>
        <w:t>&lt;/NumAm&gt;</w:t>
      </w:r>
    </w:p>
    <w:p>
      <w:pPr>
        <w:pStyle w:val="NormalBold"/>
      </w:pPr>
      <w:r>
        <w:rPr>
          <w:rStyle w:val="HideTWBExt"/>
          <w:b w:val="0"/>
        </w:rPr>
        <w:t>&lt;RepeatBlock-By&gt;</w:t>
      </w:r>
      <w:r>
        <w:rPr>
          <w:rStyle w:val="HideTWBExt"/>
          <w:b w:val="0"/>
        </w:rPr>
        <w:t>&lt;Members&gt;</w:t>
      </w:r>
      <w:r>
        <w:t>Jana Nagyová, Ondřej Knotek, Tomáš Kubín, Klara Dostalova, András Gyürk, Afroditi Latinopoulou, Anna Bryłka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k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kb)</w:t>
            </w:r>
            <w:r>
              <w:tab/>
            </w:r>
            <w:r>
              <w:rPr>
                <w:b/>
                <w:i/>
              </w:rPr>
              <w:t>posílení konkurenceschopnosti zajištěním vyváženého rozdělení příležitostí v celé Unii, uvolněním plného kvalitativního potenciálu všech členských států a regionů, podpory spolupráce a integrace do udržitelných, inkluzivních a odolných hodnotových řetězců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1342</w:t>
      </w:r>
      <w:r>
        <w:rPr>
          <w:rStyle w:val="HideTWBExt"/>
        </w:rPr>
        <w:t>&lt;/NumAm&gt;</w:t>
      </w:r>
    </w:p>
    <w:p>
      <w:pPr>
        <w:pStyle w:val="NormalBold"/>
      </w:pPr>
      <w:r>
        <w:rPr>
          <w:rStyle w:val="HideTWBExt"/>
          <w:b w:val="0"/>
        </w:rPr>
        <w:t>&lt;RepeatBlock-By&gt;</w:t>
      </w:r>
      <w:r>
        <w:rPr>
          <w:rStyle w:val="HideTWBExt"/>
          <w:b w:val="0"/>
        </w:rPr>
        <w:t>&lt;Members&gt;</w:t>
      </w:r>
      <w:r>
        <w:t>Krzysztof Hetman, Alexander Bernhuber, Adam Jarubas, Norbert Lins, Borys Budka, Kamila Gasiuk-Pihowicz, Mirosława Nykiel, Céline Imart, Paulo do Nascimento Cabral, Carmen Crespo Díaz, Herbert Dorfmann, Stefan Köhler, Daniel Buda, Maria Walsh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k c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kc)</w:t>
            </w:r>
            <w:r>
              <w:tab/>
            </w:r>
            <w:r>
              <w:rPr>
                <w:b/>
                <w:i/>
              </w:rPr>
              <w:t>posílení konkurenceschopnosti zemědělství, lesnictví a produkce potravin jako strategických pilířů bezpečnosti a odolnosti Unie, zejména pokud jde o zajištění potravinového zabezpečení.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1343</w:t>
      </w:r>
      <w:r>
        <w:rPr>
          <w:rStyle w:val="HideTWBExt"/>
        </w:rPr>
        <w:t>&lt;/NumAm&gt;</w:t>
      </w:r>
    </w:p>
    <w:p>
      <w:pPr>
        <w:pStyle w:val="NormalBold"/>
      </w:pPr>
      <w:r>
        <w:rPr>
          <w:rStyle w:val="HideTWBExt"/>
          <w:b w:val="0"/>
        </w:rPr>
        <w:t>&lt;RepeatBlock-By&gt;</w:t>
      </w:r>
      <w:r>
        <w:rPr>
          <w:rStyle w:val="HideTWBExt"/>
          <w:b w:val="0"/>
        </w:rPr>
        <w:t>&lt;Members&gt;</w:t>
      </w:r>
      <w:r>
        <w:t>Krzysztof Hetman, Adam Jarubas, Borys Budka, Kamila Gasiuk-Pihowicz, Mirosława Nykiel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 písm. k d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kd)</w:t>
            </w:r>
            <w:r>
              <w:tab/>
            </w:r>
            <w:r>
              <w:rPr>
                <w:b/>
                <w:i/>
              </w:rPr>
              <w:t>snížení rizik souvisejících s vodou ve všech ekonomických hodnotových řetězcích vybudováním ekonomiky inteligentně hospodařící s vodou stimulující investice do účinného vodohospodářství, udržitelných alternativních vodních zdrojů, investic do vodohospodářské odolnosti modernizací vodohospodářské infrastruktury, digitalizace vodního hospodářství, jakož i oběhových procesů a procesů obnovy zdrojů.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1344</w:t>
      </w:r>
      <w:r>
        <w:rPr>
          <w:rStyle w:val="HideTWBExt"/>
        </w:rPr>
        <w:t>&lt;/NumAm&gt;</w:t>
      </w:r>
    </w:p>
    <w:p>
      <w:pPr>
        <w:pStyle w:val="NormalBold"/>
      </w:pPr>
      <w:r>
        <w:rPr>
          <w:rStyle w:val="HideTWBExt"/>
          <w:b w:val="0"/>
        </w:rPr>
        <w:t>&lt;RepeatBlock-By&gt;</w:t>
      </w:r>
      <w:r>
        <w:rPr>
          <w:rStyle w:val="HideTWBExt"/>
          <w:b w:val="0"/>
        </w:rPr>
        <w:t>&lt;Members&gt;</w:t>
      </w:r>
      <w:r>
        <w:t>Daniel Attard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ECF podporuje vyvážené financování v celé Unii, přičemž zvláštní pozornost věnuje malým, ostrovním a okrajovým regionům s cílem zachovat hospodářskou, sociální a územní soudržnost v souladu s článkem 174 SFEU.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1345</w:t>
      </w:r>
      <w:r>
        <w:rPr>
          <w:rStyle w:val="HideTWBExt"/>
        </w:rPr>
        <w:t>&lt;/NumAm&gt;</w:t>
      </w:r>
    </w:p>
    <w:p>
      <w:pPr>
        <w:pStyle w:val="NormalBold"/>
      </w:pPr>
      <w:r>
        <w:rPr>
          <w:rStyle w:val="HideTWBExt"/>
          <w:b w:val="0"/>
        </w:rPr>
        <w:t>&lt;RepeatBlock-By&gt;</w:t>
      </w:r>
      <w:r>
        <w:rPr>
          <w:rStyle w:val="HideTWBExt"/>
          <w:b w:val="0"/>
        </w:rPr>
        <w:t>&lt;Members&gt;</w:t>
      </w:r>
      <w:r>
        <w:t>Mirosława Nykiel, Borys Budka, Adam Jarubas, Krzysztof Hetman,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uvolnění plného společného potenciálu konkurenceschopnosti v celé Unii podporou celoevropské spolupráce a inkluzivní účasti členských států ve strategických průmyslových hodnotových řetězcích;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788.894</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146</w:t>
    </w:r>
    <w:r>
      <w:fldChar w:fldCharType="end"/>
    </w:r>
    <w:r>
      <w:t>/</w:t>
    </w:r>
    <w:r>
      <w:fldChar w:fldCharType="begin"/>
    </w:r>
    <w:r>
      <w:instrText xml:space="preserve"> NUMPAGES </w:instrText>
    </w:r>
    <w:r>
      <w:fldChar w:fldCharType="separate"/>
    </w:r>
    <w:r>
      <w:t>147</w:t>
    </w:r>
    <w:r>
      <w:fldChar w:fldCharType="end"/>
    </w:r>
    <w:r>
      <w:tab/>
    </w:r>
    <w:r>
      <w:rPr>
        <w:rStyle w:val="HideTWBExt"/>
      </w:rPr>
      <w:t>&lt;PathFdR&gt;</w:t>
    </w:r>
    <w:r>
      <w:t>AM\1344023CS.docx</w:t>
    </w:r>
    <w:r>
      <w:rPr>
        <w:rStyle w:val="HideTWBExt"/>
      </w:rPr>
      <w:t>&lt;/PathFdR&gt;</w:t>
    </w:r>
  </w:p>
  <w:p>
    <w:pPr>
      <w:pStyle w:val="EPFooter2"/>
    </w:pPr>
    <w:r>
      <w:t>CS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AM\1344023CS.docx</w:t>
    </w:r>
    <w:r>
      <w:rPr>
        <w:rStyle w:val="HideTWBExt"/>
      </w:rPr>
      <w:t>&lt;/PathFdR&gt;</w:t>
    </w:r>
    <w:r>
      <w:tab/>
    </w:r>
    <w:r>
      <w:fldChar w:fldCharType="begin"/>
    </w:r>
    <w:r>
      <w:instrText xml:space="preserve"> PAGE </w:instrText>
    </w:r>
    <w:r>
      <w:fldChar w:fldCharType="separate"/>
    </w:r>
    <w:r>
      <w:t>147</w:t>
    </w:r>
    <w:r>
      <w:fldChar w:fldCharType="end"/>
    </w:r>
    <w:r>
      <w:t>/</w:t>
    </w:r>
    <w:r>
      <w:fldChar w:fldCharType="begin"/>
    </w:r>
    <w:r>
      <w:instrText xml:space="preserve"> NUMPAGES </w:instrText>
    </w:r>
    <w:r>
      <w:fldChar w:fldCharType="separate"/>
    </w:r>
    <w:r>
      <w:t>147</w:t>
    </w:r>
    <w:r>
      <w:fldChar w:fldCharType="end"/>
    </w:r>
    <w:r>
      <w:tab/>
    </w:r>
    <w:r>
      <w:t>PE</w:t>
    </w:r>
    <w:r>
      <w:rPr>
        <w:rStyle w:val="HideTWBExt"/>
      </w:rPr>
      <w:t>&lt;NoPE&gt;</w:t>
    </w:r>
    <w:r>
      <w:t>788.894</w:t>
    </w:r>
    <w:r>
      <w:rPr>
        <w:rStyle w:val="HideTWBExt"/>
      </w:rPr>
      <w:t>&lt;/NoPE&gt;</w:t>
    </w:r>
    <w:r>
      <w:rPr>
        <w:rStyle w:val="HideTWBExt"/>
      </w:rPr>
      <w:t>&lt;Version&gt;</w:t>
    </w:r>
    <w:r>
      <w:t>v01-00</w:t>
    </w:r>
    <w:r>
      <w:rPr>
        <w:rStyle w:val="HideTWBExt"/>
      </w:rPr>
      <w:t>&lt;/Version&gt;</w:t>
    </w:r>
  </w:p>
  <w:p>
    <w:pPr>
      <w:pStyle w:val="EPFooter2"/>
    </w:pPr>
    <w:r>
      <w:tab/>
    </w:r>
    <w:r>
      <w:tab/>
    </w:r>
    <w:r>
      <w:t>CS</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AM\1344023CS.docx</w:t>
    </w:r>
    <w:r>
      <w:rPr>
        <w:rStyle w:val="HideTWBExt"/>
      </w:rPr>
      <w:t>&lt;/PathFdR&gt;</w:t>
    </w:r>
    <w:r>
      <w:tab/>
    </w:r>
    <w:r>
      <w:tab/>
    </w:r>
    <w:r>
      <w:t>PE</w:t>
    </w:r>
    <w:r>
      <w:rPr>
        <w:rStyle w:val="HideTWBExt"/>
      </w:rPr>
      <w:t>&lt;NoPE&gt;</w:t>
    </w:r>
    <w:r>
      <w:t>788.894</w:t>
    </w:r>
    <w:r>
      <w:rPr>
        <w:rStyle w:val="HideTWBExt"/>
      </w:rPr>
      <w:t>&lt;/NoPE&gt;</w:t>
    </w:r>
    <w:r>
      <w:rPr>
        <w:rStyle w:val="HideTWBExt"/>
      </w:rPr>
      <w:t>&lt;Version&gt;</w:t>
    </w:r>
    <w:r>
      <w:t>v01-00</w:t>
    </w:r>
    <w:r>
      <w:rPr>
        <w:rStyle w:val="HideTWBExt"/>
      </w:rPr>
      <w:t>&lt;/Version&gt;</w:t>
    </w:r>
  </w:p>
  <w:p>
    <w:pPr>
      <w:pStyle w:val="EPFooter2"/>
    </w:pPr>
    <w:r>
      <w:t>CS</w:t>
    </w:r>
    <w:r>
      <w:tab/>
    </w:r>
    <w:r>
      <w:rPr>
        <w:rStyle w:val="EPFooter2Motto"/>
      </w:rPr>
      <w:t>Jednotná v rozmanitosti</w:t>
    </w:r>
    <w:r>
      <w:tab/>
    </w:r>
    <w:r>
      <w:t>CS</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cs-CZ"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147</Pages>
  <Words>30284</Words>
  <Characters>195120</Characters>
  <Application>Microsoft Office Word</Application>
  <DocSecurity>0</DocSecurity>
  <Lines>1</Lines>
  <Paragraphs>2670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1344023</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547258</vt:lpwstr>
  </property>
  <property fmtid="{D5CDD505-2E9C-101B-9397-08002B2CF9AE}" pid="7" name="dmxml.render.traceId">
    <vt:lpwstr>6a3d458d59a57b43de7172f426be50cd</vt:lpwstr>
  </property>
  <property fmtid="{D5CDD505-2E9C-101B-9397-08002B2CF9AE}" pid="8" name="FooterPath">
    <vt:lpwstr>AM\1344023CS.docx</vt:lpwstr>
  </property>
  <property fmtid="{D5CDD505-2E9C-101B-9397-08002B2CF9AE}" pid="9" name="PE Number">
    <vt:lpwstr>788.894</vt:lpwstr>
  </property>
  <property fmtid="{D5CDD505-2E9C-101B-9397-08002B2CF9AE}" pid="10" name="UID">
    <vt:lpwstr>eu.europa.europarl-DIN1-2026-0000140158_02.00-cs-01.00_text-xml</vt:lpwstr>
  </property>
</Properties>
</file>