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Eiropas Parlaments</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{ITRE}</w:t>
      </w:r>
      <w:r>
        <w:t>Rūpniecības, pētniecības un enerģētikas komiteja</w:t>
      </w:r>
      <w:r>
        <w:rPr>
          <w:rStyle w:val="HideTWBExt"/>
        </w:rPr>
        <w:t>&lt;/Commission&gt;</w:t>
      </w:r>
    </w:p>
    <w:p>
      <w:pPr>
        <w:pStyle w:val="LineBottom"/>
      </w:pPr>
      <w:r>
        <w:t xml:space="preserve"> </w:t>
      </w:r>
    </w:p>
    <w:p>
      <w:pPr>
        <w:pStyle w:val="CoverReference"/>
      </w:pPr>
      <w:r>
        <w:rPr>
          <w:rStyle w:val="HideTWBExt"/>
        </w:rPr>
        <w:t>&lt;RefProc&gt;</w:t>
      </w:r>
      <w:r>
        <w:t>2025/0555</w:t>
      </w:r>
      <w:r>
        <w:rPr>
          <w:rStyle w:val="HideTWBExt"/>
        </w:rPr>
        <w:t>&lt;/RefProc&gt;</w:t>
      </w:r>
      <w:r>
        <w:rPr>
          <w:rStyle w:val="HideTWBExt"/>
        </w:rPr>
        <w:t>&lt;RefTypeProc&gt;</w:t>
      </w:r>
      <w:r>
        <w:t>(COD)</w:t>
      </w:r>
      <w:r>
        <w:rPr>
          <w:rStyle w:val="HideTWBExt"/>
        </w:rPr>
        <w:t>&lt;/RefTypeProc&gt;</w:t>
      </w:r>
    </w:p>
    <w:p>
      <w:pPr>
        <w:pStyle w:val="CoverDate"/>
      </w:pPr>
      <w:r>
        <w:rPr>
          <w:rStyle w:val="HideTWBExt"/>
        </w:rPr>
        <w:t>&lt;Date&gt;</w:t>
      </w:r>
      <w:r>
        <w:rPr>
          <w:rStyle w:val="HideTWBInt"/>
        </w:rPr>
        <w:t>{19/05/2026}</w:t>
      </w:r>
      <w:r>
        <w:t>19.5.2026</w:t>
      </w:r>
      <w:r>
        <w:rPr>
          <w:rStyle w:val="HideTWBExt"/>
        </w:rPr>
        <w:t>&lt;/Date&gt;</w:t>
      </w:r>
    </w:p>
    <w:p>
      <w:pPr>
        <w:pStyle w:val="CoverDocType"/>
      </w:pPr>
      <w:r>
        <w:rPr>
          <w:rStyle w:val="HideTWBExt"/>
        </w:rPr>
        <w:t>&lt;TypeAM&gt;</w:t>
      </w:r>
      <w:r>
        <w:t>GROZĪJUMI Nr.</w:t>
      </w:r>
      <w:r>
        <w:rPr>
          <w:rStyle w:val="HideTWBExt"/>
        </w:rPr>
        <w:t>&lt;/TypeAM&gt;</w:t>
      </w:r>
    </w:p>
    <w:p>
      <w:pPr>
        <w:pStyle w:val="CoverDocType24a"/>
      </w:pPr>
      <w:r>
        <w:rPr>
          <w:rStyle w:val="HideTWBExt"/>
        </w:rPr>
        <w:t>&lt;RangeAM&gt;</w:t>
      </w:r>
      <w:r>
        <w:t>1842</w:t>
      </w:r>
      <w:r>
        <w:t xml:space="preserve"> - </w:t>
      </w:r>
      <w:r>
        <w:t>2023</w:t>
      </w:r>
      <w:r>
        <w:rPr>
          <w:rStyle w:val="HideTWBExt"/>
        </w:rPr>
        <w:t>&lt;/RangeAM&gt;</w:t>
      </w:r>
    </w:p>
    <w:p>
      <w:pPr>
        <w:pStyle w:val="CoverBold"/>
      </w:pPr>
      <w:r>
        <w:rPr>
          <w:rStyle w:val="HideTWBExt"/>
        </w:rPr>
        <w:t>&lt;TitreType&gt;</w:t>
      </w:r>
      <w:r>
        <w:t>Ziņojuma projekts</w:t>
      </w:r>
      <w:r>
        <w:rPr>
          <w:rStyle w:val="HideTWBExt"/>
        </w:rPr>
        <w:t>&lt;/TitreType&gt;</w:t>
      </w:r>
    </w:p>
    <w:p>
      <w:pPr>
        <w:pStyle w:val="CoverBold"/>
      </w:pPr>
      <w:r>
        <w:rPr>
          <w:rStyle w:val="HideTWBExt"/>
        </w:rPr>
        <w:t>&lt;Rapporteur&gt;</w:t>
      </w:r>
      <w:r>
        <w:t>Christian Ehler, Dan Nica</w:t>
      </w:r>
      <w:r>
        <w:rPr>
          <w:rStyle w:val="HideTWBExt"/>
        </w:rPr>
        <w:t>&lt;/Rapporteur&gt;</w:t>
      </w:r>
    </w:p>
    <w:p>
      <w:pPr>
        <w:pStyle w:val="CoverNormal24a"/>
      </w:pPr>
      <w:r>
        <w:rPr>
          <w:rStyle w:val="HideTWBExt"/>
        </w:rPr>
        <w:t>&lt;DocRefPE&gt;</w:t>
      </w:r>
      <w:r>
        <w:t>(PE784.506v01-00)</w:t>
      </w:r>
      <w:r>
        <w:rPr>
          <w:rStyle w:val="HideTWBExt"/>
        </w:rPr>
        <w:t>&lt;/DocRefPE&gt;</w:t>
      </w:r>
    </w:p>
    <w:p>
      <w:pPr>
        <w:pStyle w:val="CoverNormal24a"/>
      </w:pPr>
      <w:r>
        <w:rPr>
          <w:rStyle w:val="HideTWBExt"/>
        </w:rPr>
        <w:t>&lt;Titre&gt;</w:t>
      </w:r>
      <w:r>
        <w:t>Priekšlikums izveidot Eiropas Konkurētspējas fondu (“EKF”), tai skaitā īpašo programmu pētniecības un inovācijas darbībām aizsardzības jomā</w:t>
      </w:r>
      <w:r>
        <w:rPr>
          <w:rStyle w:val="HideTWBExt"/>
        </w:rPr>
        <w:t>&lt;/Titre&gt;</w:t>
      </w:r>
    </w:p>
    <w:p>
      <w:pPr>
        <w:pStyle w:val="CoverNormal"/>
      </w:pPr>
      <w:r>
        <w:rPr>
          <w:rStyle w:val="HideTWBExt"/>
        </w:rPr>
        <w:t>&lt;DocAmend&gt;</w:t>
      </w:r>
      <w:r>
        <w:t>Regulas priekšlikums</w:t>
      </w:r>
      <w:r>
        <w:rPr>
          <w:rStyle w:val="HideTWBExt"/>
        </w:rPr>
        <w:t>&lt;/DocAmend&gt;</w:t>
      </w:r>
    </w:p>
    <w:p>
      <w:pPr>
        <w:pStyle w:val="CoverNormal24a"/>
      </w:pPr>
      <w:r>
        <w:rPr>
          <w:rStyle w:val="HideTWBExt"/>
        </w:rPr>
        <w:t>&lt;DocRef&gt;</w:t>
      </w:r>
      <w:r>
        <w:t>(COM(2025)0555 – 2025/0555(COD))</w:t>
      </w:r>
      <w:r>
        <w:rPr>
          <w:rStyle w:val="HideTWBExt"/>
        </w:rPr>
        <w:t>&lt;/DocRef&gt;</w:t>
      </w:r>
    </w:p>
    <w:p>
      <w:r>
        <w:br w:type="page"/>
      </w:r>
      <w:r>
        <w:t>AM_Com_LegReport</w:t>
      </w:r>
    </w:p>
    <w:p>
      <w:pPr>
        <w:pStyle w:val="AmNumberTabs"/>
      </w:pPr>
      <w:r>
        <w:br w:type="page"/>
      </w:r>
      <w:r>
        <w:rPr>
          <w:rStyle w:val="HideTWBExt"/>
        </w:rPr>
        <w:t>&lt;RepeatBlock-Amend&gt;</w:t>
      </w:r>
      <w:r>
        <w:rPr>
          <w:rStyle w:val="HideTWBExt"/>
        </w:rPr>
        <w:t>&lt;Amend&gt;</w:t>
      </w:r>
      <w:r>
        <w:t>Grozījums Nr.</w:t>
      </w:r>
      <w:r>
        <w:tab/>
      </w:r>
      <w:r>
        <w:tab/>
      </w:r>
      <w:r>
        <w:rPr>
          <w:rStyle w:val="HideTWBExt"/>
        </w:rPr>
        <w:t>&lt;NumAm&gt;</w:t>
      </w:r>
      <w:r>
        <w:t>1842</w:t>
      </w:r>
      <w:r>
        <w:rPr>
          <w:rStyle w:val="HideTWBExt"/>
        </w:rPr>
        <w:t>&lt;/NumAm&gt;</w:t>
      </w:r>
    </w:p>
    <w:p>
      <w:pPr>
        <w:pStyle w:val="NormalBold"/>
      </w:pPr>
      <w:r>
        <w:rPr>
          <w:rStyle w:val="HideTWBExt"/>
          <w:b w:val="0"/>
        </w:rPr>
        <w:t>&lt;RepeatBlock-By&gt;</w:t>
      </w:r>
      <w:r>
        <w:rPr>
          <w:rStyle w:val="HideTWBExt"/>
          <w:b w:val="0"/>
        </w:rPr>
        <w:t>&lt;Members&gt;</w:t>
      </w:r>
      <w:r>
        <w:t>Thomas Pellerin-Carlin, Yannis Maniatis, Christophe Clergeau, Pierre Jouvet, Raphaël Glucksmann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Regulas priekšlikums</w:t>
      </w:r>
      <w:r>
        <w:rPr>
          <w:rStyle w:val="HideTWBExt"/>
        </w:rPr>
        <w:t>&lt;/DocAmend&gt;</w:t>
      </w:r>
    </w:p>
    <w:p>
      <w:pPr>
        <w:pStyle w:val="NormalBold"/>
      </w:pPr>
      <w:r>
        <w:rPr>
          <w:rStyle w:val="HideTWBExt"/>
        </w:rPr>
        <w:t>&lt;Article&gt;</w:t>
      </w:r>
      <w:r>
        <w:t>11. pants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Komisijas ierosinātais teksts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11. pants</w:t>
            </w:r>
            <w:r>
              <w:tab/>
            </w:r>
          </w:p>
        </w:tc>
        <w:tc>
          <w:tcPr>
            <w:tcW w:w="4876" w:type="dxa"/>
            <w:tcBorders>
              <w:top w:val="nil"/>
              <w:left w:val="nil"/>
              <w:bottom w:val="nil"/>
              <w:right w:val="nil"/>
            </w:tcBorders>
          </w:tcPr>
          <w:p>
            <w:pPr>
              <w:pStyle w:val="Normal6a"/>
            </w:pPr>
            <w:r>
              <w:rPr>
                <w:b/>
                <w:i/>
              </w:rPr>
              <w:t>svītrots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Trešo valstu pievienošanās darbībām EKF ietvaros</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rPr>
                <w:b/>
                <w:i/>
              </w:rPr>
              <w:t xml:space="preserve"> </w:t>
            </w:r>
            <w:r>
              <w:rPr>
                <w:b/>
                <w:i/>
              </w:rPr>
              <w:t>EKF var piedalīties tālāk minētās trešās valstis, kuras iesaistās uz pilnīgas vai daļējas asociācijas pamata, saskaņā ar 3. pantā noteiktajiem mērķiem un attiecīgajiem starptautiskajiem nolīgumiem vai jebkuriem lēmumiem, kas pieņemti saskaņā ar minētajiem nolīgumiem un attiecas uz:</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 Eiropas Brīvās tirdzniecības asociācijas dalībvalstīm, kuras ir Eiropas Ekonomikas zonas dalībvalstis, kā arī Andoru, Monako un Sanmarīno;</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 valstīm, kas pievienojas, kandidātvalstīm un potenciālajām kandidātēm;</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 Eiropas kaimiņattiecību politikas aptvertajām valstīm;</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 citām trešām valstīm.</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rPr>
                <w:b/>
                <w:i/>
              </w:rPr>
              <w:t xml:space="preserve"> </w:t>
            </w:r>
            <w:r>
              <w:rPr>
                <w:b/>
                <w:i/>
              </w:rPr>
              <w:t>Ja ieinteresētā trešā valsts ir izpildījusi visus iespējamos īpašos nosacījumus, kas noteikti katrā politikas logā vai komponentā, asociācijas nolīgumi par programmas dalību EKF:</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 nodrošina taisnīgu līdzsvaru starp trešās valsts, kura piedalās EKF, iemaksām un ieguvumiem;</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 paredz noteikumus par piedalīšanos programmās, tai skaitā par to, kā aprēķināt finanšu iemaksas, ko veido darbības iemaksa un dalības maksa, EKF un tā vispārējo administratīvo izmaksu vajadzībām;</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 nepiešķir trešai valstij lēmumu pieņemšanas pilnvaras attiecībā uz programmu;</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 garantē Savienības tiesības nodrošināt pareizu finanšu pārvaldību un aizsargāt savas finanšu intereses;</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 nodrošina Savienības un tās dalībvalstu stratēģisko, drošības, aizsardzības un sabiedriskās kārtības interešu aizsardzību.</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rPr>
                <w:b/>
                <w:i/>
              </w:rPr>
              <w:t xml:space="preserve"> </w:t>
            </w:r>
            <w:r>
              <w:rPr>
                <w:b/>
                <w:i/>
              </w:rPr>
              <w:t>Lai varētu īstenot d) apakšpunktu, trešā valsts piešķir nepieciešamās tiesības un piekļuvi, kas prasīta Regulās (ES, Euratom) 2024/2509 un (ES, Euratom) Nr. 883/2013, un garantē, ka izpildes lēmumi, ar kuriem uzliek finansiālas saistības, pamatojoties uz LESD 299. pantu, kā arī Eiropas Savienības Tiesas spriedumi un rīkojumi ir izpildāmi, un nodrošina, ka tās kompetentās iestādes sadarbojas ar Eiropas Prokuratūru (EPPO), izmeklējot noziedzīgus nodarījumus, kas skar Savienības finanšu intereses, un saucot pie atbildības par tiem saskaņā ar piemērojamajiem starptautiskajiem nolīgumiem vai citiem piemērojamiem noteikumiem.</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w:t>
            </w:r>
            <w:r>
              <w:rPr>
                <w:b/>
                <w:i/>
              </w:rPr>
              <w:t xml:space="preserve"> </w:t>
            </w:r>
            <w:r>
              <w:rPr>
                <w:b/>
                <w:i/>
              </w:rPr>
              <w:t>Saskaņā ar LESD 218. pantu var noslēgt atsevišķus īpašus nolīgumus par EKF darbībām, kas saistītas ar drošību, drošības pakalpojumu sniegšanu un kritiski svarīgu aktīvu sniegšanu ES.</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1843</w:t>
      </w:r>
      <w:r>
        <w:rPr>
          <w:rStyle w:val="HideTWBExt"/>
        </w:rPr>
        <w:t>&lt;/NumAm&gt;</w:t>
      </w:r>
    </w:p>
    <w:p>
      <w:pPr>
        <w:pStyle w:val="NormalBold"/>
      </w:pPr>
      <w:r>
        <w:rPr>
          <w:rStyle w:val="HideTWBExt"/>
          <w:b w:val="0"/>
        </w:rPr>
        <w:t>&lt;RepeatBlock-By&gt;</w:t>
      </w:r>
      <w:r>
        <w:rPr>
          <w:rStyle w:val="HideTWBExt"/>
          <w:b w:val="0"/>
        </w:rPr>
        <w:t>&lt;Members&gt;</w:t>
      </w:r>
      <w:r>
        <w:t>Yannis Maniatis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Regulas priekšlikums</w:t>
      </w:r>
      <w:r>
        <w:rPr>
          <w:rStyle w:val="HideTWBExt"/>
        </w:rPr>
        <w:t>&lt;/DocAmend&gt;</w:t>
      </w:r>
    </w:p>
    <w:p>
      <w:pPr>
        <w:pStyle w:val="NormalBold"/>
      </w:pPr>
      <w:r>
        <w:rPr>
          <w:rStyle w:val="HideTWBExt"/>
        </w:rPr>
        <w:t>&lt;Article&gt;</w:t>
      </w:r>
      <w:r>
        <w:t>11. pants – 1. punkts – ievaddaļa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Komisijas ierosinātais teksts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EKF var piedalīties tālāk minētās trešās valstis, kuras iesaistās uz pilnīgas vai daļējas asociācijas pamata, saskaņā ar 3. pantā noteiktajiem mērķiem un attiecīgajiem starptautiskajiem nolīgumiem vai jebkuriem lēmumiem, kas pieņemti saskaņā ar minētajiem nolīgumiem un attiecas uz:</w:t>
            </w:r>
          </w:p>
        </w:tc>
        <w:tc>
          <w:tcPr>
            <w:tcW w:w="4876" w:type="dxa"/>
            <w:tcBorders>
              <w:top w:val="nil"/>
              <w:left w:val="nil"/>
              <w:bottom w:val="nil"/>
              <w:right w:val="nil"/>
            </w:tcBorders>
          </w:tcPr>
          <w:p>
            <w:pPr>
              <w:pStyle w:val="Normal6a"/>
            </w:pPr>
            <w:r>
              <w:t>1.</w:t>
            </w:r>
            <w:r>
              <w:tab/>
            </w:r>
            <w:r>
              <w:t xml:space="preserve">EKF var piedalīties tālāk minētās trešās valstis, </w:t>
            </w:r>
            <w:r>
              <w:rPr>
                <w:b/>
                <w:i/>
              </w:rPr>
              <w:t>kuras nepārkāpj Savienības vai tās dalībvalstu drošības un aizsardzības intereses, tostarp labu kaimiņattiecību principa ievērošanu, un</w:t>
            </w:r>
            <w:r>
              <w:t xml:space="preserve"> kuras iesaistās uz pilnīgas vai daļējas asociācijas pamata, saskaņā ar 3. pantā noteiktajiem mērķiem un attiecīgajiem starptautiskajiem nolīgumiem vai jebkuriem lēmumiem, kas pieņemti saskaņā ar minētajiem nolīgumiem un attiecas uz:</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1844</w:t>
      </w:r>
      <w:r>
        <w:rPr>
          <w:rStyle w:val="HideTWBExt"/>
        </w:rPr>
        <w:t>&lt;/NumAm&gt;</w:t>
      </w:r>
    </w:p>
    <w:p>
      <w:pPr>
        <w:pStyle w:val="NormalBold"/>
      </w:pPr>
      <w:r>
        <w:rPr>
          <w:rStyle w:val="HideTWBExt"/>
          <w:b w:val="0"/>
        </w:rPr>
        <w:t>&lt;RepeatBlock-By&gt;</w:t>
      </w:r>
      <w:r>
        <w:rPr>
          <w:rStyle w:val="HideTWBExt"/>
          <w:b w:val="0"/>
        </w:rPr>
        <w:t>&lt;Members&gt;</w:t>
      </w:r>
      <w:r>
        <w:t>Jens Geier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Regulas priekšlikums</w:t>
      </w:r>
      <w:r>
        <w:rPr>
          <w:rStyle w:val="HideTWBExt"/>
        </w:rPr>
        <w:t>&lt;/DocAmend&gt;</w:t>
      </w:r>
    </w:p>
    <w:p>
      <w:pPr>
        <w:pStyle w:val="NormalBold"/>
      </w:pPr>
      <w:r>
        <w:rPr>
          <w:rStyle w:val="HideTWBExt"/>
        </w:rPr>
        <w:t>&lt;Article&gt;</w:t>
      </w:r>
      <w:r>
        <w:t>11. pants – 1. punkts – ievaddaļa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Komisijas ierosinātais teksts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EKF var piedalīties tālāk minētās trešās valstis, kuras iesaistās uz pilnīgas vai daļējas asociācijas pamata, saskaņā ar 3. pantā noteiktajiem mērķiem un attiecīgajiem starptautiskajiem nolīgumiem vai jebkuriem lēmumiem, kas pieņemti saskaņā ar minētajiem nolīgumiem un attiecas uz:</w:t>
            </w:r>
          </w:p>
        </w:tc>
        <w:tc>
          <w:tcPr>
            <w:tcW w:w="4876" w:type="dxa"/>
            <w:tcBorders>
              <w:top w:val="nil"/>
              <w:left w:val="nil"/>
              <w:bottom w:val="nil"/>
              <w:right w:val="nil"/>
            </w:tcBorders>
          </w:tcPr>
          <w:p>
            <w:pPr>
              <w:pStyle w:val="Normal6a"/>
            </w:pPr>
            <w:r>
              <w:t>1.</w:t>
            </w:r>
            <w:r>
              <w:tab/>
            </w:r>
            <w:r>
              <w:t>EKF var piedalīties tālāk minētās trešās valstis, kuras iesaistās uz pilnīgas vai daļējas asociācijas pamata</w:t>
            </w:r>
            <w:r>
              <w:rPr>
                <w:b/>
                <w:i/>
              </w:rPr>
              <w:t>, tostarp konkrētās programmas daļās, piemēram, divpusējās izsolēs</w:t>
            </w:r>
            <w:r>
              <w:t>, saskaņā ar 3. pantā noteiktajiem mērķiem un attiecīgajiem starptautiskajiem nolīgumiem vai jebkuriem lēmumiem, kas pieņemti saskaņā ar minētajiem nolīgumiem un attiecas uz:</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Pamatojums</w:t>
      </w:r>
      <w:r>
        <w:rPr>
          <w:rStyle w:val="HideTWBExt"/>
        </w:rPr>
        <w:t>&lt;/TitreJust&gt;</w:t>
      </w:r>
    </w:p>
    <w:p>
      <w:pPr>
        <w:pStyle w:val="AmJustText"/>
      </w:pPr>
      <w:r>
        <w:t>The European Hydrogen Bank (EHB) plays an important role in facilitating early market creation for hydrogen.</w:t>
      </w:r>
      <w:r>
        <w:t xml:space="preserve"> </w:t>
      </w:r>
      <w:r>
        <w:t>Both domestic production and imports are important to meet potentially large future demand from industrial sectors such as steel and chemicals.</w:t>
      </w:r>
      <w:r>
        <w:t xml:space="preserve"> </w:t>
      </w:r>
      <w:r>
        <w:t>However, This will require additional financing.</w:t>
      </w:r>
      <w:r>
        <w:t xml:space="preserve"> </w:t>
      </w:r>
      <w:r>
        <w:t>Furthermore, there is currently no dedicated funding available for the international leg of the EHB to support imports of renewable hydrogen.</w:t>
      </w:r>
      <w:r>
        <w:t xml:space="preserve"> </w:t>
      </w:r>
      <w:r>
        <w:t>In order to design a scheme for renewable hydrogen imports from third countries into the EU, substantial analytical and preparatory work is required in the immediate term.</w:t>
      </w:r>
      <w:r>
        <w:t xml:space="preserve"> </w:t>
      </w:r>
      <w:r>
        <w:t>Such preparatory work could include, amongst other tasks, analysing the hydrogen market landscape globally, identifying the specific risks associated with the import of hydrogen and the associated financing challenges, and the advantages and disadvantages of different auction design elements, building on existing experience available, such as the international auctions organised by the H2Global Foundation.</w:t>
      </w:r>
    </w:p>
    <w:p>
      <w:r>
        <w:rPr>
          <w:rStyle w:val="HideTWBExt"/>
        </w:rPr>
        <w:t>&lt;/Amend&gt;</w:t>
      </w:r>
    </w:p>
    <w:p>
      <w:pPr>
        <w:pStyle w:val="AmNumberTabs"/>
      </w:pPr>
      <w:r>
        <w:rPr>
          <w:rStyle w:val="HideTWBExt"/>
        </w:rPr>
        <w:t>&lt;Amend&gt;</w:t>
      </w:r>
      <w:r>
        <w:t>Grozījums Nr.</w:t>
      </w:r>
      <w:r>
        <w:tab/>
      </w:r>
      <w:r>
        <w:tab/>
      </w:r>
      <w:r>
        <w:rPr>
          <w:rStyle w:val="HideTWBExt"/>
        </w:rPr>
        <w:t>&lt;NumAm&gt;</w:t>
      </w:r>
      <w:r>
        <w:t>1845</w:t>
      </w:r>
      <w:r>
        <w:rPr>
          <w:rStyle w:val="HideTWBExt"/>
        </w:rPr>
        <w:t>&lt;/NumAm&gt;</w:t>
      </w:r>
    </w:p>
    <w:p>
      <w:pPr>
        <w:pStyle w:val="NormalBold"/>
      </w:pPr>
      <w:r>
        <w:rPr>
          <w:rStyle w:val="HideTWBExt"/>
          <w:b w:val="0"/>
        </w:rPr>
        <w:t>&lt;RepeatBlock-By&gt;</w:t>
      </w:r>
      <w:r>
        <w:rPr>
          <w:rStyle w:val="HideTWBExt"/>
          <w:b w:val="0"/>
        </w:rPr>
        <w:t>&lt;Members&gt;</w:t>
      </w:r>
      <w:r>
        <w:t>Yvan Verougstraete, Brigitte van den Berg, Stine Bosse, Morten Løkkegaard, Christophe Grudler, Oihane Agirregoitia Martínez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Regulas priekšlikums</w:t>
      </w:r>
      <w:r>
        <w:rPr>
          <w:rStyle w:val="HideTWBExt"/>
        </w:rPr>
        <w:t>&lt;/DocAmend&gt;</w:t>
      </w:r>
    </w:p>
    <w:p>
      <w:pPr>
        <w:pStyle w:val="NormalBold"/>
      </w:pPr>
      <w:r>
        <w:rPr>
          <w:rStyle w:val="HideTWBExt"/>
        </w:rPr>
        <w:t>&lt;Article&gt;</w:t>
      </w:r>
      <w:r>
        <w:t>11. pants – 1. punkts – ievaddaļa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Komisijas ierosinātais teksts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EKF var piedalīties tālāk minētās trešās valstis, kuras iesaistās uz pilnīgas vai daļējas asociācijas pamata, saskaņā ar 3. pantā noteiktajiem mērķiem un attiecīgajiem starptautiskajiem nolīgumiem vai jebkuriem lēmumiem, kas pieņemti saskaņā ar minētajiem nolīgumiem un attiecas uz:</w:t>
            </w:r>
          </w:p>
        </w:tc>
        <w:tc>
          <w:tcPr>
            <w:tcW w:w="4876" w:type="dxa"/>
            <w:tcBorders>
              <w:top w:val="nil"/>
              <w:left w:val="nil"/>
              <w:bottom w:val="nil"/>
              <w:right w:val="nil"/>
            </w:tcBorders>
          </w:tcPr>
          <w:p>
            <w:pPr>
              <w:pStyle w:val="Normal6a"/>
            </w:pPr>
            <w:r>
              <w:t>1.</w:t>
            </w:r>
            <w:r>
              <w:tab/>
            </w:r>
            <w:r>
              <w:t>EKF var piedalīties tālāk minētās trešās valstis, kuras iesaistās uz pilnīgas vai daļējas asociācijas pamata</w:t>
            </w:r>
            <w:r>
              <w:rPr>
                <w:b/>
                <w:i/>
              </w:rPr>
              <w:t>, tostarp konkrētās programmas daļās</w:t>
            </w:r>
            <w:r>
              <w:t>, saskaņā ar 3. pantā noteiktajiem mērķiem un attiecīgajiem starptautiskajiem nolīgumiem vai jebkuriem lēmumiem, kas pieņemti saskaņā ar minētajiem nolīgumiem un attiecas uz:</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1846</w:t>
      </w:r>
      <w:r>
        <w:rPr>
          <w:rStyle w:val="HideTWBExt"/>
        </w:rPr>
        <w:t>&lt;/NumAm&gt;</w:t>
      </w:r>
    </w:p>
    <w:p>
      <w:pPr>
        <w:pStyle w:val="NormalBold"/>
      </w:pPr>
      <w:r>
        <w:rPr>
          <w:rStyle w:val="HideTWBExt"/>
          <w:b w:val="0"/>
        </w:rPr>
        <w:t>&lt;RepeatBlock-By&gt;</w:t>
      </w:r>
      <w:r>
        <w:rPr>
          <w:rStyle w:val="HideTWBExt"/>
          <w:b w:val="0"/>
        </w:rPr>
        <w:t>&lt;Members&gt;</w:t>
      </w:r>
      <w:r>
        <w:t>Sophie Wilmès, Yvan Verougstraete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Regulas priekšlikums</w:t>
      </w:r>
      <w:r>
        <w:rPr>
          <w:rStyle w:val="HideTWBExt"/>
        </w:rPr>
        <w:t>&lt;/DocAmend&gt;</w:t>
      </w:r>
    </w:p>
    <w:p>
      <w:pPr>
        <w:pStyle w:val="NormalBold"/>
      </w:pPr>
      <w:r>
        <w:rPr>
          <w:rStyle w:val="HideTWBExt"/>
        </w:rPr>
        <w:t>&lt;Article&gt;</w:t>
      </w:r>
      <w:r>
        <w:t>11. pants – 1. punkts – ievaddaļa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Komisijas ierosinātais teksts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EKF var piedalīties tālāk minētās trešās valstis, kuras iesaistās uz pilnīgas vai daļējas asociācijas pamata, saskaņā ar 3. pantā noteiktajiem mērķiem un attiecīgajiem starptautiskajiem nolīgumiem vai jebkuriem lēmumiem, kas pieņemti saskaņā ar minētajiem nolīgumiem un attiecas uz:</w:t>
            </w:r>
          </w:p>
        </w:tc>
        <w:tc>
          <w:tcPr>
            <w:tcW w:w="4876" w:type="dxa"/>
            <w:tcBorders>
              <w:top w:val="nil"/>
              <w:left w:val="nil"/>
              <w:bottom w:val="nil"/>
              <w:right w:val="nil"/>
            </w:tcBorders>
          </w:tcPr>
          <w:p>
            <w:pPr>
              <w:pStyle w:val="Normal6a"/>
            </w:pPr>
            <w:r>
              <w:t>1.</w:t>
            </w:r>
            <w:r>
              <w:tab/>
            </w:r>
            <w:r>
              <w:t xml:space="preserve">EKF </w:t>
            </w:r>
            <w:r>
              <w:rPr>
                <w:b/>
                <w:i/>
              </w:rPr>
              <w:t>Savienības interesēs</w:t>
            </w:r>
            <w:r>
              <w:t xml:space="preserve"> var piedalīties tālāk minētās trešās valstis, kuras iesaistās uz pilnīgas vai daļējas asociācijas pamata, saskaņā ar 3. pantā noteiktajiem mērķiem un attiecīgajiem starptautiskajiem nolīgumiem vai jebkuriem lēmumiem, kas pieņemti saskaņā ar minētajiem nolīgumiem un attiecas uz:</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1847</w:t>
      </w:r>
      <w:r>
        <w:rPr>
          <w:rStyle w:val="HideTWBExt"/>
        </w:rPr>
        <w:t>&lt;/NumAm&gt;</w:t>
      </w:r>
    </w:p>
    <w:p>
      <w:pPr>
        <w:pStyle w:val="NormalBold"/>
      </w:pPr>
      <w:r>
        <w:rPr>
          <w:rStyle w:val="HideTWBExt"/>
          <w:b w:val="0"/>
        </w:rPr>
        <w:t>&lt;RepeatBlock-By&gt;</w:t>
      </w:r>
      <w:r>
        <w:rPr>
          <w:rStyle w:val="HideTWBExt"/>
          <w:b w:val="0"/>
        </w:rPr>
        <w:t>&lt;Members&gt;</w:t>
      </w:r>
      <w:r>
        <w:t>Andreas Glück, Morten Løkkegaard,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Regulas priekšlikums</w:t>
      </w:r>
      <w:r>
        <w:rPr>
          <w:rStyle w:val="HideTWBExt"/>
        </w:rPr>
        <w:t>&lt;/DocAmend&gt;</w:t>
      </w:r>
    </w:p>
    <w:p>
      <w:pPr>
        <w:pStyle w:val="NormalBold"/>
      </w:pPr>
      <w:r>
        <w:rPr>
          <w:rStyle w:val="HideTWBExt"/>
        </w:rPr>
        <w:t>&lt;Article&gt;</w:t>
      </w:r>
      <w:r>
        <w:t>11. pants – 1. punkts – ievaddaļa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Komisijas ierosinātais teksts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EKF </w:t>
            </w:r>
            <w:r>
              <w:rPr>
                <w:b/>
                <w:i/>
              </w:rPr>
              <w:t>var piedalīties</w:t>
            </w:r>
            <w:r>
              <w:t xml:space="preserve"> tālāk minētās trešās valstis, kuras iesaistās uz pilnīgas vai daļējas asociācijas pamata, saskaņā ar 3. pantā noteiktajiem mērķiem un attiecīgajiem starptautiskajiem nolīgumiem vai jebkuriem lēmumiem, kas pieņemti saskaņā ar minētajiem nolīgumiem un attiecas uz:</w:t>
            </w:r>
          </w:p>
        </w:tc>
        <w:tc>
          <w:tcPr>
            <w:tcW w:w="4876" w:type="dxa"/>
            <w:tcBorders>
              <w:top w:val="nil"/>
              <w:left w:val="nil"/>
              <w:bottom w:val="nil"/>
              <w:right w:val="nil"/>
            </w:tcBorders>
          </w:tcPr>
          <w:p>
            <w:pPr>
              <w:pStyle w:val="Normal6a"/>
            </w:pPr>
            <w:r>
              <w:t>1.</w:t>
            </w:r>
            <w:r>
              <w:tab/>
            </w:r>
            <w:r>
              <w:t xml:space="preserve">EKF </w:t>
            </w:r>
            <w:r>
              <w:rPr>
                <w:b/>
                <w:i/>
              </w:rPr>
              <w:t>piedalās</w:t>
            </w:r>
            <w:r>
              <w:t xml:space="preserve"> tālāk minētās trešās valstis, kuras iesaistās uz pilnīgas vai daļējas asociācijas pamata, saskaņā ar 3. pantā noteiktajiem mērķiem un attiecīgajiem starptautiskajiem nolīgumiem vai jebkuriem lēmumiem, kas pieņemti saskaņā ar minētajiem nolīgumiem un attiecas uz:</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1848</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Regulas priekšlikums</w:t>
      </w:r>
      <w:r>
        <w:rPr>
          <w:rStyle w:val="HideTWBExt"/>
        </w:rPr>
        <w:t>&lt;/DocAmend&gt;</w:t>
      </w:r>
    </w:p>
    <w:p>
      <w:pPr>
        <w:pStyle w:val="NormalBold"/>
      </w:pPr>
      <w:r>
        <w:rPr>
          <w:rStyle w:val="HideTWBExt"/>
        </w:rPr>
        <w:t>&lt;Article&gt;</w:t>
      </w:r>
      <w:r>
        <w:t>11. pants – 1. punkts – a apakšpunkts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Komisijas ierosinātais teksts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Eiropas Brīvās tirdzniecības asociācijas dalībvalstīm, kuras ir Eiropas Ekonomikas zonas dalībvalstis, kā arī Andoru, Monako un Sanmarīno;</w:t>
            </w:r>
          </w:p>
        </w:tc>
        <w:tc>
          <w:tcPr>
            <w:tcW w:w="4876" w:type="dxa"/>
            <w:tcBorders>
              <w:top w:val="nil"/>
              <w:left w:val="nil"/>
              <w:bottom w:val="nil"/>
              <w:right w:val="nil"/>
            </w:tcBorders>
          </w:tcPr>
          <w:p>
            <w:pPr>
              <w:pStyle w:val="Normal6a"/>
            </w:pPr>
            <w:r>
              <w:t>a)</w:t>
            </w:r>
            <w:r>
              <w:tab/>
            </w:r>
            <w:r>
              <w:t xml:space="preserve">Eiropas Brīvās tirdzniecības asociācijas dalībvalstīm, kuras ir Eiropas Ekonomikas zonas dalībvalstis </w:t>
            </w:r>
            <w:r>
              <w:rPr>
                <w:b/>
                <w:i/>
              </w:rPr>
              <w:t>saskaņā ar Līgumā par Eiropas Ekonomikas zonu paredzētajiem nosacījumiem</w:t>
            </w:r>
            <w:r>
              <w:t>, kā arī Andoru, Monako un Sanmarīno;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1849</w:t>
      </w:r>
      <w:r>
        <w:rPr>
          <w:rStyle w:val="HideTWBExt"/>
        </w:rPr>
        <w:t>&lt;/NumAm&gt;</w:t>
      </w:r>
    </w:p>
    <w:p>
      <w:pPr>
        <w:pStyle w:val="NormalBold"/>
      </w:pPr>
      <w:r>
        <w:rPr>
          <w:rStyle w:val="HideTWBExt"/>
          <w:b w:val="0"/>
        </w:rPr>
        <w:t>&lt;RepeatBlock-By&gt;</w:t>
      </w:r>
      <w:r>
        <w:rPr>
          <w:rStyle w:val="HideTWBExt"/>
          <w:b w:val="0"/>
        </w:rPr>
        <w:t>&lt;Members&gt;</w:t>
      </w:r>
      <w:r>
        <w:t>Angelika Niebler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Regulas priekšlikums</w:t>
      </w:r>
      <w:r>
        <w:rPr>
          <w:rStyle w:val="HideTWBExt"/>
        </w:rPr>
        <w:t>&lt;/DocAmend&gt;</w:t>
      </w:r>
    </w:p>
    <w:p>
      <w:pPr>
        <w:pStyle w:val="NormalBold"/>
      </w:pPr>
      <w:r>
        <w:rPr>
          <w:rStyle w:val="HideTWBExt"/>
        </w:rPr>
        <w:t>&lt;Article&gt;</w:t>
      </w:r>
      <w:r>
        <w:t>11. pants – 1. punkts – a apakšpunkts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Komisijas ierosinātais teksts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Eiropas Brīvās tirdzniecības asociācijas dalībvalstīm, kuras ir Eiropas Ekonomikas zonas dalībvalstis, kā arī Andoru, Monako un Sanmarīno;</w:t>
            </w:r>
          </w:p>
        </w:tc>
        <w:tc>
          <w:tcPr>
            <w:tcW w:w="4876" w:type="dxa"/>
            <w:tcBorders>
              <w:top w:val="nil"/>
              <w:left w:val="nil"/>
              <w:bottom w:val="nil"/>
              <w:right w:val="nil"/>
            </w:tcBorders>
          </w:tcPr>
          <w:p>
            <w:pPr>
              <w:pStyle w:val="Normal6a"/>
            </w:pPr>
            <w:r>
              <w:t>a)</w:t>
            </w:r>
            <w:r>
              <w:tab/>
            </w:r>
            <w:r>
              <w:t xml:space="preserve">Eiropas Brīvās tirdzniecības asociācijas dalībvalstīm, kuras ir Eiropas Ekonomikas zonas dalībvalstis </w:t>
            </w:r>
            <w:r>
              <w:rPr>
                <w:b/>
                <w:i/>
              </w:rPr>
              <w:t>saskaņā ar Līgumā par Eiropas Ekonomikas zonu paredzētajiem nosacījumiem</w:t>
            </w:r>
            <w:r>
              <w:t>, kā arī Andoru, Monako un Sanmarīno;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1850</w:t>
      </w:r>
      <w:r>
        <w:rPr>
          <w:rStyle w:val="HideTWBExt"/>
        </w:rPr>
        <w:t>&lt;/NumAm&gt;</w:t>
      </w:r>
    </w:p>
    <w:p>
      <w:pPr>
        <w:pStyle w:val="NormalBold"/>
      </w:pPr>
      <w:r>
        <w:rPr>
          <w:rStyle w:val="HideTWBExt"/>
          <w:b w:val="0"/>
        </w:rPr>
        <w:t>&lt;RepeatBlock-By&gt;</w:t>
      </w:r>
      <w:r>
        <w:rPr>
          <w:rStyle w:val="HideTWBExt"/>
          <w:b w:val="0"/>
        </w:rPr>
        <w:t>&lt;Members&gt;</w:t>
      </w:r>
      <w:r>
        <w:t>Rihards Kols</w:t>
      </w:r>
      <w:r>
        <w:rPr>
          <w:rStyle w:val="HideTWBExt"/>
          <w:b w:val="0"/>
        </w:rPr>
        <w:t>&lt;/Members&gt;</w:t>
      </w:r>
    </w:p>
    <w:p>
      <w:r>
        <w:rPr>
          <w:rStyle w:val="HideTWBExt"/>
          <w:b w:val="0"/>
        </w:rPr>
        <w:t>&lt;AuNomDe&gt;</w:t>
      </w:r>
      <w:r>
        <w:rPr>
          <w:rStyle w:val="HideTWBInt"/>
        </w:rPr>
        <w:t>{ECR}</w:t>
      </w:r>
      <w:r>
        <w:t>ECR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Regulas priekšlikums</w:t>
      </w:r>
      <w:r>
        <w:rPr>
          <w:rStyle w:val="HideTWBExt"/>
        </w:rPr>
        <w:t>&lt;/DocAmend&gt;</w:t>
      </w:r>
    </w:p>
    <w:p>
      <w:pPr>
        <w:pStyle w:val="NormalBold"/>
      </w:pPr>
      <w:r>
        <w:rPr>
          <w:rStyle w:val="HideTWBExt"/>
        </w:rPr>
        <w:t>&lt;Article&gt;</w:t>
      </w:r>
      <w:r>
        <w:t>11. pants – 1. punkts – b apakšpunkts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Komisijas ierosinātais teksts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valstīm, kas pievienojas, kandidātvalstīm un potenciālajām kandidātēm;</w:t>
            </w:r>
          </w:p>
        </w:tc>
        <w:tc>
          <w:tcPr>
            <w:tcW w:w="4876" w:type="dxa"/>
            <w:tcBorders>
              <w:top w:val="nil"/>
              <w:left w:val="nil"/>
              <w:bottom w:val="nil"/>
              <w:right w:val="nil"/>
            </w:tcBorders>
          </w:tcPr>
          <w:p>
            <w:pPr>
              <w:pStyle w:val="Normal6a"/>
            </w:pPr>
            <w:r>
              <w:t>b)</w:t>
            </w:r>
            <w:r>
              <w:tab/>
            </w:r>
            <w:r>
              <w:t>valstīm, kas pievienojas, kandidātvalstīm un potenciālajām kandidātēm</w:t>
            </w:r>
            <w:r>
              <w:rPr>
                <w:b/>
                <w:i/>
              </w:rPr>
              <w:t>, jo īpaši Ukrainu un Moldovas Republiku, ņemot vērā to ES pirmspievienošanās trajektoriju un attiecīgā gadījumā to dalību Savienības drošības un aizsardzības satvarā</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Pamatojums</w:t>
      </w:r>
      <w:r>
        <w:rPr>
          <w:rStyle w:val="HideTWBExt"/>
        </w:rPr>
        <w:t>&lt;/TitreJust&gt;</w:t>
      </w:r>
    </w:p>
    <w:p>
      <w:pPr>
        <w:pStyle w:val="AmJustText"/>
      </w:pPr>
      <w:r>
        <w:t>Eiropadome ir atzinusi Ukrainu un Moldovas Republiku par kandidātvalstīm, un tās ir iesaistījušās pievienošanās sarunās ar Savienību.</w:t>
      </w:r>
      <w:r>
        <w:t xml:space="preserve"> </w:t>
      </w:r>
      <w:r>
        <w:t>To skaidra pieminēšana 11. panta 1. punkta b) apakšpunktā atbilst Komisijas priekšlikuma esošajām atsaucēm uz Ukrainu 47., 49. un 50. pantā un nodrošina trešo valstu dalības satvara juridisko saskaņotību ar Savienības paplašināšanās un drošības politiku.</w:t>
      </w:r>
    </w:p>
    <w:p>
      <w:r>
        <w:rPr>
          <w:rStyle w:val="HideTWBExt"/>
        </w:rPr>
        <w:t>&lt;/Amend&gt;</w:t>
      </w:r>
    </w:p>
    <w:p>
      <w:pPr>
        <w:pStyle w:val="AmNumberTabs"/>
      </w:pPr>
      <w:r>
        <w:rPr>
          <w:rStyle w:val="HideTWBExt"/>
        </w:rPr>
        <w:t>&lt;Amend&gt;</w:t>
      </w:r>
      <w:r>
        <w:t>Grozījums Nr.</w:t>
      </w:r>
      <w:r>
        <w:tab/>
      </w:r>
      <w:r>
        <w:tab/>
      </w:r>
      <w:r>
        <w:rPr>
          <w:rStyle w:val="HideTWBExt"/>
        </w:rPr>
        <w:t>&lt;NumAm&gt;</w:t>
      </w:r>
      <w:r>
        <w:t>1851</w:t>
      </w:r>
      <w:r>
        <w:rPr>
          <w:rStyle w:val="HideTWBExt"/>
        </w:rPr>
        <w:t>&lt;/NumAm&gt;</w:t>
      </w:r>
    </w:p>
    <w:p>
      <w:pPr>
        <w:pStyle w:val="NormalBold"/>
      </w:pPr>
      <w:r>
        <w:rPr>
          <w:rStyle w:val="HideTWBExt"/>
          <w:b w:val="0"/>
        </w:rPr>
        <w:t>&lt;RepeatBlock-By&gt;</w:t>
      </w:r>
      <w:r>
        <w:rPr>
          <w:rStyle w:val="HideTWBExt"/>
          <w:b w:val="0"/>
        </w:rPr>
        <w:t>&lt;Members&gt;</w:t>
      </w:r>
      <w:r>
        <w:t>Sarah Knafo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Regulas priekšlikums</w:t>
      </w:r>
      <w:r>
        <w:rPr>
          <w:rStyle w:val="HideTWBExt"/>
        </w:rPr>
        <w:t>&lt;/DocAmend&gt;</w:t>
      </w:r>
    </w:p>
    <w:p>
      <w:pPr>
        <w:pStyle w:val="NormalBold"/>
      </w:pPr>
      <w:r>
        <w:rPr>
          <w:rStyle w:val="HideTWBExt"/>
        </w:rPr>
        <w:t>&lt;Article&gt;</w:t>
      </w:r>
      <w:r>
        <w:t>11. pants – 1. punkts – c apakšpunkts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Komisijas ierosinātais teksts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w:t>
            </w:r>
            <w:r>
              <w:tab/>
            </w:r>
            <w:r>
              <w:rPr>
                <w:b/>
                <w:i/>
              </w:rPr>
              <w:t>Eiropas kaimiņattiecību politikas aptvertajām valstīm;</w:t>
            </w:r>
          </w:p>
        </w:tc>
        <w:tc>
          <w:tcPr>
            <w:tcW w:w="4876" w:type="dxa"/>
            <w:tcBorders>
              <w:top w:val="nil"/>
              <w:left w:val="nil"/>
              <w:bottom w:val="nil"/>
              <w:right w:val="nil"/>
            </w:tcBorders>
          </w:tcPr>
          <w:p>
            <w:pPr>
              <w:pStyle w:val="Normal6a"/>
            </w:pPr>
            <w:r>
              <w:rPr>
                <w:b/>
                <w:i/>
              </w:rPr>
              <w:t>svītrots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1852</w:t>
      </w:r>
      <w:r>
        <w:rPr>
          <w:rStyle w:val="HideTWBExt"/>
        </w:rPr>
        <w:t>&lt;/NumAm&gt;</w:t>
      </w:r>
    </w:p>
    <w:p>
      <w:pPr>
        <w:pStyle w:val="NormalBold"/>
      </w:pPr>
      <w:r>
        <w:rPr>
          <w:rStyle w:val="HideTWBExt"/>
          <w:b w:val="0"/>
        </w:rPr>
        <w:t>&lt;RepeatBlock-By&gt;</w:t>
      </w:r>
      <w:r>
        <w:rPr>
          <w:rStyle w:val="HideTWBExt"/>
          <w:b w:val="0"/>
        </w:rPr>
        <w:t>&lt;Members&gt;</w:t>
      </w:r>
      <w:r>
        <w:t>Sarah Knafo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Regulas priekšlikums</w:t>
      </w:r>
      <w:r>
        <w:rPr>
          <w:rStyle w:val="HideTWBExt"/>
        </w:rPr>
        <w:t>&lt;/DocAmend&gt;</w:t>
      </w:r>
    </w:p>
    <w:p>
      <w:pPr>
        <w:pStyle w:val="NormalBold"/>
      </w:pPr>
      <w:r>
        <w:rPr>
          <w:rStyle w:val="HideTWBExt"/>
        </w:rPr>
        <w:t>&lt;Article&gt;</w:t>
      </w:r>
      <w:r>
        <w:t>11. pants – 1. punkts – d apakšpunkts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Komisijas ierosinātais teksts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w:t>
            </w:r>
            <w:r>
              <w:tab/>
            </w:r>
            <w:r>
              <w:rPr>
                <w:b/>
                <w:i/>
              </w:rPr>
              <w:t>citām trešām valstīm.</w:t>
            </w:r>
          </w:p>
        </w:tc>
        <w:tc>
          <w:tcPr>
            <w:tcW w:w="4876" w:type="dxa"/>
            <w:tcBorders>
              <w:top w:val="nil"/>
              <w:left w:val="nil"/>
              <w:bottom w:val="nil"/>
              <w:right w:val="nil"/>
            </w:tcBorders>
          </w:tcPr>
          <w:p>
            <w:pPr>
              <w:pStyle w:val="Normal6a"/>
            </w:pPr>
            <w:r>
              <w:rPr>
                <w:b/>
                <w:i/>
              </w:rPr>
              <w:t>svītrots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1853</w:t>
      </w:r>
      <w:r>
        <w:rPr>
          <w:rStyle w:val="HideTWBExt"/>
        </w:rPr>
        <w:t>&lt;/NumAm&gt;</w:t>
      </w:r>
    </w:p>
    <w:p>
      <w:pPr>
        <w:pStyle w:val="NormalBold"/>
      </w:pPr>
      <w:r>
        <w:rPr>
          <w:rStyle w:val="HideTWBExt"/>
          <w:b w:val="0"/>
        </w:rPr>
        <w:t>&lt;RepeatBlock-By&gt;</w:t>
      </w:r>
      <w:r>
        <w:rPr>
          <w:rStyle w:val="HideTWBExt"/>
          <w:b w:val="0"/>
        </w:rPr>
        <w:t>&lt;Members&gt;</w:t>
      </w:r>
      <w:r>
        <w:t>Yvan Verougstraete, Brigitte van den Berg, Stine Bosse, Grégory Allione, Sigrid Friis, Christophe Grudler, Barry Andrews, Oihane Agirregoitia Martínez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Regulas priekšlikums</w:t>
      </w:r>
      <w:r>
        <w:rPr>
          <w:rStyle w:val="HideTWBExt"/>
        </w:rPr>
        <w:t>&lt;/DocAmend&gt;</w:t>
      </w:r>
    </w:p>
    <w:p>
      <w:pPr>
        <w:pStyle w:val="NormalBold"/>
      </w:pPr>
      <w:r>
        <w:rPr>
          <w:rStyle w:val="HideTWBExt"/>
        </w:rPr>
        <w:t>&lt;Article&gt;</w:t>
      </w:r>
      <w:r>
        <w:t>11. pants – 1. punkts – d apakšpunkts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Komisijas ierosinātais teksts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citām trešām valstīm.</w:t>
            </w:r>
          </w:p>
        </w:tc>
        <w:tc>
          <w:tcPr>
            <w:tcW w:w="4876" w:type="dxa"/>
            <w:tcBorders>
              <w:top w:val="nil"/>
              <w:left w:val="nil"/>
              <w:bottom w:val="nil"/>
              <w:right w:val="nil"/>
            </w:tcBorders>
          </w:tcPr>
          <w:p>
            <w:pPr>
              <w:pStyle w:val="Normal6a"/>
            </w:pPr>
            <w:r>
              <w:t>d)</w:t>
            </w:r>
            <w:r>
              <w:tab/>
            </w:r>
            <w:r>
              <w:t xml:space="preserve">citām trešām valstīm </w:t>
            </w:r>
            <w:r>
              <w:rPr>
                <w:b/>
                <w:i/>
              </w:rPr>
              <w:t>un teritorijām ar līdzīgu apņemšanos veidot uz noteikumiem balstītu atvērtu tirgus ekonomiku, kurā tiek ievērotas cilvēktiesības un Savienības standarti un vērtības, tostarp saistības klimata jomā</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1854</w:t>
      </w:r>
      <w:r>
        <w:rPr>
          <w:rStyle w:val="HideTWBExt"/>
        </w:rPr>
        <w:t>&lt;/NumAm&gt;</w:t>
      </w:r>
    </w:p>
    <w:p>
      <w:pPr>
        <w:pStyle w:val="NormalBold"/>
      </w:pPr>
      <w:r>
        <w:rPr>
          <w:rStyle w:val="HideTWBExt"/>
          <w:b w:val="0"/>
        </w:rPr>
        <w:t>&lt;RepeatBlock-By&gt;</w:t>
      </w:r>
      <w:r>
        <w:rPr>
          <w:rStyle w:val="HideTWBExt"/>
          <w:b w:val="0"/>
        </w:rPr>
        <w:t>&lt;Members&gt;</w:t>
      </w:r>
      <w:r>
        <w:t>Martin Hojsík, Sigrid Friis, Yvan Verougstraete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Regulas priekšlikums</w:t>
      </w:r>
      <w:r>
        <w:rPr>
          <w:rStyle w:val="HideTWBExt"/>
        </w:rPr>
        <w:t>&lt;/DocAmend&gt;</w:t>
      </w:r>
    </w:p>
    <w:p>
      <w:pPr>
        <w:pStyle w:val="NormalBold"/>
      </w:pPr>
      <w:r>
        <w:rPr>
          <w:rStyle w:val="HideTWBExt"/>
        </w:rPr>
        <w:t>&lt;Article&gt;</w:t>
      </w:r>
      <w:r>
        <w:t>11. pants – 1. punkts – d apakšpunkts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Komisijas ierosinātais teksts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citām trešām valstīm.</w:t>
            </w:r>
          </w:p>
        </w:tc>
        <w:tc>
          <w:tcPr>
            <w:tcW w:w="4876" w:type="dxa"/>
            <w:tcBorders>
              <w:top w:val="nil"/>
              <w:left w:val="nil"/>
              <w:bottom w:val="nil"/>
              <w:right w:val="nil"/>
            </w:tcBorders>
          </w:tcPr>
          <w:p>
            <w:pPr>
              <w:pStyle w:val="Normal6a"/>
            </w:pPr>
            <w:r>
              <w:t>d)</w:t>
            </w:r>
            <w:r>
              <w:tab/>
            </w:r>
            <w:r>
              <w:t>citām trešām valstīm</w:t>
            </w:r>
            <w:r>
              <w:rPr>
                <w:b/>
                <w:i/>
              </w:rPr>
              <w:t>, kas ievēro noteikumos balstītu atvērta tirgus ekonomiku, cilvēktiesības un Savienības standartus un vērtības, tostarp saistības klimata un bioloģiskās daudzveidības jomā</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1855</w:t>
      </w:r>
      <w:r>
        <w:rPr>
          <w:rStyle w:val="HideTWBExt"/>
        </w:rPr>
        <w:t>&lt;/NumAm&gt;</w:t>
      </w:r>
    </w:p>
    <w:p>
      <w:pPr>
        <w:pStyle w:val="NormalBold"/>
      </w:pPr>
      <w:r>
        <w:rPr>
          <w:rStyle w:val="HideTWBExt"/>
          <w:b w:val="0"/>
        </w:rPr>
        <w:t>&lt;RepeatBlock-By&gt;</w:t>
      </w:r>
      <w:r>
        <w:rPr>
          <w:rStyle w:val="HideTWBExt"/>
          <w:b w:val="0"/>
        </w:rPr>
        <w:t>&lt;Members&gt;</w:t>
      </w:r>
      <w:r>
        <w:t>Sophie Wilmès, Yvan Verougstraete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Regulas priekšlikums</w:t>
      </w:r>
      <w:r>
        <w:rPr>
          <w:rStyle w:val="HideTWBExt"/>
        </w:rPr>
        <w:t>&lt;/DocAmend&gt;</w:t>
      </w:r>
    </w:p>
    <w:p>
      <w:pPr>
        <w:pStyle w:val="NormalBold"/>
      </w:pPr>
      <w:r>
        <w:rPr>
          <w:rStyle w:val="HideTWBExt"/>
        </w:rPr>
        <w:t>&lt;Article&gt;</w:t>
      </w:r>
      <w:r>
        <w:t>11. pants – 1. punkts – d apakšpunkts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Komisijas ierosinātais teksts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citām trešām valstīm.</w:t>
            </w:r>
          </w:p>
        </w:tc>
        <w:tc>
          <w:tcPr>
            <w:tcW w:w="4876" w:type="dxa"/>
            <w:tcBorders>
              <w:top w:val="nil"/>
              <w:left w:val="nil"/>
              <w:bottom w:val="nil"/>
              <w:right w:val="nil"/>
            </w:tcBorders>
          </w:tcPr>
          <w:p>
            <w:pPr>
              <w:pStyle w:val="Normal6a"/>
            </w:pPr>
            <w:r>
              <w:t>d)</w:t>
            </w:r>
            <w:r>
              <w:tab/>
            </w:r>
            <w:r>
              <w:t xml:space="preserve">citām </w:t>
            </w:r>
            <w:r>
              <w:rPr>
                <w:b/>
                <w:i/>
              </w:rPr>
              <w:t>līdzīgi domājošām</w:t>
            </w:r>
            <w:r>
              <w:t xml:space="preserve"> trešām valstīm.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1856</w:t>
      </w:r>
      <w:r>
        <w:rPr>
          <w:rStyle w:val="HideTWBExt"/>
        </w:rPr>
        <w:t>&lt;/NumAm&gt;</w:t>
      </w:r>
    </w:p>
    <w:p>
      <w:pPr>
        <w:pStyle w:val="NormalBold"/>
      </w:pPr>
      <w:r>
        <w:rPr>
          <w:rStyle w:val="HideTWBExt"/>
          <w:b w:val="0"/>
        </w:rPr>
        <w:t>&lt;RepeatBlock-By&gt;</w:t>
      </w:r>
      <w:r>
        <w:rPr>
          <w:rStyle w:val="HideTWBExt"/>
          <w:b w:val="0"/>
        </w:rPr>
        <w:t>&lt;Members&gt;</w:t>
      </w:r>
      <w:r>
        <w:t>Marc Botenga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Regulas priekšlikums</w:t>
      </w:r>
      <w:r>
        <w:rPr>
          <w:rStyle w:val="HideTWBExt"/>
        </w:rPr>
        <w:t>&lt;/DocAmend&gt;</w:t>
      </w:r>
    </w:p>
    <w:p>
      <w:pPr>
        <w:pStyle w:val="NormalBold"/>
      </w:pPr>
      <w:r>
        <w:rPr>
          <w:rStyle w:val="HideTWBExt"/>
        </w:rPr>
        <w:t>&lt;Article&gt;</w:t>
      </w:r>
      <w:r>
        <w:t>11. pants – 1. punkts – da apakšpunkts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Komisijas ierosinātais teksts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EKF nevarēs piedalīties trešās valstis, kuras ir iesaistītas teritoriju nelikumīgā okupācijā vai aneksijā;</w:t>
            </w:r>
            <w:r>
              <w:t xml:space="preserve"> </w:t>
            </w:r>
            <w:r>
              <w:rPr>
                <w:b/>
                <w:i/>
              </w:rPr>
              <w:t>ne arī trešās valstis, kas ir atbildīgas par smagiem un sistemātiskiem cilvēktiesību pārkāpumiem vai citiem starptautisko tiesību pārkāpumiem.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1857</w:t>
      </w:r>
      <w:r>
        <w:rPr>
          <w:rStyle w:val="HideTWBExt"/>
        </w:rPr>
        <w:t>&lt;/NumAm&gt;</w:t>
      </w:r>
    </w:p>
    <w:p>
      <w:pPr>
        <w:pStyle w:val="NormalBold"/>
      </w:pPr>
      <w:r>
        <w:rPr>
          <w:rStyle w:val="HideTWBExt"/>
          <w:b w:val="0"/>
        </w:rPr>
        <w:t>&lt;RepeatBlock-By&gt;</w:t>
      </w:r>
      <w:r>
        <w:rPr>
          <w:rStyle w:val="HideTWBExt"/>
          <w:b w:val="0"/>
        </w:rPr>
        <w:t>&lt;Members&gt;</w:t>
      </w:r>
      <w:r>
        <w:t>Yvan Verougstraete, Brigitte van den Berg, Christophe Grudler, Oihane Agirregoitia Martínez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Regulas priekšlikums</w:t>
      </w:r>
      <w:r>
        <w:rPr>
          <w:rStyle w:val="HideTWBExt"/>
        </w:rPr>
        <w:t>&lt;/DocAmend&gt;</w:t>
      </w:r>
    </w:p>
    <w:p>
      <w:pPr>
        <w:pStyle w:val="NormalBold"/>
      </w:pPr>
      <w:r>
        <w:rPr>
          <w:rStyle w:val="HideTWBExt"/>
        </w:rPr>
        <w:t>&lt;Article&gt;</w:t>
      </w:r>
      <w:r>
        <w:t>11. pants – 2. punkts – b apakšpunkts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Komisijas ierosinātais teksts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paredz noteikumus par piedalīšanos programmās, tai skaitā par to, kā aprēķināt finanšu iemaksas, ko veido darbības iemaksa un dalības maksa, EKF un tā vispārējo administratīvo izmaksu vajadzībām;</w:t>
            </w:r>
          </w:p>
        </w:tc>
        <w:tc>
          <w:tcPr>
            <w:tcW w:w="4876" w:type="dxa"/>
            <w:tcBorders>
              <w:top w:val="nil"/>
              <w:left w:val="nil"/>
              <w:bottom w:val="nil"/>
              <w:right w:val="nil"/>
            </w:tcBorders>
          </w:tcPr>
          <w:p>
            <w:pPr>
              <w:pStyle w:val="Normal6a"/>
            </w:pPr>
            <w:r>
              <w:t>b)</w:t>
            </w:r>
            <w:r>
              <w:tab/>
            </w:r>
            <w:r>
              <w:t xml:space="preserve">paredz noteikumus par piedalīšanos programmās, tai skaitā par to, kā aprēķināt finanšu iemaksas </w:t>
            </w:r>
            <w:r>
              <w:rPr>
                <w:b/>
                <w:i/>
              </w:rPr>
              <w:t>no trešām valstīm</w:t>
            </w:r>
            <w:r>
              <w:t>, ko veido darbības iemaksa un dalības maksa, EKF un tā vispārējo administratīvo izmaksu vajadzībām;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1858</w:t>
      </w:r>
      <w:r>
        <w:rPr>
          <w:rStyle w:val="HideTWBExt"/>
        </w:rPr>
        <w:t>&lt;/NumAm&gt;</w:t>
      </w:r>
    </w:p>
    <w:p>
      <w:pPr>
        <w:pStyle w:val="NormalBold"/>
      </w:pPr>
      <w:r>
        <w:rPr>
          <w:rStyle w:val="HideTWBExt"/>
          <w:b w:val="0"/>
        </w:rPr>
        <w:t>&lt;RepeatBlock-By&gt;</w:t>
      </w:r>
      <w:r>
        <w:rPr>
          <w:rStyle w:val="HideTWBExt"/>
          <w:b w:val="0"/>
        </w:rPr>
        <w:t>&lt;Members&gt;</w:t>
      </w:r>
      <w:r>
        <w:t>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Regulas priekšlikums</w:t>
      </w:r>
      <w:r>
        <w:rPr>
          <w:rStyle w:val="HideTWBExt"/>
        </w:rPr>
        <w:t>&lt;/DocAmend&gt;</w:t>
      </w:r>
    </w:p>
    <w:p>
      <w:pPr>
        <w:pStyle w:val="NormalBold"/>
      </w:pPr>
      <w:r>
        <w:rPr>
          <w:rStyle w:val="HideTWBExt"/>
        </w:rPr>
        <w:t>&lt;Article&gt;</w:t>
      </w:r>
      <w:r>
        <w:t>11. pants – 2. punkts – ba apakšpunkts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Komisijas ierosinātais teksts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nodrošina ES subjektiem savstarpēju piekļuvi attiecīgajiem trešo valstu finansēšanas instrumentiem;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1859</w:t>
      </w:r>
      <w:r>
        <w:rPr>
          <w:rStyle w:val="HideTWBExt"/>
        </w:rPr>
        <w:t>&lt;/NumAm&gt;</w:t>
      </w:r>
    </w:p>
    <w:p>
      <w:pPr>
        <w:pStyle w:val="NormalBold"/>
      </w:pPr>
      <w:r>
        <w:rPr>
          <w:rStyle w:val="HideTWBExt"/>
          <w:b w:val="0"/>
        </w:rPr>
        <w:t>&lt;RepeatBlock-By&gt;</w:t>
      </w:r>
      <w:r>
        <w:rPr>
          <w:rStyle w:val="HideTWBExt"/>
          <w:b w:val="0"/>
        </w:rPr>
        <w:t>&lt;Members&gt;</w:t>
      </w:r>
      <w:r>
        <w:t>Marc Botenga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Regulas priekšlikums</w:t>
      </w:r>
      <w:r>
        <w:rPr>
          <w:rStyle w:val="HideTWBExt"/>
        </w:rPr>
        <w:t>&lt;/DocAmend&gt;</w:t>
      </w:r>
    </w:p>
    <w:p>
      <w:pPr>
        <w:pStyle w:val="NormalBold"/>
      </w:pPr>
      <w:r>
        <w:rPr>
          <w:rStyle w:val="HideTWBExt"/>
        </w:rPr>
        <w:t>&lt;Article&gt;</w:t>
      </w:r>
      <w:r>
        <w:t>11. pants – 2. punkts – c apakšpunkts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Komisijas ierosinātais teksts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nepiešķir trešai valstij lēmumu pieņemšanas pilnvaras attiecībā uz programmu;</w:t>
            </w:r>
          </w:p>
        </w:tc>
        <w:tc>
          <w:tcPr>
            <w:tcW w:w="4876" w:type="dxa"/>
            <w:tcBorders>
              <w:top w:val="nil"/>
              <w:left w:val="nil"/>
              <w:bottom w:val="nil"/>
              <w:right w:val="nil"/>
            </w:tcBorders>
          </w:tcPr>
          <w:p>
            <w:pPr>
              <w:pStyle w:val="Normal6a"/>
            </w:pPr>
            <w:r>
              <w:t>c)</w:t>
            </w:r>
            <w:r>
              <w:tab/>
            </w:r>
            <w:r>
              <w:t xml:space="preserve">nepiešķir trešai valstij lēmumu pieņemšanas pilnvaras attiecībā uz programmu </w:t>
            </w:r>
            <w:r>
              <w:rPr>
                <w:b/>
                <w:i/>
              </w:rPr>
              <w:t>un nekādu kontroli pār būtisku infrastruktūru, tostarp enerģētiku, veselību un digitālo jomu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1860</w:t>
      </w:r>
      <w:r>
        <w:rPr>
          <w:rStyle w:val="HideTWBExt"/>
        </w:rPr>
        <w:t>&lt;/NumAm&gt;</w:t>
      </w:r>
    </w:p>
    <w:p>
      <w:pPr>
        <w:pStyle w:val="NormalBold"/>
      </w:pPr>
      <w:r>
        <w:rPr>
          <w:rStyle w:val="HideTWBExt"/>
          <w:b w:val="0"/>
        </w:rPr>
        <w:t>&lt;RepeatBlock-By&gt;</w:t>
      </w:r>
      <w:r>
        <w:rPr>
          <w:rStyle w:val="HideTWBExt"/>
          <w:b w:val="0"/>
        </w:rPr>
        <w:t>&lt;Members&gt;</w:t>
      </w:r>
      <w:r>
        <w:t>Marc Botenga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Regulas priekšlikums</w:t>
      </w:r>
      <w:r>
        <w:rPr>
          <w:rStyle w:val="HideTWBExt"/>
        </w:rPr>
        <w:t>&lt;/DocAmend&gt;</w:t>
      </w:r>
    </w:p>
    <w:p>
      <w:pPr>
        <w:pStyle w:val="NormalBold"/>
      </w:pPr>
      <w:r>
        <w:rPr>
          <w:rStyle w:val="HideTWBExt"/>
        </w:rPr>
        <w:t>&lt;Article&gt;</w:t>
      </w:r>
      <w:r>
        <w:t>11. pants – 2. punkts – e apakšpunkts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Komisijas ierosinātais teksts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nodrošina Savienības </w:t>
            </w:r>
            <w:r>
              <w:rPr>
                <w:b/>
                <w:i/>
              </w:rPr>
              <w:t>un</w:t>
            </w:r>
            <w:r>
              <w:t xml:space="preserve"> tās dalībvalstu stratēģisko</w:t>
            </w:r>
            <w:r>
              <w:rPr>
                <w:b/>
                <w:i/>
              </w:rPr>
              <w:t>, drošības, aizsardzības</w:t>
            </w:r>
            <w:r>
              <w:t xml:space="preserve"> un sabiedriskās kārtības interešu aizsardzību.</w:t>
            </w:r>
          </w:p>
        </w:tc>
        <w:tc>
          <w:tcPr>
            <w:tcW w:w="4876" w:type="dxa"/>
            <w:tcBorders>
              <w:top w:val="nil"/>
              <w:left w:val="nil"/>
              <w:bottom w:val="nil"/>
              <w:right w:val="nil"/>
            </w:tcBorders>
          </w:tcPr>
          <w:p>
            <w:pPr>
              <w:pStyle w:val="Normal6a"/>
            </w:pPr>
            <w:r>
              <w:t>e)</w:t>
            </w:r>
            <w:r>
              <w:tab/>
            </w:r>
            <w:r>
              <w:t>nodrošina Savienības</w:t>
            </w:r>
            <w:r>
              <w:rPr>
                <w:b/>
                <w:i/>
              </w:rPr>
              <w:t>,</w:t>
            </w:r>
            <w:r>
              <w:t xml:space="preserve"> tās dalībvalstu </w:t>
            </w:r>
            <w:r>
              <w:rPr>
                <w:b/>
                <w:i/>
              </w:rPr>
              <w:t>un iedzīvotāju</w:t>
            </w:r>
            <w:r>
              <w:t xml:space="preserve"> stratēģisko un sabiedriskās kārtības interešu aizsardzību.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1861</w:t>
      </w:r>
      <w:r>
        <w:rPr>
          <w:rStyle w:val="HideTWBExt"/>
        </w:rPr>
        <w:t>&lt;/NumAm&gt;</w:t>
      </w:r>
    </w:p>
    <w:p>
      <w:pPr>
        <w:pStyle w:val="NormalBold"/>
      </w:pPr>
      <w:r>
        <w:rPr>
          <w:rStyle w:val="HideTWBExt"/>
          <w:b w:val="0"/>
        </w:rPr>
        <w:t>&lt;RepeatBlock-By&gt;</w:t>
      </w:r>
      <w:r>
        <w:rPr>
          <w:rStyle w:val="HideTWBExt"/>
          <w:b w:val="0"/>
        </w:rPr>
        <w:t>&lt;Members&gt;</w:t>
      </w:r>
      <w:r>
        <w:t>Yvan Verougstraete, Brigitte van den Berg, Stine Bosse, Christophe Grudler, Oihane Agirregoitia Martínez,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Regulas priekšlikums</w:t>
      </w:r>
      <w:r>
        <w:rPr>
          <w:rStyle w:val="HideTWBExt"/>
        </w:rPr>
        <w:t>&lt;/DocAmend&gt;</w:t>
      </w:r>
    </w:p>
    <w:p>
      <w:pPr>
        <w:pStyle w:val="NormalBold"/>
      </w:pPr>
      <w:r>
        <w:rPr>
          <w:rStyle w:val="HideTWBExt"/>
        </w:rPr>
        <w:t>&lt;Article&gt;</w:t>
      </w:r>
      <w:r>
        <w:t>11. pants – 2. punkts – 1. daļa (jauna)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Komisijas ierosinātais teksts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Asociācijas nolīgumā var paredzēt Savienībā iedibinātu tiesību subjektu savstarpēju dalību līdzvērtīgās asociēto valstu programmās saskaņā ar minētajās programmās izklāstītajiem nosacījumiem.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1862</w:t>
      </w:r>
      <w:r>
        <w:rPr>
          <w:rStyle w:val="HideTWBExt"/>
        </w:rPr>
        <w:t>&lt;/NumAm&gt;</w:t>
      </w:r>
    </w:p>
    <w:p>
      <w:pPr>
        <w:pStyle w:val="NormalBold"/>
      </w:pPr>
      <w:r>
        <w:rPr>
          <w:rStyle w:val="HideTWBExt"/>
          <w:b w:val="0"/>
        </w:rPr>
        <w:t>&lt;RepeatBlock-By&gt;</w:t>
      </w:r>
      <w:r>
        <w:rPr>
          <w:rStyle w:val="HideTWBExt"/>
          <w:b w:val="0"/>
        </w:rPr>
        <w:t>&lt;Members&gt;</w:t>
      </w:r>
      <w:r>
        <w:t>Yvan Verougstraete, Christophe Grudler, Oihane Agirregoitia Martínez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Regulas priekšlikums</w:t>
      </w:r>
      <w:r>
        <w:rPr>
          <w:rStyle w:val="HideTWBExt"/>
        </w:rPr>
        <w:t>&lt;/DocAmend&gt;</w:t>
      </w:r>
    </w:p>
    <w:p>
      <w:pPr>
        <w:pStyle w:val="NormalBold"/>
      </w:pPr>
      <w:r>
        <w:rPr>
          <w:rStyle w:val="HideTWBExt"/>
        </w:rPr>
        <w:t>&lt;Article&gt;</w:t>
      </w:r>
      <w:r>
        <w:t>11. pants – 3.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Komisijas ierosinātais teksts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Lai varētu īstenot d) apakšpunktu, trešā valsts piešķir nepieciešamās tiesības un piekļuvi, kas prasīta Regulās (ES, Euratom) 2024/2509 un (ES, Euratom) Nr. 883/2013, un garantē, ka izpildes lēmumi, ar kuriem uzliek finansiālas saistības, pamatojoties uz LESD 299. pantu, kā arī Eiropas Savienības Tiesas spriedumi un rīkojumi ir izpildāmi, un nodrošina, ka tās kompetentās iestādes sadarbojas ar Eiropas Prokuratūru (EPPO), izmeklējot noziedzīgus nodarījumus, kas skar Savienības finanšu intereses, un saucot pie atbildības par tiem saskaņā ar piemērojamajiem starptautiskajiem nolīgumiem vai citiem piemērojamiem noteikumiem.</w:t>
            </w:r>
          </w:p>
        </w:tc>
        <w:tc>
          <w:tcPr>
            <w:tcW w:w="4876" w:type="dxa"/>
            <w:tcBorders>
              <w:top w:val="nil"/>
              <w:left w:val="nil"/>
              <w:bottom w:val="nil"/>
              <w:right w:val="nil"/>
            </w:tcBorders>
          </w:tcPr>
          <w:p>
            <w:pPr>
              <w:pStyle w:val="Normal6a"/>
            </w:pPr>
            <w:r>
              <w:t>3.</w:t>
            </w:r>
            <w:r>
              <w:tab/>
            </w:r>
            <w:r>
              <w:t xml:space="preserve">Lai varētu īstenot d) apakšpunktu, trešā valsts piešķir </w:t>
            </w:r>
            <w:r>
              <w:rPr>
                <w:b/>
                <w:i/>
              </w:rPr>
              <w:t>Komisijai, EPPO, OLAF un Eiropas Revīzijas palātai</w:t>
            </w:r>
            <w:r>
              <w:t xml:space="preserve"> nepieciešamās tiesības un piekļuvi, kas prasīta Regulās (ES, Euratom) 2024/2509 un (ES, Euratom) Nr. 883/2013, un garantē, ka izpildes lēmumi, ar kuriem uzliek finansiālas saistības, pamatojoties uz LESD 299. pantu, kā arī Eiropas Savienības Tiesas spriedumi un rīkojumi ir izpildāmi, un nodrošina, ka tās kompetentās iestādes sadarbojas ar Eiropas Prokuratūru (EPPO), izmeklējot noziedzīgus nodarījumus, kas skar Savienības finanšu intereses, un saucot pie atbildības par tiem saskaņā ar piemērojamajiem starptautiskajiem nolīgumiem vai citiem piemērojamiem noteikumiem.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1863</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Regulas priekšlikums</w:t>
      </w:r>
      <w:r>
        <w:rPr>
          <w:rStyle w:val="HideTWBExt"/>
        </w:rPr>
        <w:t>&lt;/DocAmend&gt;</w:t>
      </w:r>
    </w:p>
    <w:p>
      <w:pPr>
        <w:pStyle w:val="NormalBold"/>
      </w:pPr>
      <w:r>
        <w:rPr>
          <w:rStyle w:val="HideTWBExt"/>
        </w:rPr>
        <w:t>&lt;Article&gt;</w:t>
      </w:r>
      <w:r>
        <w:t>11. pants – 3.a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Komisijas ierosinātais teksts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Asociācija vai daļēja asociācija ar trešām valstīm ir iespējama tikai tad, ja tās atbilst visiem šādiem kritērijiem:</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pilnīga atbilstība starptautiskajām tiesībām, arī starptautiskajām cilvēktiesībām, starptautiskajām humanitārajām tiesībām un Konvencijai par genocīda nepieļaujamību un sodīšanu par 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apņemšanās ievērot atvērtas tirgus ekonomikas noteikumus, tostarp nodrošināt taisnīgu un vienlīdzīgu intelektuālā īpašuma tiesību piemērošanu un cilvēktiesību ievērošanu, ko atbalsta demokrātijas institūti;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pierādījumi par vides un sociālos standartiem, kas ir vismaz līdzvērtīgi Savienības standartiem, un līdz asociācijas nolīguma parakstīšanas dienai ir jāiesniedz UNFCCC uzlaboti nacionāli noteiktie devumi;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tādas rīcībpolitikas aktīva sekmēšana, kuras mērķis ir paaugstināt iedzīvotāju ekonomisko un sociālo labklājības līmeni.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1864</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Regulas priekšlikums</w:t>
      </w:r>
      <w:r>
        <w:rPr>
          <w:rStyle w:val="HideTWBExt"/>
        </w:rPr>
        <w:t>&lt;/DocAmend&gt;</w:t>
      </w:r>
    </w:p>
    <w:p>
      <w:pPr>
        <w:pStyle w:val="NormalBold"/>
      </w:pPr>
      <w:r>
        <w:rPr>
          <w:rStyle w:val="HideTWBExt"/>
        </w:rPr>
        <w:t>&lt;Article&gt;</w:t>
      </w:r>
      <w:r>
        <w:t>11. pants – 3.b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Komisijas ierosinātais teksts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3.b</w:t>
            </w:r>
            <w:r>
              <w:tab/>
            </w:r>
            <w:r>
              <w:rPr>
                <w:b/>
                <w:i/>
              </w:rPr>
              <w:t>Asociācijas nolīgumā ir noteikumi, kas ļauj asociāciju apturēt, ierobežot vai izbeigt gadījumā, ja ir smagi pārkāpti tur paredzētie nosacījumi, arī pamattiesību vai tiesiskuma smagu pārkāpumu gadījumā.</w:t>
            </w:r>
            <w:r>
              <w:t xml:space="preserve"> </w:t>
            </w:r>
            <w:r>
              <w:rPr>
                <w:b/>
                <w:i/>
              </w:rPr>
              <w:t>Pārliecinošu un pastāvīgu liecību gadījumā par to, ka asociētā valsts neievēro prasību nodrošināt atbilstību starptautiskajām tiesībām, kā noteikts 3. a punktā, Komisija nekavējoties sāk asociācijas nolīguma izbeigšanas procedūru.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1865</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Regulas priekšlikums</w:t>
      </w:r>
      <w:r>
        <w:rPr>
          <w:rStyle w:val="HideTWBExt"/>
        </w:rPr>
        <w:t>&lt;/DocAmend&gt;</w:t>
      </w:r>
    </w:p>
    <w:p>
      <w:pPr>
        <w:pStyle w:val="NormalBold"/>
      </w:pPr>
      <w:r>
        <w:rPr>
          <w:rStyle w:val="HideTWBExt"/>
        </w:rPr>
        <w:t>&lt;Article&gt;</w:t>
      </w:r>
      <w:r>
        <w:t>11. pants – 3.c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Komisijas ierosinātais teksts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3.c</w:t>
            </w:r>
            <w:r>
              <w:tab/>
            </w:r>
            <w:r>
              <w:rPr>
                <w:b/>
                <w:i/>
              </w:rPr>
              <w:t>Asociācijas nolīgumus atbilstoši 2. punktam noslēdz saskaņā ar LESD 218. pantu, un tā noslēgšanai ir vajadzīga Parlamenta piekrišana saskaņā ar LESD 218. panta 6. punkta a) apakšpunktu.</w:t>
            </w:r>
            <w:r>
              <w:t xml:space="preserve"> </w:t>
            </w:r>
            <w:r>
              <w:rPr>
                <w:b/>
                <w:i/>
              </w:rPr>
              <w:t>Saskaņā ar LESD 218. panta 10. punktu Parlamentu nekavējoties un pilnīgi informē visos procedūras posmos.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1866</w:t>
      </w:r>
      <w:r>
        <w:rPr>
          <w:rStyle w:val="HideTWBExt"/>
        </w:rPr>
        <w:t>&lt;/NumAm&gt;</w:t>
      </w:r>
    </w:p>
    <w:p>
      <w:pPr>
        <w:pStyle w:val="NormalBold"/>
      </w:pPr>
      <w:r>
        <w:rPr>
          <w:rStyle w:val="HideTWBExt"/>
          <w:b w:val="0"/>
        </w:rPr>
        <w:t>&lt;RepeatBlock-By&gt;</w:t>
      </w:r>
      <w:r>
        <w:rPr>
          <w:rStyle w:val="HideTWBExt"/>
          <w:b w:val="0"/>
        </w:rPr>
        <w:t>&lt;Members&gt;</w:t>
      </w:r>
      <w:r>
        <w:t>Julie Rechagneux, Aleksandar Nikolic, Mélanie Disdier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Regulas priekšlikums</w:t>
      </w:r>
      <w:r>
        <w:rPr>
          <w:rStyle w:val="HideTWBExt"/>
        </w:rPr>
        <w:t>&lt;/DocAmend&gt;</w:t>
      </w:r>
    </w:p>
    <w:p>
      <w:pPr>
        <w:pStyle w:val="NormalBold"/>
      </w:pPr>
      <w:r>
        <w:rPr>
          <w:rStyle w:val="HideTWBExt"/>
        </w:rPr>
        <w:t>&lt;Article&gt;</w:t>
      </w:r>
      <w:r>
        <w:t>11.a pants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Komisijas ierosinātais teksts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11.a pants</w:t>
            </w:r>
            <w:r>
              <w:tab/>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Aizsardzības pasākumi, kas piemērojami subjektiem, kuri dalībvalstī nav iedibināti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 xml:space="preserve"> </w:t>
            </w:r>
            <w:r>
              <w:rPr>
                <w:b/>
                <w:i/>
              </w:rPr>
              <w:t>Šā panta 1. punkta b), c) un d) apakšpunktā minētajās valstīs iedibinātu subjektu dalība ir atkarīga no: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neatbilstīgas trešās valsts subjekta kontroles neesības;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pārbaudāmas piegādes drošības garantijas;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savstarpīguma nosacījuma attiecībā uz Savienības subjektu piekļuvi minēto valstu publiskā iepirkuma tirgiem un finansēšanas programmām;</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atbilstības 10. panta 2. punkta b) apakšpunktā minētajiem nodošanas ierobežojumiem.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1867</w:t>
      </w:r>
      <w:r>
        <w:rPr>
          <w:rStyle w:val="HideTWBExt"/>
        </w:rPr>
        <w:t>&lt;/NumAm&gt;</w:t>
      </w:r>
    </w:p>
    <w:p>
      <w:pPr>
        <w:pStyle w:val="NormalBold"/>
      </w:pPr>
      <w:r>
        <w:rPr>
          <w:rStyle w:val="HideTWBExt"/>
          <w:b w:val="0"/>
        </w:rPr>
        <w:t>&lt;RepeatBlock-By&gt;</w:t>
      </w:r>
      <w:r>
        <w:rPr>
          <w:rStyle w:val="HideTWBExt"/>
          <w:b w:val="0"/>
        </w:rPr>
        <w:t>&lt;Members&gt;</w:t>
      </w:r>
      <w:r>
        <w:t>Yvan Verougstraete, Stine Bosse, Christophe Grudler, Oihane Agirregoitia Martínez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Regulas priekšlikums</w:t>
      </w:r>
      <w:r>
        <w:rPr>
          <w:rStyle w:val="HideTWBExt"/>
        </w:rPr>
        <w:t>&lt;/DocAmend&gt;</w:t>
      </w:r>
    </w:p>
    <w:p>
      <w:pPr>
        <w:pStyle w:val="NormalBold"/>
      </w:pPr>
      <w:r>
        <w:rPr>
          <w:rStyle w:val="HideTWBExt"/>
        </w:rPr>
        <w:t>&lt;Article&gt;</w:t>
      </w:r>
      <w:r>
        <w:t>12. pants – 1.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Komisijas ierosinātais teksts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EKF īsteno ar darba programmām saskaņā ar Regulas (ES, Euratom) 2024/2509 110. pantu.</w:t>
            </w:r>
          </w:p>
        </w:tc>
        <w:tc>
          <w:tcPr>
            <w:tcW w:w="4876" w:type="dxa"/>
            <w:tcBorders>
              <w:top w:val="nil"/>
              <w:left w:val="nil"/>
              <w:bottom w:val="nil"/>
              <w:right w:val="nil"/>
            </w:tcBorders>
          </w:tcPr>
          <w:p>
            <w:pPr>
              <w:pStyle w:val="Normal6a"/>
            </w:pPr>
            <w:r>
              <w:t>1.</w:t>
            </w:r>
            <w:r>
              <w:tab/>
            </w:r>
            <w:r>
              <w:t xml:space="preserve">EKF īsteno ar darba programmām saskaņā ar Regulas (ES, Euratom) 2024/2509 110. pantu. </w:t>
            </w:r>
            <w:r>
              <w:rPr>
                <w:b/>
                <w:i/>
              </w:rPr>
              <w:t>Darba programmas, kas attiecas uz EKF InvestEU instrumentu, pieņem saskaņā ar 21. panta 5. punktā minētajām investīciju pamatnostādnēm.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1868</w:t>
      </w:r>
      <w:r>
        <w:rPr>
          <w:rStyle w:val="HideTWBExt"/>
        </w:rPr>
        <w:t>&lt;/NumAm&gt;</w:t>
      </w:r>
    </w:p>
    <w:p>
      <w:pPr>
        <w:pStyle w:val="NormalBold"/>
      </w:pPr>
      <w:r>
        <w:rPr>
          <w:rStyle w:val="HideTWBExt"/>
          <w:b w:val="0"/>
        </w:rPr>
        <w:t>&lt;RepeatBlock-By&gt;</w:t>
      </w:r>
      <w:r>
        <w:rPr>
          <w:rStyle w:val="HideTWBExt"/>
          <w:b w:val="0"/>
        </w:rPr>
        <w:t>&lt;Members&gt;</w:t>
      </w:r>
      <w:r>
        <w:t>Christian Ehler, Oliver Schenk, Matej Tonin, Adina Vălean, Pilar del Castillo Vera, Hildegard Bentele, Angelika Niebler, Eszter Lakos, Radan Kanev, Virgil-Daniel Popescu, Eva Maydell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Regulas priekšlikums</w:t>
      </w:r>
      <w:r>
        <w:rPr>
          <w:rStyle w:val="HideTWBExt"/>
        </w:rPr>
        <w:t>&lt;/DocAmend&gt;</w:t>
      </w:r>
    </w:p>
    <w:p>
      <w:pPr>
        <w:pStyle w:val="NormalBold"/>
      </w:pPr>
      <w:r>
        <w:rPr>
          <w:rStyle w:val="HideTWBExt"/>
        </w:rPr>
        <w:t>&lt;Article&gt;</w:t>
      </w:r>
      <w:r>
        <w:t>12. pants – 1.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Komisijas ierosinātais teksts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EKF īsteno ar darba programmām saskaņā ar Regulas (ES, Euratom) 2024/2509 110. pantu.</w:t>
            </w:r>
          </w:p>
        </w:tc>
        <w:tc>
          <w:tcPr>
            <w:tcW w:w="4876" w:type="dxa"/>
            <w:tcBorders>
              <w:top w:val="nil"/>
              <w:left w:val="nil"/>
              <w:bottom w:val="nil"/>
              <w:right w:val="nil"/>
            </w:tcBorders>
          </w:tcPr>
          <w:p>
            <w:pPr>
              <w:pStyle w:val="Normal6a"/>
            </w:pPr>
            <w:r>
              <w:t>1.</w:t>
            </w:r>
            <w:r>
              <w:tab/>
            </w:r>
            <w:r>
              <w:t>EKF īsteno ar darba programmām saskaņā ar Regulas (ES, Euratom) 2024/2509 110. pantu</w:t>
            </w:r>
            <w:r>
              <w:rPr>
                <w:b/>
                <w:i/>
              </w:rPr>
              <w:t>, izņemot 4</w:t>
            </w:r>
            <w:r>
              <w:t xml:space="preserve">. </w:t>
            </w:r>
            <w:r>
              <w:rPr>
                <w:b/>
                <w:i/>
              </w:rPr>
              <w:t>panta 2. punkta a) apakšpunktā minēto budžetu, ko izveido iepriekš.</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1869</w:t>
      </w:r>
      <w:r>
        <w:rPr>
          <w:rStyle w:val="HideTWBExt"/>
        </w:rPr>
        <w:t>&lt;/NumAm&gt;</w:t>
      </w:r>
    </w:p>
    <w:p>
      <w:pPr>
        <w:pStyle w:val="NormalBold"/>
      </w:pPr>
      <w:r>
        <w:rPr>
          <w:rStyle w:val="HideTWBExt"/>
          <w:b w:val="0"/>
        </w:rPr>
        <w:t>&lt;RepeatBlock-By&gt;</w:t>
      </w:r>
      <w:r>
        <w:rPr>
          <w:rStyle w:val="HideTWBExt"/>
          <w:b w:val="0"/>
        </w:rPr>
        <w:t>&lt;Members&gt;</w:t>
      </w:r>
      <w:r>
        <w:t>Aura Salla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Regulas priekšlikums</w:t>
      </w:r>
      <w:r>
        <w:rPr>
          <w:rStyle w:val="HideTWBExt"/>
        </w:rPr>
        <w:t>&lt;/DocAmend&gt;</w:t>
      </w:r>
    </w:p>
    <w:p>
      <w:pPr>
        <w:pStyle w:val="NormalBold"/>
      </w:pPr>
      <w:r>
        <w:rPr>
          <w:rStyle w:val="HideTWBExt"/>
        </w:rPr>
        <w:t>&lt;Article&gt;</w:t>
      </w:r>
      <w:r>
        <w:t>12. pants – 1.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Komisijas ierosinātais teksts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EKF īsteno ar darba programmām saskaņā ar Regulas (ES, Euratom) 2024/2509 110. pantu.</w:t>
            </w:r>
          </w:p>
        </w:tc>
        <w:tc>
          <w:tcPr>
            <w:tcW w:w="4876" w:type="dxa"/>
            <w:tcBorders>
              <w:top w:val="nil"/>
              <w:left w:val="nil"/>
              <w:bottom w:val="nil"/>
              <w:right w:val="nil"/>
            </w:tcBorders>
          </w:tcPr>
          <w:p>
            <w:pPr>
              <w:pStyle w:val="Normal6a"/>
            </w:pPr>
            <w:r>
              <w:t>1.</w:t>
            </w:r>
            <w:r>
              <w:tab/>
            </w:r>
            <w:r>
              <w:t>EKF īsteno ar darba programmām saskaņā ar Regulas (ES, Euratom) 2024/2509 110. pantu</w:t>
            </w:r>
            <w:r>
              <w:rPr>
                <w:b/>
                <w:i/>
              </w:rPr>
              <w:t>, izņemot 4</w:t>
            </w:r>
            <w:r>
              <w:t xml:space="preserve">. </w:t>
            </w:r>
            <w:r>
              <w:rPr>
                <w:b/>
                <w:i/>
              </w:rPr>
              <w:t>panta 2. punkta a) apakšpunktā minēto budžetu, ko izveido iepriekš.</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1870</w:t>
      </w:r>
      <w:r>
        <w:rPr>
          <w:rStyle w:val="HideTWBExt"/>
        </w:rPr>
        <w:t>&lt;/NumAm&gt;</w:t>
      </w:r>
    </w:p>
    <w:p>
      <w:pPr>
        <w:pStyle w:val="NormalBold"/>
      </w:pPr>
      <w:r>
        <w:rPr>
          <w:rStyle w:val="HideTWBExt"/>
          <w:b w:val="0"/>
        </w:rPr>
        <w:t>&lt;RepeatBlock-By&gt;</w:t>
      </w:r>
      <w:r>
        <w:rPr>
          <w:rStyle w:val="HideTWBExt"/>
          <w:b w:val="0"/>
        </w:rPr>
        <w:t>&lt;Members&gt;</w:t>
      </w:r>
      <w:r>
        <w:t>Dario Nardella, Stefano Bonaccini, Cristina Maestre, Maria Grapini, Giorgio Gori, Claire Fita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Regulas priekšlikums</w:t>
      </w:r>
      <w:r>
        <w:rPr>
          <w:rStyle w:val="HideTWBExt"/>
        </w:rPr>
        <w:t>&lt;/DocAmend&gt;</w:t>
      </w:r>
    </w:p>
    <w:p>
      <w:pPr>
        <w:pStyle w:val="NormalBold"/>
      </w:pPr>
      <w:r>
        <w:rPr>
          <w:rStyle w:val="HideTWBExt"/>
        </w:rPr>
        <w:t>&lt;Article&gt;</w:t>
      </w:r>
      <w:r>
        <w:t>12. pants – 1.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Komisijas ierosinātais teksts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EKF īsteno ar darba programmām saskaņā ar Regulas (ES, Euratom) 2024/2509 110. pantu.</w:t>
            </w:r>
          </w:p>
        </w:tc>
        <w:tc>
          <w:tcPr>
            <w:tcW w:w="4876" w:type="dxa"/>
            <w:tcBorders>
              <w:top w:val="nil"/>
              <w:left w:val="nil"/>
              <w:bottom w:val="nil"/>
              <w:right w:val="nil"/>
            </w:tcBorders>
          </w:tcPr>
          <w:p>
            <w:pPr>
              <w:pStyle w:val="Normal6a"/>
            </w:pPr>
            <w:r>
              <w:t>1.</w:t>
            </w:r>
            <w:r>
              <w:tab/>
            </w:r>
            <w:r>
              <w:t>EKF īsteno ar darba programmām saskaņā ar Regulas (ES, Euratom) 2024/2509 110. pantu</w:t>
            </w:r>
            <w:r>
              <w:rPr>
                <w:b/>
                <w:i/>
              </w:rPr>
              <w:t>, nodrošinot papildināmību un sinerģiju ar citiem attiecīgajiem Savienības instrumentiem</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1871</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Regulas priekšlikums</w:t>
      </w:r>
      <w:r>
        <w:rPr>
          <w:rStyle w:val="HideTWBExt"/>
        </w:rPr>
        <w:t>&lt;/DocAmend&gt;</w:t>
      </w:r>
    </w:p>
    <w:p>
      <w:pPr>
        <w:pStyle w:val="NormalBold"/>
      </w:pPr>
      <w:r>
        <w:rPr>
          <w:rStyle w:val="HideTWBExt"/>
        </w:rPr>
        <w:t>&lt;Article&gt;</w:t>
      </w:r>
      <w:r>
        <w:t>12. pants – 1.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Komisijas ierosinātais teksts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EKF </w:t>
            </w:r>
            <w:r>
              <w:rPr>
                <w:b/>
                <w:i/>
              </w:rPr>
              <w:t>īsteno ar</w:t>
            </w:r>
            <w:r>
              <w:t xml:space="preserve"> darba programmām saskaņā ar Regulas (ES, Euratom) 2024/2509 110. pantu.</w:t>
            </w:r>
          </w:p>
        </w:tc>
        <w:tc>
          <w:tcPr>
            <w:tcW w:w="4876" w:type="dxa"/>
            <w:tcBorders>
              <w:top w:val="nil"/>
              <w:left w:val="nil"/>
              <w:bottom w:val="nil"/>
              <w:right w:val="nil"/>
            </w:tcBorders>
          </w:tcPr>
          <w:p>
            <w:pPr>
              <w:pStyle w:val="Normal6a"/>
            </w:pPr>
            <w:r>
              <w:t>1.</w:t>
            </w:r>
            <w:r>
              <w:tab/>
            </w:r>
            <w:r>
              <w:t xml:space="preserve">EKF </w:t>
            </w:r>
            <w:r>
              <w:rPr>
                <w:b/>
                <w:i/>
              </w:rPr>
              <w:t>jāīsteno ar daudzgadu</w:t>
            </w:r>
            <w:r>
              <w:t xml:space="preserve"> darba programmām </w:t>
            </w:r>
            <w:r>
              <w:rPr>
                <w:b/>
                <w:i/>
              </w:rPr>
              <w:t>uz vismaz 3 gadiem</w:t>
            </w:r>
            <w:r>
              <w:t xml:space="preserve"> saskaņā ar Regulas (ES, Euratom) 2024/2509 110. pantu.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1872</w:t>
      </w:r>
      <w:r>
        <w:rPr>
          <w:rStyle w:val="HideTWBExt"/>
        </w:rPr>
        <w:t>&lt;/NumAm&gt;</w:t>
      </w:r>
    </w:p>
    <w:p>
      <w:pPr>
        <w:pStyle w:val="NormalBold"/>
      </w:pPr>
      <w:r>
        <w:rPr>
          <w:rStyle w:val="HideTWBExt"/>
          <w:b w:val="0"/>
        </w:rPr>
        <w:t>&lt;RepeatBlock-By&gt;</w:t>
      </w:r>
      <w:r>
        <w:rPr>
          <w:rStyle w:val="HideTWBExt"/>
          <w:b w:val="0"/>
        </w:rPr>
        <w:t>&lt;Members&gt;</w:t>
      </w:r>
      <w:r>
        <w:t>Mirosława Nykiel, Borys Budka, Adam Jarubas, Krzysztof Hetman, Kamila Gasiuk-Pihowicz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Regulas priekšlikums</w:t>
      </w:r>
      <w:r>
        <w:rPr>
          <w:rStyle w:val="HideTWBExt"/>
        </w:rPr>
        <w:t>&lt;/DocAmend&gt;</w:t>
      </w:r>
    </w:p>
    <w:p>
      <w:pPr>
        <w:pStyle w:val="NormalBold"/>
      </w:pPr>
      <w:r>
        <w:rPr>
          <w:rStyle w:val="HideTWBExt"/>
        </w:rPr>
        <w:t>&lt;Article&gt;</w:t>
      </w:r>
      <w:r>
        <w:t>12. pants – 1.a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Komisijas ierosinātais teksts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Gatavojot darba programmas, Komisija cieši sadarbojas ar dalībvalstīm, tostarp kompetentajām reģionālajām iestādēm, lai nodrošinātu konsekvenci starp EKF intervencēm un valsts un reģionālās attīstības stratēģijām, pārdomātas specializācijas stratēģijām un citiem attiecīgiem plānošanas dokumentiem, vienlaikus aizsargājot fonda Eiropas stratēģiskos mērķus.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1873</w:t>
      </w:r>
      <w:r>
        <w:rPr>
          <w:rStyle w:val="HideTWBExt"/>
        </w:rPr>
        <w:t>&lt;/NumAm&gt;</w:t>
      </w:r>
    </w:p>
    <w:p>
      <w:pPr>
        <w:pStyle w:val="NormalBold"/>
      </w:pPr>
      <w:r>
        <w:rPr>
          <w:rStyle w:val="HideTWBExt"/>
          <w:b w:val="0"/>
        </w:rPr>
        <w:t>&lt;RepeatBlock-By&gt;</w:t>
      </w:r>
      <w:r>
        <w:rPr>
          <w:rStyle w:val="HideTWBExt"/>
          <w:b w:val="0"/>
        </w:rPr>
        <w:t>&lt;Members&gt;</w:t>
      </w:r>
      <w:r>
        <w:t>Sarah Knafo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Regulas priekšlikums</w:t>
      </w:r>
      <w:r>
        <w:rPr>
          <w:rStyle w:val="HideTWBExt"/>
        </w:rPr>
        <w:t>&lt;/DocAmend&gt;</w:t>
      </w:r>
    </w:p>
    <w:p>
      <w:pPr>
        <w:pStyle w:val="NormalBold"/>
      </w:pPr>
      <w:r>
        <w:rPr>
          <w:rStyle w:val="HideTWBExt"/>
        </w:rPr>
        <w:t>&lt;Article&gt;</w:t>
      </w:r>
      <w:r>
        <w:t>12. pants – 1.a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Komisijas ierosinātais teksts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Komisija nodrošina, ka vidējais laiks līdz dotācijas piešķiršanai saskaņā ar šo regulu nepārsniedz piecus mēnešus no priekšlikumu iesniegšanas termiņa un ka vidējais laiks līdz izmaksai nepārsniedz trīsdesmit dienas no dienas, kad ir izpildīti maksājuma nosacījumi. Komisija katru gadu iesniedz ziņojumu Eiropas Parlamentam un Padomei par šiem indikatoriem.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1874</w:t>
      </w:r>
      <w:r>
        <w:rPr>
          <w:rStyle w:val="HideTWBExt"/>
        </w:rPr>
        <w:t>&lt;/NumAm&gt;</w:t>
      </w:r>
    </w:p>
    <w:p>
      <w:pPr>
        <w:pStyle w:val="NormalBold"/>
      </w:pPr>
      <w:r>
        <w:rPr>
          <w:rStyle w:val="HideTWBExt"/>
          <w:b w:val="0"/>
        </w:rPr>
        <w:t>&lt;RepeatBlock-By&gt;</w:t>
      </w:r>
      <w:r>
        <w:rPr>
          <w:rStyle w:val="HideTWBExt"/>
          <w:b w:val="0"/>
        </w:rPr>
        <w:t>&lt;Members&gt;</w:t>
      </w:r>
      <w:r>
        <w:t>Borys Budka, Danuše Nerudová, Davor Ivo Stier, Nikolina Brnjac, Eszter Lakos, Karlo Ressler, Miriam Lexmann, Adam Jarubas, Krzysztof Hetman, Kamila Gasiuk-Pihowicz, Mirosława Nykiel, Iuliu Winkler, Loránt Vincze, Andrzej Halicki, Virgil-Daniel Popescu, Inese Vaidere, Tomáš Zdechovský, Siegfried Mureşan, Ioan-Rareş Bogdan, Daniel Buda, Gheorghe Falcă, Adina Vălean, Romana Tomc, Radan Kanev, Jan Farský, Rasa Juknevičienė, Andrey Kovatchev, Andrey Novakov, Ilia Lazarov, Emil Radev, Sandra Kalniete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Regulas priekšlikums</w:t>
      </w:r>
      <w:r>
        <w:rPr>
          <w:rStyle w:val="HideTWBExt"/>
        </w:rPr>
        <w:t>&lt;/DocAmend&gt;</w:t>
      </w:r>
    </w:p>
    <w:p>
      <w:pPr>
        <w:pStyle w:val="NormalBold"/>
      </w:pPr>
      <w:r>
        <w:rPr>
          <w:rStyle w:val="HideTWBExt"/>
        </w:rPr>
        <w:t>&lt;Article&gt;</w:t>
      </w:r>
      <w:r>
        <w:t>12. pants – 2.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Komisijas ierosinātais teksts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EKF īsteno saskaņā ar Regulu (ES, Euratom) 2024/2509 tiešā pārvaldībā vai netiešā pārvaldībā kopā ar vienībām, kas minētas regulas 62. panta 1. punkta c) apakšpunktā.</w:t>
            </w:r>
          </w:p>
        </w:tc>
        <w:tc>
          <w:tcPr>
            <w:tcW w:w="4876" w:type="dxa"/>
            <w:tcBorders>
              <w:top w:val="nil"/>
              <w:left w:val="nil"/>
              <w:bottom w:val="nil"/>
              <w:right w:val="nil"/>
            </w:tcBorders>
          </w:tcPr>
          <w:p>
            <w:pPr>
              <w:pStyle w:val="Normal6a"/>
            </w:pPr>
            <w:r>
              <w:t>2.</w:t>
            </w:r>
            <w:r>
              <w:tab/>
            </w:r>
            <w:r>
              <w:t>EKF īsteno saskaņā ar Regulu (ES, Euratom) 2024/2509 tiešā pārvaldībā vai netiešā pārvaldībā kopā ar vienībām, kas minētas regulas 62. panta 1. punkta c) apakšpunktā</w:t>
            </w:r>
            <w:r>
              <w:rPr>
                <w:b/>
                <w:i/>
              </w:rPr>
              <w:t>, tādā veidā, kas nodrošina procedūru vienkāršošanu, jo īpaši ziņošanas prasības un pieteikšanās procesus uzaicinājumiem, lai uzlabotu pieejamību visiem saņēmējiem un galasaņēmējiem, tostarp mazākiem dalībniekiem un mazāk pieredzējušiem pieteikumu iesniedzējiem</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1875</w:t>
      </w:r>
      <w:r>
        <w:rPr>
          <w:rStyle w:val="HideTWBExt"/>
        </w:rPr>
        <w:t>&lt;/NumAm&gt;</w:t>
      </w:r>
    </w:p>
    <w:p>
      <w:pPr>
        <w:pStyle w:val="NormalBold"/>
      </w:pPr>
      <w:r>
        <w:rPr>
          <w:rStyle w:val="HideTWBExt"/>
          <w:b w:val="0"/>
        </w:rPr>
        <w:t>&lt;RepeatBlock-By&gt;</w:t>
      </w:r>
      <w:r>
        <w:rPr>
          <w:rStyle w:val="HideTWBExt"/>
          <w:b w:val="0"/>
        </w:rPr>
        <w:t>&lt;Members&gt;</w:t>
      </w:r>
      <w:r>
        <w:t>Letizia Moratti, Massimiliano Salini, Fulvio Martusciello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Regulas priekšlikums</w:t>
      </w:r>
      <w:r>
        <w:rPr>
          <w:rStyle w:val="HideTWBExt"/>
        </w:rPr>
        <w:t>&lt;/DocAmend&gt;</w:t>
      </w:r>
    </w:p>
    <w:p>
      <w:pPr>
        <w:pStyle w:val="NormalBold"/>
      </w:pPr>
      <w:r>
        <w:rPr>
          <w:rStyle w:val="HideTWBExt"/>
        </w:rPr>
        <w:t>&lt;Article&gt;</w:t>
      </w:r>
      <w:r>
        <w:t>12. pants – 2.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Komisijas ierosinātais teksts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EKF īsteno saskaņā ar Regulu (ES, Euratom) 2024/2509 tiešā pārvaldībā vai netiešā pārvaldībā kopā ar vienībām, kas minētas regulas 62. panta 1. punkta c) apakšpunktā.</w:t>
            </w:r>
          </w:p>
        </w:tc>
        <w:tc>
          <w:tcPr>
            <w:tcW w:w="4876" w:type="dxa"/>
            <w:tcBorders>
              <w:top w:val="nil"/>
              <w:left w:val="nil"/>
              <w:bottom w:val="nil"/>
              <w:right w:val="nil"/>
            </w:tcBorders>
          </w:tcPr>
          <w:p>
            <w:pPr>
              <w:pStyle w:val="Normal6a"/>
            </w:pPr>
            <w:r>
              <w:t>2.</w:t>
            </w:r>
            <w:r>
              <w:tab/>
            </w:r>
            <w:r>
              <w:t>EKF īsteno saskaņā ar Regulu (ES, Euratom) 2024/2509 tiešā pārvaldībā vai netiešā pārvaldībā kopā ar vienībām, kas minētas regulas 62. panta 1. punkta c) apakšpunktā</w:t>
            </w:r>
            <w:r>
              <w:rPr>
                <w:b/>
                <w:i/>
              </w:rPr>
              <w:t>, nodrošinot koordināciju, papildināmību un sinerģiju ar citiem attiecīgajiem Savienības instrumentiem</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1876</w:t>
      </w:r>
      <w:r>
        <w:rPr>
          <w:rStyle w:val="HideTWBExt"/>
        </w:rPr>
        <w:t>&lt;/NumAm&gt;</w:t>
      </w:r>
    </w:p>
    <w:p>
      <w:pPr>
        <w:pStyle w:val="NormalBold"/>
      </w:pPr>
      <w:r>
        <w:rPr>
          <w:rStyle w:val="HideTWBExt"/>
          <w:b w:val="0"/>
        </w:rPr>
        <w:t>&lt;RepeatBlock-By&gt;</w:t>
      </w:r>
      <w:r>
        <w:rPr>
          <w:rStyle w:val="HideTWBExt"/>
          <w:b w:val="0"/>
        </w:rPr>
        <w:t>&lt;Members&gt;</w:t>
      </w:r>
      <w:r>
        <w:t>Marc Botenga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Regulas priekšlikums</w:t>
      </w:r>
      <w:r>
        <w:rPr>
          <w:rStyle w:val="HideTWBExt"/>
        </w:rPr>
        <w:t>&lt;/DocAmend&gt;</w:t>
      </w:r>
    </w:p>
    <w:p>
      <w:pPr>
        <w:pStyle w:val="NormalBold"/>
      </w:pPr>
      <w:r>
        <w:rPr>
          <w:rStyle w:val="HideTWBExt"/>
        </w:rPr>
        <w:t>&lt;Article&gt;</w:t>
      </w:r>
      <w:r>
        <w:t>12. pants – 2.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Komisijas ierosinātais teksts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EKF īsteno saskaņā ar Regulu (ES, Euratom) 2024/2509 tiešā pārvaldībā </w:t>
            </w:r>
            <w:r>
              <w:rPr>
                <w:b/>
                <w:i/>
              </w:rPr>
              <w:t>vai netiešā pārvaldībā kopā ar vienībām, kas minētas regulas 62</w:t>
            </w:r>
            <w:r>
              <w:t xml:space="preserve">. </w:t>
            </w:r>
            <w:r>
              <w:rPr>
                <w:b/>
                <w:i/>
              </w:rPr>
              <w:t>panta 1. punkta c) apakšpunktā.</w:t>
            </w:r>
          </w:p>
        </w:tc>
        <w:tc>
          <w:tcPr>
            <w:tcW w:w="4876" w:type="dxa"/>
            <w:tcBorders>
              <w:top w:val="nil"/>
              <w:left w:val="nil"/>
              <w:bottom w:val="nil"/>
              <w:right w:val="nil"/>
            </w:tcBorders>
          </w:tcPr>
          <w:p>
            <w:pPr>
              <w:pStyle w:val="Normal6a"/>
            </w:pPr>
            <w:r>
              <w:t>2.</w:t>
            </w:r>
            <w:r>
              <w:tab/>
            </w:r>
            <w:r>
              <w:t>EKF īsteno saskaņā ar Regulu (ES, Euratom) 2024/2509 tiešā pārvaldībā.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1877</w:t>
      </w:r>
      <w:r>
        <w:rPr>
          <w:rStyle w:val="HideTWBExt"/>
        </w:rPr>
        <w:t>&lt;/NumAm&gt;</w:t>
      </w:r>
    </w:p>
    <w:p>
      <w:pPr>
        <w:pStyle w:val="NormalBold"/>
      </w:pPr>
      <w:r>
        <w:rPr>
          <w:rStyle w:val="HideTWBExt"/>
          <w:b w:val="0"/>
        </w:rPr>
        <w:t>&lt;RepeatBlock-By&gt;</w:t>
      </w:r>
      <w:r>
        <w:rPr>
          <w:rStyle w:val="HideTWBExt"/>
          <w:b w:val="0"/>
        </w:rPr>
        <w:t>&lt;Members&gt;</w:t>
      </w:r>
      <w:r>
        <w:t>Mirosława Nykiel, Borys Budka, Adam Jarubas, Krzysztof Hetman, Kamila Gasiuk-Pihowicz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Regulas priekšlikums</w:t>
      </w:r>
      <w:r>
        <w:rPr>
          <w:rStyle w:val="HideTWBExt"/>
        </w:rPr>
        <w:t>&lt;/DocAmend&gt;</w:t>
      </w:r>
    </w:p>
    <w:p>
      <w:pPr>
        <w:pStyle w:val="NormalBold"/>
      </w:pPr>
      <w:r>
        <w:rPr>
          <w:rStyle w:val="HideTWBExt"/>
        </w:rPr>
        <w:t>&lt;Article&gt;</w:t>
      </w:r>
      <w:r>
        <w:t>12. pants – 2.a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Komisijas ierosinātais teksts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Darba programmās var paredzēt atlasītu EKF instrumentu īstenošanu, izmantojot decentralizētus vai hibrīdus īstenošanas mehānismus, iesaistot valsts un reģionālās īstenošanas struktūras, jo īpaši attiecībā uz teritoriāli mērķtiecīgām darbībām vai pasākumiem, kas vērsti uz MVU.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1878</w:t>
      </w:r>
      <w:r>
        <w:rPr>
          <w:rStyle w:val="HideTWBExt"/>
        </w:rPr>
        <w:t>&lt;/NumAm&gt;</w:t>
      </w:r>
    </w:p>
    <w:p>
      <w:pPr>
        <w:pStyle w:val="NormalBold"/>
      </w:pPr>
      <w:r>
        <w:rPr>
          <w:rStyle w:val="HideTWBExt"/>
          <w:b w:val="0"/>
        </w:rPr>
        <w:t>&lt;RepeatBlock-By&gt;</w:t>
      </w:r>
      <w:r>
        <w:rPr>
          <w:rStyle w:val="HideTWBExt"/>
          <w:b w:val="0"/>
        </w:rPr>
        <w:t>&lt;Members&gt;</w:t>
      </w:r>
      <w:r>
        <w:t>Christophe Clergeau, Jean-Marc Germain, Romana Jerković, Kristian Vigenin, Thomas Pellerin-Carlin, Vytenis Povilas Andriukaitis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Regulas priekšlikums</w:t>
      </w:r>
      <w:r>
        <w:rPr>
          <w:rStyle w:val="HideTWBExt"/>
        </w:rPr>
        <w:t>&lt;/DocAmend&gt;</w:t>
      </w:r>
    </w:p>
    <w:p>
      <w:pPr>
        <w:pStyle w:val="NormalBold"/>
      </w:pPr>
      <w:r>
        <w:rPr>
          <w:rStyle w:val="HideTWBExt"/>
        </w:rPr>
        <w:t>&lt;Article&gt;</w:t>
      </w:r>
      <w:r>
        <w:t>12. pants – 2.a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Komisijas ierosinātais teksts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EKF InvestEU instruments ir privileģēta iespēja īstenošanai, lai piesaistītu papildu publiskās un privātās investīcijas.</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Pamatojums</w:t>
      </w:r>
      <w:r>
        <w:rPr>
          <w:rStyle w:val="HideTWBExt"/>
        </w:rPr>
        <w:t>&lt;/TitreJust&gt;</w:t>
      </w:r>
    </w:p>
    <w:p>
      <w:pPr>
        <w:pStyle w:val="AmJustText"/>
      </w:pPr>
      <w:r>
        <w:t>Šā grozījuma mērķis ir no jauna ieviest grozījumus, kas pieņemti SANT komitejas atzinumā.</w:t>
      </w:r>
    </w:p>
    <w:p>
      <w:r>
        <w:rPr>
          <w:rStyle w:val="HideTWBExt"/>
        </w:rPr>
        <w:t>&lt;/Amend&gt;</w:t>
      </w:r>
    </w:p>
    <w:p>
      <w:pPr>
        <w:pStyle w:val="AmNumberTabs"/>
      </w:pPr>
      <w:r>
        <w:rPr>
          <w:rStyle w:val="HideTWBExt"/>
        </w:rPr>
        <w:t>&lt;Amend&gt;</w:t>
      </w:r>
      <w:r>
        <w:t>Grozījums Nr.</w:t>
      </w:r>
      <w:r>
        <w:tab/>
      </w:r>
      <w:r>
        <w:tab/>
      </w:r>
      <w:r>
        <w:rPr>
          <w:rStyle w:val="HideTWBExt"/>
        </w:rPr>
        <w:t>&lt;NumAm&gt;</w:t>
      </w:r>
      <w:r>
        <w:t>1879</w:t>
      </w:r>
      <w:r>
        <w:rPr>
          <w:rStyle w:val="HideTWBExt"/>
        </w:rPr>
        <w:t>&lt;/NumAm&gt;</w:t>
      </w:r>
    </w:p>
    <w:p>
      <w:pPr>
        <w:pStyle w:val="NormalBold"/>
      </w:pPr>
      <w:r>
        <w:rPr>
          <w:rStyle w:val="HideTWBExt"/>
          <w:b w:val="0"/>
        </w:rPr>
        <w:t>&lt;RepeatBlock-By&gt;</w:t>
      </w:r>
      <w:r>
        <w:rPr>
          <w:rStyle w:val="HideTWBExt"/>
          <w:b w:val="0"/>
        </w:rPr>
        <w:t>&lt;Members&gt;</w:t>
      </w:r>
      <w:r>
        <w:t>Yvan Verougstraete, Pascal Canfin, Stine Bosse, Sigrid Friis, Morten Løkkegaard, Christophe Grudler, Oihane Agirregoitia Martínez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Regulas priekšlikums</w:t>
      </w:r>
      <w:r>
        <w:rPr>
          <w:rStyle w:val="HideTWBExt"/>
        </w:rPr>
        <w:t>&lt;/DocAmend&gt;</w:t>
      </w:r>
    </w:p>
    <w:p>
      <w:pPr>
        <w:pStyle w:val="NormalBold"/>
      </w:pPr>
      <w:r>
        <w:rPr>
          <w:rStyle w:val="HideTWBExt"/>
        </w:rPr>
        <w:t>&lt;Article&gt;</w:t>
      </w:r>
      <w:r>
        <w:t>12. pants – 2.a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Komisijas ierosinātais teksts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EKF InvestEU instruments ir privileģēta iespēja īstenošanai, lai piesaistītu papildu publiskās un privātās investīcijas.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1880</w:t>
      </w:r>
      <w:r>
        <w:rPr>
          <w:rStyle w:val="HideTWBExt"/>
        </w:rPr>
        <w:t>&lt;/NumAm&gt;</w:t>
      </w:r>
    </w:p>
    <w:p>
      <w:pPr>
        <w:pStyle w:val="NormalBold"/>
      </w:pPr>
      <w:r>
        <w:rPr>
          <w:rStyle w:val="HideTWBExt"/>
          <w:b w:val="0"/>
        </w:rPr>
        <w:t>&lt;RepeatBlock-By&gt;</w:t>
      </w:r>
      <w:r>
        <w:rPr>
          <w:rStyle w:val="HideTWBExt"/>
          <w:b w:val="0"/>
        </w:rPr>
        <w:t>&lt;Members&gt;</w:t>
      </w:r>
      <w:r>
        <w:t>Rihards Kols</w:t>
      </w:r>
      <w:r>
        <w:rPr>
          <w:rStyle w:val="HideTWBExt"/>
          <w:b w:val="0"/>
        </w:rPr>
        <w:t>&lt;/Members&gt;</w:t>
      </w:r>
    </w:p>
    <w:p>
      <w:r>
        <w:rPr>
          <w:rStyle w:val="HideTWBExt"/>
          <w:b w:val="0"/>
        </w:rPr>
        <w:t>&lt;AuNomDe&gt;</w:t>
      </w:r>
      <w:r>
        <w:rPr>
          <w:rStyle w:val="HideTWBInt"/>
        </w:rPr>
        <w:t>{ECR}</w:t>
      </w:r>
      <w:r>
        <w:t>ECR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Regulas priekšlikums</w:t>
      </w:r>
      <w:r>
        <w:rPr>
          <w:rStyle w:val="HideTWBExt"/>
        </w:rPr>
        <w:t>&lt;/DocAmend&gt;</w:t>
      </w:r>
    </w:p>
    <w:p>
      <w:pPr>
        <w:pStyle w:val="NormalBold"/>
      </w:pPr>
      <w:r>
        <w:rPr>
          <w:rStyle w:val="HideTWBExt"/>
        </w:rPr>
        <w:t>&lt;Article&gt;</w:t>
      </w:r>
      <w:r>
        <w:t>12. pants – 3.a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Komisijas ierosinātais teksts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Ja ar darba programmām īsteno 42. pantā minētās darbības, tajās iekļauj īpašu nodaļu par kritiski svarīgām izejvielām.</w:t>
            </w:r>
            <w:r>
              <w:t xml:space="preserve"> </w:t>
            </w:r>
            <w:r>
              <w:rPr>
                <w:b/>
                <w:i/>
              </w:rPr>
              <w:t>Minētajā nodaļā norāda vismaz:</w:t>
            </w:r>
            <w:r>
              <w:t xml:space="preserve"> </w:t>
            </w:r>
            <w:r>
              <w:rPr>
                <w:b/>
                <w:i/>
              </w:rPr>
              <w:t>attiecināmās izmaksu kategorijas,</w:t>
            </w:r>
            <w:r>
              <w:t xml:space="preserve"> </w:t>
            </w:r>
            <w:r>
              <w:rPr>
                <w:b/>
                <w:i/>
              </w:rPr>
              <w:t>pieejamā Savienības atbalsta veidus, tostarp dotācijas, iepirkums, budžeta garantijas, finanšu instrumenti un finansējuma apvienošanas darbības,</w:t>
            </w:r>
            <w:r>
              <w:t xml:space="preserve"> </w:t>
            </w:r>
            <w:r>
              <w:rPr>
                <w:b/>
                <w:i/>
              </w:rPr>
              <w:t>nosacījumus izpētes, ieguves, pārstrādes, rafinēšanas, reciklēšanas, krājumu veidošanas, iegādes, ilgtermiņa patēriņa un saistītās infrastruktūras atbalstam</w:t>
            </w:r>
            <w:r>
              <w:t xml:space="preserve"> </w:t>
            </w:r>
            <w:r>
              <w:rPr>
                <w:b/>
                <w:i/>
              </w:rPr>
              <w:t>un kritērijus, pēc kuriem atlasa un piešķir atbalstu izejvielu projektiem.</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Pamatojums</w:t>
      </w:r>
      <w:r>
        <w:rPr>
          <w:rStyle w:val="HideTWBExt"/>
        </w:rPr>
        <w:t>&lt;/TitreJust&gt;</w:t>
      </w:r>
    </w:p>
    <w:p>
      <w:pPr>
        <w:pStyle w:val="AmJustText"/>
      </w:pPr>
      <w:r>
        <w:t>Kritiski svarīgo izejvielu projektiem, jo īpaši ieguves, pārstrādes un reciklēšanas jomā, ir raksturīgs ilgs izpildes laiks, augsta kapitālietilpība un īpaši atļauju piešķiršanas un vidiskie riski.</w:t>
      </w:r>
      <w:r>
        <w:t xml:space="preserve"> </w:t>
      </w:r>
      <w:r>
        <w:t>Attiecībā uz šiem projektiem 12. pantā izklāstītajā darba programmu struktūrā būtu skaidri jānorāda attiecināmās izmaksu kategorijas, pieejamie Savienības atbalsta veidi un atlases un piešķiršanas nosacījumi.</w:t>
      </w:r>
      <w:r>
        <w:t xml:space="preserve"> </w:t>
      </w:r>
      <w:r>
        <w:t>Tas nodrošina paredzamību projektu virzītājiem un atspoguļo Kritiski svarīgo izejvielu akta ieteikumus par operacionālajiem ceļiem.</w:t>
      </w:r>
    </w:p>
    <w:p>
      <w:r>
        <w:rPr>
          <w:rStyle w:val="HideTWBExt"/>
        </w:rPr>
        <w:t>&lt;/Amend&gt;</w:t>
      </w:r>
    </w:p>
    <w:p>
      <w:pPr>
        <w:pStyle w:val="AmNumberTabs"/>
      </w:pPr>
      <w:r>
        <w:rPr>
          <w:rStyle w:val="HideTWBExt"/>
        </w:rPr>
        <w:t>&lt;Amend&gt;</w:t>
      </w:r>
      <w:r>
        <w:t>Grozījums Nr.</w:t>
      </w:r>
      <w:r>
        <w:tab/>
      </w:r>
      <w:r>
        <w:tab/>
      </w:r>
      <w:r>
        <w:rPr>
          <w:rStyle w:val="HideTWBExt"/>
        </w:rPr>
        <w:t>&lt;NumAm&gt;</w:t>
      </w:r>
      <w:r>
        <w:t>1881</w:t>
      </w:r>
      <w:r>
        <w:rPr>
          <w:rStyle w:val="HideTWBExt"/>
        </w:rPr>
        <w:t>&lt;/NumAm&gt;</w:t>
      </w:r>
    </w:p>
    <w:p>
      <w:pPr>
        <w:pStyle w:val="NormalBold"/>
      </w:pPr>
      <w:r>
        <w:rPr>
          <w:rStyle w:val="HideTWBExt"/>
          <w:b w:val="0"/>
        </w:rPr>
        <w:t>&lt;RepeatBlock-By&gt;</w:t>
      </w:r>
      <w:r>
        <w:rPr>
          <w:rStyle w:val="HideTWBExt"/>
          <w:b w:val="0"/>
        </w:rPr>
        <w:t>&lt;Members&gt;</w:t>
      </w:r>
      <w:r>
        <w:t>Dan Nica, Borys Budka, Tsvetelina Penkova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Regulas priekšlikums</w:t>
      </w:r>
      <w:r>
        <w:rPr>
          <w:rStyle w:val="HideTWBExt"/>
        </w:rPr>
        <w:t>&lt;/DocAmend&gt;</w:t>
      </w:r>
    </w:p>
    <w:p>
      <w:pPr>
        <w:pStyle w:val="NormalBold"/>
      </w:pPr>
      <w:r>
        <w:rPr>
          <w:rStyle w:val="HideTWBExt"/>
        </w:rPr>
        <w:t>&lt;Article&gt;</w:t>
      </w:r>
      <w:r>
        <w:t>12. pants – 3.a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Komisijas ierosinātais teksts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Piešķiršanas procedūrās izvērtējumā papildus izcilības kritērijiem ņem vērā ģeogrāfisko līdzsvaru, ekonomisko noturību, pārrobežu dimensiju, dalībvalstu un reģionu ekonomiskās izaugsmes dinamiku, Eiropas mēroga vērtības ķēžu atbalstu un piekļuvi kritiski svarīgām un retām izejvielām, nodrošinot, ka visas dalībvalstis var gūt labumu no šiem resursiem.</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Pamatojums</w:t>
      </w:r>
      <w:r>
        <w:rPr>
          <w:rStyle w:val="HideTWBExt"/>
        </w:rPr>
        <w:t>&lt;/TitreJust&gt;</w:t>
      </w:r>
    </w:p>
    <w:p>
      <w:pPr>
        <w:pStyle w:val="AmJustText"/>
      </w:pPr>
      <w:r>
        <w:t>EKF resursi būtu vienlīdzīgi jāizlieto visās dalībvalstīs, izvairoties no koncentrācijas tikai dažās dalībvalstīs.</w:t>
      </w:r>
    </w:p>
    <w:p>
      <w:r>
        <w:rPr>
          <w:rStyle w:val="HideTWBExt"/>
        </w:rPr>
        <w:t>&lt;/Amend&gt;</w:t>
      </w:r>
    </w:p>
    <w:p>
      <w:pPr>
        <w:pStyle w:val="AmNumberTabs"/>
      </w:pPr>
      <w:r>
        <w:rPr>
          <w:rStyle w:val="HideTWBExt"/>
        </w:rPr>
        <w:t>&lt;Amend&gt;</w:t>
      </w:r>
      <w:r>
        <w:t>Grozījums Nr.</w:t>
      </w:r>
      <w:r>
        <w:tab/>
      </w:r>
      <w:r>
        <w:tab/>
      </w:r>
      <w:r>
        <w:rPr>
          <w:rStyle w:val="HideTWBExt"/>
        </w:rPr>
        <w:t>&lt;NumAm&gt;</w:t>
      </w:r>
      <w:r>
        <w:t>1882</w:t>
      </w:r>
      <w:r>
        <w:rPr>
          <w:rStyle w:val="HideTWBExt"/>
        </w:rPr>
        <w:t>&lt;/NumAm&gt;</w:t>
      </w:r>
    </w:p>
    <w:p>
      <w:pPr>
        <w:pStyle w:val="NormalBold"/>
      </w:pPr>
      <w:r>
        <w:rPr>
          <w:rStyle w:val="HideTWBExt"/>
          <w:b w:val="0"/>
        </w:rPr>
        <w:t>&lt;RepeatBlock-By&gt;</w:t>
      </w:r>
      <w:r>
        <w:rPr>
          <w:rStyle w:val="HideTWBExt"/>
          <w:b w:val="0"/>
        </w:rPr>
        <w:t>&lt;Members&gt;</w:t>
      </w:r>
      <w:r>
        <w:t>Ondřej Krutílek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Regulas priekšlikums</w:t>
      </w:r>
      <w:r>
        <w:rPr>
          <w:rStyle w:val="HideTWBExt"/>
        </w:rPr>
        <w:t>&lt;/DocAmend&gt;</w:t>
      </w:r>
    </w:p>
    <w:p>
      <w:pPr>
        <w:pStyle w:val="NormalBold"/>
      </w:pPr>
      <w:r>
        <w:rPr>
          <w:rStyle w:val="HideTWBExt"/>
        </w:rPr>
        <w:t>&lt;Article&gt;</w:t>
      </w:r>
      <w:r>
        <w:t>12. pants – 3.a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Komisijas ierosinātais teksts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Lai nodrošinātu līdzsvarotu attīstību visā Savienībā, vismaz 35 % no EKF līdzekļiem novirza subjektiem no dalībvalstīm, kuru NKI uz vienu iedzīvotāju ir zemāks par ES vidējo rādītāju.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1883</w:t>
      </w:r>
      <w:r>
        <w:rPr>
          <w:rStyle w:val="HideTWBExt"/>
        </w:rPr>
        <w:t>&lt;/NumAm&gt;</w:t>
      </w:r>
    </w:p>
    <w:p>
      <w:pPr>
        <w:pStyle w:val="NormalBold"/>
      </w:pPr>
      <w:r>
        <w:rPr>
          <w:rStyle w:val="HideTWBExt"/>
          <w:b w:val="0"/>
        </w:rPr>
        <w:t>&lt;RepeatBlock-By&gt;</w:t>
      </w:r>
      <w:r>
        <w:rPr>
          <w:rStyle w:val="HideTWBExt"/>
          <w:b w:val="0"/>
        </w:rPr>
        <w:t>&lt;Members&gt;</w:t>
      </w:r>
      <w:r>
        <w:t>Sofie Eriksson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Regulas priekšlikums</w:t>
      </w:r>
      <w:r>
        <w:rPr>
          <w:rStyle w:val="HideTWBExt"/>
        </w:rPr>
        <w:t>&lt;/DocAmend&gt;</w:t>
      </w:r>
    </w:p>
    <w:p>
      <w:pPr>
        <w:pStyle w:val="NormalBold"/>
      </w:pPr>
      <w:r>
        <w:rPr>
          <w:rStyle w:val="HideTWBExt"/>
        </w:rPr>
        <w:t>&lt;Article&gt;</w:t>
      </w:r>
      <w:r>
        <w:t>12. pants – 4.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Komisijas ierosinātais teksts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Ja piešķiršanas procedūras attiecas uz vairāk nekā vienu konkrēto mērķi, kas noteikts 3. panta 2. punktā, darba programmā var precizēt, ka piešķiršanas procedūru īsteno saskaņā ar vienotu noteikumu kopumu, tieši piemērojot Regulu (ES, Euratom) 2024/2509, ko papildina I un II nodaļā izklāstītie vispārīgie noteikumi, vai piemērojot viena no attiecīgajiem konkrētajiem mērķiem noteikumus.</w:t>
            </w:r>
          </w:p>
        </w:tc>
        <w:tc>
          <w:tcPr>
            <w:tcW w:w="4876" w:type="dxa"/>
            <w:tcBorders>
              <w:top w:val="nil"/>
              <w:left w:val="nil"/>
              <w:bottom w:val="nil"/>
              <w:right w:val="nil"/>
            </w:tcBorders>
          </w:tcPr>
          <w:p>
            <w:pPr>
              <w:pStyle w:val="Normal6a"/>
            </w:pPr>
            <w:r>
              <w:t>4.</w:t>
            </w:r>
            <w:r>
              <w:tab/>
            </w:r>
            <w:r>
              <w:t xml:space="preserve">Ja piešķiršanas procedūras attiecas uz vairāk nekā vienu konkrēto mērķi, kas noteikts 3. panta 2. punktā, darba programmā var precizēt, ka piešķiršanas procedūru īsteno saskaņā ar vienotu noteikumu kopumu, tieši piemērojot Regulu (ES, Euratom) 2024/2509, ko papildina I un II nodaļā izklāstītie vispārīgie noteikumi, vai piemērojot viena no attiecīgajiem konkrētajiem mērķiem noteikumus. </w:t>
            </w:r>
            <w:r>
              <w:rPr>
                <w:b/>
                <w:i/>
              </w:rPr>
              <w:t>Uzaicinājums iesniegt priekšlikumus var notikt saskaņā ar vairāk nekā vienu politikas logu, apvienojot līdzekļus no attiecīgajiem politikas logiem, lai veicinātu tādu uzaicinājumu iesniegt priekšlikumus, kas veicina konkrētu mērķu sasniegšanu vairāk nekā vienā politikas logā, kā noteikts 3. panta 2. punktā.</w:t>
            </w:r>
            <w:r>
              <w:t xml:space="preserve"> </w:t>
            </w:r>
            <w:r>
              <w:rPr>
                <w:b/>
                <w:i/>
              </w:rPr>
              <w:t>Uzaicinājumus iesniegt priekšlikumus un piešķiršanas procedūras, kas saistītas ar tehnoloģiju infrastruktūrām, attiecīgā gadījumā var izstrādāt un finansēt vairākos politikas logos, lai risinātu starpnozaru investīciju vajadzības, tostarp pāreju uz tīru enerģiju, veselību un bioekonomiku, noturību un drošību, kā arī digitālo jomu.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1884</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Regulas priekšlikums</w:t>
      </w:r>
      <w:r>
        <w:rPr>
          <w:rStyle w:val="HideTWBExt"/>
        </w:rPr>
        <w:t>&lt;/DocAmend&gt;</w:t>
      </w:r>
    </w:p>
    <w:p>
      <w:pPr>
        <w:pStyle w:val="NormalBold"/>
      </w:pPr>
      <w:r>
        <w:rPr>
          <w:rStyle w:val="HideTWBExt"/>
        </w:rPr>
        <w:t>&lt;Article&gt;</w:t>
      </w:r>
      <w:r>
        <w:t>12. pants – 4.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Komisijas ierosinātais teksts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Ja piešķiršanas procedūras attiecas uz vairāk nekā vienu konkrēto mērķi, kas noteikts 3. panta 2. punktā, darba programmā </w:t>
            </w:r>
            <w:r>
              <w:rPr>
                <w:b/>
                <w:i/>
              </w:rPr>
              <w:t>var precizēt, ka</w:t>
            </w:r>
            <w:r>
              <w:t xml:space="preserve"> piešķiršanas procedūru </w:t>
            </w:r>
            <w:r>
              <w:rPr>
                <w:b/>
                <w:i/>
              </w:rPr>
              <w:t>īsteno saskaņā ar vienotu noteikumu kopumu, tieši piemērojot Regulu (ES, Euratom) 2024/2509, ko papildina I un II nodaļā izklāstītie vispārīgie noteikumi, vai piemērojot viena no attiecīgajiem konkrētajiem mērķiem noteikumus</w:t>
            </w:r>
            <w:r>
              <w:t>.</w:t>
            </w:r>
          </w:p>
        </w:tc>
        <w:tc>
          <w:tcPr>
            <w:tcW w:w="4876" w:type="dxa"/>
            <w:tcBorders>
              <w:top w:val="nil"/>
              <w:left w:val="nil"/>
              <w:bottom w:val="nil"/>
              <w:right w:val="nil"/>
            </w:tcBorders>
          </w:tcPr>
          <w:p>
            <w:pPr>
              <w:pStyle w:val="Normal6a"/>
            </w:pPr>
            <w:r>
              <w:t>4.</w:t>
            </w:r>
            <w:r>
              <w:tab/>
            </w:r>
            <w:r>
              <w:t xml:space="preserve">Ja piešķiršanas procedūras attiecas uz vairāk nekā vienu konkrēto mērķi, kas noteikts 3. panta 2. punktā, darba programmā </w:t>
            </w:r>
            <w:r>
              <w:rPr>
                <w:b/>
                <w:i/>
              </w:rPr>
              <w:t>precizē īpašo</w:t>
            </w:r>
            <w:r>
              <w:t xml:space="preserve"> piešķiršanas procedūru</w:t>
            </w:r>
            <w:r>
              <w:rPr>
                <w:b/>
                <w:i/>
              </w:rPr>
              <w:t>, kura ir saskaņota ar attiecīgo konkrēto mērķu noteikumiem</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1885</w:t>
      </w:r>
      <w:r>
        <w:rPr>
          <w:rStyle w:val="HideTWBExt"/>
        </w:rPr>
        <w:t>&lt;/NumAm&gt;</w:t>
      </w:r>
    </w:p>
    <w:p>
      <w:pPr>
        <w:pStyle w:val="NormalBold"/>
      </w:pPr>
      <w:r>
        <w:rPr>
          <w:rStyle w:val="HideTWBExt"/>
          <w:b w:val="0"/>
        </w:rPr>
        <w:t>&lt;RepeatBlock-By&gt;</w:t>
      </w:r>
      <w:r>
        <w:rPr>
          <w:rStyle w:val="HideTWBExt"/>
          <w:b w:val="0"/>
        </w:rPr>
        <w:t>&lt;Members&gt;</w:t>
      </w:r>
      <w:r>
        <w:t>Michał Kobosko, Martin Hojsík, Ivars Ijabs, Lucia Yar, Joanna Scheuring-Wielgus, Krzysztof Śmiszek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Regulas priekšlikums</w:t>
      </w:r>
      <w:r>
        <w:rPr>
          <w:rStyle w:val="HideTWBExt"/>
        </w:rPr>
        <w:t>&lt;/DocAmend&gt;</w:t>
      </w:r>
    </w:p>
    <w:p>
      <w:pPr>
        <w:pStyle w:val="NormalBold"/>
      </w:pPr>
      <w:r>
        <w:rPr>
          <w:rStyle w:val="HideTWBExt"/>
        </w:rPr>
        <w:t>&lt;Article&gt;</w:t>
      </w:r>
      <w:r>
        <w:t>12. pants – 4.a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Komisijas ierosinātais teksts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Turklāt papildus rādītājiem, kas noteikti Eiropas Parlamenta un Padomes Regulā ... [Snieguma regula], Komisija īsteno EKF, regulāri analizējot programmas īstenošanu, dalības tendences un piekļuves šķēršļus, tostarp attiecīgos programmas pārvaldības un tīkla datus.</w:t>
            </w:r>
            <w:r>
              <w:rPr>
                <w:b/>
                <w:i/>
              </w:rPr>
              <w:t>Pamatojoties uz to, Komisija veic preventīvus un korektīvus pasākumus, lai nodrošinātu plašu līdzdalību, izvairītos no nepamatotas koncentrācijas un panāktu visas ES mēroga tvērumu.</w:t>
            </w:r>
            <w:r>
              <w:rPr>
                <w:b/>
                <w:i/>
              </w:rPr>
              <w:t>Šajā nolūkā Komisija jo īpaši: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pamatojoties uz objektīviem un pārredzamiem kritērijiem, nosaka minimālās indikatīvās robežvērtības finansējuma piešķiršanai jaunuzņēmumiem un pirmreizējiem pieteikumu iesniedzējiem saskaņā ar konkrētiem EKF uzaicinājumiem vai instrumentiem ar īpašu mērķi nodrošināt taisnīgu ģeogrāfisko sadalījumu un stiprināt MVU un subjektu no mazāk attīstītiem un pārejas reģioniem un dalībvalstīm inovācijas spējas;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atbalstīt dažādu dalībvalstu subjektu integrāciju vienotā tirgus vērtības ķēdēs, kā minēts 16. pantā, tostarp veicinot konsorciju daudznacionālu sastāvu vai vērtības ķēdē un sekmējot MVU, jo īpaši no mazāk attīstītiem un pārejas reģioniem, jēgpilnu dalību šādās vērtības ķēdēs.</w:t>
            </w:r>
            <w:r>
              <w:rPr>
                <w:b/>
                <w:i/>
              </w:rPr>
              <w:t>Tas ietver preferenču punktus, mērķtiecīgu partneru piemeklēšanu, spēju veidošanas programmas un noteikumus administratīvā sloga samazināšanai mazākiem subjektiem.</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Komisija minēto pasākumu izstrādē un uzraudzībā regulāri iesaista dalībvalstis.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1886</w:t>
      </w:r>
      <w:r>
        <w:rPr>
          <w:rStyle w:val="HideTWBExt"/>
        </w:rPr>
        <w:t>&lt;/NumAm&gt;</w:t>
      </w:r>
    </w:p>
    <w:p>
      <w:pPr>
        <w:pStyle w:val="NormalBold"/>
      </w:pPr>
      <w:r>
        <w:rPr>
          <w:rStyle w:val="HideTWBExt"/>
          <w:b w:val="0"/>
        </w:rPr>
        <w:t>&lt;RepeatBlock-By&gt;</w:t>
      </w:r>
      <w:r>
        <w:rPr>
          <w:rStyle w:val="HideTWBExt"/>
          <w:b w:val="0"/>
        </w:rPr>
        <w:t>&lt;Members&gt;</w:t>
      </w:r>
      <w:r>
        <w:t>Ondřej Krutílek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Regulas priekšlikums</w:t>
      </w:r>
      <w:r>
        <w:rPr>
          <w:rStyle w:val="HideTWBExt"/>
        </w:rPr>
        <w:t>&lt;/DocAmend&gt;</w:t>
      </w:r>
    </w:p>
    <w:p>
      <w:pPr>
        <w:pStyle w:val="NormalBold"/>
      </w:pPr>
      <w:r>
        <w:rPr>
          <w:rStyle w:val="HideTWBExt"/>
        </w:rPr>
        <w:t>&lt;Article&gt;</w:t>
      </w:r>
      <w:r>
        <w:t>12. pants – 4.a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Komisijas ierosinātais teksts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Tiek darīts viss iespējamais, lai nodrošinātu, ka investīciju laikposma beigās ir aptverts plašs nozaru un reģionu loks un nav pieļauta pārmērīga koncentrācija nozares vai ģeogrāfiskā līmenī.</w:t>
            </w:r>
            <w:r>
              <w:rPr>
                <w:b/>
                <w:i/>
              </w:rPr>
              <w:t>Komisija izstrādā saskaņotu pieeju minēto centienu atbalstīšanai.</w:t>
            </w:r>
            <w:r>
              <w:rPr>
                <w:b/>
                <w:i/>
              </w:rPr>
              <w:t>Uzraudzības mehānisms katru gadu uzrauga šī mērķa sasniegšanu dalībvalstu un reģionu līmenī un ziņo par to.</w:t>
            </w:r>
            <w:r>
              <w:rPr>
                <w:b/>
                <w:i/>
              </w:rPr>
              <w:t>Nozares vai ģeogrāfiskās koncentrācijas gadījumā Komisija veic korektīvus pasākumus, lai nodrošinātu šajā punktā paredzētā mērķa sasniegšanu.</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Lai veicinātu resursu līdzsvarotu sadalījumu EKF ietvaros, Komisija to īsteno, pamatojoties uz dalības tendenču un piekļuves šķēršļu regulāru analīzi.</w:t>
            </w:r>
            <w:r>
              <w:rPr>
                <w:b/>
                <w:i/>
              </w:rPr>
              <w:t>Minētajā nolūkā Komisija veic īpašus pasākumus, jo īpaši: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pamatojoties uz objektīviem un pārredzamiem kritērijiem, nosaka minimālās indikatīvās robežvērtības finansējuma piešķiršanai 12. panta 3. punktā minētajām dalībvalstīm konkrētiem EKF uzaicinājumiem vai instrumentiem;</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atbalsta subjektu no dažādām dalībvalstīm integrāciju vienotā tirgus vērtības ķēdēs, kā minēts 16. pantā, proti, nodrošinot ģeogrāfisku līdzsvaru konsorciju sastāvā vai vērtības ķēdē.</w:t>
            </w:r>
            <w:r>
              <w:t xml:space="preserve"> </w:t>
            </w:r>
            <w:r>
              <w:rPr>
                <w:b/>
                <w:i/>
              </w:rPr>
              <w:t>Komisija šādu pasākumu izstrādē un uzraudzībā regulāri iesaista dalībvalstis.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1887</w:t>
      </w:r>
      <w:r>
        <w:rPr>
          <w:rStyle w:val="HideTWBExt"/>
        </w:rPr>
        <w:t>&lt;/NumAm&gt;</w:t>
      </w:r>
    </w:p>
    <w:p>
      <w:pPr>
        <w:pStyle w:val="NormalBold"/>
      </w:pPr>
      <w:r>
        <w:rPr>
          <w:rStyle w:val="HideTWBExt"/>
          <w:b w:val="0"/>
        </w:rPr>
        <w:t>&lt;RepeatBlock-By&gt;</w:t>
      </w:r>
      <w:r>
        <w:rPr>
          <w:rStyle w:val="HideTWBExt"/>
          <w:b w:val="0"/>
        </w:rPr>
        <w:t>&lt;Members&gt;</w:t>
      </w:r>
      <w:r>
        <w:t>Jana Nagyová, Ondřej Knotek, Tomáš Kubín, Klara Dostalova, Afroditi Latinopoulou, Anna Bryłka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Regulas priekšlikums</w:t>
      </w:r>
      <w:r>
        <w:rPr>
          <w:rStyle w:val="HideTWBExt"/>
        </w:rPr>
        <w:t>&lt;/DocAmend&gt;</w:t>
      </w:r>
    </w:p>
    <w:p>
      <w:pPr>
        <w:pStyle w:val="NormalBold"/>
      </w:pPr>
      <w:r>
        <w:rPr>
          <w:rStyle w:val="HideTWBExt"/>
        </w:rPr>
        <w:t>&lt;Article&gt;</w:t>
      </w:r>
      <w:r>
        <w:t>12. pants – 4.a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Komisijas ierosinātais teksts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Turklāt papildus rādītājiem, kas noteikti Eiropas Parlamenta un Padomes Regulā (ES) [XXX] [Snieguma regula], Komisija īsteno EKF, regulāri analizējot programmas īstenošanu, dalības tendences un piekļuves šķēršļus, tostarp attiecīgos programmas pārvaldības un tīkla datus.</w:t>
            </w:r>
            <w:r>
              <w:rPr>
                <w:b/>
                <w:i/>
              </w:rPr>
              <w:t>Pamatojoties uz to, Komisija veic preventīvus un korektīvus pasākumus, lai nodrošinātu plašu līdzdalību, izvairītos no nepamatotas koncentrācijas un panāktu plašu ietekmi visā Savienībā.</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Šajā nolūkā Komisija jo īpaši: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nosaka uz objektīviem un pārredzamiem kritērijiem balstītas minimālās indikatīvās robežvērtības finansējuma piešķiršanai jaunuzņēmumiem un pirmreizējiem pieteikumu iesniedzējiem saskaņā ar konkrētiem EKF uzaicinājumiem vai instrumentiem;</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atbalsta subjektu no dažādām dalībvalstīm integrāciju vienotā tirgus vērtības ķēdēs, kā minēts 16. pantā, tostarp veicinot konsorciju daudznacionālu sastāvu vai vērtības ķēdē.</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Komisija minēto pasākumu izstrādē un uzraudzībā regulāri iesaista dalībvalstis.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1888</w:t>
      </w:r>
      <w:r>
        <w:rPr>
          <w:rStyle w:val="HideTWBExt"/>
        </w:rPr>
        <w:t>&lt;/NumAm&gt;</w:t>
      </w:r>
    </w:p>
    <w:p>
      <w:pPr>
        <w:pStyle w:val="NormalBold"/>
      </w:pPr>
      <w:r>
        <w:rPr>
          <w:rStyle w:val="HideTWBExt"/>
          <w:b w:val="0"/>
        </w:rPr>
        <w:t>&lt;RepeatBlock-By&gt;</w:t>
      </w:r>
      <w:r>
        <w:rPr>
          <w:rStyle w:val="HideTWBExt"/>
          <w:b w:val="0"/>
        </w:rPr>
        <w:t>&lt;Members&gt;</w:t>
      </w:r>
      <w:r>
        <w:t>Borys Budka, Radan Kanev, Romana Tomc, Adina Vălean, Gheorghe Falcă, Daniel Buda, Ioan-Rareş Bogdan, Siegfried Mureşan, Tomáš Zdechovský, Inese Vaidere, Virgil-Daniel Popescu, Andrzej Halicki, Loránt Vincze, Iuliu Winkler, Mirosława Nykiel, Kamila Gasiuk-Pihowicz, Krzysztof Hetman, Adam Jarubas, Miriam Lexmann, Karlo Ressler, Eszter Lakos, Nikolina Brnjac, Davor Ivo Stier, Danuše Nerudová, Eva Maydell, Jan Farský, Rasa Juknevičienė, Andrey Kovatchev, Andrey Novakov, Ilia Lazarov, Sandra Kalniete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Regulas priekšlikums</w:t>
      </w:r>
      <w:r>
        <w:rPr>
          <w:rStyle w:val="HideTWBExt"/>
        </w:rPr>
        <w:t>&lt;/DocAmend&gt;</w:t>
      </w:r>
    </w:p>
    <w:p>
      <w:pPr>
        <w:pStyle w:val="NormalBold"/>
      </w:pPr>
      <w:r>
        <w:rPr>
          <w:rStyle w:val="HideTWBExt"/>
        </w:rPr>
        <w:t>&lt;Article&gt;</w:t>
      </w:r>
      <w:r>
        <w:t>12. pants – 4.a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Komisijas ierosinātais teksts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EKF īstenošana notiek, regulāri analizējot programmas īstenošanu, līdzdalības tendences un šķēršļus, kas apgrūtina fonda pieejamību, un cita starpā analizē arī programmas pārvaldības datus un tīkla analītiskos datus.</w:t>
            </w:r>
            <w:r>
              <w:t xml:space="preserve"> </w:t>
            </w:r>
            <w:r>
              <w:rPr>
                <w:b/>
                <w:i/>
              </w:rPr>
              <w:t>Pamatojoties uz to, Komisija atkārtoti novērtē un veic pasākumus, lai nodrošinātu plašu ģeogrāfisko līdzdalību, izvairītos no nepamatotas koncentrācijas un panāktu plašu ietekmi visā Savienībā.</w:t>
            </w:r>
            <w:r>
              <w:t xml:space="preserve"> </w:t>
            </w:r>
            <w:r>
              <w:rPr>
                <w:b/>
                <w:i/>
              </w:rPr>
              <w:t>Minētajā nolūkā Komisija veic īpašus pasākumus, jo īpaši: a) pamatojoties uz objektīviem un pārredzamiem kritērijiem, nosaka minimālās indikatīvās robežvērtības finansējuma piešķiršanai jaunuzņēmumiem un pirmreizējiem pieteikuma iesniedzējiem konkrētiem EKF uzaicinājumiem vai instrumentiem; b) atbalsta subjektu no dažādām dalībvalstīm integrāciju vienotā tirgus vērtības ķēdēs, kā minēts 16. pantā, tostarp tostarp veicinot konsorciju vai vērtības ķēžu daudznacionālu sastāvu; c) izveido ģeogrāfisko rezultātu pārskatu par EKF finansētajiem projektiem, kurš katru gadu būtu pienācīgi jāatjaunina.</w:t>
            </w:r>
            <w:r>
              <w:t xml:space="preserve"> </w:t>
            </w:r>
            <w:r>
              <w:rPr>
                <w:b/>
                <w:i/>
              </w:rPr>
              <w:t>Komisija minēto pasākumu izstrādē un uzraudzībā regulāri iesaista dalībvalstis un Eiropas Parlamentu.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1889</w:t>
      </w:r>
      <w:r>
        <w:rPr>
          <w:rStyle w:val="HideTWBExt"/>
        </w:rPr>
        <w:t>&lt;/NumAm&gt;</w:t>
      </w:r>
    </w:p>
    <w:p>
      <w:pPr>
        <w:pStyle w:val="NormalBold"/>
      </w:pPr>
      <w:r>
        <w:rPr>
          <w:rStyle w:val="HideTWBExt"/>
          <w:b w:val="0"/>
        </w:rPr>
        <w:t>&lt;RepeatBlock-By&gt;</w:t>
      </w:r>
      <w:r>
        <w:rPr>
          <w:rStyle w:val="HideTWBExt"/>
          <w:b w:val="0"/>
        </w:rPr>
        <w:t>&lt;Members&gt;</w:t>
      </w:r>
      <w:r>
        <w:t>Dimitris Tsiodras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Regulas priekšlikums</w:t>
      </w:r>
      <w:r>
        <w:rPr>
          <w:rStyle w:val="HideTWBExt"/>
        </w:rPr>
        <w:t>&lt;/DocAmend&gt;</w:t>
      </w:r>
    </w:p>
    <w:p>
      <w:pPr>
        <w:pStyle w:val="NormalBold"/>
      </w:pPr>
      <w:r>
        <w:rPr>
          <w:rStyle w:val="HideTWBExt"/>
        </w:rPr>
        <w:t>&lt;Article&gt;</w:t>
      </w:r>
      <w:r>
        <w:t>12. pants – 4.a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Komisijas ierosinātais teksts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Turklāt papildus rādītājiem, kas noteikti Eiropas Parlamenta un Padomes Snieguma regula, Komisija īsteno EKF, regulāri analizējot programmas īstenošanu, dalības tendences un piekļuves šķēršļus, tostarp attiecīgos programmas pārvaldības un tīkla datus.</w:t>
            </w:r>
            <w:r>
              <w:rPr>
                <w:b/>
                <w:i/>
              </w:rPr>
              <w:t>Pamatojoties uz to, Komisija veic preventīvus un korektīvus pasākumus, lai nodrošinātu plašu līdzdalību, izvairītos no nepamatotas koncentrācijas un panāktu plašu ietekmi visā Savienībā.</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Šajā nolūkā Komisija jo īpaši: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nosaka uz objektīviem un pārredzamiem kritērijiem balstītas minimālās indikatīvās robežvērtības finansējuma piešķiršanai jaunuzņēmumiem un pirmreizējiem pieteikumu iesniedzējiem saskaņā ar konkrētiem EKF uzaicinājumiem vai instrumentiem;</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atbalsta subjektu no dažādām dalībvalstīm integrāciju vienotā tirgus vērtības ķēdēs, kā minēts 16. pantā, tostarp veicinot konsorciju daudznacionālu sastāvu vai vērtības ķēdē.</w:t>
            </w:r>
            <w:r>
              <w:t xml:space="preserve"> </w:t>
            </w:r>
            <w:r>
              <w:rPr>
                <w:b/>
                <w:i/>
              </w:rPr>
              <w:t>Komisija minēto pasākumu izstrādē un uzraudzībā regulāri iesaista dalībvalstis.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1890</w:t>
      </w:r>
      <w:r>
        <w:rPr>
          <w:rStyle w:val="HideTWBExt"/>
        </w:rPr>
        <w:t>&lt;/NumAm&gt;</w:t>
      </w:r>
    </w:p>
    <w:p>
      <w:pPr>
        <w:pStyle w:val="NormalBold"/>
      </w:pPr>
      <w:r>
        <w:rPr>
          <w:rStyle w:val="HideTWBExt"/>
          <w:b w:val="0"/>
        </w:rPr>
        <w:t>&lt;RepeatBlock-By&gt;</w:t>
      </w:r>
      <w:r>
        <w:rPr>
          <w:rStyle w:val="HideTWBExt"/>
          <w:b w:val="0"/>
        </w:rPr>
        <w:t>&lt;Members&gt;</w:t>
      </w:r>
      <w:r>
        <w:t>Brigitte van den Berg, Yvan Verougstraete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Regulas priekšlikums</w:t>
      </w:r>
      <w:r>
        <w:rPr>
          <w:rStyle w:val="HideTWBExt"/>
        </w:rPr>
        <w:t>&lt;/DocAmend&gt;</w:t>
      </w:r>
    </w:p>
    <w:p>
      <w:pPr>
        <w:pStyle w:val="NormalBold"/>
      </w:pPr>
      <w:r>
        <w:rPr>
          <w:rStyle w:val="HideTWBExt"/>
        </w:rPr>
        <w:t>&lt;Article&gt;</w:t>
      </w:r>
      <w:r>
        <w:t>12. pants – 4.a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Komisijas ierosinātais teksts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Piešķiršanas procedūrās, ko īsteno saskaņā ar EKF, prioritāti piešķir pieteikumiem, ko iesnieguši konsorciji, kuros ietilpst dažādās dalībvalstīs iedibināti uzņēmumi.</w:t>
            </w:r>
            <w:r>
              <w:t xml:space="preserve"> </w:t>
            </w:r>
            <w:r>
              <w:rPr>
                <w:b/>
                <w:i/>
              </w:rPr>
              <w:t>Vērtēšanas komitejas var piemērot finansējuma prēmiju šādu konsorciju finansējuma likmei vai piešķiršanas vērtējumam, ja vismaz viens no iesaistītajiem uzņēmumiem ir iedibināts teritorijā, kas ir saņēmusi atbalstu no Taisnīgas pārkārtošanās fonda, kā noteikts Regulā (ES) 2021/1056.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1891</w:t>
      </w:r>
      <w:r>
        <w:rPr>
          <w:rStyle w:val="HideTWBExt"/>
        </w:rPr>
        <w:t>&lt;/NumAm&gt;</w:t>
      </w:r>
    </w:p>
    <w:p>
      <w:pPr>
        <w:pStyle w:val="NormalBold"/>
      </w:pPr>
      <w:r>
        <w:rPr>
          <w:rStyle w:val="HideTWBExt"/>
          <w:b w:val="0"/>
        </w:rPr>
        <w:t>&lt;RepeatBlock-By&gt;</w:t>
      </w:r>
      <w:r>
        <w:rPr>
          <w:rStyle w:val="HideTWBExt"/>
          <w:b w:val="0"/>
        </w:rPr>
        <w:t>&lt;Members&gt;</w:t>
      </w:r>
      <w:r>
        <w:t>Dan Nica, Borys Budka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Regulas priekšlikums</w:t>
      </w:r>
      <w:r>
        <w:rPr>
          <w:rStyle w:val="HideTWBExt"/>
        </w:rPr>
        <w:t>&lt;/DocAmend&gt;</w:t>
      </w:r>
    </w:p>
    <w:p>
      <w:pPr>
        <w:pStyle w:val="NormalBold"/>
      </w:pPr>
      <w:r>
        <w:rPr>
          <w:rStyle w:val="HideTWBExt"/>
        </w:rPr>
        <w:t>&lt;Article&gt;</w:t>
      </w:r>
      <w:r>
        <w:t>12. pants – 4.a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Komisijas ierosinātais teksts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Piešķiršanas procedūrās, ko īsteno saskaņā ar EKF, prioritāti piešķir pieteikumiem, ko iesnieguši konsorciji, kuros ietilpst dažādās dalībvalstīs iedibināti uzņēmumi.</w:t>
            </w:r>
            <w:r>
              <w:t xml:space="preserve"> </w:t>
            </w:r>
            <w:r>
              <w:rPr>
                <w:b/>
                <w:i/>
              </w:rPr>
              <w:t>Izvērtēšanas komitejas piemēro finansējuma piemaksu šādu konsorciju finansējuma likmei vai piešķirtajam vērtējumam, ja vismaz viens no iesaistītajiem uzņēmumiem ir iedibināts Savienības austrumu pierobežas reģionā, ko ietekmē Krievijas agresijas karš pret Ukrainu.</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Pamatojums</w:t>
      </w:r>
      <w:r>
        <w:rPr>
          <w:rStyle w:val="HideTWBExt"/>
        </w:rPr>
        <w:t>&lt;/TitreJust&gt;</w:t>
      </w:r>
    </w:p>
    <w:p>
      <w:pPr>
        <w:pStyle w:val="AmJustText"/>
      </w:pPr>
      <w:r>
        <w:t>EKF resursi būtu vienādi jāizlieto visās dalībvalstīs, jo īpaši tajās, kuras ir vairāk skārusi Krievijas izvērstā agresija Ukrainā, un tādējādi jāizvairās no koncentrēšanās tikai dažās dalībvalstīs.</w:t>
      </w:r>
    </w:p>
    <w:p>
      <w:r>
        <w:rPr>
          <w:rStyle w:val="HideTWBExt"/>
        </w:rPr>
        <w:t>&lt;/Amend&gt;</w:t>
      </w:r>
    </w:p>
    <w:p>
      <w:pPr>
        <w:pStyle w:val="AmNumberTabs"/>
      </w:pPr>
      <w:r>
        <w:rPr>
          <w:rStyle w:val="HideTWBExt"/>
        </w:rPr>
        <w:t>&lt;Amend&gt;</w:t>
      </w:r>
      <w:r>
        <w:t>Grozījums Nr.</w:t>
      </w:r>
      <w:r>
        <w:tab/>
      </w:r>
      <w:r>
        <w:tab/>
      </w:r>
      <w:r>
        <w:rPr>
          <w:rStyle w:val="HideTWBExt"/>
        </w:rPr>
        <w:t>&lt;NumAm&gt;</w:t>
      </w:r>
      <w:r>
        <w:t>1892</w:t>
      </w:r>
      <w:r>
        <w:rPr>
          <w:rStyle w:val="HideTWBExt"/>
        </w:rPr>
        <w:t>&lt;/NumAm&gt;</w:t>
      </w:r>
    </w:p>
    <w:p>
      <w:pPr>
        <w:pStyle w:val="NormalBold"/>
      </w:pPr>
      <w:r>
        <w:rPr>
          <w:rStyle w:val="HideTWBExt"/>
          <w:b w:val="0"/>
        </w:rPr>
        <w:t>&lt;RepeatBlock-By&gt;</w:t>
      </w:r>
      <w:r>
        <w:rPr>
          <w:rStyle w:val="HideTWBExt"/>
          <w:b w:val="0"/>
        </w:rPr>
        <w:t>&lt;Members&gt;</w:t>
      </w:r>
      <w:r>
        <w:t>Rihards Kols, Cristian Terheş</w:t>
      </w:r>
      <w:r>
        <w:rPr>
          <w:rStyle w:val="HideTWBExt"/>
          <w:b w:val="0"/>
        </w:rPr>
        <w:t>&lt;/Members&gt;</w:t>
      </w:r>
    </w:p>
    <w:p>
      <w:r>
        <w:rPr>
          <w:rStyle w:val="HideTWBExt"/>
          <w:b w:val="0"/>
        </w:rPr>
        <w:t>&lt;AuNomDe&gt;</w:t>
      </w:r>
      <w:r>
        <w:rPr>
          <w:rStyle w:val="HideTWBInt"/>
        </w:rPr>
        <w:t>{ECR}</w:t>
      </w:r>
      <w:r>
        <w:t>ECR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Regulas priekšlikums</w:t>
      </w:r>
      <w:r>
        <w:rPr>
          <w:rStyle w:val="HideTWBExt"/>
        </w:rPr>
        <w:t>&lt;/DocAmend&gt;</w:t>
      </w:r>
    </w:p>
    <w:p>
      <w:pPr>
        <w:pStyle w:val="NormalBold"/>
      </w:pPr>
      <w:r>
        <w:rPr>
          <w:rStyle w:val="HideTWBExt"/>
        </w:rPr>
        <w:t>&lt;Article&gt;</w:t>
      </w:r>
      <w:r>
        <w:t>12. pants – 4.a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Komisijas ierosinātais teksts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Piešķiršanas procedūrās, ko īsteno saskaņā ar EKF, prioritāti piešķir pieteikumiem, ko iesnieguši konsorciji, kuros ietilpst dažādās dalībvalstīs iedibināti uzņēmumi.</w:t>
            </w:r>
            <w:r>
              <w:t xml:space="preserve"> </w:t>
            </w:r>
            <w:r>
              <w:rPr>
                <w:b/>
                <w:i/>
              </w:rPr>
              <w:t>Izvērtēšanas komitejas var piemērot finansējuma piemaksu šādu konsorciju finansējuma likmei vai piešķirtajam vērtējumam, ja vismaz viens no iesaistītajiem uzņēmumiem ir iedibināts Savienības austrumu pierobežas reģionā, ko ietekmē Krievijas agresijas karš pret Ukrainu.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1893</w:t>
      </w:r>
      <w:r>
        <w:rPr>
          <w:rStyle w:val="HideTWBExt"/>
        </w:rPr>
        <w:t>&lt;/NumAm&gt;</w:t>
      </w:r>
    </w:p>
    <w:p>
      <w:pPr>
        <w:pStyle w:val="NormalBold"/>
      </w:pPr>
      <w:r>
        <w:rPr>
          <w:rStyle w:val="HideTWBExt"/>
          <w:b w:val="0"/>
        </w:rPr>
        <w:t>&lt;RepeatBlock-By&gt;</w:t>
      </w:r>
      <w:r>
        <w:rPr>
          <w:rStyle w:val="HideTWBExt"/>
          <w:b w:val="0"/>
        </w:rPr>
        <w:t>&lt;Members&gt;</w:t>
      </w:r>
      <w:r>
        <w:t>Yvan Verougstraete, Brigitte van den Berg, Sigrid Friis, Christophe Grudler, Oihane Agirregoitia Martínez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Regulas priekšlikums</w:t>
      </w:r>
      <w:r>
        <w:rPr>
          <w:rStyle w:val="HideTWBExt"/>
        </w:rPr>
        <w:t>&lt;/DocAmend&gt;</w:t>
      </w:r>
    </w:p>
    <w:p>
      <w:pPr>
        <w:pStyle w:val="NormalBold"/>
      </w:pPr>
      <w:r>
        <w:rPr>
          <w:rStyle w:val="HideTWBExt"/>
        </w:rPr>
        <w:t>&lt;Article&gt;</w:t>
      </w:r>
      <w:r>
        <w:t>12. pants – 4.a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Komisijas ierosinātais teksts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Piešķiršanas procedūrās, ko īsteno saskaņā ar EKF, prioritāti piešķir pieteikumiem, ko iesnieguši konsorciji, kuros ietilpst dažādās dalībvalstīs iedibināti uzņēmumi.</w:t>
            </w:r>
            <w:r>
              <w:t xml:space="preserve"> </w:t>
            </w:r>
            <w:r>
              <w:rPr>
                <w:b/>
                <w:i/>
              </w:rPr>
              <w:t>Izvērtēšanas komitejas var piemērot finansējuma piemaksu šādu konsorciju finansējuma likmei vai piešķirtajam vērtējumam, ja vismaz viens no iesaistītajiem uzņēmumiem ir iedibināts Savienības austrumu pierobežas reģionā, ko ietekmē Krievijas agresijas karš pret Ukrainu.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1894</w:t>
      </w:r>
      <w:r>
        <w:rPr>
          <w:rStyle w:val="HideTWBExt"/>
        </w:rPr>
        <w:t>&lt;/NumAm&gt;</w:t>
      </w:r>
    </w:p>
    <w:p>
      <w:pPr>
        <w:pStyle w:val="NormalBold"/>
      </w:pPr>
      <w:r>
        <w:rPr>
          <w:rStyle w:val="HideTWBExt"/>
          <w:b w:val="0"/>
        </w:rPr>
        <w:t>&lt;RepeatBlock-By&gt;</w:t>
      </w:r>
      <w:r>
        <w:rPr>
          <w:rStyle w:val="HideTWBExt"/>
          <w:b w:val="0"/>
        </w:rPr>
        <w:t>&lt;Members&gt;</w:t>
      </w:r>
      <w:r>
        <w:t>Sarah Knafo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Regulas priekšlikums</w:t>
      </w:r>
      <w:r>
        <w:rPr>
          <w:rStyle w:val="HideTWBExt"/>
        </w:rPr>
        <w:t>&lt;/DocAmend&gt;</w:t>
      </w:r>
    </w:p>
    <w:p>
      <w:pPr>
        <w:pStyle w:val="NormalBold"/>
      </w:pPr>
      <w:r>
        <w:rPr>
          <w:rStyle w:val="HideTWBExt"/>
        </w:rPr>
        <w:t>&lt;Article&gt;</w:t>
      </w:r>
      <w:r>
        <w:t>12. pants – 5.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Komisijas ierosinātais teksts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w:t>
            </w:r>
            <w:r>
              <w:tab/>
            </w:r>
            <w:r>
              <w:rPr>
                <w:b/>
                <w:i/>
              </w:rPr>
              <w:t>Atsevišķos pienācīgi pamatotos gadījumos Savienības finansējumu var piešķirt bez uzaicinājuma iesniegt priekšlikumus saskaņā ar Regulas (ES, Euratom) 2024/2509 198. pantu, tai skaitā e) apakšpunktu.</w:t>
            </w:r>
          </w:p>
        </w:tc>
        <w:tc>
          <w:tcPr>
            <w:tcW w:w="4876" w:type="dxa"/>
            <w:tcBorders>
              <w:top w:val="nil"/>
              <w:left w:val="nil"/>
              <w:bottom w:val="nil"/>
              <w:right w:val="nil"/>
            </w:tcBorders>
          </w:tcPr>
          <w:p>
            <w:pPr>
              <w:pStyle w:val="Normal6a"/>
            </w:pPr>
            <w:r>
              <w:rPr>
                <w:b/>
                <w:i/>
              </w:rPr>
              <w:t>svītrots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1895</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Regulas priekšlikums</w:t>
      </w:r>
      <w:r>
        <w:rPr>
          <w:rStyle w:val="HideTWBExt"/>
        </w:rPr>
        <w:t>&lt;/DocAmend&gt;</w:t>
      </w:r>
    </w:p>
    <w:p>
      <w:pPr>
        <w:pStyle w:val="NormalBold"/>
      </w:pPr>
      <w:r>
        <w:rPr>
          <w:rStyle w:val="HideTWBExt"/>
        </w:rPr>
        <w:t>&lt;Article&gt;</w:t>
      </w:r>
      <w:r>
        <w:t>12. pants – 5.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Komisijas ierosinātais teksts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Atsevišķos pienācīgi pamatotos gadījumos Savienības finansējumu var piešķirt bez uzaicinājuma iesniegt priekšlikumus saskaņā ar Regulas (ES, Euratom) 2024/2509 198. pantu, tai skaitā e) apakšpunktu.</w:t>
            </w:r>
          </w:p>
        </w:tc>
        <w:tc>
          <w:tcPr>
            <w:tcW w:w="4876" w:type="dxa"/>
            <w:tcBorders>
              <w:top w:val="nil"/>
              <w:left w:val="nil"/>
              <w:bottom w:val="nil"/>
              <w:right w:val="nil"/>
            </w:tcBorders>
          </w:tcPr>
          <w:p>
            <w:pPr>
              <w:pStyle w:val="Normal6a"/>
            </w:pPr>
            <w:r>
              <w:t>5.</w:t>
            </w:r>
            <w:r>
              <w:tab/>
            </w:r>
            <w:r>
              <w:t xml:space="preserve">Atsevišķos pienācīgi pamatotos </w:t>
            </w:r>
            <w:r>
              <w:rPr>
                <w:b/>
                <w:i/>
              </w:rPr>
              <w:t>un izņēmuma</w:t>
            </w:r>
            <w:r>
              <w:t xml:space="preserve"> gadījumos Savienības finansējumu var piešķirt bez uzaicinājuma iesniegt priekšlikumus saskaņā ar Regulas (ES, Euratom) 2024/2509 198. pantu, tai skaitā e) apakšpunktu.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1896</w:t>
      </w:r>
      <w:r>
        <w:rPr>
          <w:rStyle w:val="HideTWBExt"/>
        </w:rPr>
        <w:t>&lt;/NumAm&gt;</w:t>
      </w:r>
    </w:p>
    <w:p>
      <w:pPr>
        <w:pStyle w:val="NormalBold"/>
      </w:pPr>
      <w:r>
        <w:rPr>
          <w:rStyle w:val="HideTWBExt"/>
          <w:b w:val="0"/>
        </w:rPr>
        <w:t>&lt;RepeatBlock-By&gt;</w:t>
      </w:r>
      <w:r>
        <w:rPr>
          <w:rStyle w:val="HideTWBExt"/>
          <w:b w:val="0"/>
        </w:rPr>
        <w:t>&lt;Members&gt;</w:t>
      </w:r>
      <w:r>
        <w:t>Rihards Kols</w:t>
      </w:r>
      <w:r>
        <w:rPr>
          <w:rStyle w:val="HideTWBExt"/>
          <w:b w:val="0"/>
        </w:rPr>
        <w:t>&lt;/Members&gt;</w:t>
      </w:r>
    </w:p>
    <w:p>
      <w:r>
        <w:rPr>
          <w:rStyle w:val="HideTWBExt"/>
          <w:b w:val="0"/>
        </w:rPr>
        <w:t>&lt;AuNomDe&gt;</w:t>
      </w:r>
      <w:r>
        <w:rPr>
          <w:rStyle w:val="HideTWBInt"/>
        </w:rPr>
        <w:t>{ECR}</w:t>
      </w:r>
      <w:r>
        <w:t>ECR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Regulas priekšlikums</w:t>
      </w:r>
      <w:r>
        <w:rPr>
          <w:rStyle w:val="HideTWBExt"/>
        </w:rPr>
        <w:t>&lt;/DocAmend&gt;</w:t>
      </w:r>
    </w:p>
    <w:p>
      <w:pPr>
        <w:pStyle w:val="NormalBold"/>
      </w:pPr>
      <w:r>
        <w:rPr>
          <w:rStyle w:val="HideTWBExt"/>
        </w:rPr>
        <w:t>&lt;Article&gt;</w:t>
      </w:r>
      <w:r>
        <w:t>12. pants – 5.a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Komisijas ierosinātais teksts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Visām EKF piešķiršanas procedūrām darba programmā nosaka dotācijas piešķiršanas termiņu, kas nepārsniedz astoņus mēnešus no priekšlikumu iesniegšanas termiņa līdz juridisko saistību parakstīšanai.</w:t>
            </w:r>
            <w:r>
              <w:t xml:space="preserve"> </w:t>
            </w:r>
            <w:r>
              <w:rPr>
                <w:b/>
                <w:i/>
              </w:rPr>
              <w:t>Piešķiršanas procedūrās, kas vērstas uz MVU un maziem vidējas kapitalizācijas uzņēmumiem, tostarp tiem, kuri gūst labumu no 25. pantā minētajām MVU prēmijām, dotācijas piešķiršanas laiks nepārsniedz piecus mēnešus, un piemēro samērīgus un vieglus revīzijas un ziņošanas pienākumus.</w:t>
            </w:r>
            <w:r>
              <w:t xml:space="preserve"> </w:t>
            </w:r>
            <w:r>
              <w:rPr>
                <w:b/>
                <w:i/>
              </w:rPr>
              <w:t>Par atbilstību šiem mērķrādītājiem Komisija ziņo Regulas (ES, Euratom) 2024/2509 74. panta 9. punktā minētajā gada darbības ziņojumā.</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Pamatojums</w:t>
      </w:r>
      <w:r>
        <w:rPr>
          <w:rStyle w:val="HideTWBExt"/>
        </w:rPr>
        <w:t>&lt;/TitreJust&gt;</w:t>
      </w:r>
    </w:p>
    <w:p>
      <w:pPr>
        <w:pStyle w:val="AmJustText"/>
      </w:pPr>
      <w:r>
        <w:t>Gan Letas ziņojumā, gan Dragi ziņojumā ir norādīts, ka Savienības piešķiršanas procedūru ilgums un sarežģītība ir strukturāls trūkums Eiropas konkurētspējai, jo īpaši attiecībā uz MVU un maziem vidējas kapitalizācijas uzņēmumiem.</w:t>
      </w:r>
      <w:r>
        <w:t xml:space="preserve"> </w:t>
      </w:r>
      <w:r>
        <w:t>Komisijas priekšlikuma apsvērumos ir noteikts, ka EKF ir jāīsteno uz lietotāju vērstas, ātras un saskaņotas procedūras, kas būtu jāpārvērš vispārējā mērķrādītājā attiecībā uz laiku līdz dotācijas piešķiršanai un īsākā mērķrādītājā attiecībā uz procedūrām, kuras vērstas uz MVU.</w:t>
      </w:r>
      <w:r>
        <w:t xml:space="preserve"> </w:t>
      </w:r>
      <w:r>
        <w:t>Ziņošanas pienākums nodrošina efektīvu uzraudzību, neradot papildu administratīvo slogu atbalsta saņēmējiem.</w:t>
      </w:r>
    </w:p>
    <w:p>
      <w:r>
        <w:rPr>
          <w:rStyle w:val="HideTWBExt"/>
        </w:rPr>
        <w:t>&lt;/Amend&gt;</w:t>
      </w:r>
    </w:p>
    <w:p>
      <w:pPr>
        <w:pStyle w:val="AmNumberTabs"/>
      </w:pPr>
      <w:r>
        <w:rPr>
          <w:rStyle w:val="HideTWBExt"/>
        </w:rPr>
        <w:t>&lt;Amend&gt;</w:t>
      </w:r>
      <w:r>
        <w:t>Grozījums Nr.</w:t>
      </w:r>
      <w:r>
        <w:tab/>
      </w:r>
      <w:r>
        <w:tab/>
      </w:r>
      <w:r>
        <w:rPr>
          <w:rStyle w:val="HideTWBExt"/>
        </w:rPr>
        <w:t>&lt;NumAm&gt;</w:t>
      </w:r>
      <w:r>
        <w:t>1897</w:t>
      </w:r>
      <w:r>
        <w:rPr>
          <w:rStyle w:val="HideTWBExt"/>
        </w:rPr>
        <w:t>&lt;/NumAm&gt;</w:t>
      </w:r>
    </w:p>
    <w:p>
      <w:pPr>
        <w:pStyle w:val="NormalBold"/>
      </w:pPr>
      <w:r>
        <w:rPr>
          <w:rStyle w:val="HideTWBExt"/>
          <w:b w:val="0"/>
        </w:rPr>
        <w:t>&lt;RepeatBlock-By&gt;</w:t>
      </w:r>
      <w:r>
        <w:rPr>
          <w:rStyle w:val="HideTWBExt"/>
          <w:b w:val="0"/>
        </w:rPr>
        <w:t>&lt;Members&gt;</w:t>
      </w:r>
      <w:r>
        <w:t>Raúl de la Hoz Quintano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Regulas priekšlikums</w:t>
      </w:r>
      <w:r>
        <w:rPr>
          <w:rStyle w:val="HideTWBExt"/>
        </w:rPr>
        <w:t>&lt;/DocAmend&gt;</w:t>
      </w:r>
    </w:p>
    <w:p>
      <w:pPr>
        <w:pStyle w:val="NormalBold"/>
      </w:pPr>
      <w:r>
        <w:rPr>
          <w:rStyle w:val="HideTWBExt"/>
        </w:rPr>
        <w:t>&lt;Article&gt;</w:t>
      </w:r>
      <w:r>
        <w:t>12. pants – 6.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Komisijas ierosinātais teksts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Savienības atbalstu var nodrošināt jebkādā veidā saskaņā ar Regulu (ES, Euratom) 2024/2509, jo īpaši kā dotācijas, godalgas, iepirkumu, nefinanšu ziedojumus, budžeta garantijas un finanšu instrumentus.</w:t>
            </w:r>
          </w:p>
        </w:tc>
        <w:tc>
          <w:tcPr>
            <w:tcW w:w="4876" w:type="dxa"/>
            <w:tcBorders>
              <w:top w:val="nil"/>
              <w:left w:val="nil"/>
              <w:bottom w:val="nil"/>
              <w:right w:val="nil"/>
            </w:tcBorders>
          </w:tcPr>
          <w:p>
            <w:pPr>
              <w:pStyle w:val="Normal6a"/>
            </w:pPr>
            <w:r>
              <w:t>6.</w:t>
            </w:r>
            <w:r>
              <w:tab/>
            </w:r>
            <w:r>
              <w:t xml:space="preserve">Savienības atbalstu var nodrošināt jebkādā veidā saskaņā ar Regulu (ES, Euratom) 2024/2509, jo īpaši kā dotācijas, godalgas, iepirkumu, nefinanšu ziedojumus, budžeta garantijas un finanšu instrumentus. </w:t>
            </w:r>
            <w:r>
              <w:rPr>
                <w:b/>
                <w:i/>
              </w:rPr>
              <w:t>Priekšroka būtu jādod tirgus instrumentiem.</w:t>
            </w:r>
            <w:r>
              <w:t xml:space="preserve"> </w:t>
            </w:r>
            <w:r>
              <w:rPr>
                <w:b/>
                <w:i/>
              </w:rPr>
              <w:t>Komisija un īstenošanas partneri par prioritāti nosaka riska mazināšanu, kas maksimāli palielina privātā sektora sviras efektu.</w:t>
            </w:r>
            <w:r>
              <w:t xml:space="preserve"> </w:t>
            </w:r>
            <w:r>
              <w:rPr>
                <w:b/>
                <w:i/>
              </w:rPr>
              <w:t>Tiešās dotācijas izmanto tikai kā galējo līdzekli un ar stingru nosacījumu, ka tās papildina privāto kapitālu.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1898</w:t>
      </w:r>
      <w:r>
        <w:rPr>
          <w:rStyle w:val="HideTWBExt"/>
        </w:rPr>
        <w:t>&lt;/NumAm&gt;</w:t>
      </w:r>
    </w:p>
    <w:p>
      <w:pPr>
        <w:pStyle w:val="NormalBold"/>
      </w:pPr>
      <w:r>
        <w:rPr>
          <w:rStyle w:val="HideTWBExt"/>
          <w:b w:val="0"/>
        </w:rPr>
        <w:t>&lt;RepeatBlock-By&gt;</w:t>
      </w:r>
      <w:r>
        <w:rPr>
          <w:rStyle w:val="HideTWBExt"/>
          <w:b w:val="0"/>
        </w:rPr>
        <w:t>&lt;Members&gt;</w:t>
      </w:r>
      <w:r>
        <w:t>Marc Botenga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Regulas priekšlikums</w:t>
      </w:r>
      <w:r>
        <w:rPr>
          <w:rStyle w:val="HideTWBExt"/>
        </w:rPr>
        <w:t>&lt;/DocAmend&gt;</w:t>
      </w:r>
    </w:p>
    <w:p>
      <w:pPr>
        <w:pStyle w:val="NormalBold"/>
      </w:pPr>
      <w:r>
        <w:rPr>
          <w:rStyle w:val="HideTWBExt"/>
        </w:rPr>
        <w:t>&lt;Article&gt;</w:t>
      </w:r>
      <w:r>
        <w:t>12. pants – 6.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Komisijas ierosinātais teksts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Savienības atbalstu </w:t>
            </w:r>
            <w:r>
              <w:rPr>
                <w:b/>
                <w:i/>
              </w:rPr>
              <w:t>var nodrošināt jebkādā veidā saskaņā ar Regulu (ES, Euratom) 2024/2509, jo īpaši kā dotācijas, godalgas,</w:t>
            </w:r>
            <w:r>
              <w:t xml:space="preserve"> iepirkumu</w:t>
            </w:r>
            <w:r>
              <w:rPr>
                <w:b/>
                <w:i/>
              </w:rPr>
              <w:t>, nefinanšu ziedojumus, budžeta garantijas un finanšu instrumentus</w:t>
            </w:r>
            <w:r>
              <w:t>.</w:t>
            </w:r>
          </w:p>
        </w:tc>
        <w:tc>
          <w:tcPr>
            <w:tcW w:w="4876" w:type="dxa"/>
            <w:tcBorders>
              <w:top w:val="nil"/>
              <w:left w:val="nil"/>
              <w:bottom w:val="nil"/>
              <w:right w:val="nil"/>
            </w:tcBorders>
          </w:tcPr>
          <w:p>
            <w:pPr>
              <w:pStyle w:val="Normal6a"/>
            </w:pPr>
            <w:r>
              <w:t>6.</w:t>
            </w:r>
            <w:r>
              <w:tab/>
            </w:r>
            <w:r>
              <w:t xml:space="preserve">Savienības atbalstu </w:t>
            </w:r>
            <w:r>
              <w:rPr>
                <w:b/>
                <w:i/>
              </w:rPr>
              <w:t>galvenokārt sniedz nolūkā veicināt tiešas publiskās investīcijas, izmantojot aizdevumus un publisko</w:t>
            </w:r>
            <w:r>
              <w:t xml:space="preserve"> iepirkumu.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1899</w:t>
      </w:r>
      <w:r>
        <w:rPr>
          <w:rStyle w:val="HideTWBExt"/>
        </w:rPr>
        <w:t>&lt;/NumAm&gt;</w:t>
      </w:r>
    </w:p>
    <w:p>
      <w:pPr>
        <w:pStyle w:val="NormalBold"/>
      </w:pPr>
      <w:r>
        <w:rPr>
          <w:rStyle w:val="HideTWBExt"/>
          <w:b w:val="0"/>
        </w:rPr>
        <w:t>&lt;RepeatBlock-By&gt;</w:t>
      </w:r>
      <w:r>
        <w:rPr>
          <w:rStyle w:val="HideTWBExt"/>
          <w:b w:val="0"/>
        </w:rPr>
        <w:t>&lt;Members&gt;</w:t>
      </w:r>
      <w:r>
        <w:t>Yvan Verougstraete, Sigrid Friis, Morten Løkkegaard, Christophe Grudler, Oihane Agirregoitia Martínez,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Regulas priekšlikums</w:t>
      </w:r>
      <w:r>
        <w:rPr>
          <w:rStyle w:val="HideTWBExt"/>
        </w:rPr>
        <w:t>&lt;/DocAmend&gt;</w:t>
      </w:r>
    </w:p>
    <w:p>
      <w:pPr>
        <w:pStyle w:val="NormalBold"/>
      </w:pPr>
      <w:r>
        <w:rPr>
          <w:rStyle w:val="HideTWBExt"/>
        </w:rPr>
        <w:t>&lt;Article&gt;</w:t>
      </w:r>
      <w:r>
        <w:t>12. pants – 6.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Komisijas ierosinātais teksts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Savienības atbalstu var nodrošināt jebkādā veidā saskaņā ar Regulu (ES, Euratom) 2024/2509, jo īpaši kā dotācijas, godalgas, iepirkumu, nefinanšu ziedojumus, budžeta garantijas un finanšu instrumentus.</w:t>
            </w:r>
          </w:p>
        </w:tc>
        <w:tc>
          <w:tcPr>
            <w:tcW w:w="4876" w:type="dxa"/>
            <w:tcBorders>
              <w:top w:val="nil"/>
              <w:left w:val="nil"/>
              <w:bottom w:val="nil"/>
              <w:right w:val="nil"/>
            </w:tcBorders>
          </w:tcPr>
          <w:p>
            <w:pPr>
              <w:pStyle w:val="Normal6a"/>
            </w:pPr>
            <w:r>
              <w:t>6.</w:t>
            </w:r>
            <w:r>
              <w:tab/>
            </w:r>
            <w:r>
              <w:t>Savienības atbalstu var nodrošināt jebkādā veidā saskaņā ar Regulu (ES, Euratom) 2024/2509, jo īpaši kā dotācijas, godalgas, iepirkumu, nefinanšu ziedojumus, budžeta garantijas un finanšu instrumentus</w:t>
            </w:r>
            <w:r>
              <w:rPr>
                <w:b/>
                <w:i/>
              </w:rPr>
              <w:t>, tostarp izmantojot publiskā un privātā sektora partnerības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1900</w:t>
      </w:r>
      <w:r>
        <w:rPr>
          <w:rStyle w:val="HideTWBExt"/>
        </w:rPr>
        <w:t>&lt;/NumAm&gt;</w:t>
      </w:r>
    </w:p>
    <w:p>
      <w:pPr>
        <w:pStyle w:val="NormalBold"/>
      </w:pPr>
      <w:r>
        <w:rPr>
          <w:rStyle w:val="HideTWBExt"/>
          <w:b w:val="0"/>
        </w:rPr>
        <w:t>&lt;RepeatBlock-By&gt;</w:t>
      </w:r>
      <w:r>
        <w:rPr>
          <w:rStyle w:val="HideTWBExt"/>
          <w:b w:val="0"/>
        </w:rPr>
        <w:t>&lt;Members&gt;</w:t>
      </w:r>
      <w:r>
        <w:t>Thomas Pellerin-Carlin, Eric Sargiacomo, Claire Fita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Regulas priekšlikums</w:t>
      </w:r>
      <w:r>
        <w:rPr>
          <w:rStyle w:val="HideTWBExt"/>
        </w:rPr>
        <w:t>&lt;/DocAmend&gt;</w:t>
      </w:r>
    </w:p>
    <w:p>
      <w:pPr>
        <w:pStyle w:val="NormalBold"/>
      </w:pPr>
      <w:r>
        <w:rPr>
          <w:rStyle w:val="HideTWBExt"/>
        </w:rPr>
        <w:t>&lt;Article&gt;</w:t>
      </w:r>
      <w:r>
        <w:t>12. pants – 6.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Komisijas ierosinātais teksts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Savienības atbalstu var nodrošināt jebkādā veidā saskaņā ar Regulu (ES, Euratom) 2024/2509, jo īpaši kā dotācijas, godalgas, iepirkumu, nefinanšu ziedojumus, budžeta garantijas un finanšu instrumentus.</w:t>
            </w:r>
          </w:p>
        </w:tc>
        <w:tc>
          <w:tcPr>
            <w:tcW w:w="4876" w:type="dxa"/>
            <w:tcBorders>
              <w:top w:val="nil"/>
              <w:left w:val="nil"/>
              <w:bottom w:val="nil"/>
              <w:right w:val="nil"/>
            </w:tcBorders>
          </w:tcPr>
          <w:p>
            <w:pPr>
              <w:pStyle w:val="Normal6a"/>
            </w:pPr>
            <w:r>
              <w:t>6.</w:t>
            </w:r>
            <w:r>
              <w:tab/>
            </w:r>
            <w:r>
              <w:t xml:space="preserve">Savienības atbalstu var nodrošināt jebkādā veidā saskaņā ar Regulu (ES, Euratom) 2024/2509, jo īpaši kā dotācijas, </w:t>
            </w:r>
            <w:r>
              <w:rPr>
                <w:b/>
                <w:i/>
              </w:rPr>
              <w:t>kapitāla turējumus,</w:t>
            </w:r>
            <w:r>
              <w:t xml:space="preserve"> godalgas, iepirkumu, nefinanšu ziedojumus, budžeta garantijas un finanšu instrumentus.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1901</w:t>
      </w:r>
      <w:r>
        <w:rPr>
          <w:rStyle w:val="HideTWBExt"/>
        </w:rPr>
        <w:t>&lt;/NumAm&gt;</w:t>
      </w:r>
    </w:p>
    <w:p>
      <w:pPr>
        <w:pStyle w:val="NormalBold"/>
      </w:pPr>
      <w:r>
        <w:rPr>
          <w:rStyle w:val="HideTWBExt"/>
          <w:b w:val="0"/>
        </w:rPr>
        <w:t>&lt;RepeatBlock-By&gt;</w:t>
      </w:r>
      <w:r>
        <w:rPr>
          <w:rStyle w:val="HideTWBExt"/>
          <w:b w:val="0"/>
        </w:rPr>
        <w:t>&lt;Members&gt;</w:t>
      </w:r>
      <w:r>
        <w:t>Jörgen Warborn, Tomas Tobé</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Regulas priekšlikums</w:t>
      </w:r>
      <w:r>
        <w:rPr>
          <w:rStyle w:val="HideTWBExt"/>
        </w:rPr>
        <w:t>&lt;/DocAmend&gt;</w:t>
      </w:r>
    </w:p>
    <w:p>
      <w:pPr>
        <w:pStyle w:val="NormalBold"/>
      </w:pPr>
      <w:r>
        <w:rPr>
          <w:rStyle w:val="HideTWBExt"/>
        </w:rPr>
        <w:t>&lt;Article&gt;</w:t>
      </w:r>
      <w:r>
        <w:t>12. pants – 6.a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Komisijas ierosinātais teksts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Sākumā un parasti Savienības atbalstu sniedz budžeta garantiju un finanšu instrumentu veidā.</w:t>
            </w:r>
            <w:r>
              <w:t xml:space="preserve"> </w:t>
            </w:r>
            <w:r>
              <w:rPr>
                <w:b/>
                <w:i/>
              </w:rPr>
              <w:t>Tiešās dotācijas var piešķirt tikai pienācīgi pamatotos izņēmuma gadījumos.</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1902</w:t>
      </w:r>
      <w:r>
        <w:rPr>
          <w:rStyle w:val="HideTWBExt"/>
        </w:rPr>
        <w:t>&lt;/NumAm&gt;</w:t>
      </w:r>
    </w:p>
    <w:p>
      <w:pPr>
        <w:pStyle w:val="NormalBold"/>
      </w:pPr>
      <w:r>
        <w:rPr>
          <w:rStyle w:val="HideTWBExt"/>
          <w:b w:val="0"/>
        </w:rPr>
        <w:t>&lt;RepeatBlock-By&gt;</w:t>
      </w:r>
      <w:r>
        <w:rPr>
          <w:rStyle w:val="HideTWBExt"/>
          <w:b w:val="0"/>
        </w:rPr>
        <w:t>&lt;Members&gt;</w:t>
      </w:r>
      <w:r>
        <w:t>Sofie Eriksson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Regulas priekšlikums</w:t>
      </w:r>
      <w:r>
        <w:rPr>
          <w:rStyle w:val="HideTWBExt"/>
        </w:rPr>
        <w:t>&lt;/DocAmend&gt;</w:t>
      </w:r>
    </w:p>
    <w:p>
      <w:pPr>
        <w:pStyle w:val="NormalBold"/>
      </w:pPr>
      <w:r>
        <w:rPr>
          <w:rStyle w:val="HideTWBExt"/>
        </w:rPr>
        <w:t>&lt;Article&gt;</w:t>
      </w:r>
      <w:r>
        <w:t>12. pants – 7.a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Komisijas ierosinātais teksts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Ziņošanas, uzraudzības, revīzijas un kontroles prasības, kas noteiktas Savienības atbalsta saņēmējiem, galasaņēmējiem un citiem saņēmējiem nozarēs, kuras netiek uzskatītas par augsta riska nozarēm, ir samērīgas ar Savienības atbalsta summu, darbības riska profilu un saņēmēja veidu.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1903</w:t>
      </w:r>
      <w:r>
        <w:rPr>
          <w:rStyle w:val="HideTWBExt"/>
        </w:rPr>
        <w:t>&lt;/NumAm&gt;</w:t>
      </w:r>
    </w:p>
    <w:p>
      <w:pPr>
        <w:pStyle w:val="NormalBold"/>
      </w:pPr>
      <w:r>
        <w:rPr>
          <w:rStyle w:val="HideTWBExt"/>
          <w:b w:val="0"/>
        </w:rPr>
        <w:t>&lt;RepeatBlock-By&gt;</w:t>
      </w:r>
      <w:r>
        <w:rPr>
          <w:rStyle w:val="HideTWBExt"/>
          <w:b w:val="0"/>
        </w:rPr>
        <w:t>&lt;Members&gt;</w:t>
      </w:r>
      <w:r>
        <w:t>Dario Nardella, Stefano Bonaccini, Cristina Maestre, Maria Grapini, Giorgio Gori, Claire Fita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Regulas priekšlikums</w:t>
      </w:r>
      <w:r>
        <w:rPr>
          <w:rStyle w:val="HideTWBExt"/>
        </w:rPr>
        <w:t>&lt;/DocAmend&gt;</w:t>
      </w:r>
    </w:p>
    <w:p>
      <w:pPr>
        <w:pStyle w:val="NormalBold"/>
      </w:pPr>
      <w:r>
        <w:rPr>
          <w:rStyle w:val="HideTWBExt"/>
        </w:rPr>
        <w:t>&lt;Article&gt;</w:t>
      </w:r>
      <w:r>
        <w:t>12. pants – 8.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Komisijas ierosinātais teksts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Ja Savienības finansējums tiek sniegts dotācijas veidā, arī kombinējot apvienošanas darbībās ar citiem atmaksājama atbalsta veidiem, ko neatbalsta no Savienības budžeta, finansējumu sniedz saskaņā ar Regulas (ES, Euratom) 2024/2509 VIII sadaļu un tāda finansējuma veidā, kas nav saistīts ar izmaksām saskaņā ar minētās Regulas (ES, Euratom) 2024/2509 125. panta 1. punkta a) apakšpunktu, vai – vajadzības gadījumā – kā vienkāršotu izmaksu iespējas. Finansējumu var sniegt arī, atlīdzinot faktiskās attiecināmās izmaksas, ja darbības mērķus nevar sasniegt citādi vai ja šāds veids ir nepieciešams, lai nodrošinātu citus finansējuma avotus, tai skaitā finansējumu no dalībvalstīm.</w:t>
            </w:r>
          </w:p>
        </w:tc>
        <w:tc>
          <w:tcPr>
            <w:tcW w:w="4876" w:type="dxa"/>
            <w:tcBorders>
              <w:top w:val="nil"/>
              <w:left w:val="nil"/>
              <w:bottom w:val="nil"/>
              <w:right w:val="nil"/>
            </w:tcBorders>
          </w:tcPr>
          <w:p>
            <w:pPr>
              <w:pStyle w:val="Normal6a"/>
            </w:pPr>
            <w:r>
              <w:t>8.</w:t>
            </w:r>
            <w:r>
              <w:tab/>
            </w:r>
            <w:r>
              <w:t xml:space="preserve">Ja Savienības finansējums tiek sniegts dotācijas veidā, arī kombinējot apvienošanas darbībās ar citiem atmaksājama atbalsta veidiem, ko neatbalsta no Savienības budžeta, finansējumu sniedz saskaņā ar Regulas (ES, Euratom) 2024/2509 VIII sadaļu un tāda finansējuma veidā, kas nav saistīts ar izmaksām saskaņā ar minētās Regulas (ES, Euratom) 2024/2509 125. panta 1. punkta a) apakšpunktu, vai – vajadzības gadījumā – kā vienkāršotu izmaksu iespējas. </w:t>
            </w:r>
            <w:r>
              <w:rPr>
                <w:b/>
                <w:i/>
              </w:rPr>
              <w:t>Īpašu uzmanību pievērš administratīvā sloga samazināšanai un piekļuves atvieglošanai visu lielumu operatoriem.</w:t>
            </w:r>
            <w:r>
              <w:t xml:space="preserve"> Finansējumu var sniegt arī, atlīdzinot faktiskās attiecināmās izmaksas, ja darbības mērķus nevar sasniegt citādi vai ja šāds veids ir nepieciešams, lai nodrošinātu citus finansējuma avotus, tai skaitā finansējumu no dalībvalstīm.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1904</w:t>
      </w:r>
      <w:r>
        <w:rPr>
          <w:rStyle w:val="HideTWBExt"/>
        </w:rPr>
        <w:t>&lt;/NumAm&gt;</w:t>
      </w:r>
    </w:p>
    <w:p>
      <w:pPr>
        <w:pStyle w:val="NormalBold"/>
      </w:pPr>
      <w:r>
        <w:rPr>
          <w:rStyle w:val="HideTWBExt"/>
          <w:b w:val="0"/>
        </w:rPr>
        <w:t>&lt;RepeatBlock-By&gt;</w:t>
      </w:r>
      <w:r>
        <w:rPr>
          <w:rStyle w:val="HideTWBExt"/>
          <w:b w:val="0"/>
        </w:rPr>
        <w:t>&lt;Members&gt;</w:t>
      </w:r>
      <w:r>
        <w:t>Nicola Procaccini, Alessandro Ciriani, Elena Donazzan, Pietro Fiocchi, Lara Magoni, Francesco Torselli, Mariateresa Vivaldini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Regulas priekšlikums</w:t>
      </w:r>
      <w:r>
        <w:rPr>
          <w:rStyle w:val="HideTWBExt"/>
        </w:rPr>
        <w:t>&lt;/DocAmend&gt;</w:t>
      </w:r>
    </w:p>
    <w:p>
      <w:pPr>
        <w:pStyle w:val="NormalBold"/>
      </w:pPr>
      <w:r>
        <w:rPr>
          <w:rStyle w:val="HideTWBExt"/>
        </w:rPr>
        <w:t>&lt;Article&gt;</w:t>
      </w:r>
      <w:r>
        <w:t>12. pants – 8.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Komisijas ierosinātais teksts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Ja Savienības finansējums tiek sniegts dotācijas veidā, arī kombinējot apvienošanas darbībās ar citiem atmaksājama atbalsta veidiem, ko neatbalsta no Savienības budžeta, finansējumu sniedz saskaņā ar Regulas (ES, Euratom) 2024/2509 VIII sadaļu un tāda finansējuma veidā, kas nav saistīts ar izmaksām saskaņā ar minētās Regulas (ES, Euratom) 2024/2509 125. panta 1. punkta a) apakšpunktu, vai – vajadzības gadījumā – kā vienkāršotu izmaksu iespējas. Finansējumu var sniegt arī, atlīdzinot faktiskās attiecināmās izmaksas, ja darbības mērķus nevar sasniegt citādi vai ja šāds veids ir nepieciešams, lai nodrošinātu citus finansējuma avotus, tai skaitā finansējumu no dalībvalstīm.</w:t>
            </w:r>
          </w:p>
        </w:tc>
        <w:tc>
          <w:tcPr>
            <w:tcW w:w="4876" w:type="dxa"/>
            <w:tcBorders>
              <w:top w:val="nil"/>
              <w:left w:val="nil"/>
              <w:bottom w:val="nil"/>
              <w:right w:val="nil"/>
            </w:tcBorders>
          </w:tcPr>
          <w:p>
            <w:pPr>
              <w:pStyle w:val="Normal6a"/>
            </w:pPr>
            <w:r>
              <w:t>8.</w:t>
            </w:r>
            <w:r>
              <w:tab/>
            </w:r>
            <w:r>
              <w:t xml:space="preserve">Ja Savienības finansējums tiek sniegts dotācijas veidā, arī kombinējot apvienošanas darbībās ar citiem atmaksājama atbalsta veidiem, ko neatbalsta no Savienības budžeta, finansējumu sniedz saskaņā ar Regulas (ES, Euratom) 2024/2509 VIII sadaļu un tāda finansējuma veidā, kas nav saistīts ar izmaksām saskaņā ar minētās Regulas (ES, Euratom) 2024/2509 125. panta 1. punkta a) apakšpunktu, vai – vajadzības gadījumā – kā vienkāršotu izmaksu iespējas. </w:t>
            </w:r>
            <w:r>
              <w:rPr>
                <w:b/>
                <w:i/>
              </w:rPr>
              <w:t>Īpašu uzmanību pievērš administratīvā sloga samazināšanai un piekļuves atvieglošanai visu lielumu operatoriem.</w:t>
            </w:r>
            <w:r>
              <w:t xml:space="preserve"> Finansējumu var sniegt arī, atlīdzinot faktiskās attiecināmās izmaksas, ja darbības mērķus nevar sasniegt citādi vai ja šāds veids ir nepieciešams, lai nodrošinātu citus finansējuma avotus, tai skaitā finansējumu no dalībvalstīm.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1905</w:t>
      </w:r>
      <w:r>
        <w:rPr>
          <w:rStyle w:val="HideTWBExt"/>
        </w:rPr>
        <w:t>&lt;/NumAm&gt;</w:t>
      </w:r>
    </w:p>
    <w:p>
      <w:pPr>
        <w:pStyle w:val="NormalBold"/>
      </w:pPr>
      <w:r>
        <w:rPr>
          <w:rStyle w:val="HideTWBExt"/>
          <w:b w:val="0"/>
        </w:rPr>
        <w:t>&lt;RepeatBlock-By&gt;</w:t>
      </w:r>
      <w:r>
        <w:rPr>
          <w:rStyle w:val="HideTWBExt"/>
          <w:b w:val="0"/>
        </w:rPr>
        <w:t>&lt;Members&gt;</w:t>
      </w:r>
      <w:r>
        <w:t>Raúl de la Hoz Quintano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Regulas priekšlikums</w:t>
      </w:r>
      <w:r>
        <w:rPr>
          <w:rStyle w:val="HideTWBExt"/>
        </w:rPr>
        <w:t>&lt;/DocAmend&gt;</w:t>
      </w:r>
    </w:p>
    <w:p>
      <w:pPr>
        <w:pStyle w:val="NormalBold"/>
      </w:pPr>
      <w:r>
        <w:rPr>
          <w:rStyle w:val="HideTWBExt"/>
        </w:rPr>
        <w:t>&lt;Article&gt;</w:t>
      </w:r>
      <w:r>
        <w:t>12. pants – 8.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Komisijas ierosinātais teksts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Ja Savienības finansējums tiek sniegts dotācijas veidā, arī kombinējot apvienošanas darbībās ar citiem atmaksājama atbalsta veidiem, ko neatbalsta no Savienības budžeta, finansējumu sniedz saskaņā ar Regulas (ES, Euratom) 2024/2509 VIII sadaļu un tāda finansējuma veidā, kas nav saistīts ar izmaksām saskaņā ar minētās Regulas (ES, Euratom) 2024/2509 125. panta 1. punkta a) apakšpunktu, vai – vajadzības gadījumā – kā vienkāršotu izmaksu iespējas. Finansējumu var sniegt arī, atlīdzinot faktiskās attiecināmās izmaksas, ja darbības mērķus nevar sasniegt citādi vai ja šāds veids ir nepieciešams, lai nodrošinātu citus finansējuma avotus, tai skaitā finansējumu no dalībvalstīm.</w:t>
            </w:r>
          </w:p>
        </w:tc>
        <w:tc>
          <w:tcPr>
            <w:tcW w:w="4876" w:type="dxa"/>
            <w:tcBorders>
              <w:top w:val="nil"/>
              <w:left w:val="nil"/>
              <w:bottom w:val="nil"/>
              <w:right w:val="nil"/>
            </w:tcBorders>
          </w:tcPr>
          <w:p>
            <w:pPr>
              <w:pStyle w:val="Normal6a"/>
            </w:pPr>
            <w:r>
              <w:t>8.</w:t>
            </w:r>
            <w:r>
              <w:tab/>
            </w:r>
            <w:r>
              <w:t xml:space="preserve">Ja Savienības finansējums tiek sniegts dotācijas veidā, arī kombinējot apvienošanas darbībās ar citiem atmaksājama atbalsta veidiem, ko neatbalsta no Savienības budžeta, finansējumu sniedz saskaņā ar Regulas (ES, Euratom) 2024/2509 VIII sadaļu un tāda finansējuma veidā, kas nav saistīts ar izmaksām saskaņā ar minētās Regulas (ES, Euratom) 2024/2509 125. panta 1. punkta a) apakšpunktu, vai – vajadzības gadījumā – kā vienkāršotu izmaksu iespējas. Finansējumu var sniegt arī, atlīdzinot faktiskās attiecināmās izmaksas, ja darbības mērķus nevar sasniegt citādi vai ja šāds veids ir nepieciešams, lai nodrošinātu citus finansējuma avotus, tai skaitā finansējumu no dalībvalstīm. </w:t>
            </w:r>
            <w:r>
              <w:rPr>
                <w:b/>
                <w:i/>
              </w:rPr>
              <w:t>Ar finansiālo atbalstu nebūtu jāsedz darbības izmaksas.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1906</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Regulas priekšlikums</w:t>
      </w:r>
      <w:r>
        <w:rPr>
          <w:rStyle w:val="HideTWBExt"/>
        </w:rPr>
        <w:t>&lt;/DocAmend&gt;</w:t>
      </w:r>
    </w:p>
    <w:p>
      <w:pPr>
        <w:pStyle w:val="NormalBold"/>
      </w:pPr>
      <w:r>
        <w:rPr>
          <w:rStyle w:val="HideTWBExt"/>
        </w:rPr>
        <w:t>&lt;Article&gt;</w:t>
      </w:r>
      <w:r>
        <w:t>12. pants – 8.a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Komisijas ierosinātais teksts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Savienības finansējums, ko sniedz dotācijas veidā, ir paredzēts tikai bezpeļņas tiesību subjektiem, sociālās ekonomikas struktūrām un uz peļņu orientētiem un tiesību subjektiem, kas ir MVU vai inovatīvi augoši uzņēmumi.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1907</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Regulas priekšlikums</w:t>
      </w:r>
      <w:r>
        <w:rPr>
          <w:rStyle w:val="HideTWBExt"/>
        </w:rPr>
        <w:t>&lt;/DocAmend&gt;</w:t>
      </w:r>
    </w:p>
    <w:p>
      <w:pPr>
        <w:pStyle w:val="NormalBold"/>
      </w:pPr>
      <w:r>
        <w:rPr>
          <w:rStyle w:val="HideTWBExt"/>
        </w:rPr>
        <w:t>&lt;Article&gt;</w:t>
      </w:r>
      <w:r>
        <w:t>12. pants – 8.b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Komisijas ierosinātais teksts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8.b</w:t>
            </w:r>
            <w:r>
              <w:tab/>
            </w:r>
            <w:r>
              <w:rPr>
                <w:b/>
                <w:i/>
              </w:rPr>
              <w:t>Šā panta 8.a punktu nepiemēro tādu darbību atbalstam, kas veicina 3. panta 2. punkta d) apakšpunkta 2. punkta ii) ievilkumā izklāstīto konkrēto mērķu sasniegšanu.</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Pamatojums</w:t>
      </w:r>
      <w:r>
        <w:rPr>
          <w:rStyle w:val="HideTWBExt"/>
        </w:rPr>
        <w:t>&lt;/TitreJust&gt;</w:t>
      </w:r>
    </w:p>
    <w:p>
      <w:pPr>
        <w:pStyle w:val="AmJustText"/>
      </w:pPr>
      <w:r>
        <w:t>Tās ir dotācijas, kas atļautas kopdarbīgai pētniecībai un izstrādei aizsardzības jomā.</w:t>
      </w:r>
    </w:p>
    <w:p>
      <w:r>
        <w:rPr>
          <w:rStyle w:val="HideTWBExt"/>
        </w:rPr>
        <w:t>&lt;/Amend&gt;</w:t>
      </w:r>
    </w:p>
    <w:p>
      <w:pPr>
        <w:pStyle w:val="AmNumberTabs"/>
      </w:pPr>
      <w:r>
        <w:rPr>
          <w:rStyle w:val="HideTWBExt"/>
        </w:rPr>
        <w:t>&lt;Amend&gt;</w:t>
      </w:r>
      <w:r>
        <w:t>Grozījums Nr.</w:t>
      </w:r>
      <w:r>
        <w:tab/>
      </w:r>
      <w:r>
        <w:tab/>
      </w:r>
      <w:r>
        <w:rPr>
          <w:rStyle w:val="HideTWBExt"/>
        </w:rPr>
        <w:t>&lt;NumAm&gt;</w:t>
      </w:r>
      <w:r>
        <w:t>1908</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Regulas priekšlikums</w:t>
      </w:r>
      <w:r>
        <w:rPr>
          <w:rStyle w:val="HideTWBExt"/>
        </w:rPr>
        <w:t>&lt;/DocAmend&gt;</w:t>
      </w:r>
    </w:p>
    <w:p>
      <w:pPr>
        <w:pStyle w:val="NormalBold"/>
      </w:pPr>
      <w:r>
        <w:rPr>
          <w:rStyle w:val="HideTWBExt"/>
        </w:rPr>
        <w:t>&lt;Article&gt;</w:t>
      </w:r>
      <w:r>
        <w:t>12. pants – 9.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Komisijas ierosinātais teksts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Saskaņā ar Regulas (ES, Euratom) 2024/2509 153. panta 3. punktu </w:t>
            </w:r>
            <w:r>
              <w:rPr>
                <w:b/>
                <w:i/>
              </w:rPr>
              <w:t>attiecībā uz darbībām, ar kurām īsteno pētniecības un inovācijas pasākumus,</w:t>
            </w:r>
            <w:r>
              <w:t xml:space="preserve"> vērtēšanas </w:t>
            </w:r>
            <w:r>
              <w:rPr>
                <w:b/>
                <w:i/>
              </w:rPr>
              <w:t>komisija daļēji vai pilnībā var sastāvēt no neatkarīgiem ārējiem ekspertiem</w:t>
            </w:r>
            <w:r>
              <w:t>.</w:t>
            </w:r>
          </w:p>
        </w:tc>
        <w:tc>
          <w:tcPr>
            <w:tcW w:w="4876" w:type="dxa"/>
            <w:tcBorders>
              <w:top w:val="nil"/>
              <w:left w:val="nil"/>
              <w:bottom w:val="nil"/>
              <w:right w:val="nil"/>
            </w:tcBorders>
          </w:tcPr>
          <w:p>
            <w:pPr>
              <w:pStyle w:val="Normal6a"/>
            </w:pPr>
            <w:r>
              <w:t>9.</w:t>
            </w:r>
            <w:r>
              <w:tab/>
            </w:r>
            <w:r>
              <w:t xml:space="preserve">Saskaņā ar Regulas (ES, Euratom) 2024/2509 153. panta 3. punktu vērtēšanas </w:t>
            </w:r>
            <w:r>
              <w:rPr>
                <w:b/>
                <w:i/>
              </w:rPr>
              <w:t>komisiju veido neatkarīgi ārējie eksperti, izņemot pienācīgi pamatotos gadījumos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1909</w:t>
      </w:r>
      <w:r>
        <w:rPr>
          <w:rStyle w:val="HideTWBExt"/>
        </w:rPr>
        <w:t>&lt;/NumAm&gt;</w:t>
      </w:r>
    </w:p>
    <w:p>
      <w:pPr>
        <w:pStyle w:val="NormalBold"/>
      </w:pPr>
      <w:r>
        <w:rPr>
          <w:rStyle w:val="HideTWBExt"/>
          <w:b w:val="0"/>
        </w:rPr>
        <w:t>&lt;RepeatBlock-By&gt;</w:t>
      </w:r>
      <w:r>
        <w:rPr>
          <w:rStyle w:val="HideTWBExt"/>
          <w:b w:val="0"/>
        </w:rPr>
        <w:t>&lt;Members&gt;</w:t>
      </w:r>
      <w:r>
        <w:t>Sarah Knafo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Regulas priekšlikums</w:t>
      </w:r>
      <w:r>
        <w:rPr>
          <w:rStyle w:val="HideTWBExt"/>
        </w:rPr>
        <w:t>&lt;/DocAmend&gt;</w:t>
      </w:r>
    </w:p>
    <w:p>
      <w:pPr>
        <w:pStyle w:val="NormalBold"/>
      </w:pPr>
      <w:r>
        <w:rPr>
          <w:rStyle w:val="HideTWBExt"/>
        </w:rPr>
        <w:t>&lt;Article&gt;</w:t>
      </w:r>
      <w:r>
        <w:t>12. pants – 9.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Komisijas ierosinātais teksts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Saskaņā ar Regulas (ES, Euratom) 2024/2509 153. panta 3. punktu attiecībā uz darbībām, ar kurām īsteno pētniecības un inovācijas pasākumus, </w:t>
            </w:r>
            <w:r>
              <w:rPr>
                <w:b/>
                <w:i/>
              </w:rPr>
              <w:t>vērtēšanas komisija daļēji vai pilnībā var sastāvēt no neatkarīgiem ārējiem ekspertiem</w:t>
            </w:r>
            <w:r>
              <w:t>.</w:t>
            </w:r>
          </w:p>
        </w:tc>
        <w:tc>
          <w:tcPr>
            <w:tcW w:w="4876" w:type="dxa"/>
            <w:tcBorders>
              <w:top w:val="nil"/>
              <w:left w:val="nil"/>
              <w:bottom w:val="nil"/>
              <w:right w:val="nil"/>
            </w:tcBorders>
          </w:tcPr>
          <w:p>
            <w:pPr>
              <w:pStyle w:val="Normal6a"/>
            </w:pPr>
            <w:r>
              <w:t>9.</w:t>
            </w:r>
            <w:r>
              <w:tab/>
            </w:r>
            <w:r>
              <w:t xml:space="preserve">Saskaņā ar Regulas (ES, Euratom) 2024/2509 153. panta 3. punktu attiecībā uz darbībām, ar kurām īsteno pētniecības un inovācijas pasākumus, </w:t>
            </w:r>
            <w:r>
              <w:rPr>
                <w:b/>
                <w:i/>
              </w:rPr>
              <w:t>vērtēšanu komisiju galvenokārt veido neatkarīgi ārējie eksperti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1910</w:t>
      </w:r>
      <w:r>
        <w:rPr>
          <w:rStyle w:val="HideTWBExt"/>
        </w:rPr>
        <w:t>&lt;/NumAm&gt;</w:t>
      </w:r>
    </w:p>
    <w:p>
      <w:pPr>
        <w:pStyle w:val="NormalBold"/>
      </w:pPr>
      <w:r>
        <w:rPr>
          <w:rStyle w:val="HideTWBExt"/>
          <w:b w:val="0"/>
        </w:rPr>
        <w:t>&lt;RepeatBlock-By&gt;</w:t>
      </w:r>
      <w:r>
        <w:rPr>
          <w:rStyle w:val="HideTWBExt"/>
          <w:b w:val="0"/>
        </w:rPr>
        <w:t>&lt;Members&gt;</w:t>
      </w:r>
      <w:r>
        <w:t>Dimitris Tsiodras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Regulas priekšlikums</w:t>
      </w:r>
      <w:r>
        <w:rPr>
          <w:rStyle w:val="HideTWBExt"/>
        </w:rPr>
        <w:t>&lt;/DocAmend&gt;</w:t>
      </w:r>
    </w:p>
    <w:p>
      <w:pPr>
        <w:pStyle w:val="NormalBold"/>
      </w:pPr>
      <w:r>
        <w:rPr>
          <w:rStyle w:val="HideTWBExt"/>
        </w:rPr>
        <w:t>&lt;Article&gt;</w:t>
      </w:r>
      <w:r>
        <w:t>12. pants – 9.a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Komisijas ierosinātais teksts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Komisija pievērš pienācīgu uzmanību tam, lai, ciktāl iespējams, ņemot vērā nozares īpatnības, nodrošinātu, ka izvērtēšanas komitejās, kā arī citās attiecīgās konsultatīvajās struktūrās, piemēram, valdēs un ekspertu grupās, tostarp tādās, kurās tiek iesaistīti valstu eksperti, tiktu nodrošināta pienācīga dzimumu līdzsvara un visas ES mēroga pārstāvība attiecībā uz kompetenci un pieredzi.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1911</w:t>
      </w:r>
      <w:r>
        <w:rPr>
          <w:rStyle w:val="HideTWBExt"/>
        </w:rPr>
        <w:t>&lt;/NumAm&gt;</w:t>
      </w:r>
    </w:p>
    <w:p>
      <w:pPr>
        <w:pStyle w:val="NormalBold"/>
      </w:pPr>
      <w:r>
        <w:rPr>
          <w:rStyle w:val="HideTWBExt"/>
          <w:b w:val="0"/>
        </w:rPr>
        <w:t>&lt;RepeatBlock-By&gt;</w:t>
      </w:r>
      <w:r>
        <w:rPr>
          <w:rStyle w:val="HideTWBExt"/>
          <w:b w:val="0"/>
        </w:rPr>
        <w:t>&lt;Members&gt;</w:t>
      </w:r>
      <w:r>
        <w:t>Mirosława Nykiel, Borys Budka, Adam Jarubas, Krzysztof Hetman, Kamila Gasiuk-Pihowicz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Regulas priekšlikums</w:t>
      </w:r>
      <w:r>
        <w:rPr>
          <w:rStyle w:val="HideTWBExt"/>
        </w:rPr>
        <w:t>&lt;/DocAmend&gt;</w:t>
      </w:r>
    </w:p>
    <w:p>
      <w:pPr>
        <w:pStyle w:val="NormalBold"/>
      </w:pPr>
      <w:r>
        <w:rPr>
          <w:rStyle w:val="HideTWBExt"/>
        </w:rPr>
        <w:t>&lt;Article&gt;</w:t>
      </w:r>
      <w:r>
        <w:t>12. pants – 9.a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Komisijas ierosinātais teksts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Komisija pievērš pienācīgu uzmanību tam, lai, ciktāl iespējams, ņemot vērā nozares īpatnības, nodrošinātu, ka izvērtēšanas komitejās, kā arī citās attiecīgās konsultatīvajās struktūrās, piemēram, valdēs un ekspertu grupās, tostarp tādās, kurās tiek iesaistīti valstu eksperti, tiktu nodrošināta pienācīga dzimumu līdzsvara un visas ES mēroga pārstāvība attiecībā uz kompetenci un pieredzi.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1912</w:t>
      </w:r>
      <w:r>
        <w:rPr>
          <w:rStyle w:val="HideTWBExt"/>
        </w:rPr>
        <w:t>&lt;/NumAm&gt;</w:t>
      </w:r>
    </w:p>
    <w:p>
      <w:pPr>
        <w:pStyle w:val="NormalBold"/>
      </w:pPr>
      <w:r>
        <w:rPr>
          <w:rStyle w:val="HideTWBExt"/>
          <w:b w:val="0"/>
        </w:rPr>
        <w:t>&lt;RepeatBlock-By&gt;</w:t>
      </w:r>
      <w:r>
        <w:rPr>
          <w:rStyle w:val="HideTWBExt"/>
          <w:b w:val="0"/>
        </w:rPr>
        <w:t>&lt;Members&gt;</w:t>
      </w:r>
      <w:r>
        <w:t>Jana Nagyová, Ondřej Knotek, Tomáš Kubín, Klara Dostalova, Afroditi Latinopoulou, Anna Bryłka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Regulas priekšlikums</w:t>
      </w:r>
      <w:r>
        <w:rPr>
          <w:rStyle w:val="HideTWBExt"/>
        </w:rPr>
        <w:t>&lt;/DocAmend&gt;</w:t>
      </w:r>
    </w:p>
    <w:p>
      <w:pPr>
        <w:pStyle w:val="NormalBold"/>
      </w:pPr>
      <w:r>
        <w:rPr>
          <w:rStyle w:val="HideTWBExt"/>
        </w:rPr>
        <w:t>&lt;Article&gt;</w:t>
      </w:r>
      <w:r>
        <w:t>12. pants – 9.a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Komisijas ierosinātais teksts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Komisija pievērš pienācīgu uzmanību tam, lai, ciktāl iespējams, ņemot vērā nozares īpatnības, nodrošinātu, ka izvērtēšanas komitejās, kā arī citās attiecīgās konsultatīvajās struktūrās, piemēram, valdēs un ekspertu grupās, tostarp tādās, kurās tiek iesaistīti valstu eksperti, tiktu nodrošināta visas ES mēroga pārstāvība attiecībā uz kompetenci un pieredzi.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1913</w:t>
      </w:r>
      <w:r>
        <w:rPr>
          <w:rStyle w:val="HideTWBExt"/>
        </w:rPr>
        <w:t>&lt;/NumAm&gt;</w:t>
      </w:r>
    </w:p>
    <w:p>
      <w:pPr>
        <w:pStyle w:val="NormalBold"/>
      </w:pPr>
      <w:r>
        <w:rPr>
          <w:rStyle w:val="HideTWBExt"/>
          <w:b w:val="0"/>
        </w:rPr>
        <w:t>&lt;RepeatBlock-By&gt;</w:t>
      </w:r>
      <w:r>
        <w:rPr>
          <w:rStyle w:val="HideTWBExt"/>
          <w:b w:val="0"/>
        </w:rPr>
        <w:t>&lt;Members&gt;</w:t>
      </w:r>
      <w:r>
        <w:t>Michał Kobosko, Martin Hojsík, Ivars Ijabs, Lucia Yar, Joanna Scheuring-Wielgus, Krzysztof Śmiszek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Regulas priekšlikums</w:t>
      </w:r>
      <w:r>
        <w:rPr>
          <w:rStyle w:val="HideTWBExt"/>
        </w:rPr>
        <w:t>&lt;/DocAmend&gt;</w:t>
      </w:r>
    </w:p>
    <w:p>
      <w:pPr>
        <w:pStyle w:val="NormalBold"/>
      </w:pPr>
      <w:r>
        <w:rPr>
          <w:rStyle w:val="HideTWBExt"/>
        </w:rPr>
        <w:t>&lt;Article&gt;</w:t>
      </w:r>
      <w:r>
        <w:t>12. pants – 9.a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Komisijas ierosinātais teksts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Komisija dara visu iespējamo, lai, ņemot vērā nozares īpatnības, nodrošinātu, ka izvērtēšanas komitejās, kā arī citās attiecīgās konsultatīvajās struktūrās, piemēram, valdēs un ekspertu grupās, tostarp tādās, kurās tiek iesaistīti valstu eksperti, tiktu nodrošināta pienācīga dzimumu līdzsvara un visas ES mēroga pārstāvība attiecībā uz kompetenci un pieredzi.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1914</w:t>
      </w:r>
      <w:r>
        <w:rPr>
          <w:rStyle w:val="HideTWBExt"/>
        </w:rPr>
        <w:t>&lt;/NumAm&gt;</w:t>
      </w:r>
    </w:p>
    <w:p>
      <w:pPr>
        <w:pStyle w:val="NormalBold"/>
      </w:pPr>
      <w:r>
        <w:rPr>
          <w:rStyle w:val="HideTWBExt"/>
          <w:b w:val="0"/>
        </w:rPr>
        <w:t>&lt;RepeatBlock-By&gt;</w:t>
      </w:r>
      <w:r>
        <w:rPr>
          <w:rStyle w:val="HideTWBExt"/>
          <w:b w:val="0"/>
        </w:rPr>
        <w:t>&lt;Members&gt;</w:t>
      </w:r>
      <w:r>
        <w:t>Aura Salla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Regulas priekšlikums</w:t>
      </w:r>
      <w:r>
        <w:rPr>
          <w:rStyle w:val="HideTWBExt"/>
        </w:rPr>
        <w:t>&lt;/DocAmend&gt;</w:t>
      </w:r>
    </w:p>
    <w:p>
      <w:pPr>
        <w:pStyle w:val="NormalBold"/>
      </w:pPr>
      <w:r>
        <w:rPr>
          <w:rStyle w:val="HideTWBExt"/>
        </w:rPr>
        <w:t>&lt;Article&gt;</w:t>
      </w:r>
      <w:r>
        <w:t>12. pants – 11.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Komisijas ierosinātais teksts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Ja tas nepieciešams 3. pantā noteikto mērķu sasniegšanai, atsevišķas EKF daļas var īstenot, izmantojot publiskā un privātā sektora partnerības vai publiskā sektora partnerības, kas izveidotas saskaņā ar Pētniecības un inovācijas pamatprogrammu, jo īpaši saskaņā ar Regulas (ES, Euratom) 2024/2509 62. panta 1. punkta c) apakšpunktu uzticot budžeta izpildes uzdevumus kopuzņēmumiem, kas izveidoti, ievērojot LESD 187. pantu. EKF atbalsts ir atkarīgs no Savienības finansējuma efektīvas izmantošanas, samērīga citu partneru finansiāla ieguldījuma, kas vismaz atbilst Savienības ieguldījumam, un Savienības balsstiesībām pārvaldības struktūrās, kas nodrošina Savienības interešu aizsardzību partnerībā. </w:t>
            </w:r>
            <w:r>
              <w:rPr>
                <w:b/>
                <w:i/>
              </w:rPr>
              <w:t>Šajā nolūkā kopuzņēmumus izveido ar vienotu izveides aktu, kas nodrošina centralizētas administratīvās funkcijas.</w:t>
            </w:r>
          </w:p>
        </w:tc>
        <w:tc>
          <w:tcPr>
            <w:tcW w:w="4876" w:type="dxa"/>
            <w:tcBorders>
              <w:top w:val="nil"/>
              <w:left w:val="nil"/>
              <w:bottom w:val="nil"/>
              <w:right w:val="nil"/>
            </w:tcBorders>
          </w:tcPr>
          <w:p>
            <w:pPr>
              <w:pStyle w:val="Normal6a"/>
            </w:pPr>
            <w:r>
              <w:t>11.</w:t>
            </w:r>
            <w:r>
              <w:tab/>
            </w:r>
            <w:r>
              <w:t>Ja tas nepieciešams 3. pantā noteikto mērķu sasniegšanai, atsevišķas EKF daļas var īstenot, izmantojot publiskā un privātā sektora partnerības vai publiskā sektora partnerības, kas izveidotas saskaņā ar Pētniecības un inovācijas pamatprogrammu, jo īpaši saskaņā ar Regulas (ES, Euratom) 2024/2509 62. panta 1. punkta c) apakšpunktu uzticot budžeta izpildes uzdevumus kopuzņēmumiem, kas izveidoti, ievērojot LESD 187. pantu. EKF atbalsts ir atkarīgs no Savienības finansējuma efektīvas izmantošanas, samērīga citu partneru finansiāla ieguldījuma, kas vismaz atbilst Savienības ieguldījumam, un Savienības balsstiesībām pārvaldības struktūrās, kas nodrošina Savienības interešu aizsardzību partnerībā.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1915</w:t>
      </w:r>
      <w:r>
        <w:rPr>
          <w:rStyle w:val="HideTWBExt"/>
        </w:rPr>
        <w:t>&lt;/NumAm&gt;</w:t>
      </w:r>
    </w:p>
    <w:p>
      <w:pPr>
        <w:pStyle w:val="NormalBold"/>
      </w:pPr>
      <w:r>
        <w:rPr>
          <w:rStyle w:val="HideTWBExt"/>
          <w:b w:val="0"/>
        </w:rPr>
        <w:t>&lt;RepeatBlock-By&gt;</w:t>
      </w:r>
      <w:r>
        <w:rPr>
          <w:rStyle w:val="HideTWBExt"/>
          <w:b w:val="0"/>
        </w:rPr>
        <w:t>&lt;Members&gt;</w:t>
      </w:r>
      <w:r>
        <w:t>Christian Ehler, Oliver Schenk, Matej Tonin, Adina Vălean, Pilar del Castillo Vera, Hildegard Bentele, Angelika Niebler, Eszter Lakos, Virgil-Daniel Popescu, Susana Solís Pérez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Regulas priekšlikums</w:t>
      </w:r>
      <w:r>
        <w:rPr>
          <w:rStyle w:val="HideTWBExt"/>
        </w:rPr>
        <w:t>&lt;/DocAmend&gt;</w:t>
      </w:r>
    </w:p>
    <w:p>
      <w:pPr>
        <w:pStyle w:val="NormalBold"/>
      </w:pPr>
      <w:r>
        <w:rPr>
          <w:rStyle w:val="HideTWBExt"/>
        </w:rPr>
        <w:t>&lt;Article&gt;</w:t>
      </w:r>
      <w:r>
        <w:t>12. pants – 11.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Komisijas ierosinātais teksts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Ja tas nepieciešams 3. pantā noteikto mērķu sasniegšanai, atsevišķas EKF daļas var īstenot, izmantojot publiskā un privātā sektora partnerības vai publiskā sektora partnerības, kas izveidotas saskaņā ar Pētniecības un inovācijas pamatprogrammu, jo īpaši saskaņā ar Regulas (ES, Euratom) 2024/2509 62. panta 1. punkta c) apakšpunktu uzticot budžeta izpildes uzdevumus kopuzņēmumiem, kas izveidoti, ievērojot LESD 187. pantu. EKF atbalsts ir atkarīgs no Savienības finansējuma efektīvas izmantošanas, samērīga citu partneru finansiāla ieguldījuma, kas vismaz atbilst Savienības ieguldījumam, un Savienības balsstiesībām pārvaldības struktūrās, kas nodrošina Savienības interešu aizsardzību partnerībā. </w:t>
            </w:r>
            <w:r>
              <w:rPr>
                <w:b/>
                <w:i/>
              </w:rPr>
              <w:t>Šajā nolūkā kopuzņēmumus izveido ar vienotu izveides aktu, kas nodrošina centralizētas administratīvās funkcijas.</w:t>
            </w:r>
          </w:p>
        </w:tc>
        <w:tc>
          <w:tcPr>
            <w:tcW w:w="4876" w:type="dxa"/>
            <w:tcBorders>
              <w:top w:val="nil"/>
              <w:left w:val="nil"/>
              <w:bottom w:val="nil"/>
              <w:right w:val="nil"/>
            </w:tcBorders>
          </w:tcPr>
          <w:p>
            <w:pPr>
              <w:pStyle w:val="Normal6a"/>
            </w:pPr>
            <w:r>
              <w:t>11.</w:t>
            </w:r>
            <w:r>
              <w:tab/>
            </w:r>
            <w:r>
              <w:t>Ja tas nepieciešams 3. pantā noteikto mērķu sasniegšanai, atsevišķas EKF daļas var īstenot, izmantojot publiskā un privātā sektora partnerības vai publiskā sektora partnerības, kas izveidotas saskaņā ar Pētniecības un inovācijas pamatprogrammu, jo īpaši saskaņā ar Regulas (ES, Euratom) 2024/2509 62. panta 1. punkta c) apakšpunktu uzticot budžeta izpildes uzdevumus kopuzņēmumiem, kas izveidoti, ievērojot LESD 187. pantu. EKF atbalsts ir atkarīgs no Savienības finansējuma efektīvas izmantošanas, samērīga citu partneru finansiāla ieguldījuma, kas vismaz atbilst Savienības ieguldījumam, un Savienības balsstiesībām pārvaldības struktūrās, kas nodrošina Savienības interešu aizsardzību partnerībā.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1916</w:t>
      </w:r>
      <w:r>
        <w:rPr>
          <w:rStyle w:val="HideTWBExt"/>
        </w:rPr>
        <w:t>&lt;/NumAm&gt;</w:t>
      </w:r>
    </w:p>
    <w:p>
      <w:pPr>
        <w:pStyle w:val="NormalBold"/>
      </w:pPr>
      <w:r>
        <w:rPr>
          <w:rStyle w:val="HideTWBExt"/>
          <w:b w:val="0"/>
        </w:rPr>
        <w:t>&lt;RepeatBlock-By&gt;</w:t>
      </w:r>
      <w:r>
        <w:rPr>
          <w:rStyle w:val="HideTWBExt"/>
          <w:b w:val="0"/>
        </w:rPr>
        <w:t>&lt;Members&gt;</w:t>
      </w:r>
      <w:r>
        <w:t>Dario Nardella, Stefano Bonaccini, Cristina Maestre, Maria Grapini, Giorgio Gori, Claire Fita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Regulas priekšlikums</w:t>
      </w:r>
      <w:r>
        <w:rPr>
          <w:rStyle w:val="HideTWBExt"/>
        </w:rPr>
        <w:t>&lt;/DocAmend&gt;</w:t>
      </w:r>
    </w:p>
    <w:p>
      <w:pPr>
        <w:pStyle w:val="NormalBold"/>
      </w:pPr>
      <w:r>
        <w:rPr>
          <w:rStyle w:val="HideTWBExt"/>
        </w:rPr>
        <w:t>&lt;Article&gt;</w:t>
      </w:r>
      <w:r>
        <w:t>12. pants – 11.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Komisijas ierosinātais teksts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Ja tas nepieciešams 3. pantā noteikto mērķu sasniegšanai, atsevišķas EKF daļas var īstenot, izmantojot publiskā un privātā sektora partnerības vai publiskā sektora partnerības, kas izveidotas saskaņā ar Pētniecības un inovācijas pamatprogrammu, jo īpaši saskaņā ar Regulas (ES, Euratom) 2024/2509 62. panta 1. punkta c) apakšpunktu uzticot budžeta izpildes uzdevumus kopuzņēmumiem, kas izveidoti, ievērojot LESD 187. pantu. EKF atbalsts ir atkarīgs no Savienības finansējuma efektīvas izmantošanas, samērīga citu partneru finansiāla ieguldījuma, kas vismaz atbilst Savienības ieguldījumam, un Savienības balsstiesībām pārvaldības struktūrās, kas nodrošina Savienības interešu aizsardzību partnerībā. Šajā nolūkā kopuzņēmumus izveido ar vienotu izveides aktu, kas nodrošina centralizētas administratīvās funkcijas.</w:t>
            </w:r>
          </w:p>
        </w:tc>
        <w:tc>
          <w:tcPr>
            <w:tcW w:w="4876" w:type="dxa"/>
            <w:tcBorders>
              <w:top w:val="nil"/>
              <w:left w:val="nil"/>
              <w:bottom w:val="nil"/>
              <w:right w:val="nil"/>
            </w:tcBorders>
          </w:tcPr>
          <w:p>
            <w:pPr>
              <w:pStyle w:val="Normal6a"/>
            </w:pPr>
            <w:r>
              <w:t>11.</w:t>
            </w:r>
            <w:r>
              <w:tab/>
            </w:r>
            <w:r>
              <w:t xml:space="preserve">Ja tas nepieciešams 3. pantā noteikto mērķu sasniegšanai, atsevišķas EKF daļas var īstenot, izmantojot publiskā un privātā sektora partnerības vai publiskā sektora partnerības, kas izveidotas saskaņā ar Pētniecības un inovācijas pamatprogrammu, jo īpaši saskaņā ar Regulas (ES, Euratom) 2024/2509 62. panta 1. punkta c) apakšpunktu uzticot budžeta izpildes uzdevumus kopuzņēmumiem, kas izveidoti, ievērojot LESD 187. pantu. EKF atbalsts ir atkarīgs no Savienības finansējuma efektīvas izmantošanas, samērīga citu partneru finansiāla ieguldījuma, kas vismaz atbilst Savienības ieguldījumam, un Savienības balsstiesībām pārvaldības struktūrās, kas nodrošina Savienības interešu aizsardzību partnerībā. Šajā nolūkā kopuzņēmumus izveido ar vienotu izveides aktu, kas nodrošina centralizētas administratīvās funkcijas </w:t>
            </w:r>
            <w:r>
              <w:rPr>
                <w:b/>
                <w:i/>
              </w:rPr>
              <w:t>un iekļaujošas pārvaldības struktūras nolūkā sekmēt pārredzamību un līdzsvarotu pārstāvību</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Pamatojums</w:t>
      </w:r>
      <w:r>
        <w:rPr>
          <w:rStyle w:val="HideTWBExt"/>
        </w:rPr>
        <w:t>&lt;/TitreJust&gt;</w:t>
      </w:r>
    </w:p>
    <w:p>
      <w:pPr>
        <w:pStyle w:val="AmJustText"/>
      </w:pPr>
      <w:r>
        <w:t>Efektīva koordinācija starp EKF un citiem Savienības instrumentiem ir būtiska, lai izvairītos no dublēšanās, maksimāli palielinātu sinerģiju un nodrošinātu saskaņotu īstenošanu.</w:t>
      </w:r>
      <w:r>
        <w:t xml:space="preserve"> </w:t>
      </w:r>
      <w:r>
        <w:t>Ilgtermiņa, vietējiem apstākļiem pielāgotu investīciju pieeju veicināšana, vienlaikus samazinot administratīvo slogu, uzlabos pieejamību visu lielumu saņēmējiem un veicinās ilgtspējīgu konkurētspēju, noturību un teritoriālo kohēziju visā Savienībā saskaņā ar kohēzijas politikas mērķiem.</w:t>
      </w:r>
    </w:p>
    <w:p>
      <w:r>
        <w:rPr>
          <w:rStyle w:val="HideTWBExt"/>
        </w:rPr>
        <w:t>&lt;/Amend&gt;</w:t>
      </w:r>
    </w:p>
    <w:p>
      <w:pPr>
        <w:pStyle w:val="AmNumberTabs"/>
      </w:pPr>
      <w:r>
        <w:rPr>
          <w:rStyle w:val="HideTWBExt"/>
        </w:rPr>
        <w:t>&lt;Amend&gt;</w:t>
      </w:r>
      <w:r>
        <w:t>Grozījums Nr.</w:t>
      </w:r>
      <w:r>
        <w:tab/>
      </w:r>
      <w:r>
        <w:tab/>
      </w:r>
      <w:r>
        <w:rPr>
          <w:rStyle w:val="HideTWBExt"/>
        </w:rPr>
        <w:t>&lt;NumAm&gt;</w:t>
      </w:r>
      <w:r>
        <w:t>1917</w:t>
      </w:r>
      <w:r>
        <w:rPr>
          <w:rStyle w:val="HideTWBExt"/>
        </w:rPr>
        <w:t>&lt;/NumAm&gt;</w:t>
      </w:r>
    </w:p>
    <w:p>
      <w:pPr>
        <w:pStyle w:val="NormalBold"/>
      </w:pPr>
      <w:r>
        <w:rPr>
          <w:rStyle w:val="HideTWBExt"/>
          <w:b w:val="0"/>
        </w:rPr>
        <w:t>&lt;RepeatBlock-By&gt;</w:t>
      </w:r>
      <w:r>
        <w:rPr>
          <w:rStyle w:val="HideTWBExt"/>
          <w:b w:val="0"/>
        </w:rPr>
        <w:t>&lt;Members&gt;</w:t>
      </w:r>
      <w:r>
        <w:t>Nicola Procaccini, Alessandro Ciriani, Elena Donazzan, Pietro Fiocchi, Lara Magoni, Francesco Torselli, Mariateresa Vivaldini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Regulas priekšlikums</w:t>
      </w:r>
      <w:r>
        <w:rPr>
          <w:rStyle w:val="HideTWBExt"/>
        </w:rPr>
        <w:t>&lt;/DocAmend&gt;</w:t>
      </w:r>
    </w:p>
    <w:p>
      <w:pPr>
        <w:pStyle w:val="NormalBold"/>
      </w:pPr>
      <w:r>
        <w:rPr>
          <w:rStyle w:val="HideTWBExt"/>
        </w:rPr>
        <w:t>&lt;Article&gt;</w:t>
      </w:r>
      <w:r>
        <w:t>12. pants – 11.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Komisijas ierosinātais teksts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Ja tas nepieciešams 3. pantā noteikto mērķu sasniegšanai, atsevišķas EKF daļas var īstenot, izmantojot publiskā un privātā sektora partnerības vai publiskā sektora partnerības, kas izveidotas saskaņā ar Pētniecības un inovācijas pamatprogrammu, jo īpaši saskaņā ar Regulas (ES, Euratom) 2024/2509 62. panta 1. punkta c) apakšpunktu uzticot budžeta izpildes uzdevumus kopuzņēmumiem, kas izveidoti, ievērojot LESD 187. pantu. EKF atbalsts ir atkarīgs no Savienības finansējuma efektīvas izmantošanas, samērīga citu partneru finansiāla ieguldījuma, kas vismaz atbilst Savienības ieguldījumam, un Savienības balsstiesībām pārvaldības struktūrās, kas nodrošina Savienības interešu aizsardzību partnerībā. Šajā nolūkā kopuzņēmumus izveido ar vienotu izveides aktu, kas nodrošina centralizētas administratīvās funkcijas.</w:t>
            </w:r>
          </w:p>
        </w:tc>
        <w:tc>
          <w:tcPr>
            <w:tcW w:w="4876" w:type="dxa"/>
            <w:tcBorders>
              <w:top w:val="nil"/>
              <w:left w:val="nil"/>
              <w:bottom w:val="nil"/>
              <w:right w:val="nil"/>
            </w:tcBorders>
          </w:tcPr>
          <w:p>
            <w:pPr>
              <w:pStyle w:val="Normal6a"/>
            </w:pPr>
            <w:r>
              <w:t>11.</w:t>
            </w:r>
            <w:r>
              <w:tab/>
            </w:r>
            <w:r>
              <w:t>Ja tas nepieciešams 3. pantā noteikto mērķu sasniegšanai, atsevišķas EKF daļas var īstenot, izmantojot publiskā un privātā sektora partnerības vai publiskā sektora partnerības, kas izveidotas saskaņā ar Pētniecības un inovācijas pamatprogrammu, jo īpaši saskaņā ar Regulas (ES, Euratom) 2024/2509 62. panta 1. punkta c) apakšpunktu uzticot budžeta izpildes uzdevumus kopuzņēmumiem, kas izveidoti, ievērojot LESD 187. pantu. EKF atbalsts ir atkarīgs no Savienības finansējuma efektīvas izmantošanas, samērīga citu partneru finansiāla ieguldījuma, kas vismaz atbilst Savienības ieguldījumam, un Savienības balsstiesībām pārvaldības struktūrās, kas nodrošina Savienības interešu aizsardzību partnerībā. Šajā nolūkā kopuzņēmumus izveido ar vienotu izveides aktu, kas nodrošina centralizētas administratīvās funkcijas</w:t>
            </w:r>
            <w:r>
              <w:rPr>
                <w:b/>
                <w:i/>
              </w:rPr>
              <w:t>, iekļaujošas pārvaldības struktūras un pārredzamību un līdzsvarotu pārstāvību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1918</w:t>
      </w:r>
      <w:r>
        <w:rPr>
          <w:rStyle w:val="HideTWBExt"/>
        </w:rPr>
        <w:t>&lt;/NumAm&gt;</w:t>
      </w:r>
    </w:p>
    <w:p>
      <w:pPr>
        <w:pStyle w:val="NormalBold"/>
      </w:pPr>
      <w:r>
        <w:rPr>
          <w:rStyle w:val="HideTWBExt"/>
          <w:b w:val="0"/>
        </w:rPr>
        <w:t>&lt;RepeatBlock-By&gt;</w:t>
      </w:r>
      <w:r>
        <w:rPr>
          <w:rStyle w:val="HideTWBExt"/>
          <w:b w:val="0"/>
        </w:rPr>
        <w:t>&lt;Members&gt;</w:t>
      </w:r>
      <w:r>
        <w:t>Andreas Glück, Morten Løkkegaard,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Regulas priekšlikums</w:t>
      </w:r>
      <w:r>
        <w:rPr>
          <w:rStyle w:val="HideTWBExt"/>
        </w:rPr>
        <w:t>&lt;/DocAmend&gt;</w:t>
      </w:r>
    </w:p>
    <w:p>
      <w:pPr>
        <w:pStyle w:val="NormalBold"/>
      </w:pPr>
      <w:r>
        <w:rPr>
          <w:rStyle w:val="HideTWBExt"/>
        </w:rPr>
        <w:t>&lt;Article&gt;</w:t>
      </w:r>
      <w:r>
        <w:t>12. pants – 11.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Komisijas ierosinātais teksts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Ja tas nepieciešams 3. pantā noteikto mērķu sasniegšanai, atsevišķas EKF daļas var īstenot, izmantojot publiskā un privātā sektora partnerības vai publiskā sektora partnerības, kas izveidotas saskaņā ar Pētniecības un inovācijas pamatprogrammu, jo īpaši saskaņā ar Regulas (ES, Euratom) 2024/2509 62. panta 1. punkta c) apakšpunktu uzticot budžeta izpildes uzdevumus kopuzņēmumiem, kas izveidoti, ievērojot LESD 187. pantu. EKF atbalsts ir atkarīgs no Savienības finansējuma efektīvas izmantošanas, samērīga citu partneru finansiāla ieguldījuma, kas vismaz atbilst Savienības ieguldījumam, un Savienības balsstiesībām pārvaldības struktūrās, kas nodrošina Savienības interešu aizsardzību partnerībā. Šajā nolūkā kopuzņēmumus izveido ar vienotu izveides aktu, kas nodrošina centralizētas administratīvās funkcijas.</w:t>
            </w:r>
          </w:p>
        </w:tc>
        <w:tc>
          <w:tcPr>
            <w:tcW w:w="4876" w:type="dxa"/>
            <w:tcBorders>
              <w:top w:val="nil"/>
              <w:left w:val="nil"/>
              <w:bottom w:val="nil"/>
              <w:right w:val="nil"/>
            </w:tcBorders>
          </w:tcPr>
          <w:p>
            <w:pPr>
              <w:pStyle w:val="Normal6a"/>
            </w:pPr>
            <w:r>
              <w:t>11.</w:t>
            </w:r>
            <w:r>
              <w:tab/>
            </w:r>
            <w:r>
              <w:t xml:space="preserve">Ja tas nepieciešams 3. pantā noteikto mērķu sasniegšanai, atsevišķas EKF daļas var īstenot, izmantojot publiskā un privātā sektora partnerības vai publiskā sektora partnerības, kas izveidotas saskaņā ar Pētniecības un inovācijas pamatprogrammu, jo īpaši saskaņā ar Regulas (ES, Euratom) 2024/2509 62. panta 1. punkta c) apakšpunktu uzticot budžeta izpildes uzdevumus kopuzņēmumiem, kas izveidoti, ievērojot LESD 187. pantu. EKF atbalsts ir atkarīgs no Savienības finansējuma efektīvas izmantošanas, samērīga citu partneru finansiāla </w:t>
            </w:r>
            <w:r>
              <w:rPr>
                <w:b/>
                <w:i/>
              </w:rPr>
              <w:t>un/vai natūrā sniegta</w:t>
            </w:r>
            <w:r>
              <w:t xml:space="preserve"> ieguldījuma, kas vismaz atbilst Savienības ieguldījumam, un Savienības balsstiesībām pārvaldības struktūrās, kas nodrošina Savienības interešu aizsardzību partnerībā. Šajā nolūkā kopuzņēmumus izveido ar vienotu izveides aktu, kas nodrošina centralizētas administratīvās funkcijas.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1919</w:t>
      </w:r>
      <w:r>
        <w:rPr>
          <w:rStyle w:val="HideTWBExt"/>
        </w:rPr>
        <w:t>&lt;/NumAm&gt;</w:t>
      </w:r>
    </w:p>
    <w:p>
      <w:pPr>
        <w:pStyle w:val="NormalBold"/>
      </w:pPr>
      <w:r>
        <w:rPr>
          <w:rStyle w:val="HideTWBExt"/>
          <w:b w:val="0"/>
        </w:rPr>
        <w:t>&lt;RepeatBlock-By&gt;</w:t>
      </w:r>
      <w:r>
        <w:rPr>
          <w:rStyle w:val="HideTWBExt"/>
          <w:b w:val="0"/>
        </w:rPr>
        <w:t>&lt;Members&gt;</w:t>
      </w:r>
      <w:r>
        <w:t>Krzysztof Hetman, Adam Jarubas, Borys Budka, Kamila Gasiuk-Pihowicz, Mirosława Nykiel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Regulas priekšlikums</w:t>
      </w:r>
      <w:r>
        <w:rPr>
          <w:rStyle w:val="HideTWBExt"/>
        </w:rPr>
        <w:t>&lt;/DocAmend&gt;</w:t>
      </w:r>
    </w:p>
    <w:p>
      <w:pPr>
        <w:pStyle w:val="NormalBold"/>
      </w:pPr>
      <w:r>
        <w:rPr>
          <w:rStyle w:val="HideTWBExt"/>
        </w:rPr>
        <w:t>&lt;Article&gt;</w:t>
      </w:r>
      <w:r>
        <w:t>12. pants – 11.a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Komisijas ierosinātais teksts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Priekšlikumu izvērtēšanas pamatā ir tikai priekšlikuma kvalitāte un izcilība, un dalībvalsts līdzfinansējuma likmes līmenis nerada nekādas priekšrocības vai nelabvēlīgus apstākļus.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1920</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Regulas priekšlikums</w:t>
      </w:r>
      <w:r>
        <w:rPr>
          <w:rStyle w:val="HideTWBExt"/>
        </w:rPr>
        <w:t>&lt;/DocAmend&gt;</w:t>
      </w:r>
    </w:p>
    <w:p>
      <w:pPr>
        <w:pStyle w:val="NormalBold"/>
      </w:pPr>
      <w:r>
        <w:rPr>
          <w:rStyle w:val="HideTWBExt"/>
        </w:rPr>
        <w:t>&lt;Article&gt;</w:t>
      </w:r>
      <w:r>
        <w:t>12. pants – 12.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Komisijas ierosinātais teksts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Papildus Regulas (ES, Euratom) 2024/2509 132. pantā izklāstītajiem iemesliem piešķiršanas procedūras un no tām izrietošās juridiskās saistības </w:t>
            </w:r>
            <w:r>
              <w:rPr>
                <w:b/>
                <w:i/>
              </w:rPr>
              <w:t>ietver noteikumus, kas</w:t>
            </w:r>
            <w:r>
              <w:t xml:space="preserve"> ļauj izbeigt </w:t>
            </w:r>
            <w:r>
              <w:rPr>
                <w:b/>
                <w:i/>
              </w:rPr>
              <w:t>īstenošanu, ja</w:t>
            </w:r>
            <w:r>
              <w:t xml:space="preserve"> darbības mērķi</w:t>
            </w:r>
            <w:r>
              <w:rPr>
                <w:b/>
                <w:i/>
              </w:rPr>
              <w:t>, visticamāk, netiks sasniegti vispār vai netiks</w:t>
            </w:r>
            <w:r>
              <w:t xml:space="preserve"> sasniegti noteiktajos termiņos vai ja </w:t>
            </w:r>
            <w:r>
              <w:rPr>
                <w:b/>
                <w:i/>
              </w:rPr>
              <w:t>darbība ir zaudējusi savu politisko nozīmi</w:t>
            </w:r>
            <w:r>
              <w:t>.</w:t>
            </w:r>
          </w:p>
        </w:tc>
        <w:tc>
          <w:tcPr>
            <w:tcW w:w="4876" w:type="dxa"/>
            <w:tcBorders>
              <w:top w:val="nil"/>
              <w:left w:val="nil"/>
              <w:bottom w:val="nil"/>
              <w:right w:val="nil"/>
            </w:tcBorders>
          </w:tcPr>
          <w:p>
            <w:pPr>
              <w:pStyle w:val="Normal6a"/>
            </w:pPr>
            <w:r>
              <w:t>12.</w:t>
            </w:r>
            <w:r>
              <w:tab/>
            </w:r>
            <w:r>
              <w:t xml:space="preserve">Papildus Regulas (ES, Euratom) 2024/2509 132. pantā izklāstītajiem iemesliem piešķiršanas procedūras un no tām izrietošās juridiskās saistības ļauj izbeigt </w:t>
            </w:r>
            <w:r>
              <w:rPr>
                <w:b/>
                <w:i/>
              </w:rPr>
              <w:t>darbību, ja ir maz ticams, ka tiks sasniegti</w:t>
            </w:r>
            <w:r>
              <w:t xml:space="preserve"> darbības mērķi </w:t>
            </w:r>
            <w:r>
              <w:rPr>
                <w:b/>
                <w:i/>
              </w:rPr>
              <w:t>vai ka mērķi tiks</w:t>
            </w:r>
            <w:r>
              <w:t xml:space="preserve"> sasniegti noteiktajos termiņos</w:t>
            </w:r>
            <w:r>
              <w:rPr>
                <w:b/>
                <w:i/>
              </w:rPr>
              <w:t>,</w:t>
            </w:r>
            <w:r>
              <w:t xml:space="preserve"> vai ja </w:t>
            </w:r>
            <w:r>
              <w:rPr>
                <w:b/>
                <w:i/>
              </w:rPr>
              <w:t>saņēmēji neievēro koplīgumus vai attiecīgos sociālo un darba tiesību noteikumus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1921</w:t>
      </w:r>
      <w:r>
        <w:rPr>
          <w:rStyle w:val="HideTWBExt"/>
        </w:rPr>
        <w:t>&lt;/NumAm&gt;</w:t>
      </w:r>
    </w:p>
    <w:p>
      <w:pPr>
        <w:pStyle w:val="NormalBold"/>
      </w:pPr>
      <w:r>
        <w:rPr>
          <w:rStyle w:val="HideTWBExt"/>
          <w:b w:val="0"/>
        </w:rPr>
        <w:t>&lt;RepeatBlock-By&gt;</w:t>
      </w:r>
      <w:r>
        <w:rPr>
          <w:rStyle w:val="HideTWBExt"/>
          <w:b w:val="0"/>
        </w:rPr>
        <w:t>&lt;Members&gt;</w:t>
      </w:r>
      <w:r>
        <w:t>Letizia Moratti, Massimiliano Salini, Fulvio Martusciello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Regulas priekšlikums</w:t>
      </w:r>
      <w:r>
        <w:rPr>
          <w:rStyle w:val="HideTWBExt"/>
        </w:rPr>
        <w:t>&lt;/DocAmend&gt;</w:t>
      </w:r>
    </w:p>
    <w:p>
      <w:pPr>
        <w:pStyle w:val="NormalBold"/>
      </w:pPr>
      <w:r>
        <w:rPr>
          <w:rStyle w:val="HideTWBExt"/>
        </w:rPr>
        <w:t>&lt;Article&gt;</w:t>
      </w:r>
      <w:r>
        <w:t>12. pants – 12.a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Komisijas ierosinātais teksts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Visos liela mēroga sadarbības projektos un vērtības ķēdes darbībās, ko īsteno saskaņā ar šo regulu, darba programmās paredz finansiāla atbalsta trešām personām (FSTP) vai kaskādes finansējuma īstenošanu, lai atvieglotu MVU un jaunuzņēmumu dalību.</w:t>
            </w:r>
            <w:r>
              <w:t xml:space="preserve"> </w:t>
            </w:r>
            <w:r>
              <w:rPr>
                <w:b/>
                <w:i/>
              </w:rPr>
              <w:t>Šajos uzaicinājumos izmanto standartizētus modeļus un racionalizētus procesus, lai līdz minimumam samazinātu administratīvās izmaksas, un ar vietējo kontaktpunktu palīdzību sniedz tehnisko un apmācības atbalstu, tostarp mentorēšanu un piekļuvi progresīvai infrastruktūrai.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1922</w:t>
      </w:r>
      <w:r>
        <w:rPr>
          <w:rStyle w:val="HideTWBExt"/>
        </w:rPr>
        <w:t>&lt;/NumAm&gt;</w:t>
      </w:r>
    </w:p>
    <w:p>
      <w:pPr>
        <w:pStyle w:val="NormalBold"/>
      </w:pPr>
      <w:r>
        <w:rPr>
          <w:rStyle w:val="HideTWBExt"/>
          <w:b w:val="0"/>
        </w:rPr>
        <w:t>&lt;RepeatBlock-By&gt;</w:t>
      </w:r>
      <w:r>
        <w:rPr>
          <w:rStyle w:val="HideTWBExt"/>
          <w:b w:val="0"/>
        </w:rPr>
        <w:t>&lt;Members&gt;</w:t>
      </w:r>
      <w:r>
        <w:t>Yvan Verougstraete, Brigitte van den Berg, Christophe Grudler, Oihane Agirregoitia Martínez,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Regulas priekšlikums</w:t>
      </w:r>
      <w:r>
        <w:rPr>
          <w:rStyle w:val="HideTWBExt"/>
        </w:rPr>
        <w:t>&lt;/DocAmend&gt;</w:t>
      </w:r>
    </w:p>
    <w:p>
      <w:pPr>
        <w:pStyle w:val="NormalBold"/>
      </w:pPr>
      <w:r>
        <w:rPr>
          <w:rStyle w:val="HideTWBExt"/>
        </w:rPr>
        <w:t>&lt;Article&gt;</w:t>
      </w:r>
      <w:r>
        <w:t>12. pants – 12.a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Komisijas ierosinātais teksts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Savienības atbalstu saskaņā ar EKF sniedz ar finansējuma intensitāti, kas kalibrēta atbilstoši atbalstītās darbības būtībai, mērķiem un specifiskajām iezīmēm, ņemot vērā brieduma pakāpi un tehnoloģiskā, finanšu vai tirgus riska pakāpi, tādā veidā, kas atbilst principiem, kuri piemērojami Savienības finansējumam saskaņā ar Finanšu regulu un citām Savienības programmām.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1923</w:t>
      </w:r>
      <w:r>
        <w:rPr>
          <w:rStyle w:val="HideTWBExt"/>
        </w:rPr>
        <w:t>&lt;/NumAm&gt;</w:t>
      </w:r>
    </w:p>
    <w:p>
      <w:pPr>
        <w:pStyle w:val="NormalBold"/>
      </w:pPr>
      <w:r>
        <w:rPr>
          <w:rStyle w:val="HideTWBExt"/>
          <w:b w:val="0"/>
        </w:rPr>
        <w:t>&lt;RepeatBlock-By&gt;</w:t>
      </w:r>
      <w:r>
        <w:rPr>
          <w:rStyle w:val="HideTWBExt"/>
          <w:b w:val="0"/>
        </w:rPr>
        <w:t>&lt;Members&gt;</w:t>
      </w:r>
      <w:r>
        <w:t>Christian Ehler, Oliver Schenk, Matej Tonin, Adina Vălean, Pilar del Castillo Vera, Hildegard Bentele, Angelika Niebler, Eszter Lakos, Virgil-Daniel Popescu, Susana Solís Pérez, Dimitris Tsiodras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Regulas priekšlikums</w:t>
      </w:r>
      <w:r>
        <w:rPr>
          <w:rStyle w:val="HideTWBExt"/>
        </w:rPr>
        <w:t>&lt;/DocAmend&gt;</w:t>
      </w:r>
    </w:p>
    <w:p>
      <w:pPr>
        <w:pStyle w:val="NormalBold"/>
      </w:pPr>
      <w:r>
        <w:rPr>
          <w:rStyle w:val="HideTWBExt"/>
        </w:rPr>
        <w:t>&lt;Article&gt;</w:t>
      </w:r>
      <w:r>
        <w:t>12. pants – 12.a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Komisijas ierosinātais teksts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Ja atbalstītā darbība attiecas uz plaša mēroga preču ražošanu un atbalstu sniedz dotācijas veidā, atbalstu sniedz ar ražošanu saistītu stimulu veidā.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1924</w:t>
      </w:r>
      <w:r>
        <w:rPr>
          <w:rStyle w:val="HideTWBExt"/>
        </w:rPr>
        <w:t>&lt;/NumAm&gt;</w:t>
      </w:r>
    </w:p>
    <w:p>
      <w:pPr>
        <w:pStyle w:val="NormalBold"/>
      </w:pPr>
      <w:r>
        <w:rPr>
          <w:rStyle w:val="HideTWBExt"/>
          <w:b w:val="0"/>
        </w:rPr>
        <w:t>&lt;RepeatBlock-By&gt;</w:t>
      </w:r>
      <w:r>
        <w:rPr>
          <w:rStyle w:val="HideTWBExt"/>
          <w:b w:val="0"/>
        </w:rPr>
        <w:t>&lt;Members&gt;</w:t>
      </w:r>
      <w:r>
        <w:t>Aura Salla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Regulas priekšlikums</w:t>
      </w:r>
      <w:r>
        <w:rPr>
          <w:rStyle w:val="HideTWBExt"/>
        </w:rPr>
        <w:t>&lt;/DocAmend&gt;</w:t>
      </w:r>
    </w:p>
    <w:p>
      <w:pPr>
        <w:pStyle w:val="NormalBold"/>
      </w:pPr>
      <w:r>
        <w:rPr>
          <w:rStyle w:val="HideTWBExt"/>
        </w:rPr>
        <w:t>&lt;Article&gt;</w:t>
      </w:r>
      <w:r>
        <w:t>12. pants – 12.a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Komisijas ierosinātais teksts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Ja atbalstītā darbība attiecas uz plaša mēroga preču ražošanu un atbalstu sniedz dotācijas veidā, atbalstu sniedz ar ražošanu saistītu stimulu veidā.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1925</w:t>
      </w:r>
      <w:r>
        <w:rPr>
          <w:rStyle w:val="HideTWBExt"/>
        </w:rPr>
        <w:t>&lt;/NumAm&gt;</w:t>
      </w:r>
    </w:p>
    <w:p>
      <w:pPr>
        <w:pStyle w:val="NormalBold"/>
      </w:pPr>
      <w:r>
        <w:rPr>
          <w:rStyle w:val="HideTWBExt"/>
          <w:b w:val="0"/>
        </w:rPr>
        <w:t>&lt;RepeatBlock-By&gt;</w:t>
      </w:r>
      <w:r>
        <w:rPr>
          <w:rStyle w:val="HideTWBExt"/>
          <w:b w:val="0"/>
        </w:rPr>
        <w:t>&lt;Members&gt;</w:t>
      </w:r>
      <w:r>
        <w:t>Jana Nagyová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Regulas priekšlikums</w:t>
      </w:r>
      <w:r>
        <w:rPr>
          <w:rStyle w:val="HideTWBExt"/>
        </w:rPr>
        <w:t>&lt;/DocAmend&gt;</w:t>
      </w:r>
    </w:p>
    <w:p>
      <w:pPr>
        <w:pStyle w:val="NormalBold"/>
      </w:pPr>
      <w:r>
        <w:rPr>
          <w:rStyle w:val="HideTWBExt"/>
        </w:rPr>
        <w:t>&lt;Article&gt;</w:t>
      </w:r>
      <w:r>
        <w:t>12. pants – 12.a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Komisijas ierosinātais teksts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Ja Savienības atbalsts tiek sniegts lineārai infrastruktūrai, gada darba programmās paredz, ka vismaz 50 % no finansējuma tiek nodrošināti kā dotācijas.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1926</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Regulas priekšlikums</w:t>
      </w:r>
      <w:r>
        <w:rPr>
          <w:rStyle w:val="HideTWBExt"/>
        </w:rPr>
        <w:t>&lt;/DocAmend&gt;</w:t>
      </w:r>
    </w:p>
    <w:p>
      <w:pPr>
        <w:pStyle w:val="NormalBold"/>
      </w:pPr>
      <w:r>
        <w:rPr>
          <w:rStyle w:val="HideTWBExt"/>
        </w:rPr>
        <w:t>&lt;Article&gt;</w:t>
      </w:r>
      <w:r>
        <w:t>12.a pants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Komisijas ierosinātais teksts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12.a pants</w:t>
            </w:r>
            <w:r>
              <w:tab/>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Pelņas sadales kārtība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 xml:space="preserve"> </w:t>
            </w:r>
            <w:r>
              <w:rPr>
                <w:b/>
                <w:i/>
              </w:rPr>
              <w:t>Ja Savienības finansējums tiek sniegts dotācijas veidā bezpeļņas tiesību subjektam, Savienība un labuma guvējs izveido atbilstīgu pakalpojumu koplietošanas kārtību.</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Minētā kārtība nodrošina, ka tad, ja atbalstītās darbības faktiskā atdeve pārsniedz pamatscenārija prognozes, kas apstiprinātas piešķiršanas lēmuma pieņemšanas laikā, virspeļņa, kura gūta laikposmā līdz pieciem kalendārajiem gadiem no Savienības ieguldījuma galīgā maksājuma, tiek atmaksāta Savienības budžetā.</w:t>
            </w:r>
            <w:r>
              <w:t xml:space="preserve"> </w:t>
            </w:r>
            <w:r>
              <w:rPr>
                <w:b/>
                <w:i/>
              </w:rPr>
              <w:t>Šā punkta piemērošanas nolūkā minētos ieņēmumus novērtē, ņemot vērā atbalstītās darbības iekšējo atdeves likmi.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Ja realizētā iekšējā peļņas norma pārsniedz apstiprināto pamatscenārija iekšējo peļņas normu, visu virspeļņas summu, kas pārsniedz apstiprināto pamatscenārija iekšējo peļņas normu, atmaksā Savienības budžetā.</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w:t>
            </w:r>
            <w:r>
              <w:t xml:space="preserve"> </w:t>
            </w:r>
            <w:r>
              <w:rPr>
                <w:b/>
                <w:i/>
              </w:rPr>
              <w:t>Ja Savienības atbalstu sniedz budžeta garantijas vai finanšu instrumenta veidā, tostarp finansējuma apvienošanas darbībās, starp Savienību, īstenošanas partneriem un galasaņēmējiem izveido atbilstīgu riska un atlīdzības kārtību.</w:t>
            </w:r>
            <w:r>
              <w:t xml:space="preserve"> </w:t>
            </w:r>
            <w:r>
              <w:rPr>
                <w:b/>
                <w:i/>
              </w:rPr>
              <w:t>Minētā kārtība nodrošina, ka Savienības dalība operācijas riskos ir saskaņota ar taisnīgu un samērīgu dalību minētās operācijas radītajos ekonomiskajos ieņēmumos.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Ja Savienības atbalstu izmanto, lai absorbētu pirmos zaudējumus vai citādi samazinātu negatīvo risku, kuru uzņemas privātie investori, šādu atbalstu piešķir ar nosacījumu, ka ir izveidots atbilstošs mehānisms, kas nodrošina, ka Savienības budžets proporcionāli piedalās jebkurā atbalstītās darbības radītajā pozitīvajā ietekmē.</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Minētā līdzdalība papildina visus ieņēmumus, kuri citādi pienākas Savienībai, tostarp garantijas maksas, procentus, atlīdzību vai citas summas, un to aprēķina, atsaucoties uz 1. punktā noteikto pārmērīgas atdeves mehānismu, kas pielāgots budžeta garantijas vai finanšu instrumenta būtībai.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Finansējuma apvienošanas darbībās sīki izstrādātā kārtībā nošķir ieņēmumus, kas attiecināmi uz atmaksājamo atbalstu, un ieņēmumus, kuri attiecināmi uz neatmaksājamā atbalsta komponentu.</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Visus ieņēmumus, kas gūti no Savienības atbalsta saskaņā ar šo regulu un ko saņēmuši īstenošanas partneri, iekļauj Savienības budžetā saskaņā ar Regulas (ES, Euratom) 2024/2509 212. panta 3. punktu.</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w:t>
            </w:r>
            <w:r>
              <w:t xml:space="preserve"> </w:t>
            </w:r>
            <w:r>
              <w:rPr>
                <w:b/>
                <w:i/>
              </w:rPr>
              <w:t>Saskaņā ar 1. un 2. punktu radītie ieņēmumi veido iekšējos piešķirtos ieņēmumus Regulas (ES, Euratom) 2024/2509 21. panta 5. punkta nozīmē.</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w:t>
            </w:r>
            <w:r>
              <w:t xml:space="preserve"> </w:t>
            </w:r>
            <w:r>
              <w:rPr>
                <w:b/>
                <w:i/>
              </w:rPr>
              <w:t>Komisija saskaņā ar 84. pantu pieņem deleģētos aktus, lai papildinātu šo regulu, nosakot metodiku un sīki izstrādātu kārtību, kas vajadzīga šā panta piemērošanai, tostarp faktisko un pārsniegto ieņēmumu aprēķināšanu, attieksmi pret dažādiem Savienības atbalsta veidiem un saņēmēju kategorijām, piemērojamās robežvērtības un pārskata periodus, ziņošanas un revīzijas pienākumus un kārtību, kādā notiek atmaksāšana Savienības budžetā.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1927</w:t>
      </w:r>
      <w:r>
        <w:rPr>
          <w:rStyle w:val="HideTWBExt"/>
        </w:rPr>
        <w:t>&lt;/NumAm&gt;</w:t>
      </w:r>
    </w:p>
    <w:p>
      <w:pPr>
        <w:pStyle w:val="NormalBold"/>
      </w:pPr>
      <w:r>
        <w:rPr>
          <w:rStyle w:val="HideTWBExt"/>
          <w:b w:val="0"/>
        </w:rPr>
        <w:t>&lt;RepeatBlock-By&gt;</w:t>
      </w:r>
      <w:r>
        <w:rPr>
          <w:rStyle w:val="HideTWBExt"/>
          <w:b w:val="0"/>
        </w:rPr>
        <w:t>&lt;Members&gt;</w:t>
      </w:r>
      <w:r>
        <w:t>Jana Nagyová, Ondřej Knotek, Tomáš Kubín, Klara Dostalova, András Gyürk, Vilis Krištopans, Ewa Zajączkowska-Hernik, Afroditi Latinopoulou, Anna Bryłka, Jorge Buxadé Villalba, António Tânger Corrêa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Regulas priekšlikums</w:t>
      </w:r>
      <w:r>
        <w:rPr>
          <w:rStyle w:val="HideTWBExt"/>
        </w:rPr>
        <w:t>&lt;/DocAmend&gt;</w:t>
      </w:r>
    </w:p>
    <w:p>
      <w:pPr>
        <w:pStyle w:val="NormalBold"/>
      </w:pPr>
      <w:r>
        <w:rPr>
          <w:rStyle w:val="HideTWBExt"/>
        </w:rPr>
        <w:t>&lt;Article&gt;</w:t>
      </w:r>
      <w:r>
        <w:t>12.a pants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Komisijas ierosinātais teksts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12.a pants</w:t>
            </w:r>
            <w:r>
              <w:tab/>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Fonds, iekļaujot “iekļaujošas izcilības” kritērijus, nodrošina resursu līdzsvarotu ģeogrāfisko sadalījumu.</w:t>
            </w:r>
            <w:r>
              <w:t xml:space="preserve"> </w:t>
            </w:r>
            <w:r>
              <w:rPr>
                <w:b/>
                <w:i/>
              </w:rPr>
              <w:t>Vismaz 25 % no budžeta līdz termiņa vidum atvēl konsorcijiem, kuros ir vismaz viens partneris no dalībvalstīm, kas jaunākajā, 2. panta 4.a punktā minētajā Eiropas inovācijas rezultātu pārskatā ir klasificētas kā mēreni novatori vai jauni novatori.</w:t>
            </w:r>
            <w:r>
              <w:t xml:space="preserve"> </w:t>
            </w:r>
            <w:r>
              <w:rPr>
                <w:b/>
                <w:i/>
              </w:rPr>
              <w:t>Izvērtēšanas kritērijus izstrādā tā, lai ar tiem priekšroka tiktu dota jaunu inovācijas ekosistēmu integrācijai Eiropas stratēģiskajās vērtības ķēdēs.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1928</w:t>
      </w:r>
      <w:r>
        <w:rPr>
          <w:rStyle w:val="HideTWBExt"/>
        </w:rPr>
        <w:t>&lt;/NumAm&gt;</w:t>
      </w:r>
    </w:p>
    <w:p>
      <w:pPr>
        <w:pStyle w:val="NormalBold"/>
      </w:pPr>
      <w:r>
        <w:rPr>
          <w:rStyle w:val="HideTWBExt"/>
          <w:b w:val="0"/>
        </w:rPr>
        <w:t>&lt;RepeatBlock-By&gt;</w:t>
      </w:r>
      <w:r>
        <w:rPr>
          <w:rStyle w:val="HideTWBExt"/>
          <w:b w:val="0"/>
        </w:rPr>
        <w:t>&lt;Members&gt;</w:t>
      </w:r>
      <w:r>
        <w:t>Diana Iovanovici Şoşoacă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Regulas priekšlikums</w:t>
      </w:r>
      <w:r>
        <w:rPr>
          <w:rStyle w:val="HideTWBExt"/>
        </w:rPr>
        <w:t>&lt;/DocAmend&gt;</w:t>
      </w:r>
    </w:p>
    <w:p>
      <w:pPr>
        <w:pStyle w:val="NormalBold"/>
      </w:pPr>
      <w:r>
        <w:rPr>
          <w:rStyle w:val="HideTWBExt"/>
        </w:rPr>
        <w:t>&lt;Article&gt;</w:t>
      </w:r>
      <w:r>
        <w:t>13. pants – 4.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Komisijas ierosinātais teksts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Savienības iestādēm, struktūrām un aģentūrām, kas iesaistītas Savienības budžeta izpildē, ir piekļuve informācijai, tai skaitā klasificētai informācijai, kas vajadzīga, lai veiktu piešķiršanas procedūras, īstenošanas darbības, tai skaitā ziņošanu un maksājumus, kā arī pārbaudes, pārskatīšanas, revīzijas un izmeklēšanas.</w:t>
            </w:r>
          </w:p>
        </w:tc>
        <w:tc>
          <w:tcPr>
            <w:tcW w:w="4876" w:type="dxa"/>
            <w:tcBorders>
              <w:top w:val="nil"/>
              <w:left w:val="nil"/>
              <w:bottom w:val="nil"/>
              <w:right w:val="nil"/>
            </w:tcBorders>
          </w:tcPr>
          <w:p>
            <w:pPr>
              <w:pStyle w:val="Normal6a"/>
            </w:pPr>
            <w:r>
              <w:t>4.</w:t>
            </w:r>
            <w:r>
              <w:tab/>
            </w:r>
            <w:r>
              <w:t>Savienības iestādēm, struktūrām un aģentūrām, kas iesaistītas Savienības budžeta izpildē, ir piekļuve informācijai, tai skaitā klasificētai informācijai, kas vajadzīga, lai veiktu piešķiršanas procedūras, īstenošanas darbības, tai skaitā ziņošanu un maksājumus, kā arī pārbaudes, pārskatīšanas, revīzijas un izmeklēšanas</w:t>
            </w:r>
            <w:r>
              <w:rPr>
                <w:b/>
                <w:i/>
              </w:rPr>
              <w:t>, paredzot skaidrus piekļuves noteikumus un nosacījumus, tostarp piekļuves periodus</w:t>
            </w:r>
            <w:r>
              <w:t>.</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1929</w:t>
      </w:r>
      <w:r>
        <w:rPr>
          <w:rStyle w:val="HideTWBExt"/>
        </w:rPr>
        <w:t>&lt;/NumAm&gt;</w:t>
      </w:r>
    </w:p>
    <w:p>
      <w:pPr>
        <w:pStyle w:val="NormalBold"/>
      </w:pPr>
      <w:r>
        <w:rPr>
          <w:rStyle w:val="HideTWBExt"/>
          <w:b w:val="0"/>
        </w:rPr>
        <w:t>&lt;RepeatBlock-By&gt;</w:t>
      </w:r>
      <w:r>
        <w:rPr>
          <w:rStyle w:val="HideTWBExt"/>
          <w:b w:val="0"/>
        </w:rPr>
        <w:t>&lt;Members&gt;</w:t>
      </w:r>
      <w:r>
        <w:t>András Gyürk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Regulas priekšlikums</w:t>
      </w:r>
      <w:r>
        <w:rPr>
          <w:rStyle w:val="HideTWBExt"/>
        </w:rPr>
        <w:t>&lt;/DocAmend&gt;</w:t>
      </w:r>
    </w:p>
    <w:p>
      <w:pPr>
        <w:pStyle w:val="NormalBold"/>
      </w:pPr>
      <w:r>
        <w:rPr>
          <w:rStyle w:val="HideTWBExt"/>
        </w:rPr>
        <w:t>&lt;Article&gt;</w:t>
      </w:r>
      <w:r>
        <w:t>13. pants – 5. punkts</w:t>
      </w:r>
      <w:r>
        <w:rPr>
          <w:rStyle w:val="HideTWBExt"/>
        </w:rPr>
        <w:t>&lt;/Article&gt;</w:t>
      </w:r>
    </w:p>
    <w:p>
      <w:r>
        <w:rPr>
          <w:rStyle w:val="HideTWBExt"/>
        </w:rPr>
        <w:t>&lt;DocAmend2&gt;</w:t>
      </w:r>
      <w:r>
        <w:t>Regulas priekšlikums</w:t>
      </w:r>
      <w:r>
        <w:rPr>
          <w:rStyle w:val="HideTWBExt"/>
        </w:rPr>
        <w:t>&lt;/DocAmend2&gt;</w:t>
      </w:r>
    </w:p>
    <w:p>
      <w:r>
        <w:rPr>
          <w:rStyle w:val="HideTWBExt"/>
        </w:rPr>
        <w:t>&lt;Article2&gt;</w:t>
      </w:r>
      <w:r>
        <w:t>13. pants – 5. punkts</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Komisijas ierosinātais teksts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Lai nodrošinātu atbilstību Regulā (ES, Euratom) 2024/2509 noteiktajām prasībām, tai skaitā pārredzamības un vienlīdzīgas attieksmes principiem, visos piešķiršanas procedūru posmos, kas saistīti ar klasificētu informāciju, Savienības atbalsta izvērtēšanai, piešķiršanai un revīzijai nepieciešamos administratīvos datus, kas attiecas tikai uz juridisku, finansiālu un procesuālu informāciju, uzskata par sensitīvu neklasificētu informāciju.</w:t>
            </w:r>
          </w:p>
        </w:tc>
        <w:tc>
          <w:tcPr>
            <w:tcW w:w="4876" w:type="dxa"/>
            <w:tcBorders>
              <w:top w:val="nil"/>
              <w:left w:val="nil"/>
              <w:bottom w:val="nil"/>
              <w:right w:val="nil"/>
            </w:tcBorders>
          </w:tcPr>
          <w:p>
            <w:pPr>
              <w:pStyle w:val="Normal6a"/>
            </w:pPr>
            <w:r>
              <w:t>5.</w:t>
            </w:r>
            <w:r>
              <w:tab/>
            </w:r>
            <w:r>
              <w:t>Lai nodrošinātu atbilstību Regulā (ES, Euratom) 2024/2509 noteiktajām prasībām, tai skaitā pārredzamības un vienlīdzīgas attieksmes principiem, visos piešķiršanas procedūru posmos, kas saistīti ar klasificētu informāciju, Savienības atbalsta izvērtēšanai, piešķiršanai un revīzijai nepieciešamos administratīvos datus, kas attiecas tikai uz juridisku, finansiālu un procesuālu informāciju, uzskata par sensitīvu neklasificētu informāciju</w:t>
            </w:r>
            <w:r>
              <w:rPr>
                <w:b/>
                <w:i/>
              </w:rPr>
              <w:t>, ja vien aizsardzības un drošības apsvērumu dēļ nav nepieciešama citāda attieksme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1930</w:t>
      </w:r>
      <w:r>
        <w:rPr>
          <w:rStyle w:val="HideTWBExt"/>
        </w:rPr>
        <w:t>&lt;/NumAm&gt;</w:t>
      </w:r>
    </w:p>
    <w:p>
      <w:pPr>
        <w:pStyle w:val="NormalBold"/>
      </w:pPr>
      <w:r>
        <w:rPr>
          <w:rStyle w:val="HideTWBExt"/>
          <w:b w:val="0"/>
        </w:rPr>
        <w:t>&lt;RepeatBlock-By&gt;</w:t>
      </w:r>
      <w:r>
        <w:rPr>
          <w:rStyle w:val="HideTWBExt"/>
          <w:b w:val="0"/>
        </w:rPr>
        <w:t>&lt;Members&gt;</w:t>
      </w:r>
      <w:r>
        <w:t>Niels Flemming Hansen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Regulas priekšlikums</w:t>
      </w:r>
      <w:r>
        <w:rPr>
          <w:rStyle w:val="HideTWBExt"/>
        </w:rPr>
        <w:t>&lt;/DocAmend&gt;</w:t>
      </w:r>
    </w:p>
    <w:p>
      <w:pPr>
        <w:pStyle w:val="NormalBold"/>
      </w:pPr>
      <w:r>
        <w:rPr>
          <w:rStyle w:val="HideTWBExt"/>
        </w:rPr>
        <w:t>&lt;Article&gt;</w:t>
      </w:r>
      <w:r>
        <w:t>13. pants – 5.a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Komisijas ierosinātais teksts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Komisijai ir pienākums izstrādāt skaidrus un visaptverošus norādījumus par konfidenciālas, sensitīvas un klasificētas informācijas pārvaldību un apstrādi.</w:t>
            </w:r>
            <w:r>
              <w:t xml:space="preserve"> </w:t>
            </w:r>
            <w:r>
              <w:rPr>
                <w:b/>
                <w:i/>
              </w:rPr>
              <w:t>Tā nodrošina, ka drošības klasifikācijas rokasgrāmatas tiek izstrādātas, pienācīgi ņemot vērā visu lielumu struktūru, tostarp pētniecību veicošo organizāciju un publiskā sektora dalībnieku, darbības spēju efektīvi īstenot šādas prasības to konkrētajā darbības vidē.</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Pamatojums</w:t>
      </w:r>
      <w:r>
        <w:rPr>
          <w:rStyle w:val="HideTWBExt"/>
        </w:rPr>
        <w:t>&lt;/TitreJust&gt;</w:t>
      </w:r>
    </w:p>
    <w:p>
      <w:pPr>
        <w:pStyle w:val="AmJustText"/>
      </w:pPr>
      <w:r>
        <w:t>Informācijas klasifikācijas neskaidrība rada būtiskus šķēršļus līdzdalībai stratēģiskās nozarēs.</w:t>
      </w:r>
      <w:r>
        <w:t xml:space="preserve"> </w:t>
      </w:r>
      <w:r>
        <w:t>Šis noteikums paredz skaidrus, ieinteresēto personu informētus norādījumus, lai nodrošinātu darbības noteiktību un īstenojamību jau no EKF un 10. pamatprogrammas sākuma, novēršot administratīvās nesaskaņas visiem saņēmējiem.</w:t>
      </w:r>
    </w:p>
    <w:p>
      <w:r>
        <w:rPr>
          <w:rStyle w:val="HideTWBExt"/>
        </w:rPr>
        <w:t>&lt;/Amend&gt;</w:t>
      </w:r>
    </w:p>
    <w:p>
      <w:pPr>
        <w:pStyle w:val="AmNumberTabs"/>
      </w:pPr>
      <w:r>
        <w:rPr>
          <w:rStyle w:val="HideTWBExt"/>
        </w:rPr>
        <w:t>&lt;Amend&gt;</w:t>
      </w:r>
      <w:r>
        <w:t>Grozījums Nr.</w:t>
      </w:r>
      <w:r>
        <w:tab/>
      </w:r>
      <w:r>
        <w:tab/>
      </w:r>
      <w:r>
        <w:rPr>
          <w:rStyle w:val="HideTWBExt"/>
        </w:rPr>
        <w:t>&lt;NumAm&gt;</w:t>
      </w:r>
      <w:r>
        <w:t>1931</w:t>
      </w:r>
      <w:r>
        <w:rPr>
          <w:rStyle w:val="HideTWBExt"/>
        </w:rPr>
        <w:t>&lt;/NumAm&gt;</w:t>
      </w:r>
    </w:p>
    <w:p>
      <w:pPr>
        <w:pStyle w:val="NormalBold"/>
      </w:pPr>
      <w:r>
        <w:rPr>
          <w:rStyle w:val="HideTWBExt"/>
          <w:b w:val="0"/>
        </w:rPr>
        <w:t>&lt;RepeatBlock-By&gt;</w:t>
      </w:r>
      <w:r>
        <w:rPr>
          <w:rStyle w:val="HideTWBExt"/>
          <w:b w:val="0"/>
        </w:rPr>
        <w:t>&lt;Members&gt;</w:t>
      </w:r>
      <w:r>
        <w:t>Yvan Verougstraete, Morten Løkkegaard, Christophe Grudler, Barry Andrews, Oihane Agirregoitia Martínez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Regulas priekšlikums</w:t>
      </w:r>
      <w:r>
        <w:rPr>
          <w:rStyle w:val="HideTWBExt"/>
        </w:rPr>
        <w:t>&lt;/DocAmend&gt;</w:t>
      </w:r>
    </w:p>
    <w:p>
      <w:pPr>
        <w:pStyle w:val="NormalBold"/>
      </w:pPr>
      <w:r>
        <w:rPr>
          <w:rStyle w:val="HideTWBExt"/>
        </w:rPr>
        <w:t>&lt;Article&gt;</w:t>
      </w:r>
      <w:r>
        <w:t>14. pants – virsraksts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Komisijas ierosinātais teksts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Pārvaldības un konsultatīvās padomes</w:t>
            </w:r>
          </w:p>
        </w:tc>
        <w:tc>
          <w:tcPr>
            <w:tcW w:w="4876" w:type="dxa"/>
            <w:tcBorders>
              <w:top w:val="nil"/>
              <w:left w:val="nil"/>
              <w:bottom w:val="nil"/>
              <w:right w:val="nil"/>
            </w:tcBorders>
          </w:tcPr>
          <w:p>
            <w:pPr>
              <w:pStyle w:val="Normal6a"/>
            </w:pPr>
            <w:r>
              <w:rPr>
                <w:b/>
                <w:i/>
              </w:rPr>
              <w:t>Pārvaldība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1932</w:t>
      </w:r>
      <w:r>
        <w:rPr>
          <w:rStyle w:val="HideTWBExt"/>
        </w:rPr>
        <w:t>&lt;/NumAm&gt;</w:t>
      </w:r>
    </w:p>
    <w:p>
      <w:pPr>
        <w:pStyle w:val="NormalBold"/>
      </w:pPr>
      <w:r>
        <w:rPr>
          <w:rStyle w:val="HideTWBExt"/>
          <w:b w:val="0"/>
        </w:rPr>
        <w:t>&lt;RepeatBlock-By&gt;</w:t>
      </w:r>
      <w:r>
        <w:rPr>
          <w:rStyle w:val="HideTWBExt"/>
          <w:b w:val="0"/>
        </w:rPr>
        <w:t>&lt;Members&gt;</w:t>
      </w:r>
      <w:r>
        <w:t>Sarah Knafo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Regulas priekšlikums</w:t>
      </w:r>
      <w:r>
        <w:rPr>
          <w:rStyle w:val="HideTWBExt"/>
        </w:rPr>
        <w:t>&lt;/DocAmend&gt;</w:t>
      </w:r>
    </w:p>
    <w:p>
      <w:pPr>
        <w:pStyle w:val="NormalBold"/>
      </w:pPr>
      <w:r>
        <w:rPr>
          <w:rStyle w:val="HideTWBExt"/>
        </w:rPr>
        <w:t>&lt;Article&gt;</w:t>
      </w:r>
      <w:r>
        <w:t>14. pants – 1.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Komisijas ierosinātais teksts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Tiek izveidota Stratēģiskā ieinteresēto personu padome.</w:t>
            </w:r>
          </w:p>
        </w:tc>
        <w:tc>
          <w:tcPr>
            <w:tcW w:w="4876" w:type="dxa"/>
            <w:tcBorders>
              <w:top w:val="nil"/>
              <w:left w:val="nil"/>
              <w:bottom w:val="nil"/>
              <w:right w:val="nil"/>
            </w:tcBorders>
          </w:tcPr>
          <w:p>
            <w:pPr>
              <w:pStyle w:val="Normal6a"/>
            </w:pPr>
            <w:r>
              <w:t>1.</w:t>
            </w:r>
            <w:r>
              <w:tab/>
            </w:r>
            <w:r>
              <w:t xml:space="preserve">Tiek izveidota </w:t>
            </w:r>
            <w:r>
              <w:rPr>
                <w:b/>
                <w:i/>
              </w:rPr>
              <w:t>Dalībvalstu koordinācijas padome un</w:t>
            </w:r>
            <w:r>
              <w:t xml:space="preserve"> Stratēģiskā ieinteresēto personu padome. </w:t>
            </w:r>
            <w:r>
              <w:rPr>
                <w:b/>
                <w:i/>
              </w:rPr>
              <w:t>Dalībvalstu koordinācijas padomē ir pa vienam pārstāvim no katras dalībvalsts, un pirms katras darba programmas pieņemšanas tā sniedz atzinumu par tās stratēģiskajām ievirzēm, resursu indikatīvo sadalījumu un to, kā tiek izmantotas atkāpes no konkursa procedūrām.</w:t>
            </w:r>
            <w:r>
              <w:t xml:space="preserve"> </w:t>
            </w:r>
            <w:r>
              <w:rPr>
                <w:b/>
                <w:i/>
              </w:rPr>
              <w:t>Dalībvalstu koordinācijas padomes atzinumu nosūta Eiropas Parlamentam un Padomei.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1933</w:t>
      </w:r>
      <w:r>
        <w:rPr>
          <w:rStyle w:val="HideTWBExt"/>
        </w:rPr>
        <w:t>&lt;/NumAm&gt;</w:t>
      </w:r>
    </w:p>
    <w:p>
      <w:pPr>
        <w:pStyle w:val="NormalBold"/>
      </w:pPr>
      <w:r>
        <w:rPr>
          <w:rStyle w:val="HideTWBExt"/>
          <w:b w:val="0"/>
        </w:rPr>
        <w:t>&lt;RepeatBlock-By&gt;</w:t>
      </w:r>
      <w:r>
        <w:rPr>
          <w:rStyle w:val="HideTWBExt"/>
          <w:b w:val="0"/>
        </w:rPr>
        <w:t>&lt;Members&gt;</w:t>
      </w:r>
      <w:r>
        <w:t>Yvan Verougstraete, Stine Bosse, Grégory Allione, Christophe Grudler, Barry Andrews, Emma Wiesner, Oihane Agirregoitia Martínez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Regulas priekšlikums</w:t>
      </w:r>
      <w:r>
        <w:rPr>
          <w:rStyle w:val="HideTWBExt"/>
        </w:rPr>
        <w:t>&lt;/DocAmend&gt;</w:t>
      </w:r>
    </w:p>
    <w:p>
      <w:pPr>
        <w:pStyle w:val="NormalBold"/>
      </w:pPr>
      <w:r>
        <w:rPr>
          <w:rStyle w:val="HideTWBExt"/>
        </w:rPr>
        <w:t>&lt;Article&gt;</w:t>
      </w:r>
      <w:r>
        <w:t>14. pants – 1.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Komisijas ierosinātais teksts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rPr>
                <w:b/>
                <w:i/>
              </w:rPr>
              <w:t>Tiek izveidota Stratēģiskā ieinteresēto personu padome</w:t>
            </w:r>
            <w:r>
              <w:t>.</w:t>
            </w:r>
          </w:p>
        </w:tc>
        <w:tc>
          <w:tcPr>
            <w:tcW w:w="4876" w:type="dxa"/>
            <w:tcBorders>
              <w:top w:val="nil"/>
              <w:left w:val="nil"/>
              <w:bottom w:val="nil"/>
              <w:right w:val="nil"/>
            </w:tcBorders>
          </w:tcPr>
          <w:p>
            <w:pPr>
              <w:pStyle w:val="Normal6a"/>
            </w:pPr>
            <w:r>
              <w:t>1.</w:t>
            </w:r>
            <w:r>
              <w:tab/>
            </w:r>
            <w:r>
              <w:rPr>
                <w:b/>
                <w:i/>
              </w:rPr>
              <w:t>Komisija izveido konkurētspējas koordinācijas mehānismu kā visaptverošu EKF pārvaldības sistēmu, lai atbalstītu tā ilgtermiņa stratēģisko virzību un nodrošinātu saskaņotību starp EKF un attiecīgajiem Savienības un valstu politikas pasākumiem un finansēšanas instrumentiem, tostarp efektīvi iesaistot reģionālās un vietējās pašvaldības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1934</w:t>
      </w:r>
      <w:r>
        <w:rPr>
          <w:rStyle w:val="HideTWBExt"/>
        </w:rPr>
        <w:t>&lt;/NumAm&gt;</w:t>
      </w:r>
    </w:p>
    <w:p>
      <w:pPr>
        <w:pStyle w:val="NormalBold"/>
      </w:pPr>
      <w:r>
        <w:rPr>
          <w:rStyle w:val="HideTWBExt"/>
          <w:b w:val="0"/>
        </w:rPr>
        <w:t>&lt;RepeatBlock-By&gt;</w:t>
      </w:r>
      <w:r>
        <w:rPr>
          <w:rStyle w:val="HideTWBExt"/>
          <w:b w:val="0"/>
        </w:rPr>
        <w:t>&lt;Members&gt;</w:t>
      </w:r>
      <w:r>
        <w:t>Marc Botenga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Regulas priekšlikums</w:t>
      </w:r>
      <w:r>
        <w:rPr>
          <w:rStyle w:val="HideTWBExt"/>
        </w:rPr>
        <w:t>&lt;/DocAmend&gt;</w:t>
      </w:r>
    </w:p>
    <w:p>
      <w:pPr>
        <w:pStyle w:val="NormalBold"/>
      </w:pPr>
      <w:r>
        <w:rPr>
          <w:rStyle w:val="HideTWBExt"/>
        </w:rPr>
        <w:t>&lt;Article&gt;</w:t>
      </w:r>
      <w:r>
        <w:t>14. pants – 1.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Komisijas ierosinātais teksts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Tiek izveidota </w:t>
            </w:r>
            <w:r>
              <w:rPr>
                <w:b/>
                <w:i/>
              </w:rPr>
              <w:t>Stratēģiskā ieinteresēto personu</w:t>
            </w:r>
            <w:r>
              <w:t xml:space="preserve"> padome.</w:t>
            </w:r>
          </w:p>
        </w:tc>
        <w:tc>
          <w:tcPr>
            <w:tcW w:w="4876" w:type="dxa"/>
            <w:tcBorders>
              <w:top w:val="nil"/>
              <w:left w:val="nil"/>
              <w:bottom w:val="nil"/>
              <w:right w:val="nil"/>
            </w:tcBorders>
          </w:tcPr>
          <w:p>
            <w:pPr>
              <w:pStyle w:val="Normal6a"/>
            </w:pPr>
            <w:r>
              <w:t>1.</w:t>
            </w:r>
            <w:r>
              <w:tab/>
            </w:r>
            <w:r>
              <w:t xml:space="preserve">Tiek izveidota </w:t>
            </w:r>
            <w:r>
              <w:rPr>
                <w:b/>
                <w:i/>
              </w:rPr>
              <w:t>Kopējā rūpniecības nākotnes</w:t>
            </w:r>
            <w:r>
              <w:t xml:space="preserve"> padome.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1935</w:t>
      </w:r>
      <w:r>
        <w:rPr>
          <w:rStyle w:val="HideTWBExt"/>
        </w:rPr>
        <w:t>&lt;/NumAm&gt;</w:t>
      </w:r>
    </w:p>
    <w:p>
      <w:pPr>
        <w:pStyle w:val="NormalBold"/>
      </w:pPr>
      <w:r>
        <w:rPr>
          <w:rStyle w:val="HideTWBExt"/>
          <w:b w:val="0"/>
        </w:rPr>
        <w:t>&lt;RepeatBlock-By&gt;</w:t>
      </w:r>
      <w:r>
        <w:rPr>
          <w:rStyle w:val="HideTWBExt"/>
          <w:b w:val="0"/>
        </w:rPr>
        <w:t>&lt;Members&gt;</w:t>
      </w:r>
      <w:r>
        <w:t>Raúl de la Hoz Quintano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Regulas priekšlikums</w:t>
      </w:r>
      <w:r>
        <w:rPr>
          <w:rStyle w:val="HideTWBExt"/>
        </w:rPr>
        <w:t>&lt;/DocAmend&gt;</w:t>
      </w:r>
    </w:p>
    <w:p>
      <w:pPr>
        <w:pStyle w:val="NormalBold"/>
      </w:pPr>
      <w:r>
        <w:rPr>
          <w:rStyle w:val="HideTWBExt"/>
        </w:rPr>
        <w:t>&lt;Article&gt;</w:t>
      </w:r>
      <w:r>
        <w:t>14. pants – 1.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Komisijas ierosinātais teksts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Tiek izveidota </w:t>
            </w:r>
            <w:r>
              <w:rPr>
                <w:b/>
                <w:i/>
              </w:rPr>
              <w:t>Stratēģiskā</w:t>
            </w:r>
            <w:r>
              <w:t xml:space="preserve"> ieinteresēto personu padome.</w:t>
            </w:r>
          </w:p>
        </w:tc>
        <w:tc>
          <w:tcPr>
            <w:tcW w:w="4876" w:type="dxa"/>
            <w:tcBorders>
              <w:top w:val="nil"/>
              <w:left w:val="nil"/>
              <w:bottom w:val="nil"/>
              <w:right w:val="nil"/>
            </w:tcBorders>
          </w:tcPr>
          <w:p>
            <w:pPr>
              <w:pStyle w:val="Normal6a"/>
            </w:pPr>
            <w:r>
              <w:t>1.</w:t>
            </w:r>
            <w:r>
              <w:tab/>
            </w:r>
            <w:r>
              <w:t>Tiek izveidota Ieinteresēto personu padome.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1936</w:t>
      </w:r>
      <w:r>
        <w:rPr>
          <w:rStyle w:val="HideTWBExt"/>
        </w:rPr>
        <w:t>&lt;/NumAm&gt;</w:t>
      </w:r>
    </w:p>
    <w:p>
      <w:pPr>
        <w:pStyle w:val="NormalBold"/>
      </w:pPr>
      <w:r>
        <w:rPr>
          <w:rStyle w:val="HideTWBExt"/>
          <w:b w:val="0"/>
        </w:rPr>
        <w:t>&lt;RepeatBlock-By&gt;</w:t>
      </w:r>
      <w:r>
        <w:rPr>
          <w:rStyle w:val="HideTWBExt"/>
          <w:b w:val="0"/>
        </w:rPr>
        <w:t>&lt;Members&gt;</w:t>
      </w:r>
      <w:r>
        <w:t>Radan Kanev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Regulas priekšlikums</w:t>
      </w:r>
      <w:r>
        <w:rPr>
          <w:rStyle w:val="HideTWBExt"/>
        </w:rPr>
        <w:t>&lt;/DocAmend&gt;</w:t>
      </w:r>
    </w:p>
    <w:p>
      <w:pPr>
        <w:pStyle w:val="NormalBold"/>
      </w:pPr>
      <w:r>
        <w:rPr>
          <w:rStyle w:val="HideTWBExt"/>
        </w:rPr>
        <w:t>&lt;Article&gt;</w:t>
      </w:r>
      <w:r>
        <w:t>14. pants – 2.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Komisijas ierosinātais teksts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EKF Stratēģiskās ieinteresēto personu padomes locekļus ieceļ Komisija pēc atklāta uzaicinājuma izvirzīt kandidatūras vai izteikt ieinteresētību, vai abām procedūrām </w:t>
            </w:r>
            <w:r>
              <w:rPr>
                <w:b/>
                <w:i/>
              </w:rPr>
              <w:t>atkarībā no tā, kuru Komisija uzskata par piemērotāku</w:t>
            </w:r>
            <w:r>
              <w:t xml:space="preserve">, un ņemot vērā vajadzību nodrošināt līdzsvaru attiecībā uz nozari, organizācijas veidu, tai skaitā privātajiem </w:t>
            </w:r>
            <w:r>
              <w:rPr>
                <w:b/>
                <w:i/>
              </w:rPr>
              <w:t>ieguldītājiem</w:t>
            </w:r>
            <w:r>
              <w:t>, un lielumu, speciālajām zināšanām, dzimumu, vecumu un ģeogrāfisko pārstāvību. Padomes locekļu pilnvaru termiņš ir četri gadi, un to var atjaunot vienu reizi. Padomes locekļi rīkojas godprātīgi un godīgi.</w:t>
            </w:r>
          </w:p>
        </w:tc>
        <w:tc>
          <w:tcPr>
            <w:tcW w:w="4876" w:type="dxa"/>
            <w:tcBorders>
              <w:top w:val="nil"/>
              <w:left w:val="nil"/>
              <w:bottom w:val="nil"/>
              <w:right w:val="nil"/>
            </w:tcBorders>
          </w:tcPr>
          <w:p>
            <w:pPr>
              <w:pStyle w:val="Normal6a"/>
            </w:pPr>
            <w:r>
              <w:t>2.</w:t>
            </w:r>
            <w:r>
              <w:tab/>
            </w:r>
            <w:r>
              <w:t xml:space="preserve">EKF Stratēģiskās ieinteresēto personu padomes locekļus ieceļ Komisija pēc atklāta uzaicinājuma izvirzīt kandidatūras vai izteikt ieinteresētību, vai </w:t>
            </w:r>
            <w:r>
              <w:rPr>
                <w:b/>
                <w:i/>
              </w:rPr>
              <w:t>arī</w:t>
            </w:r>
            <w:r>
              <w:t xml:space="preserve"> abām procedūrām, un ņemot vērā vajadzību nodrošināt līdzsvaru attiecībā uz nozari, organizācijas veidu, tai skaitā privātajiem </w:t>
            </w:r>
            <w:r>
              <w:rPr>
                <w:b/>
                <w:i/>
              </w:rPr>
              <w:t>investoriem</w:t>
            </w:r>
            <w:r>
              <w:t xml:space="preserve">, un lielumu, speciālajām zināšanām, dzimumu, vecumu un ģeogrāfisko pārstāvību. Padomes locekļu pilnvaru termiņš ir četri gadi, un to var atjaunot vienu reizi. </w:t>
            </w:r>
            <w:r>
              <w:rPr>
                <w:b/>
                <w:i/>
              </w:rPr>
              <w:t>Komisija organizē iecelšanu tā, lai nodrošinātu padomes sastāva pakāpenisku atjaunošanu tā, lai parasti katra pilnvaru termiņa beigās tiktu nomainīta ne vairāk kā puse un ne mazāk kā viena trešdaļa locekļu gan attiecībā uz padomi kopumā, gan, ciktāl iespējams, katrā uz politiku orientētajā sastāvā.</w:t>
            </w:r>
            <w:r>
              <w:t xml:space="preserve"> Padomes locekļi rīkojas godprātīgi un godīgi</w:t>
            </w:r>
            <w:r>
              <w:rPr>
                <w:b/>
                <w:i/>
              </w:rPr>
              <w:t>, un uz viņiem attiecas stingri noteikumi par neatkarību un par interešu konfliktu novēršanu un pārvaldību, tostarp pienākums iesniegt un atjaunināt interešu deklarāciju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1937</w:t>
      </w:r>
      <w:r>
        <w:rPr>
          <w:rStyle w:val="HideTWBExt"/>
        </w:rPr>
        <w:t>&lt;/NumAm&gt;</w:t>
      </w:r>
    </w:p>
    <w:p>
      <w:pPr>
        <w:pStyle w:val="NormalBold"/>
      </w:pPr>
      <w:r>
        <w:rPr>
          <w:rStyle w:val="HideTWBExt"/>
          <w:b w:val="0"/>
        </w:rPr>
        <w:t>&lt;RepeatBlock-By&gt;</w:t>
      </w:r>
      <w:r>
        <w:rPr>
          <w:rStyle w:val="HideTWBExt"/>
          <w:b w:val="0"/>
        </w:rPr>
        <w:t>&lt;Members&gt;</w:t>
      </w:r>
      <w:r>
        <w:t>Bruno Tobback, Thomas Pellerin-Carlin, Yannis Maniatis, Nicolás González Casares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Regulas priekšlikums</w:t>
      </w:r>
      <w:r>
        <w:rPr>
          <w:rStyle w:val="HideTWBExt"/>
        </w:rPr>
        <w:t>&lt;/DocAmend&gt;</w:t>
      </w:r>
    </w:p>
    <w:p>
      <w:pPr>
        <w:pStyle w:val="NormalBold"/>
      </w:pPr>
      <w:r>
        <w:rPr>
          <w:rStyle w:val="HideTWBExt"/>
        </w:rPr>
        <w:t>&lt;Article&gt;</w:t>
      </w:r>
      <w:r>
        <w:t>14. pants – 2.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Komisijas ierosinātais teksts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EKF Stratēģiskās ieinteresēto personu padomes locekļus ieceļ Komisija pēc atklāta uzaicinājuma izvirzīt kandidatūras vai izteikt ieinteresētību, vai abām procedūrām atkarībā no tā, kuru Komisija uzskata par piemērotāku, </w:t>
            </w:r>
            <w:r>
              <w:rPr>
                <w:b/>
                <w:i/>
              </w:rPr>
              <w:t>un ņemot vērā</w:t>
            </w:r>
            <w:r>
              <w:t xml:space="preserve"> vajadzību nodrošināt </w:t>
            </w:r>
            <w:r>
              <w:rPr>
                <w:b/>
                <w:i/>
              </w:rPr>
              <w:t>līdzsvaru</w:t>
            </w:r>
            <w:r>
              <w:t xml:space="preserve"> attiecībā uz nozari, organizācijas veidu</w:t>
            </w:r>
            <w:r>
              <w:rPr>
                <w:b/>
                <w:i/>
              </w:rPr>
              <w:t>, tai skaitā privātajiem ieguldītājiem,</w:t>
            </w:r>
            <w:r>
              <w:t xml:space="preserve"> un lielumu, speciālajām zināšanām, dzimumu, vecumu un ģeogrāfisko pārstāvību. Padomes locekļu pilnvaru termiņš ir četri gadi, un to var atjaunot vienu reizi. Padomes locekļi rīkojas godprātīgi un godīgi.</w:t>
            </w:r>
          </w:p>
        </w:tc>
        <w:tc>
          <w:tcPr>
            <w:tcW w:w="4876" w:type="dxa"/>
            <w:tcBorders>
              <w:top w:val="nil"/>
              <w:left w:val="nil"/>
              <w:bottom w:val="nil"/>
              <w:right w:val="nil"/>
            </w:tcBorders>
          </w:tcPr>
          <w:p>
            <w:pPr>
              <w:pStyle w:val="Normal6a"/>
            </w:pPr>
            <w:r>
              <w:t>2.</w:t>
            </w:r>
            <w:r>
              <w:tab/>
            </w:r>
            <w:r>
              <w:t>EKF Stratēģiskās ieinteresēto personu padomes locekļus ieceļ Komisija pēc atklāta uzaicinājuma izvirzīt kandidatūras vai izteikt ieinteresētību, vai abām procedūrām atkarībā no tā, kuru Komisija uzskata par piemērotāku</w:t>
            </w:r>
            <w:r>
              <w:rPr>
                <w:b/>
                <w:i/>
              </w:rPr>
              <w:t>.</w:t>
            </w:r>
            <w:r>
              <w:t xml:space="preserve"> </w:t>
            </w:r>
            <w:r>
              <w:rPr>
                <w:b/>
                <w:i/>
              </w:rPr>
              <w:t>Valdes locekļus ieceļ</w:t>
            </w:r>
            <w:r>
              <w:t xml:space="preserve">, </w:t>
            </w:r>
            <w:r>
              <w:rPr>
                <w:b/>
                <w:i/>
              </w:rPr>
              <w:t>pamatojoties uz viņu zinātnisko, akadēmisko, finansiālo vai profesionālo kompetenci un pieredzi attiecīgajās nozarēs vai investīciju vidē.</w:t>
            </w:r>
            <w:r>
              <w:t xml:space="preserve"> </w:t>
            </w:r>
            <w:r>
              <w:rPr>
                <w:b/>
                <w:i/>
              </w:rPr>
              <w:t>Komisija ņem vērā arī</w:t>
            </w:r>
            <w:r>
              <w:t xml:space="preserve"> vajadzību nodrošināt </w:t>
            </w:r>
            <w:r>
              <w:rPr>
                <w:b/>
                <w:i/>
              </w:rPr>
              <w:t>līdzsvarotu pārstāvību</w:t>
            </w:r>
            <w:r>
              <w:t xml:space="preserve"> attiecībā uz nozari, organizācijas veidu un lielumu, speciālajām zināšanām, dzimumu, vecumu un ģeogrāfisko pārstāvību</w:t>
            </w:r>
            <w:r>
              <w:rPr>
                <w:b/>
                <w:i/>
              </w:rPr>
              <w:t>.</w:t>
            </w:r>
            <w:r>
              <w:t xml:space="preserve"> </w:t>
            </w:r>
            <w:r>
              <w:rPr>
                <w:b/>
                <w:i/>
              </w:rPr>
              <w:t>Valdē ir pārstāvji no rūpniecības nozares ieinteresētajām personām un inovatoriem, akadēmiskajām aprindām un zinātnieku aprindām, pilsoniskās sabiedrības un sociālās ekonomikas, reģionālajām un vietējām pašvaldībām, īstenošanas partneriem un privātiem un citiem investoriem</w:t>
            </w:r>
            <w:r>
              <w:t>. Padomes locekļu pilnvaru termiņš ir četri gadi, un to var atjaunot vienu reizi. Padomes locekļi rīkojas godprātīgi un godīgi.</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Pamatojums</w:t>
      </w:r>
      <w:r>
        <w:rPr>
          <w:rStyle w:val="HideTWBExt"/>
        </w:rPr>
        <w:t>&lt;/TitreJust&gt;</w:t>
      </w:r>
    </w:p>
    <w:p>
      <w:pPr>
        <w:pStyle w:val="AmJustText"/>
      </w:pPr>
      <w:r>
        <w:t>This amendment clarifies the criteria for the appointment and composition of the ECF Strategic Stakeholders Board.</w:t>
      </w:r>
      <w:r>
        <w:t xml:space="preserve"> </w:t>
      </w:r>
      <w:r>
        <w:t>By emphasizing expertise and ensuring balanced representation across sectors, stakeholders and geographical areas, the amendment strengthens the Board’s capacity to provide high-quality strategic advice.</w:t>
      </w:r>
      <w:r>
        <w:t xml:space="preserve"> </w:t>
      </w:r>
      <w:r>
        <w:t>Including representatives from industry, academia, civil society, regional and local authorities and investors ensures that the Board reflects the diversity of actors involved in the Union’s competitiveness and investment ecosystem, thereby enhancing the legitimacy and effectiveness of its work.</w:t>
      </w:r>
    </w:p>
    <w:p>
      <w:r>
        <w:rPr>
          <w:rStyle w:val="HideTWBExt"/>
        </w:rPr>
        <w:t>&lt;/Amend&gt;</w:t>
      </w:r>
    </w:p>
    <w:p>
      <w:pPr>
        <w:pStyle w:val="AmNumberTabs"/>
      </w:pPr>
      <w:r>
        <w:rPr>
          <w:rStyle w:val="HideTWBExt"/>
        </w:rPr>
        <w:t>&lt;Amend&gt;</w:t>
      </w:r>
      <w:r>
        <w:t>Grozījums Nr.</w:t>
      </w:r>
      <w:r>
        <w:tab/>
      </w:r>
      <w:r>
        <w:tab/>
      </w:r>
      <w:r>
        <w:rPr>
          <w:rStyle w:val="HideTWBExt"/>
        </w:rPr>
        <w:t>&lt;NumAm&gt;</w:t>
      </w:r>
      <w:r>
        <w:t>1938</w:t>
      </w:r>
      <w:r>
        <w:rPr>
          <w:rStyle w:val="HideTWBExt"/>
        </w:rPr>
        <w:t>&lt;/NumAm&gt;</w:t>
      </w:r>
    </w:p>
    <w:p>
      <w:pPr>
        <w:pStyle w:val="NormalBold"/>
      </w:pPr>
      <w:r>
        <w:rPr>
          <w:rStyle w:val="HideTWBExt"/>
          <w:b w:val="0"/>
        </w:rPr>
        <w:t>&lt;RepeatBlock-By&gt;</w:t>
      </w:r>
      <w:r>
        <w:rPr>
          <w:rStyle w:val="HideTWBExt"/>
          <w:b w:val="0"/>
        </w:rPr>
        <w:t>&lt;Members&gt;</w:t>
      </w:r>
      <w:r>
        <w:t>Marc Botenga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Regulas priekšlikums</w:t>
      </w:r>
      <w:r>
        <w:rPr>
          <w:rStyle w:val="HideTWBExt"/>
        </w:rPr>
        <w:t>&lt;/DocAmend&gt;</w:t>
      </w:r>
    </w:p>
    <w:p>
      <w:pPr>
        <w:pStyle w:val="NormalBold"/>
      </w:pPr>
      <w:r>
        <w:rPr>
          <w:rStyle w:val="HideTWBExt"/>
        </w:rPr>
        <w:t>&lt;Article&gt;</w:t>
      </w:r>
      <w:r>
        <w:t>14. pants – 2.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Komisijas ierosinātais teksts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rPr>
                <w:b/>
                <w:i/>
              </w:rPr>
              <w:t>EKF Stratēģiskās ieinteresēto personu</w:t>
            </w:r>
            <w:r>
              <w:t xml:space="preserve"> padomes locekļus ieceļ Komisija pēc atklāta uzaicinājuma izvirzīt kandidatūras vai izteikt ieinteresētību, vai abām procedūrām </w:t>
            </w:r>
            <w:r>
              <w:rPr>
                <w:b/>
                <w:i/>
              </w:rPr>
              <w:t>atkarībā no tā, kuru Komisija uzskata par piemērotāku, un ņemot vērā</w:t>
            </w:r>
            <w:r>
              <w:t xml:space="preserve"> vajadzību nodrošināt līdzsvaru attiecībā uz nozari</w:t>
            </w:r>
            <w:r>
              <w:rPr>
                <w:b/>
                <w:i/>
              </w:rPr>
              <w:t>, organizācijas veidu, tai skaitā privātajiem ieguldītājiem, un lielumu</w:t>
            </w:r>
            <w:r>
              <w:t xml:space="preserve">, speciālajām zināšanām, dzimumu, vecumu un ģeogrāfisko pārstāvību. Padomes locekļu pilnvaru termiņš ir četri gadi, un to var atjaunot vienu reizi. Padomes </w:t>
            </w:r>
            <w:r>
              <w:rPr>
                <w:b/>
                <w:i/>
              </w:rPr>
              <w:t>locekļi</w:t>
            </w:r>
            <w:r>
              <w:t xml:space="preserve"> rīkojas godprātīgi un godīgi.</w:t>
            </w:r>
          </w:p>
        </w:tc>
        <w:tc>
          <w:tcPr>
            <w:tcW w:w="4876" w:type="dxa"/>
            <w:tcBorders>
              <w:top w:val="nil"/>
              <w:left w:val="nil"/>
              <w:bottom w:val="nil"/>
              <w:right w:val="nil"/>
            </w:tcBorders>
          </w:tcPr>
          <w:p>
            <w:pPr>
              <w:pStyle w:val="Normal6a"/>
            </w:pPr>
            <w:r>
              <w:t>2.</w:t>
            </w:r>
            <w:r>
              <w:tab/>
            </w:r>
            <w:r>
              <w:t>Padomes locekļus ieceļ Komisija</w:t>
            </w:r>
            <w:r>
              <w:rPr>
                <w:b/>
                <w:i/>
              </w:rPr>
              <w:t>, apspriežoties ar Eiropas Parlamentu un dalībvalstīm,</w:t>
            </w:r>
            <w:r>
              <w:t xml:space="preserve"> pēc atklāta uzaicinājuma izvirzīt kandidatūras vai izteikt ieinteresētību, vai abām procedūrām</w:t>
            </w:r>
            <w:r>
              <w:rPr>
                <w:b/>
                <w:i/>
              </w:rPr>
              <w:t>.</w:t>
            </w:r>
            <w:r>
              <w:t xml:space="preserve"> </w:t>
            </w:r>
            <w:r>
              <w:rPr>
                <w:b/>
                <w:i/>
              </w:rPr>
              <w:t>Padomi proporcionāli veido valstu/reģionālo valdību, stratēģisko nozaru, arodbiedrību, publisko pētniecības organizāciju un plašākas sabiedrības pārstāvji,</w:t>
            </w:r>
            <w:r>
              <w:t xml:space="preserve"> vajadzību nodrošināt līdzsvaru attiecībā uz nozari, speciālajām zināšanām, dzimumu, vecumu un ģeogrāfisko pārstāvību</w:t>
            </w:r>
            <w:r>
              <w:rPr>
                <w:b/>
                <w:i/>
              </w:rPr>
              <w:t>.</w:t>
            </w:r>
            <w:r>
              <w:t xml:space="preserve"> </w:t>
            </w:r>
            <w:r>
              <w:rPr>
                <w:b/>
                <w:i/>
              </w:rPr>
              <w:t>Nevienai nozarei nav vairākuma</w:t>
            </w:r>
            <w:r>
              <w:t xml:space="preserve">. Padomes locekļu pilnvaru termiņš ir četri gadi, un to var atjaunot vienu reizi. Padomes </w:t>
            </w:r>
            <w:r>
              <w:rPr>
                <w:b/>
                <w:i/>
              </w:rPr>
              <w:t>locekļiem nav interešu konfliktu, un viņi</w:t>
            </w:r>
            <w:r>
              <w:t xml:space="preserve"> rīkojas godprātīgi un godīgi. </w:t>
            </w:r>
            <w:r>
              <w:rPr>
                <w:b/>
                <w:i/>
              </w:rPr>
              <w:t>Eiropas Parlaments ieceļ divus papildu pārstāvjus.</w:t>
            </w:r>
            <w:r>
              <w:t xml:space="preserve"> </w:t>
            </w:r>
            <w:r>
              <w:rPr>
                <w:b/>
                <w:i/>
              </w:rPr>
              <w:t>Padomi vada Komisijas pārstāvis.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1939</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Regulas priekšlikums</w:t>
      </w:r>
      <w:r>
        <w:rPr>
          <w:rStyle w:val="HideTWBExt"/>
        </w:rPr>
        <w:t>&lt;/DocAmend&gt;</w:t>
      </w:r>
    </w:p>
    <w:p>
      <w:pPr>
        <w:pStyle w:val="NormalBold"/>
      </w:pPr>
      <w:r>
        <w:rPr>
          <w:rStyle w:val="HideTWBExt"/>
        </w:rPr>
        <w:t>&lt;Article&gt;</w:t>
      </w:r>
      <w:r>
        <w:t>14. pants – 2.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Komisijas ierosinātais teksts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EKF Stratēģiskās ieinteresēto personu padomes locekļus ieceļ Komisija pēc atklāta uzaicinājuma izvirzīt kandidatūras vai izteikt ieinteresētību, vai abām procedūrām atkarībā no tā, kuru Komisija uzskata par piemērotāku</w:t>
            </w:r>
            <w:r>
              <w:rPr>
                <w:b/>
                <w:i/>
              </w:rPr>
              <w:t>, un ņemot</w:t>
            </w:r>
            <w:r>
              <w:t xml:space="preserve"> vērā vajadzību nodrošināt līdzsvaru attiecībā uz </w:t>
            </w:r>
            <w:r>
              <w:rPr>
                <w:b/>
                <w:i/>
              </w:rPr>
              <w:t>nozari</w:t>
            </w:r>
            <w:r>
              <w:t>, organizācijas veidu</w:t>
            </w:r>
            <w:r>
              <w:rPr>
                <w:b/>
                <w:i/>
              </w:rPr>
              <w:t>, tai skaitā privātajiem ieguldītājiem,</w:t>
            </w:r>
            <w:r>
              <w:t xml:space="preserve"> un lielumu, speciālajām zināšanām, dzimumu, vecumu un ģeogrāfisko pārstāvību. Padomes locekļu pilnvaru termiņš ir četri gadi, un to var atjaunot vienu reizi. Padomes locekļi rīkojas godprātīgi un godīgi.</w:t>
            </w:r>
          </w:p>
        </w:tc>
        <w:tc>
          <w:tcPr>
            <w:tcW w:w="4876" w:type="dxa"/>
            <w:tcBorders>
              <w:top w:val="nil"/>
              <w:left w:val="nil"/>
              <w:bottom w:val="nil"/>
              <w:right w:val="nil"/>
            </w:tcBorders>
          </w:tcPr>
          <w:p>
            <w:pPr>
              <w:pStyle w:val="Normal6a"/>
            </w:pPr>
            <w:r>
              <w:t>2.</w:t>
            </w:r>
            <w:r>
              <w:tab/>
            </w:r>
            <w:r>
              <w:t>EKF Stratēģiskās ieinteresēto personu padomes locekļus ieceļ Komisija pēc atklāta</w:t>
            </w:r>
            <w:r>
              <w:rPr>
                <w:b/>
                <w:i/>
              </w:rPr>
              <w:t>, taisnīga un pārredzama</w:t>
            </w:r>
            <w:r>
              <w:t xml:space="preserve"> uzaicinājuma izvirzīt kandidatūras vai izteikt ieinteresētību, vai abām procedūrām atkarībā no tā, kuru Komisija uzskata par piemērotāku</w:t>
            </w:r>
            <w:r>
              <w:rPr>
                <w:b/>
                <w:i/>
              </w:rPr>
              <w:t>.</w:t>
            </w:r>
            <w:r>
              <w:t xml:space="preserve"> </w:t>
            </w:r>
            <w:r>
              <w:rPr>
                <w:b/>
                <w:i/>
              </w:rPr>
              <w:t>Padomes locekļi būtu jāieceļ, galvenokārt balstoties uz viņu zinātniskajām vai praktiskajām zināšanām par nozarēm vai investīciju vidi.</w:t>
            </w:r>
            <w:r>
              <w:t xml:space="preserve"> </w:t>
            </w:r>
            <w:r>
              <w:rPr>
                <w:b/>
                <w:i/>
              </w:rPr>
              <w:t>Turklāt Komisija ņem</w:t>
            </w:r>
            <w:r>
              <w:t xml:space="preserve"> vērā vajadzību nodrošināt līdzsvaru attiecībā uz </w:t>
            </w:r>
            <w:r>
              <w:rPr>
                <w:b/>
                <w:i/>
              </w:rPr>
              <w:t>pārstāvētajiem sektoriem un nozarēm</w:t>
            </w:r>
            <w:r>
              <w:t xml:space="preserve">, </w:t>
            </w:r>
            <w:r>
              <w:rPr>
                <w:b/>
                <w:i/>
              </w:rPr>
              <w:t>tostarp līdzsvaru starp locekļiem, kas pārstāv privāto sektoru, un locekļiem, kas pārstāv plašākas sabiedrības intereses, kā arī attiecībā uz</w:t>
            </w:r>
            <w:r>
              <w:t xml:space="preserve"> organizācijas veidu un lielumu, speciālajām zināšanām, dzimumu, vecumu un ģeogrāfisko pārstāvību. Padomes locekļu pilnvaru termiņš ir četri gadi, un to var atjaunot vienu reizi. Padomes locekļi rīkojas godprātīgi un godīgi.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1940</w:t>
      </w:r>
      <w:r>
        <w:rPr>
          <w:rStyle w:val="HideTWBExt"/>
        </w:rPr>
        <w:t>&lt;/NumAm&gt;</w:t>
      </w:r>
    </w:p>
    <w:p>
      <w:pPr>
        <w:pStyle w:val="NormalBold"/>
      </w:pPr>
      <w:r>
        <w:rPr>
          <w:rStyle w:val="HideTWBExt"/>
          <w:b w:val="0"/>
        </w:rPr>
        <w:t>&lt;RepeatBlock-By&gt;</w:t>
      </w:r>
      <w:r>
        <w:rPr>
          <w:rStyle w:val="HideTWBExt"/>
          <w:b w:val="0"/>
        </w:rPr>
        <w:t>&lt;Members&gt;</w:t>
      </w:r>
      <w:r>
        <w:t>Paolo Borchia, Isabella Tovaglieri, Raffaele Stancanelli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Regulas priekšlikums</w:t>
      </w:r>
      <w:r>
        <w:rPr>
          <w:rStyle w:val="HideTWBExt"/>
        </w:rPr>
        <w:t>&lt;/DocAmend&gt;</w:t>
      </w:r>
    </w:p>
    <w:p>
      <w:pPr>
        <w:pStyle w:val="NormalBold"/>
      </w:pPr>
      <w:r>
        <w:rPr>
          <w:rStyle w:val="HideTWBExt"/>
        </w:rPr>
        <w:t>&lt;Article&gt;</w:t>
      </w:r>
      <w:r>
        <w:t>14. pants – 2.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Komisijas ierosinātais teksts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EKF Stratēģiskās ieinteresēto personu padomes locekļus ieceļ Komisija pēc atklāta uzaicinājuma izvirzīt kandidatūras vai izteikt ieinteresētību, vai abām procedūrām atkarībā no tā, kuru Komisija uzskata par piemērotāku, un ņemot vērā vajadzību nodrošināt līdzsvaru attiecībā uz nozari, organizācijas veidu, tai skaitā privātajiem </w:t>
            </w:r>
            <w:r>
              <w:rPr>
                <w:b/>
                <w:i/>
              </w:rPr>
              <w:t>ieguldītājiem</w:t>
            </w:r>
            <w:r>
              <w:t>, un lielumu, speciālajām zināšanām, dzimumu, vecumu un ģeogrāfisko pārstāvību. Padomes locekļu pilnvaru termiņš ir četri gadi, un to var atjaunot vienu reizi. Padomes locekļi rīkojas godprātīgi un godīgi.</w:t>
            </w:r>
          </w:p>
        </w:tc>
        <w:tc>
          <w:tcPr>
            <w:tcW w:w="4876" w:type="dxa"/>
            <w:tcBorders>
              <w:top w:val="nil"/>
              <w:left w:val="nil"/>
              <w:bottom w:val="nil"/>
              <w:right w:val="nil"/>
            </w:tcBorders>
          </w:tcPr>
          <w:p>
            <w:pPr>
              <w:pStyle w:val="Normal6a"/>
            </w:pPr>
            <w:r>
              <w:t>2.</w:t>
            </w:r>
            <w:r>
              <w:tab/>
            </w:r>
            <w:r>
              <w:t xml:space="preserve">EKF Stratēģiskās ieinteresēto personu padomes locekļus ieceļ Komisija pēc atklāta uzaicinājuma izvirzīt kandidatūras vai izteikt ieinteresētību, vai abām procedūrām atkarībā no tā, kuru Komisija uzskata par piemērotāku, un ņemot vērā vajadzību nodrošināt līdzsvaru attiecībā uz nozari, organizācijas veidu, tai skaitā privātajiem </w:t>
            </w:r>
            <w:r>
              <w:rPr>
                <w:b/>
                <w:i/>
              </w:rPr>
              <w:t>investoriem</w:t>
            </w:r>
            <w:r>
              <w:t>, un lielumu, speciālajām zināšanām, dzimumu, vecumu un ģeogrāfisko pārstāvību</w:t>
            </w:r>
            <w:r>
              <w:rPr>
                <w:b/>
                <w:i/>
              </w:rPr>
              <w:t>.</w:t>
            </w:r>
            <w:r>
              <w:t xml:space="preserve"> </w:t>
            </w:r>
            <w:r>
              <w:rPr>
                <w:b/>
                <w:i/>
              </w:rPr>
              <w:t>Tiek nodrošināta pienācīga un līdzsvarota mikrouzņēmumu, mazo un vidējo uzņēmumu pārstāvība, tostarp ar to pārstāvības organizāciju starpniecību.</w:t>
            </w:r>
            <w:r>
              <w:t xml:space="preserve"> </w:t>
            </w:r>
            <w:r>
              <w:rPr>
                <w:b/>
                <w:i/>
              </w:rPr>
              <w:t>Komisija garantē mikrouzņēmumu un MVU pārstāvja pastāvīgu vietu padomē</w:t>
            </w:r>
            <w:r>
              <w:t>. Padomes locekļu pilnvaru termiņš ir četri gadi, un to var atjaunot vienu reizi. Padomes locekļi rīkojas godprātīgi un godīgi.</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Pamatojums</w:t>
      </w:r>
      <w:r>
        <w:rPr>
          <w:rStyle w:val="HideTWBExt"/>
        </w:rPr>
        <w:t>&lt;/TitreJust&gt;</w:t>
      </w:r>
    </w:p>
    <w:p>
      <w:pPr>
        <w:pStyle w:val="AmJustText"/>
      </w:pPr>
      <w:r>
        <w:t>Reģionālajām un vietējām publiskajām iestādēm vajadzētu būt pārstāvētām EKF Stratēģiskajā ieinteresēto personu padomē, jo tām ir nepastarpinātas zināšanas par teritoriālajām industriālajām ekosistēmām.</w:t>
      </w:r>
      <w:r>
        <w:t xml:space="preserve"> </w:t>
      </w:r>
      <w:r>
        <w:t>Organizācijām, kas pārstāv mikrouzņēmumus un MVU, jābūt garantētai pastāvīgai vietai, lai nodrošinātu, ka fonda prioritātes atspoguļo lielākās daļas Eiropas uzņēmumu vajadzības.</w:t>
      </w:r>
    </w:p>
    <w:p>
      <w:r>
        <w:rPr>
          <w:rStyle w:val="HideTWBExt"/>
        </w:rPr>
        <w:t>&lt;/Amend&gt;</w:t>
      </w:r>
    </w:p>
    <w:p>
      <w:pPr>
        <w:pStyle w:val="AmNumberTabs"/>
      </w:pPr>
      <w:r>
        <w:rPr>
          <w:rStyle w:val="HideTWBExt"/>
        </w:rPr>
        <w:t>&lt;Amend&gt;</w:t>
      </w:r>
      <w:r>
        <w:t>Grozījums Nr.</w:t>
      </w:r>
      <w:r>
        <w:tab/>
      </w:r>
      <w:r>
        <w:tab/>
      </w:r>
      <w:r>
        <w:rPr>
          <w:rStyle w:val="HideTWBExt"/>
        </w:rPr>
        <w:t>&lt;NumAm&gt;</w:t>
      </w:r>
      <w:r>
        <w:t>1941</w:t>
      </w:r>
      <w:r>
        <w:rPr>
          <w:rStyle w:val="HideTWBExt"/>
        </w:rPr>
        <w:t>&lt;/NumAm&gt;</w:t>
      </w:r>
    </w:p>
    <w:p>
      <w:pPr>
        <w:pStyle w:val="NormalBold"/>
      </w:pPr>
      <w:r>
        <w:rPr>
          <w:rStyle w:val="HideTWBExt"/>
          <w:b w:val="0"/>
        </w:rPr>
        <w:t>&lt;RepeatBlock-By&gt;</w:t>
      </w:r>
      <w:r>
        <w:rPr>
          <w:rStyle w:val="HideTWBExt"/>
          <w:b w:val="0"/>
        </w:rPr>
        <w:t>&lt;Members&gt;</w:t>
      </w:r>
      <w:r>
        <w:t>Letizia Moratti, Massimiliano Salini, Fulvio Martusciello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Regulas priekšlikums</w:t>
      </w:r>
      <w:r>
        <w:rPr>
          <w:rStyle w:val="HideTWBExt"/>
        </w:rPr>
        <w:t>&lt;/DocAmend&gt;</w:t>
      </w:r>
    </w:p>
    <w:p>
      <w:pPr>
        <w:pStyle w:val="NormalBold"/>
      </w:pPr>
      <w:r>
        <w:rPr>
          <w:rStyle w:val="HideTWBExt"/>
        </w:rPr>
        <w:t>&lt;Article&gt;</w:t>
      </w:r>
      <w:r>
        <w:t>14. pants – 2.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Komisijas ierosinātais teksts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EKF Stratēģiskās ieinteresēto personu padomes locekļus ieceļ Komisija pēc atklāta uzaicinājuma izvirzīt kandidatūras vai izteikt ieinteresētību, vai abām procedūrām atkarībā no tā, kuru Komisija uzskata par piemērotāku, </w:t>
            </w:r>
            <w:r>
              <w:rPr>
                <w:b/>
                <w:i/>
              </w:rPr>
              <w:t>un</w:t>
            </w:r>
            <w:r>
              <w:t xml:space="preserve"> ņemot vērā </w:t>
            </w:r>
            <w:r>
              <w:rPr>
                <w:b/>
                <w:i/>
              </w:rPr>
              <w:t>vajadzību nodrošināt līdzsvaru attiecībā uz nozari, organizācijas veidu, tai skaitā privātajiem ieguldītājiem, un lielumu, speciālajām zināšanām</w:t>
            </w:r>
            <w:r>
              <w:t>, dzimumu, vecumu un ģeogrāfisko pārstāvību. Padomes locekļu pilnvaru termiņš ir četri gadi, un to var atjaunot vienu reizi. Padomes locekļi rīkojas godprātīgi un godīgi.</w:t>
            </w:r>
          </w:p>
        </w:tc>
        <w:tc>
          <w:tcPr>
            <w:tcW w:w="4876" w:type="dxa"/>
            <w:tcBorders>
              <w:top w:val="nil"/>
              <w:left w:val="nil"/>
              <w:bottom w:val="nil"/>
              <w:right w:val="nil"/>
            </w:tcBorders>
          </w:tcPr>
          <w:p>
            <w:pPr>
              <w:pStyle w:val="Normal6a"/>
            </w:pPr>
            <w:r>
              <w:t>2.</w:t>
            </w:r>
            <w:r>
              <w:tab/>
            </w:r>
            <w:r>
              <w:t>EKF Stratēģiskās ieinteresēto personu padomes locekļus ieceļ Komisija</w:t>
            </w:r>
            <w:r>
              <w:rPr>
                <w:b/>
                <w:i/>
              </w:rPr>
              <w:t>, pamatojoties uz skaidriem atlases kritērijiem,</w:t>
            </w:r>
            <w:r>
              <w:t xml:space="preserve"> pēc atklāta uzaicinājuma izvirzīt kandidatūras vai izteikt ieinteresētību, vai abām procedūrām atkarībā no tā, kuru Komisija uzskata par piemērotāku</w:t>
            </w:r>
            <w:r>
              <w:rPr>
                <w:b/>
                <w:i/>
              </w:rPr>
              <w:t>.</w:t>
            </w:r>
            <w:r>
              <w:t xml:space="preserve"> </w:t>
            </w:r>
            <w:r>
              <w:rPr>
                <w:b/>
                <w:i/>
              </w:rPr>
              <w:t>Lai EKF pielāgotu tirgus realitātei</w:t>
            </w:r>
            <w:r>
              <w:t xml:space="preserve">, </w:t>
            </w:r>
            <w:r>
              <w:rPr>
                <w:b/>
                <w:i/>
              </w:rPr>
              <w:t>atbalstītu prognozējamas daudzgadu investīciju plūsmas un piesaistītu privātās investīcijas, būtu jānodrošina visu lielumu Eiropas un valstu rūpniecības ekspertu, pētniecības un inovācijas pārstāvju un privāto investoru līdzdalība, tādējādi garantējot patiesi līdzsvarotu sastāvu,</w:t>
            </w:r>
            <w:r>
              <w:t xml:space="preserve"> ņemot vērā </w:t>
            </w:r>
            <w:r>
              <w:rPr>
                <w:b/>
                <w:i/>
              </w:rPr>
              <w:t>speciālās zināšanas</w:t>
            </w:r>
            <w:r>
              <w:t>, dzimumu, vecumu un ģeogrāfisko pārstāvību. Padomes locekļu pilnvaru termiņš ir četri gadi, un to var atjaunot vienu reizi. Padomes locekļi rīkojas godprātīgi un godīgi.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1942</w:t>
      </w:r>
      <w:r>
        <w:rPr>
          <w:rStyle w:val="HideTWBExt"/>
        </w:rPr>
        <w:t>&lt;/NumAm&gt;</w:t>
      </w:r>
    </w:p>
    <w:p>
      <w:pPr>
        <w:pStyle w:val="NormalBold"/>
      </w:pPr>
      <w:r>
        <w:rPr>
          <w:rStyle w:val="HideTWBExt"/>
          <w:b w:val="0"/>
        </w:rPr>
        <w:t>&lt;RepeatBlock-By&gt;</w:t>
      </w:r>
      <w:r>
        <w:rPr>
          <w:rStyle w:val="HideTWBExt"/>
          <w:b w:val="0"/>
        </w:rPr>
        <w:t>&lt;Members&gt;</w:t>
      </w:r>
      <w:r>
        <w:t>András Gyürk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Regulas priekšlikums</w:t>
      </w:r>
      <w:r>
        <w:rPr>
          <w:rStyle w:val="HideTWBExt"/>
        </w:rPr>
        <w:t>&lt;/DocAmend&gt;</w:t>
      </w:r>
    </w:p>
    <w:p>
      <w:pPr>
        <w:pStyle w:val="NormalBold"/>
      </w:pPr>
      <w:r>
        <w:rPr>
          <w:rStyle w:val="HideTWBExt"/>
        </w:rPr>
        <w:t>&lt;Article&gt;</w:t>
      </w:r>
      <w:r>
        <w:t>14. pants – 2. punkts</w:t>
      </w:r>
      <w:r>
        <w:rPr>
          <w:rStyle w:val="HideTWBExt"/>
        </w:rPr>
        <w:t>&lt;/Article&gt;</w:t>
      </w:r>
    </w:p>
    <w:p>
      <w:r>
        <w:rPr>
          <w:rStyle w:val="HideTWBExt"/>
        </w:rPr>
        <w:t>&lt;DocAmend2&gt;</w:t>
      </w:r>
      <w:r>
        <w:t>Regulas priekšlikums</w:t>
      </w:r>
      <w:r>
        <w:rPr>
          <w:rStyle w:val="HideTWBExt"/>
        </w:rPr>
        <w:t>&lt;/DocAmend2&gt;</w:t>
      </w:r>
    </w:p>
    <w:p>
      <w:r>
        <w:rPr>
          <w:rStyle w:val="HideTWBExt"/>
        </w:rPr>
        <w:t>&lt;Article2&gt;</w:t>
      </w:r>
      <w:r>
        <w:t>14. pants – 2. punkts</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Komisijas ierosinātais teksts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EKF Stratēģiskās ieinteresēto personu padomes locekļus ieceļ Komisija pēc atklāta uzaicinājuma izvirzīt kandidatūras vai izteikt ieinteresētību, vai abām procedūrām atkarībā no tā, kuru Komisija uzskata par piemērotāku, un ņemot vērā vajadzību nodrošināt līdzsvaru attiecībā uz nozari, organizācijas veidu, tai skaitā privātajiem </w:t>
            </w:r>
            <w:r>
              <w:rPr>
                <w:b/>
                <w:i/>
              </w:rPr>
              <w:t>ieguldītājiem</w:t>
            </w:r>
            <w:r>
              <w:t>, un lielumu, speciālajām zināšanām, dzimumu, vecumu un ģeogrāfisko pārstāvību. Padomes locekļu pilnvaru termiņš ir četri gadi, un to var atjaunot vienu reizi. Padomes locekļi rīkojas godprātīgi un godīgi.</w:t>
            </w:r>
          </w:p>
        </w:tc>
        <w:tc>
          <w:tcPr>
            <w:tcW w:w="4876" w:type="dxa"/>
            <w:tcBorders>
              <w:top w:val="nil"/>
              <w:left w:val="nil"/>
              <w:bottom w:val="nil"/>
              <w:right w:val="nil"/>
            </w:tcBorders>
          </w:tcPr>
          <w:p>
            <w:pPr>
              <w:pStyle w:val="Normal6a"/>
            </w:pPr>
            <w:r>
              <w:t>2.</w:t>
            </w:r>
            <w:r>
              <w:tab/>
            </w:r>
            <w:r>
              <w:t xml:space="preserve">EKF Stratēģiskās ieinteresēto personu padomes locekļus ieceļ Komisija pēc atklāta uzaicinājuma izvirzīt kandidatūras vai izteikt ieinteresētību, vai abām procedūrām atkarībā no tā, kuru Komisija uzskata par piemērotāku, un ņemot vērā vajadzību nodrošināt līdzsvaru attiecībā uz nozari, organizācijas veidu, tai skaitā privātajiem </w:t>
            </w:r>
            <w:r>
              <w:rPr>
                <w:b/>
                <w:i/>
              </w:rPr>
              <w:t>investoriem, universitātēm un pētniecības iestādēm</w:t>
            </w:r>
            <w:r>
              <w:t>, un lielumu, speciālajām zināšanām, dzimumu, vecumu un ģeogrāfisko pārstāvību</w:t>
            </w:r>
            <w:r>
              <w:rPr>
                <w:b/>
                <w:i/>
              </w:rPr>
              <w:t>.</w:t>
            </w:r>
            <w:r>
              <w:t xml:space="preserve"> </w:t>
            </w:r>
            <w:r>
              <w:rPr>
                <w:b/>
                <w:i/>
              </w:rPr>
              <w:t>Stratēģisko ieinteresēto personu padomes sastāvā ir vismaz viens kandidāts no katras dalībvalsts, lai nodrošinātu, ka visām dalībvalstīm ir iespēja paust viedokli par EKF stratēģisko ievirzi</w:t>
            </w:r>
            <w:r>
              <w:t>. Padomes locekļu pilnvaru termiņš ir četri gadi, un to var atjaunot vienu reizi. Padomes locekļi rīkojas godprātīgi un godīgi.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1943</w:t>
      </w:r>
      <w:r>
        <w:rPr>
          <w:rStyle w:val="HideTWBExt"/>
        </w:rPr>
        <w:t>&lt;/NumAm&gt;</w:t>
      </w:r>
    </w:p>
    <w:p>
      <w:pPr>
        <w:pStyle w:val="NormalBold"/>
      </w:pPr>
      <w:r>
        <w:rPr>
          <w:rStyle w:val="HideTWBExt"/>
          <w:b w:val="0"/>
        </w:rPr>
        <w:t>&lt;RepeatBlock-By&gt;</w:t>
      </w:r>
      <w:r>
        <w:rPr>
          <w:rStyle w:val="HideTWBExt"/>
          <w:b w:val="0"/>
        </w:rPr>
        <w:t>&lt;Members&gt;</w:t>
      </w:r>
      <w:r>
        <w:t>Jaroslava Pokorná Jermanová, Jana Nagyová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Regulas priekšlikums</w:t>
      </w:r>
      <w:r>
        <w:rPr>
          <w:rStyle w:val="HideTWBExt"/>
        </w:rPr>
        <w:t>&lt;/DocAmend&gt;</w:t>
      </w:r>
    </w:p>
    <w:p>
      <w:pPr>
        <w:pStyle w:val="NormalBold"/>
      </w:pPr>
      <w:r>
        <w:rPr>
          <w:rStyle w:val="HideTWBExt"/>
        </w:rPr>
        <w:t>&lt;Article&gt;</w:t>
      </w:r>
      <w:r>
        <w:t>14. pants – 2.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Komisijas ierosinātais teksts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EKF Stratēģiskās ieinteresēto personu padomes locekļus ieceļ Komisija pēc atklāta uzaicinājuma izvirzīt kandidatūras vai izteikt ieinteresētību, vai abām procedūrām atkarībā no tā, kuru Komisija uzskata par piemērotāku, un ņemot vērā vajadzību nodrošināt līdzsvaru attiecībā uz nozari, organizācijas veidu, tai skaitā privātajiem </w:t>
            </w:r>
            <w:r>
              <w:rPr>
                <w:b/>
                <w:i/>
              </w:rPr>
              <w:t>ieguldītājiem</w:t>
            </w:r>
            <w:r>
              <w:t>, un lielumu, speciālajām zināšanām, dzimumu, vecumu un ģeogrāfisko pārstāvību. Padomes locekļu pilnvaru termiņš ir četri gadi, un to var atjaunot vienu reizi. Padomes locekļi rīkojas godprātīgi un godīgi.</w:t>
            </w:r>
          </w:p>
        </w:tc>
        <w:tc>
          <w:tcPr>
            <w:tcW w:w="4876" w:type="dxa"/>
            <w:tcBorders>
              <w:top w:val="nil"/>
              <w:left w:val="nil"/>
              <w:bottom w:val="nil"/>
              <w:right w:val="nil"/>
            </w:tcBorders>
          </w:tcPr>
          <w:p>
            <w:pPr>
              <w:pStyle w:val="Normal6a"/>
            </w:pPr>
            <w:r>
              <w:t>2.</w:t>
            </w:r>
            <w:r>
              <w:tab/>
            </w:r>
            <w:r>
              <w:t xml:space="preserve">EKF Stratēģiskās ieinteresēto personu padomes locekļus ieceļ Komisija pēc atklāta uzaicinājuma izvirzīt kandidatūras vai izteikt ieinteresētību, vai abām procedūrām atkarībā no tā, kuru Komisija uzskata par piemērotāku, un ņemot vērā vajadzību nodrošināt līdzsvaru attiecībā uz nozari, organizācijas veidu, tai skaitā privātajiem </w:t>
            </w:r>
            <w:r>
              <w:rPr>
                <w:b/>
                <w:i/>
              </w:rPr>
              <w:t>investoriem, universitātēm un pētniecības iestādēm</w:t>
            </w:r>
            <w:r>
              <w:t>, un lielumu, speciālajām zināšanām, dzimumu, vecumu un ģeogrāfisko pārstāvību</w:t>
            </w:r>
            <w:r>
              <w:rPr>
                <w:b/>
                <w:i/>
              </w:rPr>
              <w:t>.</w:t>
            </w:r>
            <w:r>
              <w:t xml:space="preserve"> </w:t>
            </w:r>
            <w:r>
              <w:rPr>
                <w:b/>
                <w:i/>
              </w:rPr>
              <w:t>Stratēģisko ieinteresēto personu padomes sastāvā ir vismaz viens kandidāts no katras dalībvalsts, lai nodrošinātu, ka visām dalībvalstīm ir iespēja paust viedokli par EKF stratēģisko ievirzi</w:t>
            </w:r>
            <w:r>
              <w:t>. Padomes locekļu pilnvaru termiņš ir četri gadi, un to var atjaunot vienu reizi. Padomes locekļi rīkojas godprātīgi un godīgi.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1944</w:t>
      </w:r>
      <w:r>
        <w:rPr>
          <w:rStyle w:val="HideTWBExt"/>
        </w:rPr>
        <w:t>&lt;/NumAm&gt;</w:t>
      </w:r>
    </w:p>
    <w:p>
      <w:pPr>
        <w:pStyle w:val="NormalBold"/>
      </w:pPr>
      <w:r>
        <w:rPr>
          <w:rStyle w:val="HideTWBExt"/>
          <w:b w:val="0"/>
        </w:rPr>
        <w:t>&lt;RepeatBlock-By&gt;</w:t>
      </w:r>
      <w:r>
        <w:rPr>
          <w:rStyle w:val="HideTWBExt"/>
          <w:b w:val="0"/>
        </w:rPr>
        <w:t>&lt;Members&gt;</w:t>
      </w:r>
      <w:r>
        <w:t>Nicolás González Casares, Mohammed Chahim, Elena Sancho Murillo, Lina Gálvez, Yannis Maniatis, Thomas Pellerin-Carlin, Annalisa Corrado, Christophe Clergeau, Bruno Tobback, Sofie Eriksson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Regulas priekšlikums</w:t>
      </w:r>
      <w:r>
        <w:rPr>
          <w:rStyle w:val="HideTWBExt"/>
        </w:rPr>
        <w:t>&lt;/DocAmend&gt;</w:t>
      </w:r>
    </w:p>
    <w:p>
      <w:pPr>
        <w:pStyle w:val="NormalBold"/>
      </w:pPr>
      <w:r>
        <w:rPr>
          <w:rStyle w:val="HideTWBExt"/>
        </w:rPr>
        <w:t>&lt;Article&gt;</w:t>
      </w:r>
      <w:r>
        <w:t>14. pants – 2.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Komisijas ierosinātais teksts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EKF Stratēģiskās ieinteresēto personu padomes locekļus ieceļ Komisija pēc atklāta uzaicinājuma izvirzīt kandidatūras vai izteikt ieinteresētību, vai abām procedūrām atkarībā no tā, kuru Komisija uzskata par piemērotāku</w:t>
            </w:r>
            <w:r>
              <w:rPr>
                <w:b/>
                <w:i/>
              </w:rPr>
              <w:t>, un ņemot</w:t>
            </w:r>
            <w:r>
              <w:t xml:space="preserve"> vērā vajadzību nodrošināt līdzsvaru attiecībā uz nozari, organizācijas veidu, tai skaitā privātajiem </w:t>
            </w:r>
            <w:r>
              <w:rPr>
                <w:b/>
                <w:i/>
              </w:rPr>
              <w:t>ieguldītājiem</w:t>
            </w:r>
            <w:r>
              <w:t xml:space="preserve">, un lielumu, speciālajām zināšanām, dzimumu, vecumu un ģeogrāfisko </w:t>
            </w:r>
            <w:r>
              <w:rPr>
                <w:b/>
                <w:i/>
              </w:rPr>
              <w:t>pārstāvību</w:t>
            </w:r>
            <w:r>
              <w:t>. Padomes locekļu pilnvaru termiņš ir četri gadi, un to var atjaunot vienu reizi. Padomes locekļi rīkojas godprātīgi un godīgi.</w:t>
            </w:r>
          </w:p>
        </w:tc>
        <w:tc>
          <w:tcPr>
            <w:tcW w:w="4876" w:type="dxa"/>
            <w:tcBorders>
              <w:top w:val="nil"/>
              <w:left w:val="nil"/>
              <w:bottom w:val="nil"/>
              <w:right w:val="nil"/>
            </w:tcBorders>
          </w:tcPr>
          <w:p>
            <w:pPr>
              <w:pStyle w:val="Normal6a"/>
            </w:pPr>
            <w:r>
              <w:t>2.</w:t>
            </w:r>
            <w:r>
              <w:tab/>
            </w:r>
            <w:r>
              <w:t xml:space="preserve">EKF Stratēģiskās ieinteresēto personu padomes locekļus ieceļ Komisija pēc atklāta </w:t>
            </w:r>
            <w:r>
              <w:rPr>
                <w:b/>
                <w:i/>
              </w:rPr>
              <w:t>un pārredzama</w:t>
            </w:r>
            <w:r>
              <w:t xml:space="preserve"> uzaicinājuma izvirzīt kandidatūras vai izteikt ieinteresētību, vai abām procedūrām atkarībā no tā, kuru Komisija uzskata par piemērotāku</w:t>
            </w:r>
            <w:r>
              <w:rPr>
                <w:b/>
                <w:i/>
              </w:rPr>
              <w:t>.</w:t>
            </w:r>
            <w:r>
              <w:t xml:space="preserve"> </w:t>
            </w:r>
            <w:r>
              <w:rPr>
                <w:b/>
                <w:i/>
              </w:rPr>
              <w:t>Padomes locekļus ieceļ, primāri pamatojoties uz viņu zinātniskajām, tehniskajām vai praktiskajām zināšanām par nozarēm vai investīciju vidi.</w:t>
            </w:r>
            <w:r>
              <w:t xml:space="preserve"> </w:t>
            </w:r>
            <w:r>
              <w:rPr>
                <w:b/>
                <w:i/>
              </w:rPr>
              <w:t>Kopumā Komisija ņem</w:t>
            </w:r>
            <w:r>
              <w:t xml:space="preserve"> vērā vajadzību nodrošināt līdzsvaru attiecībā uz nozari, organizācijas veidu, tai skaitā privātajiem </w:t>
            </w:r>
            <w:r>
              <w:rPr>
                <w:b/>
                <w:i/>
              </w:rPr>
              <w:t>investoriem</w:t>
            </w:r>
            <w:r>
              <w:t xml:space="preserve">, un lielumu, </w:t>
            </w:r>
            <w:r>
              <w:rPr>
                <w:b/>
                <w:i/>
              </w:rPr>
              <w:t>zinātniskajām</w:t>
            </w:r>
            <w:r>
              <w:t xml:space="preserve"> speciālajām zināšanām</w:t>
            </w:r>
            <w:r>
              <w:rPr>
                <w:b/>
                <w:i/>
              </w:rPr>
              <w:t>, pilsoniskās sabiedrības līdzdalību</w:t>
            </w:r>
            <w:r>
              <w:t xml:space="preserve">, dzimumu, vecumu un ģeogrāfisko </w:t>
            </w:r>
            <w:r>
              <w:rPr>
                <w:b/>
                <w:i/>
              </w:rPr>
              <w:t>sadalījumu</w:t>
            </w:r>
            <w:r>
              <w:t>. Padomes locekļu pilnvaru termiņš ir četri gadi, un to var atjaunot vienu reizi. Padomes locekļi rīkojas godprātīgi un godīgi.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1945</w:t>
      </w:r>
      <w:r>
        <w:rPr>
          <w:rStyle w:val="HideTWBExt"/>
        </w:rPr>
        <w:t>&lt;/NumAm&gt;</w:t>
      </w:r>
    </w:p>
    <w:p>
      <w:pPr>
        <w:pStyle w:val="NormalBold"/>
      </w:pPr>
      <w:r>
        <w:rPr>
          <w:rStyle w:val="HideTWBExt"/>
          <w:b w:val="0"/>
        </w:rPr>
        <w:t>&lt;RepeatBlock-By&gt;</w:t>
      </w:r>
      <w:r>
        <w:rPr>
          <w:rStyle w:val="HideTWBExt"/>
          <w:b w:val="0"/>
        </w:rPr>
        <w:t>&lt;Members&gt;</w:t>
      </w:r>
      <w:r>
        <w:t>Nicola Procaccini, Carlo Fidanza, Alessandro Ciriani, Elena Donazzan, Pietro Fiocchi, Lara Magoni, Francesco Torselli, Mariateresa Vivaldini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Regulas priekšlikums</w:t>
      </w:r>
      <w:r>
        <w:rPr>
          <w:rStyle w:val="HideTWBExt"/>
        </w:rPr>
        <w:t>&lt;/DocAmend&gt;</w:t>
      </w:r>
    </w:p>
    <w:p>
      <w:pPr>
        <w:pStyle w:val="NormalBold"/>
      </w:pPr>
      <w:r>
        <w:rPr>
          <w:rStyle w:val="HideTWBExt"/>
        </w:rPr>
        <w:t>&lt;Article&gt;</w:t>
      </w:r>
      <w:r>
        <w:t>14. pants – 2.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Komisijas ierosinātais teksts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EKF Stratēģiskās ieinteresēto personu padomes locekļus ieceļ Komisija </w:t>
            </w:r>
            <w:r>
              <w:rPr>
                <w:b/>
                <w:i/>
              </w:rPr>
              <w:t>pēc atklāta uzaicinājuma</w:t>
            </w:r>
            <w:r>
              <w:t xml:space="preserve"> izvirzīt kandidatūras vai izteikt ieinteresētību, vai abām procedūrām atkarībā no tā, kuru Komisija uzskata par piemērotāku, un </w:t>
            </w:r>
            <w:r>
              <w:rPr>
                <w:b/>
                <w:i/>
              </w:rPr>
              <w:t>ņemot vērā vajadzību nodrošināt līdzsvaru attiecībā uz nozari, organizācijas veidu, tai skaitā privātajiem ieguldītājiem, un lielumu, speciālajām zināšanām, dzimumu, vecumu un ģeogrāfisko pārstāvību</w:t>
            </w:r>
            <w:r>
              <w:t>. Padomes locekļu pilnvaru termiņš ir četri gadi, un to var atjaunot vienu reizi. Padomes locekļi rīkojas godprātīgi un godīgi.</w:t>
            </w:r>
          </w:p>
        </w:tc>
        <w:tc>
          <w:tcPr>
            <w:tcW w:w="4876" w:type="dxa"/>
            <w:tcBorders>
              <w:top w:val="nil"/>
              <w:left w:val="nil"/>
              <w:bottom w:val="nil"/>
              <w:right w:val="nil"/>
            </w:tcBorders>
          </w:tcPr>
          <w:p>
            <w:pPr>
              <w:pStyle w:val="Normal6a"/>
            </w:pPr>
            <w:r>
              <w:t>2.</w:t>
            </w:r>
            <w:r>
              <w:tab/>
            </w:r>
            <w:r>
              <w:t>EKF Stratēģiskās ieinteresēto personu padomes locekļus ieceļ Komisija</w:t>
            </w:r>
            <w:r>
              <w:rPr>
                <w:b/>
                <w:i/>
              </w:rPr>
              <w:t>, ievērojot pārredzamu procesu, kura pamatā ir skaidri atlases kritēriji un atklāts uzaicinājums</w:t>
            </w:r>
            <w:r>
              <w:t xml:space="preserve"> izvirzīt kandidatūras vai izteikt ieinteresētību, vai abām procedūrām atkarībā no tā, kuru Komisija uzskata par piemērotāku, un </w:t>
            </w:r>
            <w:r>
              <w:rPr>
                <w:b/>
                <w:i/>
              </w:rPr>
              <w:t>iekļaujot ekspertus no Eiropas un valstu rūpniecības un pētniecības un inovācijas pārstāvības organizācijām un privātos investorus, nodrošinot patiesi līdzsvarotu sastāvu.</w:t>
            </w:r>
            <w:r>
              <w:t xml:space="preserve"> </w:t>
            </w:r>
            <w:r>
              <w:rPr>
                <w:b/>
                <w:i/>
              </w:rPr>
              <w:t>Jēgpilna nozares iesaiste tiks uzskatīta par būtisku, lai EKF saskaņotu ar tirgus realitāti, atbalstītu prognozējamas daudzgadu investīciju plūsmas un piesaistītu privātās investīcijas</w:t>
            </w:r>
            <w:r>
              <w:t>. Padomes locekļu pilnvaru termiņš ir četri gadi, un to var atjaunot vienu reizi. Padomes locekļi rīkojas godprātīgi un godīgi.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1946</w:t>
      </w:r>
      <w:r>
        <w:rPr>
          <w:rStyle w:val="HideTWBExt"/>
        </w:rPr>
        <w:t>&lt;/NumAm&gt;</w:t>
      </w:r>
    </w:p>
    <w:p>
      <w:pPr>
        <w:pStyle w:val="NormalBold"/>
      </w:pPr>
      <w:r>
        <w:rPr>
          <w:rStyle w:val="HideTWBExt"/>
          <w:b w:val="0"/>
        </w:rPr>
        <w:t>&lt;RepeatBlock-By&gt;</w:t>
      </w:r>
      <w:r>
        <w:rPr>
          <w:rStyle w:val="HideTWBExt"/>
          <w:b w:val="0"/>
        </w:rPr>
        <w:t>&lt;Members&gt;</w:t>
      </w:r>
      <w:r>
        <w:t>Matthias Ecke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Regulas priekšlikums</w:t>
      </w:r>
      <w:r>
        <w:rPr>
          <w:rStyle w:val="HideTWBExt"/>
        </w:rPr>
        <w:t>&lt;/DocAmend&gt;</w:t>
      </w:r>
    </w:p>
    <w:p>
      <w:pPr>
        <w:pStyle w:val="NormalBold"/>
      </w:pPr>
      <w:r>
        <w:rPr>
          <w:rStyle w:val="HideTWBExt"/>
        </w:rPr>
        <w:t>&lt;Article&gt;</w:t>
      </w:r>
      <w:r>
        <w:t>14. pants – 2.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Komisijas ierosinātais teksts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EKF Stratēģiskās ieinteresēto personu padomes locekļus ieceļ Komisija pēc atklāta uzaicinājuma izvirzīt kandidatūras vai izteikt ieinteresētību, vai abām procedūrām atkarībā no tā, kuru Komisija uzskata par piemērotāku, un ņemot vērā vajadzību nodrošināt līdzsvaru attiecībā uz nozari, organizācijas veidu, tai skaitā privātajiem </w:t>
            </w:r>
            <w:r>
              <w:rPr>
                <w:b/>
                <w:i/>
              </w:rPr>
              <w:t>ieguldītājiem</w:t>
            </w:r>
            <w:r>
              <w:t>, un lielumu, speciālajām zināšanām, dzimumu, vecumu un ģeogrāfisko pārstāvību. Padomes locekļu pilnvaru termiņš ir četri gadi, un to var atjaunot vienu reizi. Padomes locekļi rīkojas godprātīgi un godīgi.</w:t>
            </w:r>
          </w:p>
        </w:tc>
        <w:tc>
          <w:tcPr>
            <w:tcW w:w="4876" w:type="dxa"/>
            <w:tcBorders>
              <w:top w:val="nil"/>
              <w:left w:val="nil"/>
              <w:bottom w:val="nil"/>
              <w:right w:val="nil"/>
            </w:tcBorders>
          </w:tcPr>
          <w:p>
            <w:pPr>
              <w:pStyle w:val="Normal6a"/>
            </w:pPr>
            <w:r>
              <w:t>2.</w:t>
            </w:r>
            <w:r>
              <w:tab/>
            </w:r>
            <w:r>
              <w:t xml:space="preserve">EKF Stratēģiskās ieinteresēto personu padomes locekļus ieceļ Komisija pēc atklāta uzaicinājuma izvirzīt kandidatūras vai izteikt ieinteresētību, vai abām procedūrām atkarībā no tā, kuru Komisija uzskata par piemērotāku, un ņemot vērā vajadzību nodrošināt līdzsvaru attiecībā uz nozari, organizācijas veidu, tai skaitā privātajiem </w:t>
            </w:r>
            <w:r>
              <w:rPr>
                <w:b/>
                <w:i/>
              </w:rPr>
              <w:t>investoriem</w:t>
            </w:r>
            <w:r>
              <w:t>, un lielumu, speciālajām zināšanām, dzimumu, vecumu un ģeogrāfisko pārstāvību</w:t>
            </w:r>
            <w:r>
              <w:rPr>
                <w:b/>
                <w:i/>
              </w:rPr>
              <w:t>.</w:t>
            </w:r>
            <w:r>
              <w:t xml:space="preserve"> </w:t>
            </w:r>
            <w:r>
              <w:rPr>
                <w:b/>
                <w:i/>
              </w:rPr>
              <w:t>Jāpanāk sociālo partneru līdzsvarota pārstāvība Stratēģiskajā ieinteresēto personu padomē</w:t>
            </w:r>
            <w:r>
              <w:t xml:space="preserve">. Padomes locekļu pilnvaru termiņš ir četri gadi, un to var atjaunot vienu reizi. Padomes locekļi rīkojas godprātīgi un godīgi. </w:t>
            </w:r>
            <w:r>
              <w:rPr>
                <w:b/>
                <w:i/>
              </w:rPr>
              <w:t>Stratēģiskā ieinteresēto personu padome pieņem ikgadējus atzinumus, kas jāņem vērā, sagatavojot gada darba programmas.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1947</w:t>
      </w:r>
      <w:r>
        <w:rPr>
          <w:rStyle w:val="HideTWBExt"/>
        </w:rPr>
        <w:t>&lt;/NumAm&gt;</w:t>
      </w:r>
    </w:p>
    <w:p>
      <w:pPr>
        <w:pStyle w:val="NormalBold"/>
      </w:pPr>
      <w:r>
        <w:rPr>
          <w:rStyle w:val="HideTWBExt"/>
          <w:b w:val="0"/>
        </w:rPr>
        <w:t>&lt;RepeatBlock-By&gt;</w:t>
      </w:r>
      <w:r>
        <w:rPr>
          <w:rStyle w:val="HideTWBExt"/>
          <w:b w:val="0"/>
        </w:rPr>
        <w:t>&lt;Members&gt;</w:t>
      </w:r>
      <w:r>
        <w:t>Oihane Agirregoitia Martínez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Regulas priekšlikums</w:t>
      </w:r>
      <w:r>
        <w:rPr>
          <w:rStyle w:val="HideTWBExt"/>
        </w:rPr>
        <w:t>&lt;/DocAmend&gt;</w:t>
      </w:r>
    </w:p>
    <w:p>
      <w:pPr>
        <w:pStyle w:val="NormalBold"/>
      </w:pPr>
      <w:r>
        <w:rPr>
          <w:rStyle w:val="HideTWBExt"/>
        </w:rPr>
        <w:t>&lt;Article&gt;</w:t>
      </w:r>
      <w:r>
        <w:t>14. pants – 2.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Komisijas ierosinātais teksts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EKF Stratēģiskās ieinteresēto personu padomes locekļus ieceļ Komisija pēc atklāta uzaicinājuma izvirzīt kandidatūras vai izteikt ieinteresētību, vai abām procedūrām atkarībā no tā, kuru Komisija uzskata par piemērotāku, un ņemot vērā vajadzību nodrošināt līdzsvaru attiecībā uz nozari, organizācijas veidu, tai skaitā privātajiem </w:t>
            </w:r>
            <w:r>
              <w:rPr>
                <w:b/>
                <w:i/>
              </w:rPr>
              <w:t>ieguldītājiem</w:t>
            </w:r>
            <w:r>
              <w:t>, un lielumu, speciālajām zināšanām, dzimumu, vecumu un ģeogrāfisko pārstāvību. Padomes locekļu pilnvaru termiņš ir četri gadi, un to var atjaunot vienu reizi. Padomes locekļi rīkojas godprātīgi un godīgi.</w:t>
            </w:r>
          </w:p>
        </w:tc>
        <w:tc>
          <w:tcPr>
            <w:tcW w:w="4876" w:type="dxa"/>
            <w:tcBorders>
              <w:top w:val="nil"/>
              <w:left w:val="nil"/>
              <w:bottom w:val="nil"/>
              <w:right w:val="nil"/>
            </w:tcBorders>
          </w:tcPr>
          <w:p>
            <w:pPr>
              <w:pStyle w:val="Normal6a"/>
            </w:pPr>
            <w:r>
              <w:t>2.</w:t>
            </w:r>
            <w:r>
              <w:tab/>
            </w:r>
            <w:r>
              <w:t xml:space="preserve">EKF Stratēģiskās ieinteresēto personu padomes locekļus ieceļ Komisija pēc atklāta uzaicinājuma izvirzīt kandidatūras vai izteikt ieinteresētību, vai abām procedūrām atkarībā no tā, kuru Komisija uzskata par piemērotāku, un ņemot vērā vajadzību nodrošināt līdzsvaru attiecībā uz nozari, organizācijas veidu, tai skaitā privātajiem </w:t>
            </w:r>
            <w:r>
              <w:rPr>
                <w:b/>
                <w:i/>
              </w:rPr>
              <w:t>investoriem, reģionālajām un vietējām publiskajām iestādēm</w:t>
            </w:r>
            <w:r>
              <w:t>, un lielumu, speciālajām zināšanām, dzimumu, vecumu un ģeogrāfisko pārstāvību</w:t>
            </w:r>
            <w:r>
              <w:rPr>
                <w:b/>
                <w:i/>
              </w:rPr>
              <w:t>.</w:t>
            </w:r>
            <w:r>
              <w:t xml:space="preserve"> </w:t>
            </w:r>
            <w:r>
              <w:rPr>
                <w:b/>
                <w:i/>
              </w:rPr>
              <w:t>Papildus Stratēģiskajai konsultatīvajai padomei reģionālās un vietējās pašvaldības būtu jāiekļauj dažādās oficiālās pārvaldības struktūrās, kas izveidotas saskaņā ar šo regulu</w:t>
            </w:r>
            <w:r>
              <w:t>. Padomes locekļu pilnvaru termiņš ir četri gadi, un to var atjaunot vienu reizi. Padomes locekļi rīkojas godprātīgi un godīgi.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1948</w:t>
      </w:r>
      <w:r>
        <w:rPr>
          <w:rStyle w:val="HideTWBExt"/>
        </w:rPr>
        <w:t>&lt;/NumAm&gt;</w:t>
      </w:r>
    </w:p>
    <w:p>
      <w:pPr>
        <w:pStyle w:val="NormalBold"/>
      </w:pPr>
      <w:r>
        <w:rPr>
          <w:rStyle w:val="HideTWBExt"/>
          <w:b w:val="0"/>
        </w:rPr>
        <w:t>&lt;RepeatBlock-By&gt;</w:t>
      </w:r>
      <w:r>
        <w:rPr>
          <w:rStyle w:val="HideTWBExt"/>
          <w:b w:val="0"/>
        </w:rPr>
        <w:t>&lt;Members&gt;</w:t>
      </w:r>
      <w:r>
        <w:t>Laura Ballarín Cereza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Regulas priekšlikums</w:t>
      </w:r>
      <w:r>
        <w:rPr>
          <w:rStyle w:val="HideTWBExt"/>
        </w:rPr>
        <w:t>&lt;/DocAmend&gt;</w:t>
      </w:r>
    </w:p>
    <w:p>
      <w:pPr>
        <w:pStyle w:val="NormalBold"/>
      </w:pPr>
      <w:r>
        <w:rPr>
          <w:rStyle w:val="HideTWBExt"/>
        </w:rPr>
        <w:t>&lt;Article&gt;</w:t>
      </w:r>
      <w:r>
        <w:t>14. pants – 2.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Komisijas ierosinātais teksts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EKF Stratēģiskās ieinteresēto personu padomes locekļus ieceļ Komisija pēc atklāta uzaicinājuma izvirzīt kandidatūras vai izteikt ieinteresētību, vai abām procedūrām atkarībā no tā, kuru Komisija uzskata par piemērotāku, un ņemot vērā vajadzību nodrošināt līdzsvaru attiecībā uz nozari, organizācijas veidu, tai skaitā privātajiem </w:t>
            </w:r>
            <w:r>
              <w:rPr>
                <w:b/>
                <w:i/>
              </w:rPr>
              <w:t>ieguldītājiem</w:t>
            </w:r>
            <w:r>
              <w:t>, un lielumu, speciālajām zināšanām, dzimumu, vecumu un ģeogrāfisko pārstāvību. Padomes locekļu pilnvaru termiņš ir četri gadi, un to var atjaunot vienu reizi. Padomes locekļi rīkojas godprātīgi un godīgi.</w:t>
            </w:r>
          </w:p>
        </w:tc>
        <w:tc>
          <w:tcPr>
            <w:tcW w:w="4876" w:type="dxa"/>
            <w:tcBorders>
              <w:top w:val="nil"/>
              <w:left w:val="nil"/>
              <w:bottom w:val="nil"/>
              <w:right w:val="nil"/>
            </w:tcBorders>
          </w:tcPr>
          <w:p>
            <w:pPr>
              <w:pStyle w:val="Normal6a"/>
            </w:pPr>
            <w:r>
              <w:t>2.</w:t>
            </w:r>
            <w:r>
              <w:tab/>
            </w:r>
            <w:r>
              <w:t xml:space="preserve">EKF Stratēģiskās ieinteresēto personu padomes locekļus ieceļ Komisija pēc atklāta uzaicinājuma izvirzīt kandidatūras vai izteikt ieinteresētību, vai abām procedūrām atkarībā no tā, kuru Komisija uzskata par piemērotāku, un ņemot vērā vajadzību nodrošināt līdzsvaru attiecībā uz nozari, organizācijas veidu, tai skaitā privātajiem </w:t>
            </w:r>
            <w:r>
              <w:rPr>
                <w:b/>
                <w:i/>
              </w:rPr>
              <w:t>investoriem, reģionālajām publiskajām iestādēm</w:t>
            </w:r>
            <w:r>
              <w:t xml:space="preserve">, un lielumu, speciālajām zināšanām, dzimumu, vecumu un ģeogrāfisko pārstāvību. Padomes locekļu pilnvaru termiņš ir četri gadi, un to var atjaunot vienu reizi. Padomes locekļi rīkojas godprātīgi un godīgi. </w:t>
            </w:r>
            <w:r>
              <w:rPr>
                <w:b/>
                <w:i/>
              </w:rPr>
              <w:t>Papildus Stratēģiskajai konsultatīvajai padomei reģionālās un vietējās pašvaldības būtu jāiekļauj dažādās oficiālās pārvaldības struktūrās, kas izveidotas saskaņā ar šo regulu.</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Pamatojums</w:t>
      </w:r>
      <w:r>
        <w:rPr>
          <w:rStyle w:val="HideTWBExt"/>
        </w:rPr>
        <w:t>&lt;/TitreJust&gt;</w:t>
      </w:r>
    </w:p>
    <w:p>
      <w:pPr>
        <w:pStyle w:val="AmJustText"/>
      </w:pPr>
      <w:r>
        <w:t>Reģioniem, jo īpaši tiem, kuros notiek nozīmīgas inovācijas darbības, vajadzētu būt strukturētā veidā pārstāvētiem Eiropas Konkurētspējas fonda Stratēģijas padomē.</w:t>
      </w:r>
      <w:r>
        <w:t xml:space="preserve"> </w:t>
      </w:r>
      <w:r>
        <w:t>Reģioniem kā galvenajiem dalībniekiem un centriem, kuros koncentrējas darbvietas, uzņēmumi un investīcijas, ir nepastarpinātas zināšanas par investīciju vajadzībām, tirgus nepilnībām un politikas prioritātēm, un tiem ir izšķiroša nozīme pievilcīgu apstākļu radīšanā uzņēmumiem un investoriem papildus tam, ka tie ir publiskie iepircēji, tādējādi stiprinot ekonomikas vispārējo konkurētspēju.</w:t>
      </w:r>
    </w:p>
    <w:p>
      <w:r>
        <w:rPr>
          <w:rStyle w:val="HideTWBExt"/>
        </w:rPr>
        <w:t>&lt;/Amend&gt;</w:t>
      </w:r>
    </w:p>
    <w:p>
      <w:pPr>
        <w:pStyle w:val="AmNumberTabs"/>
      </w:pPr>
      <w:r>
        <w:rPr>
          <w:rStyle w:val="HideTWBExt"/>
        </w:rPr>
        <w:t>&lt;Amend&gt;</w:t>
      </w:r>
      <w:r>
        <w:t>Grozījums Nr.</w:t>
      </w:r>
      <w:r>
        <w:tab/>
      </w:r>
      <w:r>
        <w:tab/>
      </w:r>
      <w:r>
        <w:rPr>
          <w:rStyle w:val="HideTWBExt"/>
        </w:rPr>
        <w:t>&lt;NumAm&gt;</w:t>
      </w:r>
      <w:r>
        <w:t>1949</w:t>
      </w:r>
      <w:r>
        <w:rPr>
          <w:rStyle w:val="HideTWBExt"/>
        </w:rPr>
        <w:t>&lt;/NumAm&gt;</w:t>
      </w:r>
    </w:p>
    <w:p>
      <w:pPr>
        <w:pStyle w:val="NormalBold"/>
      </w:pPr>
      <w:r>
        <w:rPr>
          <w:rStyle w:val="HideTWBExt"/>
          <w:b w:val="0"/>
        </w:rPr>
        <w:t>&lt;RepeatBlock-By&gt;</w:t>
      </w:r>
      <w:r>
        <w:rPr>
          <w:rStyle w:val="HideTWBExt"/>
          <w:b w:val="0"/>
        </w:rPr>
        <w:t>&lt;Members&gt;</w:t>
      </w:r>
      <w:r>
        <w:t>Christophe Grudler, Yvan Verougstraete, Morten Løkkegaard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Regulas priekšlikums</w:t>
      </w:r>
      <w:r>
        <w:rPr>
          <w:rStyle w:val="HideTWBExt"/>
        </w:rPr>
        <w:t>&lt;/DocAmend&gt;</w:t>
      </w:r>
    </w:p>
    <w:p>
      <w:pPr>
        <w:pStyle w:val="NormalBold"/>
      </w:pPr>
      <w:r>
        <w:rPr>
          <w:rStyle w:val="HideTWBExt"/>
        </w:rPr>
        <w:t>&lt;Article&gt;</w:t>
      </w:r>
      <w:r>
        <w:t>14. pants – 2.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Komisijas ierosinātais teksts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EKF Stratēģiskās ieinteresēto personu padomes locekļus ieceļ Komisija pēc atklāta uzaicinājuma izvirzīt kandidatūras vai izteikt ieinteresētību, vai abām procedūrām atkarībā no tā, kuru Komisija uzskata par piemērotāku, un ņemot vērā vajadzību nodrošināt līdzsvaru attiecībā uz nozari, organizācijas veidu, tai skaitā privātajiem </w:t>
            </w:r>
            <w:r>
              <w:rPr>
                <w:b/>
                <w:i/>
              </w:rPr>
              <w:t>ieguldītājiem</w:t>
            </w:r>
            <w:r>
              <w:t>, un lielumu, speciālajām zināšanām, dzimumu, vecumu un ģeogrāfisko pārstāvību. Padomes locekļu pilnvaru termiņš ir četri gadi, un to var atjaunot vienu reizi. Padomes locekļi rīkojas godprātīgi un godīgi.</w:t>
            </w:r>
          </w:p>
        </w:tc>
        <w:tc>
          <w:tcPr>
            <w:tcW w:w="4876" w:type="dxa"/>
            <w:tcBorders>
              <w:top w:val="nil"/>
              <w:left w:val="nil"/>
              <w:bottom w:val="nil"/>
              <w:right w:val="nil"/>
            </w:tcBorders>
          </w:tcPr>
          <w:p>
            <w:pPr>
              <w:pStyle w:val="Normal6a"/>
            </w:pPr>
            <w:r>
              <w:t>2.</w:t>
            </w:r>
            <w:r>
              <w:tab/>
            </w:r>
            <w:r>
              <w:t xml:space="preserve">EKF Stratēģiskās ieinteresēto personu padomes locekļus ieceļ Komisija pēc atklāta uzaicinājuma izvirzīt kandidatūras vai izteikt ieinteresētību, vai abām procedūrām atkarībā no tā, kuru Komisija uzskata par piemērotāku, un ņemot vērā vajadzību nodrošināt līdzsvaru attiecībā uz nozari, organizācijas veidu, tai skaitā privātajiem </w:t>
            </w:r>
            <w:r>
              <w:rPr>
                <w:b/>
                <w:i/>
              </w:rPr>
              <w:t>investoriem</w:t>
            </w:r>
            <w:r>
              <w:t>, un lielumu, speciālajām zināšanām, dzimumu, vecumu un ģeogrāfisko pārstāvību</w:t>
            </w:r>
            <w:r>
              <w:rPr>
                <w:b/>
                <w:i/>
              </w:rPr>
              <w:t>.</w:t>
            </w:r>
            <w:r>
              <w:t xml:space="preserve"> </w:t>
            </w:r>
            <w:r>
              <w:rPr>
                <w:b/>
                <w:i/>
              </w:rPr>
              <w:t>Padomes locekļi pārstāv subjektus, kas ir iedibināti Savienībā un ko nekontrolē trešā valsts vai trešās valsts subjekts</w:t>
            </w:r>
            <w:r>
              <w:t>. Padomes locekļu pilnvaru termiņš ir četri gadi, un to var atjaunot vienu reizi. Padomes locekļi rīkojas godprātīgi un godīgi.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1950</w:t>
      </w:r>
      <w:r>
        <w:rPr>
          <w:rStyle w:val="HideTWBExt"/>
        </w:rPr>
        <w:t>&lt;/NumAm&gt;</w:t>
      </w:r>
    </w:p>
    <w:p>
      <w:pPr>
        <w:pStyle w:val="NormalBold"/>
      </w:pPr>
      <w:r>
        <w:rPr>
          <w:rStyle w:val="HideTWBExt"/>
          <w:b w:val="0"/>
        </w:rPr>
        <w:t>&lt;RepeatBlock-By&gt;</w:t>
      </w:r>
      <w:r>
        <w:rPr>
          <w:rStyle w:val="HideTWBExt"/>
          <w:b w:val="0"/>
        </w:rPr>
        <w:t>&lt;Members&gt;</w:t>
      </w:r>
      <w:r>
        <w:t>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Regulas priekšlikums</w:t>
      </w:r>
      <w:r>
        <w:rPr>
          <w:rStyle w:val="HideTWBExt"/>
        </w:rPr>
        <w:t>&lt;/DocAmend&gt;</w:t>
      </w:r>
    </w:p>
    <w:p>
      <w:pPr>
        <w:pStyle w:val="NormalBold"/>
      </w:pPr>
      <w:r>
        <w:rPr>
          <w:rStyle w:val="HideTWBExt"/>
        </w:rPr>
        <w:t>&lt;Article&gt;</w:t>
      </w:r>
      <w:r>
        <w:t>14. pants – 2.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Komisijas ierosinātais teksts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EKF Stratēģiskās ieinteresēto personu padomes locekļus ieceļ Komisija pēc atklāta uzaicinājuma izvirzīt kandidatūras vai izteikt ieinteresētību, vai abām procedūrām atkarībā no tā, kuru Komisija uzskata par piemērotāku, un ņemot vērā vajadzību nodrošināt līdzsvaru attiecībā uz nozari, organizācijas veidu, tai skaitā privātajiem </w:t>
            </w:r>
            <w:r>
              <w:rPr>
                <w:b/>
                <w:i/>
              </w:rPr>
              <w:t>ieguldītājiem</w:t>
            </w:r>
            <w:r>
              <w:t>, un lielumu, speciālajām zināšanām, dzimumu, vecumu un ģeogrāfisko pārstāvību. Padomes locekļu pilnvaru termiņš ir četri gadi, un to var atjaunot vienu reizi. Padomes locekļi rīkojas godprātīgi un godīgi.</w:t>
            </w:r>
          </w:p>
        </w:tc>
        <w:tc>
          <w:tcPr>
            <w:tcW w:w="4876" w:type="dxa"/>
            <w:tcBorders>
              <w:top w:val="nil"/>
              <w:left w:val="nil"/>
              <w:bottom w:val="nil"/>
              <w:right w:val="nil"/>
            </w:tcBorders>
          </w:tcPr>
          <w:p>
            <w:pPr>
              <w:pStyle w:val="Normal6a"/>
            </w:pPr>
            <w:r>
              <w:t>2.</w:t>
            </w:r>
            <w:r>
              <w:tab/>
            </w:r>
            <w:r>
              <w:t xml:space="preserve">EKF Stratēģiskās ieinteresēto personu padomes locekļus ieceļ Komisija pēc atklāta uzaicinājuma izvirzīt kandidatūras vai izteikt ieinteresētību, vai abām procedūrām atkarībā no tā, kuru Komisija uzskata par piemērotāku, un ņemot vērā vajadzību nodrošināt līdzsvaru attiecībā uz nozari, organizācijas veidu, tai skaitā privātajiem </w:t>
            </w:r>
            <w:r>
              <w:rPr>
                <w:b/>
                <w:i/>
              </w:rPr>
              <w:t>investoriem</w:t>
            </w:r>
            <w:r>
              <w:t>, un lielumu, speciālajām zināšanām, dzimumu, vecumu un ģeogrāfisko pārstāvību</w:t>
            </w:r>
            <w:r>
              <w:rPr>
                <w:b/>
                <w:i/>
              </w:rPr>
              <w:t>.</w:t>
            </w:r>
            <w:r>
              <w:t xml:space="preserve"> </w:t>
            </w:r>
            <w:r>
              <w:rPr>
                <w:b/>
                <w:i/>
              </w:rPr>
              <w:t>Padomes locekļiem ir tikai ES subjekti.</w:t>
            </w:r>
            <w:r>
              <w:t xml:space="preserve"> </w:t>
            </w:r>
            <w:r>
              <w:rPr>
                <w:b/>
                <w:i/>
              </w:rPr>
              <w:t>ES bāzēti ārvalstu izcelsmes subjekti nav tiesīgi būt par padomes locekļiem</w:t>
            </w:r>
            <w:r>
              <w:t>. Padomes locekļu pilnvaru termiņš ir četri gadi, un to var atjaunot vienu reizi. Padomes locekļi rīkojas godprātīgi un godīgi.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1951</w:t>
      </w:r>
      <w:r>
        <w:rPr>
          <w:rStyle w:val="HideTWBExt"/>
        </w:rPr>
        <w:t>&lt;/NumAm&gt;</w:t>
      </w:r>
    </w:p>
    <w:p>
      <w:pPr>
        <w:pStyle w:val="NormalBold"/>
      </w:pPr>
      <w:r>
        <w:rPr>
          <w:rStyle w:val="HideTWBExt"/>
          <w:b w:val="0"/>
        </w:rPr>
        <w:t>&lt;RepeatBlock-By&gt;</w:t>
      </w:r>
      <w:r>
        <w:rPr>
          <w:rStyle w:val="HideTWBExt"/>
          <w:b w:val="0"/>
        </w:rPr>
        <w:t>&lt;Members&gt;</w:t>
      </w:r>
      <w:r>
        <w:t>Paulo Cunha, Paulo do Nascimento Cabral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Regulas priekšlikums</w:t>
      </w:r>
      <w:r>
        <w:rPr>
          <w:rStyle w:val="HideTWBExt"/>
        </w:rPr>
        <w:t>&lt;/DocAmend&gt;</w:t>
      </w:r>
    </w:p>
    <w:p>
      <w:pPr>
        <w:pStyle w:val="NormalBold"/>
      </w:pPr>
      <w:r>
        <w:rPr>
          <w:rStyle w:val="HideTWBExt"/>
        </w:rPr>
        <w:t>&lt;Article&gt;</w:t>
      </w:r>
      <w:r>
        <w:t>14. pants – 2.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Komisijas ierosinātais teksts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EKF Stratēģiskās ieinteresēto personu padomes locekļus ieceļ Komisija pēc atklāta uzaicinājuma izvirzīt kandidatūras vai izteikt ieinteresētību, vai abām procedūrām atkarībā no tā, kuru Komisija uzskata par piemērotāku, un ņemot vērā vajadzību nodrošināt līdzsvaru attiecībā uz nozari, organizācijas veidu, tai skaitā privātajiem </w:t>
            </w:r>
            <w:r>
              <w:rPr>
                <w:b/>
                <w:i/>
              </w:rPr>
              <w:t>ieguldītājiem</w:t>
            </w:r>
            <w:r>
              <w:t>, un lielumu, speciālajām zināšanām, dzimumu, vecumu un ģeogrāfisko pārstāvību. Padomes locekļu pilnvaru termiņš ir četri gadi, un to var atjaunot vienu reizi. Padomes locekļi rīkojas godprātīgi un godīgi.</w:t>
            </w:r>
          </w:p>
        </w:tc>
        <w:tc>
          <w:tcPr>
            <w:tcW w:w="4876" w:type="dxa"/>
            <w:tcBorders>
              <w:top w:val="nil"/>
              <w:left w:val="nil"/>
              <w:bottom w:val="nil"/>
              <w:right w:val="nil"/>
            </w:tcBorders>
          </w:tcPr>
          <w:p>
            <w:pPr>
              <w:pStyle w:val="Normal6a"/>
            </w:pPr>
            <w:r>
              <w:t>2.</w:t>
            </w:r>
            <w:r>
              <w:tab/>
            </w:r>
            <w:r>
              <w:t xml:space="preserve">EKF Stratēģiskās ieinteresēto personu padomes locekļus ieceļ Komisija pēc atklāta uzaicinājuma izvirzīt kandidatūras vai izteikt ieinteresētību, vai abām procedūrām atkarībā no tā, kuru Komisija uzskata par piemērotāku, un ņemot vērā vajadzību nodrošināt līdzsvaru attiecībā uz nozari, organizācijas veidu, tai skaitā privātajiem </w:t>
            </w:r>
            <w:r>
              <w:rPr>
                <w:b/>
                <w:i/>
              </w:rPr>
              <w:t>investoriem</w:t>
            </w:r>
            <w:r>
              <w:t>, un lielumu, speciālajām zināšanām, dzimumu, vecumu un ģeogrāfisko pārstāvību</w:t>
            </w:r>
            <w:r>
              <w:rPr>
                <w:b/>
                <w:i/>
              </w:rPr>
              <w:t>, tostarp attiecībā uz pārstāvību no tālākajiem reģioniem, kas definēti īpašā LESD pantā</w:t>
            </w:r>
            <w:r>
              <w:t>. Padomes locekļu pilnvaru termiņš ir četri gadi, un to var atjaunot vienu reizi. Padomes locekļi rīkojas godprātīgi un godīgi.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1952</w:t>
      </w:r>
      <w:r>
        <w:rPr>
          <w:rStyle w:val="HideTWBExt"/>
        </w:rPr>
        <w:t>&lt;/NumAm&gt;</w:t>
      </w:r>
    </w:p>
    <w:p>
      <w:pPr>
        <w:pStyle w:val="NormalBold"/>
      </w:pPr>
      <w:r>
        <w:rPr>
          <w:rStyle w:val="HideTWBExt"/>
          <w:b w:val="0"/>
        </w:rPr>
        <w:t>&lt;RepeatBlock-By&gt;</w:t>
      </w:r>
      <w:r>
        <w:rPr>
          <w:rStyle w:val="HideTWBExt"/>
          <w:b w:val="0"/>
        </w:rPr>
        <w:t>&lt;Members&gt;</w:t>
      </w:r>
      <w:r>
        <w:t>Jens Gieseke, 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Regulas priekšlikums</w:t>
      </w:r>
      <w:r>
        <w:rPr>
          <w:rStyle w:val="HideTWBExt"/>
        </w:rPr>
        <w:t>&lt;/DocAmend&gt;</w:t>
      </w:r>
    </w:p>
    <w:p>
      <w:pPr>
        <w:pStyle w:val="NormalBold"/>
      </w:pPr>
      <w:r>
        <w:rPr>
          <w:rStyle w:val="HideTWBExt"/>
        </w:rPr>
        <w:t>&lt;Article&gt;</w:t>
      </w:r>
      <w:r>
        <w:t>14. pants – 2.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Komisijas ierosinātais teksts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EKF Stratēģiskās ieinteresēto personu padomes locekļus ieceļ Komisija pēc atklāta uzaicinājuma izvirzīt kandidatūras vai izteikt ieinteresētību, vai abām procedūrām atkarībā no tā, kuru Komisija uzskata par piemērotāku, un ņemot vērā vajadzību nodrošināt līdzsvaru attiecībā uz nozari, organizācijas veidu, tai skaitā privātajiem </w:t>
            </w:r>
            <w:r>
              <w:rPr>
                <w:b/>
                <w:i/>
              </w:rPr>
              <w:t>ieguldītājiem</w:t>
            </w:r>
            <w:r>
              <w:t>, un lielumu, speciālajām zināšanām, dzimumu, vecumu un ģeogrāfisko pārstāvību. Padomes locekļu pilnvaru termiņš ir četri gadi, un to var atjaunot vienu reizi. Padomes locekļi rīkojas godprātīgi un godīgi.</w:t>
            </w:r>
          </w:p>
        </w:tc>
        <w:tc>
          <w:tcPr>
            <w:tcW w:w="4876" w:type="dxa"/>
            <w:tcBorders>
              <w:top w:val="nil"/>
              <w:left w:val="nil"/>
              <w:bottom w:val="nil"/>
              <w:right w:val="nil"/>
            </w:tcBorders>
          </w:tcPr>
          <w:p>
            <w:pPr>
              <w:pStyle w:val="Normal6a"/>
            </w:pPr>
            <w:r>
              <w:t>2.</w:t>
            </w:r>
            <w:r>
              <w:tab/>
            </w:r>
            <w:r>
              <w:t xml:space="preserve">EKF Stratēģiskās ieinteresēto personu padomes locekļus ieceļ Komisija pēc atklāta uzaicinājuma izvirzīt kandidatūras vai izteikt ieinteresētību, vai abām procedūrām atkarībā no tā, kuru Komisija uzskata par piemērotāku, </w:t>
            </w:r>
            <w:r>
              <w:rPr>
                <w:b/>
                <w:i/>
              </w:rPr>
              <w:t>nodrošinot stratēģisko nozaru pārstāvniecību</w:t>
            </w:r>
            <w:r>
              <w:t xml:space="preserve"> un ņemot vērā vajadzību nodrošināt līdzsvaru attiecībā uz nozari, organizācijas veidu, tai skaitā privātajiem </w:t>
            </w:r>
            <w:r>
              <w:rPr>
                <w:b/>
                <w:i/>
              </w:rPr>
              <w:t>investoriem</w:t>
            </w:r>
            <w:r>
              <w:t>, un lielumu, speciālajām zināšanām, dzimumu, vecumu un ģeogrāfisko pārstāvību. Padomes locekļu pilnvaru termiņš ir četri gadi, un to var atjaunot vienu reizi. Padomes locekļi rīkojas godprātīgi un godīgi.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1953</w:t>
      </w:r>
      <w:r>
        <w:rPr>
          <w:rStyle w:val="HideTWBExt"/>
        </w:rPr>
        <w:t>&lt;/NumAm&gt;</w:t>
      </w:r>
    </w:p>
    <w:p>
      <w:pPr>
        <w:pStyle w:val="NormalBold"/>
      </w:pPr>
      <w:r>
        <w:rPr>
          <w:rStyle w:val="HideTWBExt"/>
          <w:b w:val="0"/>
        </w:rPr>
        <w:t>&lt;RepeatBlock-By&gt;</w:t>
      </w:r>
      <w:r>
        <w:rPr>
          <w:rStyle w:val="HideTWBExt"/>
          <w:b w:val="0"/>
        </w:rPr>
        <w:t>&lt;Members&gt;</w:t>
      </w:r>
      <w:r>
        <w:t>Raúl de la Hoz Quintano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Regulas priekšlikums</w:t>
      </w:r>
      <w:r>
        <w:rPr>
          <w:rStyle w:val="HideTWBExt"/>
        </w:rPr>
        <w:t>&lt;/DocAmend&gt;</w:t>
      </w:r>
    </w:p>
    <w:p>
      <w:pPr>
        <w:pStyle w:val="NormalBold"/>
      </w:pPr>
      <w:r>
        <w:rPr>
          <w:rStyle w:val="HideTWBExt"/>
        </w:rPr>
        <w:t>&lt;Article&gt;</w:t>
      </w:r>
      <w:r>
        <w:t>14. pants – 2.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Komisijas ierosinātais teksts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EKF </w:t>
            </w:r>
            <w:r>
              <w:rPr>
                <w:b/>
                <w:i/>
              </w:rPr>
              <w:t>Stratēģiskās</w:t>
            </w:r>
            <w:r>
              <w:t xml:space="preserve"> ieinteresēto personu padomes locekļus ieceļ Komisija pēc atklāta uzaicinājuma izvirzīt kandidatūras vai izteikt ieinteresētību, vai abām procedūrām atkarībā no tā, kuru Komisija uzskata par piemērotāku, un ņemot vērā vajadzību nodrošināt līdzsvaru attiecībā uz nozari, organizācijas veidu, tai skaitā privātajiem ieguldītājiem, un lielumu, speciālajām zināšanām, dzimumu, vecumu un ģeogrāfisko pārstāvību. Padomes locekļu pilnvaru termiņš ir četri gadi, un to var atjaunot vienu reizi. </w:t>
            </w:r>
            <w:r>
              <w:rPr>
                <w:b/>
                <w:i/>
              </w:rPr>
              <w:t>Padomes</w:t>
            </w:r>
            <w:r>
              <w:t xml:space="preserve"> locekļi rīkojas godprātīgi </w:t>
            </w:r>
            <w:r>
              <w:rPr>
                <w:b/>
                <w:i/>
              </w:rPr>
              <w:t>un</w:t>
            </w:r>
            <w:r>
              <w:t xml:space="preserve"> godīgi.</w:t>
            </w:r>
          </w:p>
        </w:tc>
        <w:tc>
          <w:tcPr>
            <w:tcW w:w="4876" w:type="dxa"/>
            <w:tcBorders>
              <w:top w:val="nil"/>
              <w:left w:val="nil"/>
              <w:bottom w:val="nil"/>
              <w:right w:val="nil"/>
            </w:tcBorders>
          </w:tcPr>
          <w:p>
            <w:pPr>
              <w:pStyle w:val="Normal6a"/>
            </w:pPr>
            <w:r>
              <w:t>2.</w:t>
            </w:r>
            <w:r>
              <w:tab/>
            </w:r>
            <w:r>
              <w:t>EKF Ieinteresēto personu padomes locekļus ieceļ Komisija pēc atklāta uzaicinājuma izvirzīt kandidatūras vai izteikt ieinteresētību, vai abām procedūrām atkarībā no tā, kuru Komisija uzskata par piemērotāku, un ņemot vērā vajadzību nodrošināt līdzsvaru attiecībā uz nozari, organizācijas veidu, tai skaitā privātajiem ieguldītājiem, un lielumu, speciālajām zināšanām, dzimumu, vecumu un ģeogrāfisko pārstāvību. Padomes locekļu pilnvaru termiņš ir četri gadi, un to var atjaunot vienu reizi. Locekļi rīkojas godprātīgi</w:t>
            </w:r>
            <w:r>
              <w:rPr>
                <w:b/>
                <w:i/>
              </w:rPr>
              <w:t>,</w:t>
            </w:r>
            <w:r>
              <w:t xml:space="preserve"> godīgi </w:t>
            </w:r>
            <w:r>
              <w:rPr>
                <w:b/>
                <w:i/>
              </w:rPr>
              <w:t>un pilnīgi neatkarīgi no jebkādiem politiskiem norādījumiem</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1954</w:t>
      </w:r>
      <w:r>
        <w:rPr>
          <w:rStyle w:val="HideTWBExt"/>
        </w:rPr>
        <w:t>&lt;/NumAm&gt;</w:t>
      </w:r>
    </w:p>
    <w:p>
      <w:pPr>
        <w:pStyle w:val="NormalBold"/>
      </w:pPr>
      <w:r>
        <w:rPr>
          <w:rStyle w:val="HideTWBExt"/>
          <w:b w:val="0"/>
        </w:rPr>
        <w:t>&lt;RepeatBlock-By&gt;</w:t>
      </w:r>
      <w:r>
        <w:rPr>
          <w:rStyle w:val="HideTWBExt"/>
          <w:b w:val="0"/>
        </w:rPr>
        <w:t>&lt;Members&gt;</w:t>
      </w:r>
      <w:r>
        <w:t>Elisabetta Gualmini, Grégory Allione, Bart Groothuis, Morten Løkkegaard, Yvan Verougstraete, Martin Hojsík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Regulas priekšlikums</w:t>
      </w:r>
      <w:r>
        <w:rPr>
          <w:rStyle w:val="HideTWBExt"/>
        </w:rPr>
        <w:t>&lt;/DocAmend&gt;</w:t>
      </w:r>
    </w:p>
    <w:p>
      <w:pPr>
        <w:pStyle w:val="NormalBold"/>
      </w:pPr>
      <w:r>
        <w:rPr>
          <w:rStyle w:val="HideTWBExt"/>
        </w:rPr>
        <w:t>&lt;Article&gt;</w:t>
      </w:r>
      <w:r>
        <w:t>14. pants – 2.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Komisijas ierosinātais teksts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EKF Stratēģiskās ieinteresēto personu padomes locekļus ieceļ Komisija pēc atklāta uzaicinājuma izvirzīt kandidatūras vai izteikt ieinteresētību, vai abām procedūrām atkarībā no tā, kuru Komisija uzskata par piemērotāku, un ņemot vērā vajadzību nodrošināt līdzsvaru attiecībā uz nozari, organizācijas veidu, tai skaitā privātajiem </w:t>
            </w:r>
            <w:r>
              <w:rPr>
                <w:b/>
                <w:i/>
              </w:rPr>
              <w:t>ieguldītājiem</w:t>
            </w:r>
            <w:r>
              <w:t>, un lielumu, speciālajām zināšanām, dzimumu, vecumu un ģeogrāfisko pārstāvību. Padomes locekļu pilnvaru termiņš ir četri gadi, un to var atjaunot vienu reizi. Padomes locekļi rīkojas godprātīgi un godīgi.</w:t>
            </w:r>
          </w:p>
        </w:tc>
        <w:tc>
          <w:tcPr>
            <w:tcW w:w="4876" w:type="dxa"/>
            <w:tcBorders>
              <w:top w:val="nil"/>
              <w:left w:val="nil"/>
              <w:bottom w:val="nil"/>
              <w:right w:val="nil"/>
            </w:tcBorders>
          </w:tcPr>
          <w:p>
            <w:pPr>
              <w:pStyle w:val="Normal6a"/>
            </w:pPr>
            <w:r>
              <w:t>2.</w:t>
            </w:r>
            <w:r>
              <w:tab/>
            </w:r>
            <w:r>
              <w:t xml:space="preserve">EKF Stratēģiskās ieinteresēto personu padomes locekļus ieceļ Komisija pēc atklāta uzaicinājuma izvirzīt kandidatūras vai izteikt ieinteresētību, vai abām procedūrām atkarībā no tā, kuru Komisija uzskata par piemērotāku, un ņemot vērā vajadzību nodrošināt līdzsvaru attiecībā uz nozari, organizācijas veidu, tai skaitā privātajiem </w:t>
            </w:r>
            <w:r>
              <w:rPr>
                <w:b/>
                <w:i/>
              </w:rPr>
              <w:t>investoriem, reģionālajām un vietējām publiskajām iestādēm</w:t>
            </w:r>
            <w:r>
              <w:t>, un lielumu, speciālajām zināšanām, dzimumu, vecumu un ģeogrāfisko pārstāvību. Padomes locekļu pilnvaru termiņš ir četri gadi, un to var atjaunot vienu reizi. Padomes locekļi rīkojas godprātīgi un godīgi.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1955</w:t>
      </w:r>
      <w:r>
        <w:rPr>
          <w:rStyle w:val="HideTWBExt"/>
        </w:rPr>
        <w:t>&lt;/NumAm&gt;</w:t>
      </w:r>
    </w:p>
    <w:p>
      <w:pPr>
        <w:pStyle w:val="NormalBold"/>
      </w:pPr>
      <w:r>
        <w:rPr>
          <w:rStyle w:val="HideTWBExt"/>
          <w:b w:val="0"/>
        </w:rPr>
        <w:t>&lt;RepeatBlock-By&gt;</w:t>
      </w:r>
      <w:r>
        <w:rPr>
          <w:rStyle w:val="HideTWBExt"/>
          <w:b w:val="0"/>
        </w:rPr>
        <w:t>&lt;Members&gt;</w:t>
      </w:r>
      <w:r>
        <w:t>Sarah Knafo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Regulas priekšlikums</w:t>
      </w:r>
      <w:r>
        <w:rPr>
          <w:rStyle w:val="HideTWBExt"/>
        </w:rPr>
        <w:t>&lt;/DocAmend&gt;</w:t>
      </w:r>
    </w:p>
    <w:p>
      <w:pPr>
        <w:pStyle w:val="NormalBold"/>
      </w:pPr>
      <w:r>
        <w:rPr>
          <w:rStyle w:val="HideTWBExt"/>
        </w:rPr>
        <w:t>&lt;Article&gt;</w:t>
      </w:r>
      <w:r>
        <w:t>14. pants – 2.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Komisijas ierosinātais teksts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EKF Stratēģiskās ieinteresēto personu padomes locekļus ieceļ Komisija pēc atklāta uzaicinājuma izvirzīt kandidatūras vai izteikt ieinteresētību, vai abām procedūrām atkarībā no tā, kuru Komisija uzskata par piemērotāku, un ņemot vērā vajadzību nodrošināt līdzsvaru attiecībā uz nozari, organizācijas veidu, </w:t>
            </w:r>
            <w:r>
              <w:rPr>
                <w:b/>
                <w:i/>
              </w:rPr>
              <w:t>tai skaitā privātajiem ieguldītājiem</w:t>
            </w:r>
            <w:r>
              <w:t xml:space="preserve">, </w:t>
            </w:r>
            <w:r>
              <w:rPr>
                <w:b/>
                <w:i/>
              </w:rPr>
              <w:t>un lielumu</w:t>
            </w:r>
            <w:r>
              <w:t xml:space="preserve">, speciālajām zināšanām, dzimumu, vecumu un ģeogrāfisko pārstāvību. </w:t>
            </w:r>
            <w:r>
              <w:rPr>
                <w:b/>
                <w:i/>
              </w:rPr>
              <w:t>Padomes locekļu pilnvaru termiņš ir četri gadi, un to var atjaunot vienu reizi.</w:t>
            </w:r>
            <w:r>
              <w:t xml:space="preserve"> </w:t>
            </w:r>
            <w:r>
              <w:rPr>
                <w:b/>
                <w:i/>
              </w:rPr>
              <w:t>Padomes locekļi rīkojas godprātīgi un godīgi.</w:t>
            </w:r>
          </w:p>
        </w:tc>
        <w:tc>
          <w:tcPr>
            <w:tcW w:w="4876" w:type="dxa"/>
            <w:tcBorders>
              <w:top w:val="nil"/>
              <w:left w:val="nil"/>
              <w:bottom w:val="nil"/>
              <w:right w:val="nil"/>
            </w:tcBorders>
          </w:tcPr>
          <w:p>
            <w:pPr>
              <w:pStyle w:val="Normal6a"/>
            </w:pPr>
            <w:r>
              <w:t>2.</w:t>
            </w:r>
            <w:r>
              <w:tab/>
            </w:r>
            <w:r>
              <w:t xml:space="preserve">EKF Stratēģiskās ieinteresēto personu padomes locekļus ieceļ Komisija pēc atklāta uzaicinājuma izvirzīt kandidatūras vai izteikt ieinteresētību, vai abām procedūrām atkarībā no tā, kuru Komisija uzskata par piemērotāku, un ņemot vērā vajadzību nodrošināt līdzsvaru attiecībā uz nozari, organizācijas veidu, </w:t>
            </w:r>
            <w:r>
              <w:rPr>
                <w:b/>
                <w:i/>
              </w:rPr>
              <w:t>iekļaujot Eiropas rūpniecības uzņēmumu</w:t>
            </w:r>
            <w:r>
              <w:t xml:space="preserve">, </w:t>
            </w:r>
            <w:r>
              <w:rPr>
                <w:b/>
                <w:i/>
              </w:rPr>
              <w:t>vidējas kapitalizācijas sabiedrību, riska kapitāla un privātā kapitāla fondu pārstāvjus</w:t>
            </w:r>
            <w:r>
              <w:t xml:space="preserve">, </w:t>
            </w:r>
            <w:r>
              <w:rPr>
                <w:b/>
                <w:i/>
              </w:rPr>
              <w:t>institucionālos investorus, pensiju fondu un alternatīvo ieguldījumu fondu pārvaldniekus, kā arī attiecībā uz</w:t>
            </w:r>
            <w:r>
              <w:t xml:space="preserve"> speciālajām zināšanām, dzimumu, vecumu un ģeogrāfisko pārstāvību.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1956</w:t>
      </w:r>
      <w:r>
        <w:rPr>
          <w:rStyle w:val="HideTWBExt"/>
        </w:rPr>
        <w:t>&lt;/NumAm&gt;</w:t>
      </w:r>
    </w:p>
    <w:p>
      <w:pPr>
        <w:pStyle w:val="NormalBold"/>
      </w:pPr>
      <w:r>
        <w:rPr>
          <w:rStyle w:val="HideTWBExt"/>
          <w:b w:val="0"/>
        </w:rPr>
        <w:t>&lt;RepeatBlock-By&gt;</w:t>
      </w:r>
      <w:r>
        <w:rPr>
          <w:rStyle w:val="HideTWBExt"/>
          <w:b w:val="0"/>
        </w:rPr>
        <w:t>&lt;Members&gt;</w:t>
      </w:r>
      <w:r>
        <w:t>Yvan Verougstraete, Stine Bosse, Christophe Grudler, Barry Andrews, Emma Wiesner, Laurence Farreng, Oihane Agirregoitia Martínez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Regulas priekšlikums</w:t>
      </w:r>
      <w:r>
        <w:rPr>
          <w:rStyle w:val="HideTWBExt"/>
        </w:rPr>
        <w:t>&lt;/DocAmend&gt;</w:t>
      </w:r>
    </w:p>
    <w:p>
      <w:pPr>
        <w:pStyle w:val="NormalBold"/>
      </w:pPr>
      <w:r>
        <w:rPr>
          <w:rStyle w:val="HideTWBExt"/>
        </w:rPr>
        <w:t>&lt;Article&gt;</w:t>
      </w:r>
      <w:r>
        <w:t>14. pants – 2.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Komisijas ierosinātais teksts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rPr>
                <w:b/>
                <w:i/>
              </w:rPr>
              <w:t>EKF Stratēģiskās ieinteresēto personu padomes locekļus ieceļ Komisija pēc atklāta uzaicinājuma izvirzīt kandidatūras vai izteikt ieinteresētību, vai abām procedūrām atkarībā no tā, kuru Komisija uzskata par piemērotāku, un ņemot vērā vajadzību nodrošināt līdzsvaru attiecībā uz nozari, organizācijas veidu, tai skaitā privātajiem ieguldītājiem, un lielumu, speciālajām zināšanām, dzimumu, vecumu un ģeogrāfisko pārstāvību.</w:t>
            </w:r>
            <w:r>
              <w:t xml:space="preserve"> </w:t>
            </w:r>
            <w:r>
              <w:rPr>
                <w:b/>
                <w:i/>
              </w:rPr>
              <w:t>Padomes locekļu pilnvaru termiņš ir četri gadi, un to var atjaunot vienu reizi.</w:t>
            </w:r>
            <w:r>
              <w:t xml:space="preserve"> </w:t>
            </w:r>
            <w:r>
              <w:rPr>
                <w:b/>
                <w:i/>
              </w:rPr>
              <w:t>Padomes locekļi rīkojas godprātīgi un godīgi</w:t>
            </w:r>
            <w:r>
              <w:t>.</w:t>
            </w:r>
          </w:p>
        </w:tc>
        <w:tc>
          <w:tcPr>
            <w:tcW w:w="4876" w:type="dxa"/>
            <w:tcBorders>
              <w:top w:val="nil"/>
              <w:left w:val="nil"/>
              <w:bottom w:val="nil"/>
              <w:right w:val="nil"/>
            </w:tcBorders>
          </w:tcPr>
          <w:p>
            <w:pPr>
              <w:pStyle w:val="Normal6a"/>
            </w:pPr>
            <w:r>
              <w:t>2.</w:t>
            </w:r>
            <w:r>
              <w:tab/>
            </w:r>
            <w:r>
              <w:rPr>
                <w:b/>
                <w:i/>
              </w:rPr>
              <w:t>Konkurētspējas koordinācijas mehānisms jo īpaši nodrošina sinerģiju un konsekventu īstenošanu ar Savienības fondiem, jo īpaši pamatprogrammu “Apvārsnis Eiropa”, Inovāciju fondu, Eiropas infrastruktūras savienošanas instrumentu un attiecīgā gadījumā programmu “Eiropa pasaulē”, “Erasmus+”, ES mehānismu, valstu un reģionu partnerības plāniem, valstu atveseļošanas un noturības plāniem un reģionālajām pārdomātas specializācijas stratēģijām.</w:t>
            </w:r>
            <w:r>
              <w:t xml:space="preserve"> </w:t>
            </w:r>
            <w:r>
              <w:rPr>
                <w:b/>
                <w:i/>
              </w:rPr>
              <w:t>Mehānisms var arī apzināt šķēršļus sinerģijai un koordinācijai ar citu ES finansējumu, tostarp neatbilstības atbalsttiesībās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1957</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Regulas priekšlikums</w:t>
      </w:r>
      <w:r>
        <w:rPr>
          <w:rStyle w:val="HideTWBExt"/>
        </w:rPr>
        <w:t>&lt;/DocAmend&gt;</w:t>
      </w:r>
    </w:p>
    <w:p>
      <w:pPr>
        <w:pStyle w:val="NormalBold"/>
      </w:pPr>
      <w:r>
        <w:rPr>
          <w:rStyle w:val="HideTWBExt"/>
        </w:rPr>
        <w:t>&lt;Article&gt;</w:t>
      </w:r>
      <w:r>
        <w:t>14. pants – 2.a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Komisijas ierosinātais teksts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Stratēģiskajā ieinteresēto personu padomē ir 30 locekļi: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10 locekļi, kas proporcionāli pārstāv uzņēmumus, kuri darbojas Savienībā, tostarp jaunuzņēmumus un augošos uzņēmumus, MVU, MVKU un lielos uzņēmumus no dažādām ekonomikas nozarēm, tostarp sociālās ekonomikas;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10 locekļi, kas pārstāv sociālos partnerus, pilsoniskās sabiedrības organizācijas, jaunatnes organizācijas un citas attiecīgās ieinteresētās personas, kuras darbojas Savienībā;</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5 locekļi, kas ir neatkarīgi augsta līmeņa eksperti no akadēmiskajām aprindām, pētniecības organizācijām vai inovācijas ekosistēmām un kam ir atzītas speciālās zināšanas, kuras attiecas uz EKF mērķiem un darbībām;</w:t>
            </w:r>
            <w:r>
              <w:rPr>
                <w:b/>
                <w:i/>
              </w:rPr>
              <w:t>un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5 locekļi, kas pārstāv vietējās un reģionālās pašvaldības un reģionālās inovācijas ekosistēmas visā Savienībā.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1958</w:t>
      </w:r>
      <w:r>
        <w:rPr>
          <w:rStyle w:val="HideTWBExt"/>
        </w:rPr>
        <w:t>&lt;/NumAm&gt;</w:t>
      </w:r>
    </w:p>
    <w:p>
      <w:pPr>
        <w:pStyle w:val="NormalBold"/>
      </w:pPr>
      <w:r>
        <w:rPr>
          <w:rStyle w:val="HideTWBExt"/>
          <w:b w:val="0"/>
        </w:rPr>
        <w:t>&lt;RepeatBlock-By&gt;</w:t>
      </w:r>
      <w:r>
        <w:rPr>
          <w:rStyle w:val="HideTWBExt"/>
          <w:b w:val="0"/>
        </w:rPr>
        <w:t>&lt;Members&gt;</w:t>
      </w:r>
      <w:r>
        <w:t>Yvan Verougstraete, Stine Bosse, Grégory Allione, Christophe Grudler, Barry Andrews, Oihane Agirregoitia Martínez, Bart Groothuis,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Regulas priekšlikums</w:t>
      </w:r>
      <w:r>
        <w:rPr>
          <w:rStyle w:val="HideTWBExt"/>
        </w:rPr>
        <w:t>&lt;/DocAmend&gt;</w:t>
      </w:r>
    </w:p>
    <w:p>
      <w:pPr>
        <w:pStyle w:val="NormalBold"/>
      </w:pPr>
      <w:r>
        <w:rPr>
          <w:rStyle w:val="HideTWBExt"/>
        </w:rPr>
        <w:t>&lt;Article&gt;</w:t>
      </w:r>
      <w:r>
        <w:t>14. pants – 3. pants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Komisijas ierosinātais teksts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rPr>
                <w:b/>
                <w:i/>
              </w:rPr>
              <w:t>Komisija nosaka sīki izstrādātus noteikumus par EKF</w:t>
            </w:r>
            <w:r>
              <w:t xml:space="preserve"> Ieinteresēto personu padomes </w:t>
            </w:r>
            <w:r>
              <w:rPr>
                <w:b/>
                <w:i/>
              </w:rPr>
              <w:t>atlasi un sastāvu, atalgojumu, reglamentu, interešu konfliktiem un konfidencialitāti.</w:t>
            </w:r>
            <w:r>
              <w:t xml:space="preserve"> </w:t>
            </w:r>
            <w:r>
              <w:rPr>
                <w:b/>
                <w:i/>
              </w:rPr>
              <w:t>Padomes locekļiem šie noteikumi ir saistoši</w:t>
            </w:r>
            <w:r>
              <w:t>.</w:t>
            </w:r>
          </w:p>
        </w:tc>
        <w:tc>
          <w:tcPr>
            <w:tcW w:w="4876" w:type="dxa"/>
            <w:tcBorders>
              <w:top w:val="nil"/>
              <w:left w:val="nil"/>
              <w:bottom w:val="nil"/>
              <w:right w:val="nil"/>
            </w:tcBorders>
          </w:tcPr>
          <w:p>
            <w:pPr>
              <w:pStyle w:val="Normal6a"/>
            </w:pPr>
            <w:r>
              <w:t>3.</w:t>
            </w:r>
            <w:r>
              <w:tab/>
            </w:r>
            <w:r>
              <w:rPr>
                <w:b/>
                <w:i/>
              </w:rPr>
              <w:t>Tajā ņem vērā arī ieguldījumu no attiecīgajiem ziņojumiem, tostarp Eiropas pusgada, nacionālajiem enerģētikas un klimata plāniem, gada ziņojuma par vienoto tirgu un konkurētspēju, kā arī Jauno tehnoloģiju observatorijas un</w:t>
            </w:r>
            <w:r>
              <w:t xml:space="preserve"> Ieinteresēto personu padomes </w:t>
            </w:r>
            <w:r>
              <w:rPr>
                <w:b/>
                <w:i/>
              </w:rPr>
              <w:t>ieguldījumu.</w:t>
            </w:r>
            <w:r>
              <w:t xml:space="preserve"> </w:t>
            </w:r>
            <w:r>
              <w:rPr>
                <w:b/>
                <w:i/>
              </w:rPr>
              <w:t>Tā arī nodrošina saskaņotu piemērošanu ar esošajām un turpmākajām Savienības iniciatīvām, tostarp Eiropas stratēģisko tehnoloģiju platformu, Neto nulles emisiju industrijas aktu un Kritiski svarīgo izejvielu aktu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1959</w:t>
      </w:r>
      <w:r>
        <w:rPr>
          <w:rStyle w:val="HideTWBExt"/>
        </w:rPr>
        <w:t>&lt;/NumAm&gt;</w:t>
      </w:r>
    </w:p>
    <w:p>
      <w:pPr>
        <w:pStyle w:val="NormalBold"/>
      </w:pPr>
      <w:r>
        <w:rPr>
          <w:rStyle w:val="HideTWBExt"/>
          <w:b w:val="0"/>
        </w:rPr>
        <w:t>&lt;RepeatBlock-By&gt;</w:t>
      </w:r>
      <w:r>
        <w:rPr>
          <w:rStyle w:val="HideTWBExt"/>
          <w:b w:val="0"/>
        </w:rPr>
        <w:t>&lt;Members&gt;</w:t>
      </w:r>
      <w:r>
        <w:t>Diana Iovanovici Şoşoacă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Regulas priekšlikums</w:t>
      </w:r>
      <w:r>
        <w:rPr>
          <w:rStyle w:val="HideTWBExt"/>
        </w:rPr>
        <w:t>&lt;/DocAmend&gt;</w:t>
      </w:r>
    </w:p>
    <w:p>
      <w:pPr>
        <w:pStyle w:val="NormalBold"/>
      </w:pPr>
      <w:r>
        <w:rPr>
          <w:rStyle w:val="HideTWBExt"/>
        </w:rPr>
        <w:t>&lt;Article&gt;</w:t>
      </w:r>
      <w:r>
        <w:t>14. pants – 3. pants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Komisijas ierosinātais teksts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Komisija nosaka sīki izstrādātus noteikumus par EKF Ieinteresēto personu padomes atlasi un sastāvu, atalgojumu, reglamentu, interešu konfliktiem un konfidencialitāti. Padomes locekļiem šie noteikumi ir saistoši.</w:t>
            </w:r>
          </w:p>
        </w:tc>
        <w:tc>
          <w:tcPr>
            <w:tcW w:w="4876" w:type="dxa"/>
            <w:tcBorders>
              <w:top w:val="nil"/>
              <w:left w:val="nil"/>
              <w:bottom w:val="nil"/>
              <w:right w:val="nil"/>
            </w:tcBorders>
          </w:tcPr>
          <w:p>
            <w:pPr>
              <w:pStyle w:val="Normal6a"/>
            </w:pPr>
            <w:r>
              <w:t>3.</w:t>
            </w:r>
            <w:r>
              <w:tab/>
            </w:r>
            <w:r>
              <w:t>Komisija nosaka sīki izstrādātus noteikumus par EKF Ieinteresēto personu padomes atlasi un sastāvu, atalgojumu, reglamentu, interešu konfliktiem un konfidencialitāti. Padomes locekļiem šie noteikumi ir saistoši</w:t>
            </w:r>
            <w:r>
              <w:rPr>
                <w:b/>
                <w:i/>
              </w:rPr>
              <w:t>, un pretējā gadījumā viņiem būs sekas saskaņā ar spēkā esošajām tiesību normām</w:t>
            </w:r>
            <w:r>
              <w:t>.</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1960</w:t>
      </w:r>
      <w:r>
        <w:rPr>
          <w:rStyle w:val="HideTWBExt"/>
        </w:rPr>
        <w:t>&lt;/NumAm&gt;</w:t>
      </w:r>
    </w:p>
    <w:p>
      <w:pPr>
        <w:pStyle w:val="NormalBold"/>
      </w:pPr>
      <w:r>
        <w:rPr>
          <w:rStyle w:val="HideTWBExt"/>
          <w:b w:val="0"/>
        </w:rPr>
        <w:t>&lt;RepeatBlock-By&gt;</w:t>
      </w:r>
      <w:r>
        <w:rPr>
          <w:rStyle w:val="HideTWBExt"/>
          <w:b w:val="0"/>
        </w:rPr>
        <w:t>&lt;Members&gt;</w:t>
      </w:r>
      <w:r>
        <w:t>Marc Botenga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Regulas priekšlikums</w:t>
      </w:r>
      <w:r>
        <w:rPr>
          <w:rStyle w:val="HideTWBExt"/>
        </w:rPr>
        <w:t>&lt;/DocAmend&gt;</w:t>
      </w:r>
    </w:p>
    <w:p>
      <w:pPr>
        <w:pStyle w:val="NormalBold"/>
      </w:pPr>
      <w:r>
        <w:rPr>
          <w:rStyle w:val="HideTWBExt"/>
        </w:rPr>
        <w:t>&lt;Article&gt;</w:t>
      </w:r>
      <w:r>
        <w:t>14. pants – 3. pants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Komisijas ierosinātais teksts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Komisija nosaka sīki izstrādātus noteikumus par EKF Ieinteresēto personu padomes atlasi un sastāvu, atalgojumu, reglamentu, interešu konfliktiem un konfidencialitāti. Padomes locekļiem </w:t>
            </w:r>
            <w:r>
              <w:rPr>
                <w:b/>
                <w:i/>
              </w:rPr>
              <w:t>šie noteikumi</w:t>
            </w:r>
            <w:r>
              <w:t xml:space="preserve"> ir saistoši</w:t>
            </w:r>
            <w:r>
              <w:rPr>
                <w:b/>
                <w:i/>
              </w:rPr>
              <w:t>.</w:t>
            </w:r>
          </w:p>
        </w:tc>
        <w:tc>
          <w:tcPr>
            <w:tcW w:w="4876" w:type="dxa"/>
            <w:tcBorders>
              <w:top w:val="nil"/>
              <w:left w:val="nil"/>
              <w:bottom w:val="nil"/>
              <w:right w:val="nil"/>
            </w:tcBorders>
          </w:tcPr>
          <w:p>
            <w:pPr>
              <w:pStyle w:val="Normal6a"/>
            </w:pPr>
            <w:r>
              <w:t>3.</w:t>
            </w:r>
            <w:r>
              <w:tab/>
            </w:r>
            <w:r>
              <w:t xml:space="preserve">Komisija nosaka sīki izstrādātus noteikumus par EKF Ieinteresēto personu padomes atlasi un sastāvu, atalgojumu, reglamentu, interešu konfliktiem un konfidencialitāti. Padomes locekļiem ir saistoši </w:t>
            </w:r>
            <w:r>
              <w:rPr>
                <w:b/>
                <w:i/>
              </w:rPr>
              <w:t>Komisijas izstrādātie noteikumi, kā arī šādi noteikumi: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1961</w:t>
      </w:r>
      <w:r>
        <w:rPr>
          <w:rStyle w:val="HideTWBExt"/>
        </w:rPr>
        <w:t>&lt;/NumAm&gt;</w:t>
      </w:r>
    </w:p>
    <w:p>
      <w:pPr>
        <w:pStyle w:val="NormalBold"/>
      </w:pPr>
      <w:r>
        <w:rPr>
          <w:rStyle w:val="HideTWBExt"/>
          <w:b w:val="0"/>
        </w:rPr>
        <w:t>&lt;RepeatBlock-By&gt;</w:t>
      </w:r>
      <w:r>
        <w:rPr>
          <w:rStyle w:val="HideTWBExt"/>
          <w:b w:val="0"/>
        </w:rPr>
        <w:t>&lt;Members&gt;</w:t>
      </w:r>
      <w:r>
        <w:t>Marc Botenga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Regulas priekšlikums</w:t>
      </w:r>
      <w:r>
        <w:rPr>
          <w:rStyle w:val="HideTWBExt"/>
        </w:rPr>
        <w:t>&lt;/DocAmend&gt;</w:t>
      </w:r>
    </w:p>
    <w:p>
      <w:pPr>
        <w:pStyle w:val="NormalBold"/>
      </w:pPr>
      <w:r>
        <w:rPr>
          <w:rStyle w:val="HideTWBExt"/>
        </w:rPr>
        <w:t>&lt;Article&gt;</w:t>
      </w:r>
      <w:r>
        <w:t>14. pants – 3. punkts – 1. apakšpunkts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Komisijas ierosinātais teksts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ab/>
            </w:r>
            <w:r>
              <w:rPr>
                <w:b/>
                <w:i/>
              </w:rPr>
              <w:t>Par nekādām darbībām, kuras tiek veiktas, lai pildītu amatu padomē, netiek maksāta atlīdzība, izņemot tādu izmaksu atlīdzināšanu, kas ir cieši saistītas ar pilnvarām.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1962</w:t>
      </w:r>
      <w:r>
        <w:rPr>
          <w:rStyle w:val="HideTWBExt"/>
        </w:rPr>
        <w:t>&lt;/NumAm&gt;</w:t>
      </w:r>
    </w:p>
    <w:p>
      <w:pPr>
        <w:pStyle w:val="NormalBold"/>
      </w:pPr>
      <w:r>
        <w:rPr>
          <w:rStyle w:val="HideTWBExt"/>
          <w:b w:val="0"/>
        </w:rPr>
        <w:t>&lt;RepeatBlock-By&gt;</w:t>
      </w:r>
      <w:r>
        <w:rPr>
          <w:rStyle w:val="HideTWBExt"/>
          <w:b w:val="0"/>
        </w:rPr>
        <w:t>&lt;Members&gt;</w:t>
      </w:r>
      <w:r>
        <w:t>Marc Botenga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Regulas priekšlikums</w:t>
      </w:r>
      <w:r>
        <w:rPr>
          <w:rStyle w:val="HideTWBExt"/>
        </w:rPr>
        <w:t>&lt;/DocAmend&gt;</w:t>
      </w:r>
    </w:p>
    <w:p>
      <w:pPr>
        <w:pStyle w:val="NormalBold"/>
      </w:pPr>
      <w:r>
        <w:rPr>
          <w:rStyle w:val="HideTWBExt"/>
        </w:rPr>
        <w:t>&lt;Article&gt;</w:t>
      </w:r>
      <w:r>
        <w:t>14. pants – 3. punkts – 2. apakšpunkts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Komisijas ierosinātais teksts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w:t>
            </w:r>
            <w:r>
              <w:tab/>
            </w:r>
            <w:r>
              <w:rPr>
                <w:b/>
                <w:i/>
              </w:rPr>
              <w:t>Uz visiem padomes locekļiem attiecas nogaidīšanas periods.</w:t>
            </w:r>
            <w:r>
              <w:t xml:space="preserve"> </w:t>
            </w:r>
            <w:r>
              <w:rPr>
                <w:b/>
                <w:i/>
              </w:rPr>
              <w:t>Tas nozīmē, ka vismaz piecus gadus pēc padomes locekļa amata beigām ir jāatturas ieņemt amatu jebkurā uzņēmumā vai citā peļņas gūšanas organizācijā, kurā EKF atbalsts tieši vai netieši dod labumu loceklim, kā arī jāatturas no jebkādām finansiālām interesēm šādās organizācijās, kas izriet no aktīvu īpašumtiesībām.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1963</w:t>
      </w:r>
      <w:r>
        <w:rPr>
          <w:rStyle w:val="HideTWBExt"/>
        </w:rPr>
        <w:t>&lt;/NumAm&gt;</w:t>
      </w:r>
    </w:p>
    <w:p>
      <w:pPr>
        <w:pStyle w:val="NormalBold"/>
      </w:pPr>
      <w:r>
        <w:rPr>
          <w:rStyle w:val="HideTWBExt"/>
          <w:b w:val="0"/>
        </w:rPr>
        <w:t>&lt;RepeatBlock-By&gt;</w:t>
      </w:r>
      <w:r>
        <w:rPr>
          <w:rStyle w:val="HideTWBExt"/>
          <w:b w:val="0"/>
        </w:rPr>
        <w:t>&lt;Members&gt;</w:t>
      </w:r>
      <w:r>
        <w:t>Marc Botenga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Regulas priekšlikums</w:t>
      </w:r>
      <w:r>
        <w:rPr>
          <w:rStyle w:val="HideTWBExt"/>
        </w:rPr>
        <w:t>&lt;/DocAmend&gt;</w:t>
      </w:r>
    </w:p>
    <w:p>
      <w:pPr>
        <w:pStyle w:val="NormalBold"/>
      </w:pPr>
      <w:r>
        <w:rPr>
          <w:rStyle w:val="HideTWBExt"/>
        </w:rPr>
        <w:t>&lt;Article&gt;</w:t>
      </w:r>
      <w:r>
        <w:t>14. pants – 3. punkts – 3. apakšpunkts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Komisijas ierosinātais teksts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w:t>
            </w:r>
            <w:r>
              <w:tab/>
            </w:r>
            <w:r>
              <w:rPr>
                <w:b/>
                <w:i/>
              </w:rPr>
              <w:t>Padome pienācīgi pārstāv visu Savienības daudzveidību, tostarp ģeogrāfisko, etnisko, dzimumu u.c. daudzveidību.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1964</w:t>
      </w:r>
      <w:r>
        <w:rPr>
          <w:rStyle w:val="HideTWBExt"/>
        </w:rPr>
        <w:t>&lt;/NumAm&gt;</w:t>
      </w:r>
    </w:p>
    <w:p>
      <w:pPr>
        <w:pStyle w:val="NormalBold"/>
      </w:pPr>
      <w:r>
        <w:rPr>
          <w:rStyle w:val="HideTWBExt"/>
          <w:b w:val="0"/>
        </w:rPr>
        <w:t>&lt;RepeatBlock-By&gt;</w:t>
      </w:r>
      <w:r>
        <w:rPr>
          <w:rStyle w:val="HideTWBExt"/>
          <w:b w:val="0"/>
        </w:rPr>
        <w:t>&lt;Members&gt;</w:t>
      </w:r>
      <w:r>
        <w:t>Rihards Kols</w:t>
      </w:r>
      <w:r>
        <w:rPr>
          <w:rStyle w:val="HideTWBExt"/>
          <w:b w:val="0"/>
        </w:rPr>
        <w:t>&lt;/Members&gt;</w:t>
      </w:r>
    </w:p>
    <w:p>
      <w:r>
        <w:rPr>
          <w:rStyle w:val="HideTWBExt"/>
          <w:b w:val="0"/>
        </w:rPr>
        <w:t>&lt;AuNomDe&gt;</w:t>
      </w:r>
      <w:r>
        <w:rPr>
          <w:rStyle w:val="HideTWBInt"/>
        </w:rPr>
        <w:t>{ECR}</w:t>
      </w:r>
      <w:r>
        <w:t>ECR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Regulas priekšlikums</w:t>
      </w:r>
      <w:r>
        <w:rPr>
          <w:rStyle w:val="HideTWBExt"/>
        </w:rPr>
        <w:t>&lt;/DocAmend&gt;</w:t>
      </w:r>
    </w:p>
    <w:p>
      <w:pPr>
        <w:pStyle w:val="NormalBold"/>
      </w:pPr>
      <w:r>
        <w:rPr>
          <w:rStyle w:val="HideTWBExt"/>
        </w:rPr>
        <w:t>&lt;Article&gt;</w:t>
      </w:r>
      <w:r>
        <w:t>14. pants – 4.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Komisijas ierosinātais teksts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EKF Stratēģiskā ieinteresēto personu padome, ko informē jauno tehnoloģiju novērošanas centrs, konsultē par EKF vispārējo virzību, par ilgtermiņa konkurētspējas tendencēm, par tirgus nepilnību un neoptimālu ieguldījumu situāciju jomām, kuras varētu risināt, īstenojot EKF, un par stratēģisko projektu portfeļu apzināšanu EKF darbībās un starp tām, un šajā nolūkā to var veidot dažādos uz politiku orientētos sastāvos.</w:t>
            </w:r>
          </w:p>
        </w:tc>
        <w:tc>
          <w:tcPr>
            <w:tcW w:w="4876" w:type="dxa"/>
            <w:tcBorders>
              <w:top w:val="nil"/>
              <w:left w:val="nil"/>
              <w:bottom w:val="nil"/>
              <w:right w:val="nil"/>
            </w:tcBorders>
          </w:tcPr>
          <w:p>
            <w:pPr>
              <w:pStyle w:val="Normal6a"/>
            </w:pPr>
            <w:r>
              <w:t>4.</w:t>
            </w:r>
            <w:r>
              <w:tab/>
            </w:r>
            <w:r>
              <w:t xml:space="preserve">EKF Stratēģiskā ieinteresēto personu padome, ko informē jauno tehnoloģiju novērošanas centrs, konsultē par EKF vispārējo virzību, par ilgtermiņa konkurētspējas tendencēm, par tirgus nepilnību un neoptimālu ieguldījumu situāciju jomām, kuras varētu risināt, īstenojot EKF, un par stratēģisko projektu portfeļu apzināšanu EKF darbībās un starp tām, un šajā nolūkā to var veidot dažādos uz politiku orientētos sastāvos. </w:t>
            </w:r>
            <w:r>
              <w:rPr>
                <w:b/>
                <w:i/>
              </w:rPr>
              <w:t>Padomei nav nekādas lomas ne prioritāšu, piešķīrumu vai projektu atlases noteikšanā, ne attiecībā uz noturības un drošības nozarēm, aizsardzības rūpniecību un kosmosu, ne darbībām minētajās nozarēs, ko finansē no EKF.</w:t>
            </w:r>
            <w:r>
              <w:t xml:space="preserve"> </w:t>
            </w:r>
            <w:r>
              <w:rPr>
                <w:b/>
                <w:i/>
              </w:rPr>
              <w:t>Stratēģiskās prioritātes, daudzgadu indikatīvo finansējumu katram logam un katram komponentam, kā minēts 4. panta 2. punktā, un 45. pantā minētos Eiropas aizsardzības kopīgu interešu projektu kritērijus nosaka ciešā sadarbībā ar dalībvalstīm saskaņā ar to attiecīgajām kompetencēm, kas noteiktas Līgumos, un Eiropas Parlaments tos pārbauda.</w:t>
            </w:r>
            <w:r>
              <w:t xml:space="preserve"> </w:t>
            </w:r>
            <w:r>
              <w:rPr>
                <w:b/>
                <w:i/>
              </w:rPr>
              <w:t>Valsts drošība un aizsardzība paliek dalībvalstu kompetencē LES 4. panta 2. punkta nozīmē.</w:t>
            </w:r>
            <w:r>
              <w:t xml:space="preserve"> </w:t>
            </w:r>
            <w:r>
              <w:rPr>
                <w:b/>
                <w:i/>
              </w:rPr>
              <w:t>Darba programmas, ar kurām īsteno 3. panta 2. punkta d) apakšpunktā minētos konkrētos mērķus, nenozīmē, ka Komisija var pieņemt lēmumus par valsts drošību un aizsardzību.</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Pamatojums</w:t>
      </w:r>
      <w:r>
        <w:rPr>
          <w:rStyle w:val="HideTWBExt"/>
        </w:rPr>
        <w:t>&lt;/TitreJust&gt;</w:t>
      </w:r>
    </w:p>
    <w:p>
      <w:pPr>
        <w:pStyle w:val="AmJustText"/>
      </w:pPr>
      <w:r>
        <w:t>The Strategic Stakeholder Board, composed in part of private investors and sectoral interests, cannot have a role in the determination of priorities, allocations or project selection without giving rise to a structural risk of incumbent capture.</w:t>
      </w:r>
      <w:r>
        <w:t xml:space="preserve"> </w:t>
      </w:r>
      <w:r>
        <w:t>The amendment confirms the strictly advisory nature of the Board, excludes it from the resilience, security, defence and space sectors, and reaffirms Member State competence over national security and defence pursuant to Article 4(2) TEU.</w:t>
      </w:r>
      <w:r>
        <w:t xml:space="preserve"> </w:t>
      </w:r>
      <w:r>
        <w:t>Strategic decisions affecting indicative envelopes per window, the criteria of European Defence Projects of Common Interest, and matters connected to national security must be taken in cooperation with the Member States and remain subject to scrutiny by the European Parliament.</w:t>
      </w:r>
    </w:p>
    <w:p>
      <w:r>
        <w:rPr>
          <w:rStyle w:val="HideTWBExt"/>
        </w:rPr>
        <w:t>&lt;/Amend&gt;</w:t>
      </w:r>
    </w:p>
    <w:p>
      <w:pPr>
        <w:pStyle w:val="AmNumberTabs"/>
      </w:pPr>
      <w:r>
        <w:rPr>
          <w:rStyle w:val="HideTWBExt"/>
        </w:rPr>
        <w:t>&lt;Amend&gt;</w:t>
      </w:r>
      <w:r>
        <w:t>Grozījums Nr.</w:t>
      </w:r>
      <w:r>
        <w:tab/>
      </w:r>
      <w:r>
        <w:tab/>
      </w:r>
      <w:r>
        <w:rPr>
          <w:rStyle w:val="HideTWBExt"/>
        </w:rPr>
        <w:t>&lt;NumAm&gt;</w:t>
      </w:r>
      <w:r>
        <w:t>1965</w:t>
      </w:r>
      <w:r>
        <w:rPr>
          <w:rStyle w:val="HideTWBExt"/>
        </w:rPr>
        <w:t>&lt;/NumAm&gt;</w:t>
      </w:r>
    </w:p>
    <w:p>
      <w:pPr>
        <w:pStyle w:val="NormalBold"/>
      </w:pPr>
      <w:r>
        <w:rPr>
          <w:rStyle w:val="HideTWBExt"/>
          <w:b w:val="0"/>
        </w:rPr>
        <w:t>&lt;RepeatBlock-By&gt;</w:t>
      </w:r>
      <w:r>
        <w:rPr>
          <w:rStyle w:val="HideTWBExt"/>
          <w:b w:val="0"/>
        </w:rPr>
        <w:t>&lt;Members&gt;</w:t>
      </w:r>
      <w:r>
        <w:t>Yvan Verougstraete, Christophe Grudler, Barry Andrews, Oihane Agirregoitia Martínez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Regulas priekšlikums</w:t>
      </w:r>
      <w:r>
        <w:rPr>
          <w:rStyle w:val="HideTWBExt"/>
        </w:rPr>
        <w:t>&lt;/DocAmend&gt;</w:t>
      </w:r>
    </w:p>
    <w:p>
      <w:pPr>
        <w:pStyle w:val="NormalBold"/>
      </w:pPr>
      <w:r>
        <w:rPr>
          <w:rStyle w:val="HideTWBExt"/>
        </w:rPr>
        <w:t>&lt;Article&gt;</w:t>
      </w:r>
      <w:r>
        <w:t>14. pants – 4.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Komisijas ierosinātais teksts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rPr>
                <w:b/>
                <w:i/>
              </w:rPr>
              <w:t>EKF Stratēģiskā ieinteresēto personu padome, ko informē jauno tehnoloģiju novērošanas centrs, konsultē par EKF vispārējo virzību, par ilgtermiņa</w:t>
            </w:r>
            <w:r>
              <w:t xml:space="preserve"> konkurētspējas </w:t>
            </w:r>
            <w:r>
              <w:rPr>
                <w:b/>
                <w:i/>
              </w:rPr>
              <w:t>tendencēm, par tirgus nepilnību un neoptimālu ieguldījumu situāciju jomām, kuras varētu risināt, īstenojot EKF, un par stratēģisko projektu portfeļu apzināšanu EKF darbībās un starp tām, un šajā nolūkā to var veidot dažādos uz politiku orientētos sastāvos.</w:t>
            </w:r>
          </w:p>
        </w:tc>
        <w:tc>
          <w:tcPr>
            <w:tcW w:w="4876" w:type="dxa"/>
            <w:tcBorders>
              <w:top w:val="nil"/>
              <w:left w:val="nil"/>
              <w:bottom w:val="nil"/>
              <w:right w:val="nil"/>
            </w:tcBorders>
          </w:tcPr>
          <w:p>
            <w:pPr>
              <w:pStyle w:val="Normal6a"/>
            </w:pPr>
            <w:r>
              <w:t>4.</w:t>
            </w:r>
            <w:r>
              <w:tab/>
            </w:r>
            <w:r>
              <w:t xml:space="preserve">Konkurētspējas </w:t>
            </w:r>
            <w:r>
              <w:rPr>
                <w:b/>
                <w:i/>
              </w:rPr>
              <w:t>koordinācijas mehānisms ļauj Komisijai noteikt EKF investīciju prioritātes saskaņā ar 3. pantā izklāstītajiem mērķiem, ievērojot šādus kritērijus: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darbība novērš tirgus nepilnību vai investīciju nepietiekamību,</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atbalsts darbībai, izmantojot EKF, ir vispiemērotākais veids, kā nodrošināt panākumus,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darbība sniedz pievienoto vērtību Savienības līmenī, un to nevarētu labāk sasniegt, ja to veiktu valsts, reģionālā vai vietējā līmenī;</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darbība atbalsta Savienības starptautiskās konkurētspējas attīstību,</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 darbība, visticamāk, radīs tīkla efektu, kas vienlaikus veicina vairāku stratēģisko mērķu sasniegšanu.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1966</w:t>
      </w:r>
      <w:r>
        <w:rPr>
          <w:rStyle w:val="HideTWBExt"/>
        </w:rPr>
        <w:t>&lt;/NumAm&gt;</w:t>
      </w:r>
    </w:p>
    <w:p>
      <w:pPr>
        <w:pStyle w:val="NormalBold"/>
      </w:pPr>
      <w:r>
        <w:rPr>
          <w:rStyle w:val="HideTWBExt"/>
          <w:b w:val="0"/>
        </w:rPr>
        <w:t>&lt;RepeatBlock-By&gt;</w:t>
      </w:r>
      <w:r>
        <w:rPr>
          <w:rStyle w:val="HideTWBExt"/>
          <w:b w:val="0"/>
        </w:rPr>
        <w:t>&lt;Members&gt;</w:t>
      </w:r>
      <w:r>
        <w:t>Letizia Moratti, Massimiliano Salini, Fulvio Martusciello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Regulas priekšlikums</w:t>
      </w:r>
      <w:r>
        <w:rPr>
          <w:rStyle w:val="HideTWBExt"/>
        </w:rPr>
        <w:t>&lt;/DocAmend&gt;</w:t>
      </w:r>
    </w:p>
    <w:p>
      <w:pPr>
        <w:pStyle w:val="NormalBold"/>
      </w:pPr>
      <w:r>
        <w:rPr>
          <w:rStyle w:val="HideTWBExt"/>
        </w:rPr>
        <w:t>&lt;Article&gt;</w:t>
      </w:r>
      <w:r>
        <w:t>14. pants – 4.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Komisijas ierosinātais teksts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EKF Stratēģiskā ieinteresēto personu padome, ko informē jauno tehnoloģiju novērošanas centrs, konsultē par EKF vispārējo virzību, par ilgtermiņa konkurētspējas tendencēm, par tirgus nepilnību un neoptimālu ieguldījumu situāciju jomām, kuras varētu risināt, īstenojot EKF, un par stratēģisko projektu portfeļu apzināšanu EKF darbībās un starp tām, un šajā nolūkā to var veidot dažādos uz politiku orientētos sastāvos.</w:t>
            </w:r>
          </w:p>
        </w:tc>
        <w:tc>
          <w:tcPr>
            <w:tcW w:w="4876" w:type="dxa"/>
            <w:tcBorders>
              <w:top w:val="nil"/>
              <w:left w:val="nil"/>
              <w:bottom w:val="nil"/>
              <w:right w:val="nil"/>
            </w:tcBorders>
          </w:tcPr>
          <w:p>
            <w:pPr>
              <w:pStyle w:val="Normal6a"/>
            </w:pPr>
            <w:r>
              <w:t>4.</w:t>
            </w:r>
            <w:r>
              <w:tab/>
            </w:r>
            <w:r>
              <w:t xml:space="preserve">EKF Stratēģiskā ieinteresēto personu padome, ko informē jauno tehnoloģiju novērošanas centrs, konsultē par EKF vispārējo virzību, par ilgtermiņa konkurētspējas tendencēm, par tirgus nepilnību un neoptimālu ieguldījumu situāciju jomām, kuras varētu risināt, īstenojot EKF, un par stratēģisko projektu portfeļu apzināšanu EKF darbībās un starp tām, un šajā nolūkā to var veidot dažādos uz politiku orientētos sastāvos. </w:t>
            </w:r>
            <w:r>
              <w:rPr>
                <w:b/>
                <w:i/>
              </w:rPr>
              <w:t>EKF Stratēģiskajai ieinteresēto personu padomei būtu arī jāpalīdz pieņemt finansēšanas lēmumus, nodrošinot, ka tās ieguldījums tiek atspoguļots darba programmu mērķos un prioritātēs un ka politikas logi atbilst reālajām tehnoloģiskajām un tirgus vajadzībām.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1967</w:t>
      </w:r>
      <w:r>
        <w:rPr>
          <w:rStyle w:val="HideTWBExt"/>
        </w:rPr>
        <w:t>&lt;/NumAm&gt;</w:t>
      </w:r>
    </w:p>
    <w:p>
      <w:pPr>
        <w:pStyle w:val="NormalBold"/>
      </w:pPr>
      <w:r>
        <w:rPr>
          <w:rStyle w:val="HideTWBExt"/>
          <w:b w:val="0"/>
        </w:rPr>
        <w:t>&lt;RepeatBlock-By&gt;</w:t>
      </w:r>
      <w:r>
        <w:rPr>
          <w:rStyle w:val="HideTWBExt"/>
          <w:b w:val="0"/>
        </w:rPr>
        <w:t>&lt;Members&gt;</w:t>
      </w:r>
      <w:r>
        <w:t>Raúl de la Hoz Quintano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Regulas priekšlikums</w:t>
      </w:r>
      <w:r>
        <w:rPr>
          <w:rStyle w:val="HideTWBExt"/>
        </w:rPr>
        <w:t>&lt;/DocAmend&gt;</w:t>
      </w:r>
    </w:p>
    <w:p>
      <w:pPr>
        <w:pStyle w:val="NormalBold"/>
      </w:pPr>
      <w:r>
        <w:rPr>
          <w:rStyle w:val="HideTWBExt"/>
        </w:rPr>
        <w:t>&lt;Article&gt;</w:t>
      </w:r>
      <w:r>
        <w:t>14. pants – 4.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Komisijas ierosinātais teksts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EKF </w:t>
            </w:r>
            <w:r>
              <w:rPr>
                <w:b/>
                <w:i/>
              </w:rPr>
              <w:t>Stratēģiskā</w:t>
            </w:r>
            <w:r>
              <w:t xml:space="preserve"> ieinteresēto personu padome, ko informē jauno tehnoloģiju novērošanas centrs, konsultē par EKF vispārējo virzību, par ilgtermiņa konkurētspējas tendencēm, par tirgus nepilnību un neoptimālu </w:t>
            </w:r>
            <w:r>
              <w:rPr>
                <w:b/>
                <w:i/>
              </w:rPr>
              <w:t>ieguldījumu</w:t>
            </w:r>
            <w:r>
              <w:t xml:space="preserve"> situāciju jomām, kuras varētu risināt, īstenojot EKF</w:t>
            </w:r>
            <w:r>
              <w:rPr>
                <w:b/>
                <w:i/>
              </w:rPr>
              <w:t>, un par stratēģisko projektu portfeļu apzināšanu EKF darbībās un starp tām, un šajā nolūkā to var veidot</w:t>
            </w:r>
            <w:r>
              <w:t xml:space="preserve"> dažādos uz politiku orientētos sastāvos.</w:t>
            </w:r>
          </w:p>
        </w:tc>
        <w:tc>
          <w:tcPr>
            <w:tcW w:w="4876" w:type="dxa"/>
            <w:tcBorders>
              <w:top w:val="nil"/>
              <w:left w:val="nil"/>
              <w:bottom w:val="nil"/>
              <w:right w:val="nil"/>
            </w:tcBorders>
          </w:tcPr>
          <w:p>
            <w:pPr>
              <w:pStyle w:val="Normal6a"/>
            </w:pPr>
            <w:r>
              <w:t>4.</w:t>
            </w:r>
            <w:r>
              <w:tab/>
            </w:r>
            <w:r>
              <w:t xml:space="preserve">EKF ieinteresēto personu padome, ko informē jauno tehnoloģiju </w:t>
            </w:r>
            <w:r>
              <w:rPr>
                <w:b/>
                <w:i/>
              </w:rPr>
              <w:t>un tirgus attīstības</w:t>
            </w:r>
            <w:r>
              <w:t xml:space="preserve"> novērošanas centrs, konsultē par EKF vispārējo virzību, par ilgtermiņa konkurētspējas tendencēm, par tirgus nepilnību un neoptimālu </w:t>
            </w:r>
            <w:r>
              <w:rPr>
                <w:b/>
                <w:i/>
              </w:rPr>
              <w:t>investīciju</w:t>
            </w:r>
            <w:r>
              <w:t xml:space="preserve"> situāciju jomām, kuras varētu risināt, īstenojot EKF</w:t>
            </w:r>
            <w:r>
              <w:rPr>
                <w:b/>
                <w:i/>
              </w:rPr>
              <w:t>.</w:t>
            </w:r>
            <w:r>
              <w:t xml:space="preserve"> </w:t>
            </w:r>
            <w:r>
              <w:rPr>
                <w:b/>
                <w:i/>
              </w:rPr>
              <w:t>Tās ieteikumi ir vērsti tikai uz horizontāliem pamatnosacījumiem pētniecības izcilībai, inovācijas spējai un Eiropas uzņēmumu globālajai konkurētspējai, un neietver konkrētu nozaru, tehnoloģiju vai uzņēmumu vertikālu atlasi par “uzvarētājiem”.</w:t>
            </w:r>
            <w:r>
              <w:t xml:space="preserve"> </w:t>
            </w:r>
            <w:r>
              <w:rPr>
                <w:b/>
                <w:i/>
              </w:rPr>
              <w:t>Padome var tikties</w:t>
            </w:r>
            <w:r>
              <w:t xml:space="preserve"> dažādos uz politiku orientētos sastāvos</w:t>
            </w:r>
            <w:r>
              <w:rPr>
                <w:b/>
                <w:i/>
              </w:rPr>
              <w:t>, bet vienmēr saglabā horizontālu, augšupēju un tirgus virzītu perspektīvu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1968</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Regulas priekšlikums</w:t>
      </w:r>
      <w:r>
        <w:rPr>
          <w:rStyle w:val="HideTWBExt"/>
        </w:rPr>
        <w:t>&lt;/DocAmend&gt;</w:t>
      </w:r>
    </w:p>
    <w:p>
      <w:pPr>
        <w:pStyle w:val="NormalBold"/>
      </w:pPr>
      <w:r>
        <w:rPr>
          <w:rStyle w:val="HideTWBExt"/>
        </w:rPr>
        <w:t>&lt;Article&gt;</w:t>
      </w:r>
      <w:r>
        <w:t>14. pants – 4.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Komisijas ierosinātais teksts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EKF Stratēģiskā ieinteresēto personu padome, ko informē jauno tehnoloģiju novērošanas centrs, konsultē par EKF vispārējo virzību, par ilgtermiņa </w:t>
            </w:r>
            <w:r>
              <w:rPr>
                <w:b/>
                <w:i/>
              </w:rPr>
              <w:t>konkurētspējas</w:t>
            </w:r>
            <w:r>
              <w:t xml:space="preserve"> tendencēm, par tirgus </w:t>
            </w:r>
            <w:r>
              <w:rPr>
                <w:b/>
                <w:i/>
              </w:rPr>
              <w:t>nepilnību un neoptimālu ieguldījumu situāciju jomām, kuras</w:t>
            </w:r>
            <w:r>
              <w:t xml:space="preserve"> varētu risināt, īstenojot EKF, un par stratēģisko projektu portfeļu apzināšanu EKF darbībās un starp tām, un šajā nolūkā to var veidot dažādos uz politiku orientētos sastāvos.</w:t>
            </w:r>
          </w:p>
        </w:tc>
        <w:tc>
          <w:tcPr>
            <w:tcW w:w="4876" w:type="dxa"/>
            <w:tcBorders>
              <w:top w:val="nil"/>
              <w:left w:val="nil"/>
              <w:bottom w:val="nil"/>
              <w:right w:val="nil"/>
            </w:tcBorders>
          </w:tcPr>
          <w:p>
            <w:pPr>
              <w:pStyle w:val="Normal6a"/>
            </w:pPr>
            <w:r>
              <w:t>4.</w:t>
            </w:r>
            <w:r>
              <w:tab/>
            </w:r>
            <w:r>
              <w:t xml:space="preserve">EKF Stratēģiskā ieinteresēto personu padome, ko informē jauno tehnoloģiju </w:t>
            </w:r>
            <w:r>
              <w:rPr>
                <w:b/>
                <w:i/>
              </w:rPr>
              <w:t>un to ietekmes uz vidi</w:t>
            </w:r>
            <w:r>
              <w:t xml:space="preserve"> novērošanas centrs, konsultē par EKF vispārējo virzību, par ilgtermiņa </w:t>
            </w:r>
            <w:r>
              <w:rPr>
                <w:b/>
                <w:i/>
              </w:rPr>
              <w:t>ekonomikas, vides un sociālajām</w:t>
            </w:r>
            <w:r>
              <w:t xml:space="preserve"> tendencēm</w:t>
            </w:r>
            <w:r>
              <w:rPr>
                <w:b/>
                <w:i/>
              </w:rPr>
              <w:t>, kuras ietekmē Eiropas konkurētspēju</w:t>
            </w:r>
            <w:r>
              <w:t xml:space="preserve">, par tirgus </w:t>
            </w:r>
            <w:r>
              <w:rPr>
                <w:b/>
                <w:i/>
              </w:rPr>
              <w:t>nepilnībām, vides un sociālajiem riskiem un iespējām un neoptimālām investīciju situācijām, ko</w:t>
            </w:r>
            <w:r>
              <w:t xml:space="preserve"> varētu risināt, īstenojot EKF, </w:t>
            </w:r>
            <w:r>
              <w:rPr>
                <w:b/>
                <w:i/>
              </w:rPr>
              <w:t>par prasmju attīstību jaunās nozarēs, kā arī pārejas nozarēs</w:t>
            </w:r>
            <w:r>
              <w:t xml:space="preserve"> un par stratēģisko projektu portfeļu apzināšanu EKF darbībās un starp tām, un šajā nolūkā to var veidot dažādos uz politiku orientētos sastāvos.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1969</w:t>
      </w:r>
      <w:r>
        <w:rPr>
          <w:rStyle w:val="HideTWBExt"/>
        </w:rPr>
        <w:t>&lt;/NumAm&gt;</w:t>
      </w:r>
    </w:p>
    <w:p>
      <w:pPr>
        <w:pStyle w:val="NormalBold"/>
      </w:pPr>
      <w:r>
        <w:rPr>
          <w:rStyle w:val="HideTWBExt"/>
          <w:b w:val="0"/>
        </w:rPr>
        <w:t>&lt;RepeatBlock-By&gt;</w:t>
      </w:r>
      <w:r>
        <w:rPr>
          <w:rStyle w:val="HideTWBExt"/>
          <w:b w:val="0"/>
        </w:rPr>
        <w:t>&lt;Members&gt;</w:t>
      </w:r>
      <w:r>
        <w:t>Nicola Procaccini, Alessandro Ciriani, Elena Donazzan, Pietro Fiocchi, Lara Magoni, Francesco Torselli, Mariateresa Vivaldini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Regulas priekšlikums</w:t>
      </w:r>
      <w:r>
        <w:rPr>
          <w:rStyle w:val="HideTWBExt"/>
        </w:rPr>
        <w:t>&lt;/DocAmend&gt;</w:t>
      </w:r>
    </w:p>
    <w:p>
      <w:pPr>
        <w:pStyle w:val="NormalBold"/>
      </w:pPr>
      <w:r>
        <w:rPr>
          <w:rStyle w:val="HideTWBExt"/>
        </w:rPr>
        <w:t>&lt;Article&gt;</w:t>
      </w:r>
      <w:r>
        <w:t>14. pants – 4.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Komisijas ierosinātais teksts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EKF Stratēģiskā ieinteresēto personu padome, ko informē jauno tehnoloģiju novērošanas centrs, konsultē par EKF vispārējo virzību, par ilgtermiņa konkurētspējas tendencēm, par tirgus nepilnību un neoptimālu ieguldījumu situāciju jomām, kuras varētu risināt, īstenojot EKF, un par stratēģisko projektu portfeļu apzināšanu EKF darbībās un starp tām, un šajā nolūkā to var veidot dažādos uz politiku orientētos sastāvos.</w:t>
            </w:r>
          </w:p>
        </w:tc>
        <w:tc>
          <w:tcPr>
            <w:tcW w:w="4876" w:type="dxa"/>
            <w:tcBorders>
              <w:top w:val="nil"/>
              <w:left w:val="nil"/>
              <w:bottom w:val="nil"/>
              <w:right w:val="nil"/>
            </w:tcBorders>
          </w:tcPr>
          <w:p>
            <w:pPr>
              <w:pStyle w:val="Normal6a"/>
            </w:pPr>
            <w:r>
              <w:t>4.</w:t>
            </w:r>
            <w:r>
              <w:tab/>
            </w:r>
            <w:r>
              <w:t xml:space="preserve">EKF Stratēģiskā ieinteresēto personu padome, ko informē jauno tehnoloģiju novērošanas centrs, konsultē par EKF vispārējo virzību, par ilgtermiņa konkurētspējas tendencēm, par tirgus nepilnību un neoptimālu ieguldījumu situāciju jomām, kuras varētu risināt, īstenojot EKF, un par stratēģisko projektu portfeļu apzināšanu EKF darbībās un starp tām, un šajā nolūkā to var veidot dažādos uz politiku orientētos sastāvos. </w:t>
            </w:r>
            <w:r>
              <w:rPr>
                <w:b/>
                <w:i/>
              </w:rPr>
              <w:t>EKF Stratēģiskā ieinteresēto personu padome arī varēs ietekmēt finansēšanas lēmumus, nodrošinot, ka tās atsauksmes tiek atspoguļotas darba programmu mērķos un prioritātēs un ka politikas logi atspoguļo reālās tehnoloģiskās un tirgus vajadzības.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1970</w:t>
      </w:r>
      <w:r>
        <w:rPr>
          <w:rStyle w:val="HideTWBExt"/>
        </w:rPr>
        <w:t>&lt;/NumAm&gt;</w:t>
      </w:r>
    </w:p>
    <w:p>
      <w:pPr>
        <w:pStyle w:val="NormalBold"/>
      </w:pPr>
      <w:r>
        <w:rPr>
          <w:rStyle w:val="HideTWBExt"/>
          <w:b w:val="0"/>
        </w:rPr>
        <w:t>&lt;RepeatBlock-By&gt;</w:t>
      </w:r>
      <w:r>
        <w:rPr>
          <w:rStyle w:val="HideTWBExt"/>
          <w:b w:val="0"/>
        </w:rPr>
        <w:t>&lt;Members&gt;</w:t>
      </w:r>
      <w:r>
        <w:t>Yvan Verougstraete, Pascal Canfin, Brigitte van den Berg, Grégory Allione, Sigrid Friis, Christophe Grudler, Oihane Agirregoitia Martínez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Regulas priekšlikums</w:t>
      </w:r>
      <w:r>
        <w:rPr>
          <w:rStyle w:val="HideTWBExt"/>
        </w:rPr>
        <w:t>&lt;/DocAmend&gt;</w:t>
      </w:r>
    </w:p>
    <w:p>
      <w:pPr>
        <w:pStyle w:val="NormalBold"/>
      </w:pPr>
      <w:r>
        <w:rPr>
          <w:rStyle w:val="HideTWBExt"/>
        </w:rPr>
        <w:t>&lt;Article&gt;</w:t>
      </w:r>
      <w:r>
        <w:t>14. pants – 4.a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Komisijas ierosinātais teksts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Koordinācijā ar Snieguma regulā paredzēto uzraudzību Komisija izstrādā stabilu uzraudzības un izvērtēšanas sistēmu EKF finansējuma izsekošanai, galveno uzmanību pievēršot: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konkurētspējai un līdzekļu sadalei starp dalībvalstīm,</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MVU dalības līmenim uzaicinājumos iesniegt priekšlikumus,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budžetam, kas paredzēts pasākumiem prasmju jomā,</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klimata izdevumiem.</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Izvērtējumā novērtē, vai Komisijas darbības ir efektīvi veicinājušas 3. pantā noteikto mērķu sasniegšanu, ņemot vērā minētos rādītājus, kas publicēti gada ziņojumā.</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Ja izvērtējumā konstatē, ka izklāstītās darbības nav devušas gaidītos rezultātus, ziņojumā iekļauj ieteikumus par dažādām investīciju prioritātēm un metodēm turpmākām darba programmām un uzaicinājumiem.</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Pamatojums</w:t>
      </w:r>
      <w:r>
        <w:rPr>
          <w:rStyle w:val="HideTWBExt"/>
        </w:rPr>
        <w:t>&lt;/TitreJust&gt;</w:t>
      </w:r>
    </w:p>
    <w:p>
      <w:pPr>
        <w:pStyle w:val="AmJustText"/>
      </w:pPr>
      <w:r>
        <w:t>Papildus Snieguma regulai budžeta efektīvu izmantošanu nevar nodrošināt, ja netiek aktīvi noteikti un uzraudzīti mērķrādītāji, kas veicina regulas mērķu sasniegšanu.</w:t>
      </w:r>
    </w:p>
    <w:p>
      <w:r>
        <w:rPr>
          <w:rStyle w:val="HideTWBExt"/>
        </w:rPr>
        <w:t>&lt;/Amend&gt;</w:t>
      </w:r>
    </w:p>
    <w:p>
      <w:pPr>
        <w:pStyle w:val="AmNumberTabs"/>
      </w:pPr>
      <w:r>
        <w:rPr>
          <w:rStyle w:val="HideTWBExt"/>
        </w:rPr>
        <w:t>&lt;Amend&gt;</w:t>
      </w:r>
      <w:r>
        <w:t>Grozījums Nr.</w:t>
      </w:r>
      <w:r>
        <w:tab/>
      </w:r>
      <w:r>
        <w:tab/>
      </w:r>
      <w:r>
        <w:rPr>
          <w:rStyle w:val="HideTWBExt"/>
        </w:rPr>
        <w:t>&lt;NumAm&gt;</w:t>
      </w:r>
      <w:r>
        <w:t>1971</w:t>
      </w:r>
      <w:r>
        <w:rPr>
          <w:rStyle w:val="HideTWBExt"/>
        </w:rPr>
        <w:t>&lt;/NumAm&gt;</w:t>
      </w:r>
    </w:p>
    <w:p>
      <w:pPr>
        <w:pStyle w:val="NormalBold"/>
      </w:pPr>
      <w:r>
        <w:rPr>
          <w:rStyle w:val="HideTWBExt"/>
          <w:b w:val="0"/>
        </w:rPr>
        <w:t>&lt;RepeatBlock-By&gt;</w:t>
      </w:r>
      <w:r>
        <w:rPr>
          <w:rStyle w:val="HideTWBExt"/>
          <w:b w:val="0"/>
        </w:rPr>
        <w:t>&lt;Members&gt;</w:t>
      </w:r>
      <w:r>
        <w:t>Martin Hojsík, Sigrid Friis, Yvan Verougstraete, Barry Cowen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Regulas priekšlikums</w:t>
      </w:r>
      <w:r>
        <w:rPr>
          <w:rStyle w:val="HideTWBExt"/>
        </w:rPr>
        <w:t>&lt;/DocAmend&gt;</w:t>
      </w:r>
    </w:p>
    <w:p>
      <w:pPr>
        <w:pStyle w:val="NormalBold"/>
      </w:pPr>
      <w:r>
        <w:rPr>
          <w:rStyle w:val="HideTWBExt"/>
        </w:rPr>
        <w:t>&lt;Article&gt;</w:t>
      </w:r>
      <w:r>
        <w:t>14. pants – 4.a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Komisijas ierosinātais teksts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Koordinācijā ar Snieguma regulā paredzēto uzraudzību un lai sasniegtu attiecīgos izdevumu mērķrādītājus, Komisija izstrādā stabilu uzraudzības un novērtēšanas sistēmu EKF finansējuma izsekošanai, galveno uzmanību pievēršot klimata un bioloģiskās daudzveidības izdevumiem un integrēšanai.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1972</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Regulas priekšlikums</w:t>
      </w:r>
      <w:r>
        <w:rPr>
          <w:rStyle w:val="HideTWBExt"/>
        </w:rPr>
        <w:t>&lt;/DocAmend&gt;</w:t>
      </w:r>
    </w:p>
    <w:p>
      <w:pPr>
        <w:pStyle w:val="NormalBold"/>
      </w:pPr>
      <w:r>
        <w:rPr>
          <w:rStyle w:val="HideTWBExt"/>
        </w:rPr>
        <w:t>&lt;Article&gt;</w:t>
      </w:r>
      <w:r>
        <w:t>14. pants – 5.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Komisijas ierosinātais teksts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w:t>
            </w:r>
            <w:r>
              <w:tab/>
            </w:r>
            <w:r>
              <w:rPr>
                <w:b/>
                <w:i/>
              </w:rPr>
              <w:t>EKF InvestEU instrumenta ietvaros izveido neatkarīgu Investīciju komiteju (“Investīciju komiteja”).</w:t>
            </w:r>
          </w:p>
        </w:tc>
        <w:tc>
          <w:tcPr>
            <w:tcW w:w="4876" w:type="dxa"/>
            <w:tcBorders>
              <w:top w:val="nil"/>
              <w:left w:val="nil"/>
              <w:bottom w:val="nil"/>
              <w:right w:val="nil"/>
            </w:tcBorders>
          </w:tcPr>
          <w:p>
            <w:pPr>
              <w:pStyle w:val="Normal6a"/>
            </w:pPr>
            <w:r>
              <w:rPr>
                <w:b/>
                <w:i/>
              </w:rPr>
              <w:t>svītrots</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Pamatojums</w:t>
      </w:r>
      <w:r>
        <w:rPr>
          <w:rStyle w:val="HideTWBExt"/>
        </w:rPr>
        <w:t>&lt;/TitreJust&gt;</w:t>
      </w:r>
    </w:p>
    <w:p>
      <w:pPr>
        <w:pStyle w:val="AmJustText"/>
      </w:pPr>
      <w:r>
        <w:t>Tiek ieviests atsevišķs pants par InvestEU Investīciju komiteju, pamatojoties uz pašreizējo struktūru.</w:t>
      </w:r>
    </w:p>
    <w:p>
      <w:r>
        <w:rPr>
          <w:rStyle w:val="HideTWBExt"/>
        </w:rPr>
        <w:t>&lt;/Amend&gt;</w:t>
      </w:r>
    </w:p>
    <w:p>
      <w:pPr>
        <w:pStyle w:val="AmNumberTabs"/>
      </w:pPr>
      <w:r>
        <w:rPr>
          <w:rStyle w:val="HideTWBExt"/>
        </w:rPr>
        <w:t>&lt;Amend&gt;</w:t>
      </w:r>
      <w:r>
        <w:t>Grozījums Nr.</w:t>
      </w:r>
      <w:r>
        <w:tab/>
      </w:r>
      <w:r>
        <w:tab/>
      </w:r>
      <w:r>
        <w:rPr>
          <w:rStyle w:val="HideTWBExt"/>
        </w:rPr>
        <w:t>&lt;NumAm&gt;</w:t>
      </w:r>
      <w:r>
        <w:t>1973</w:t>
      </w:r>
      <w:r>
        <w:rPr>
          <w:rStyle w:val="HideTWBExt"/>
        </w:rPr>
        <w:t>&lt;/NumAm&gt;</w:t>
      </w:r>
    </w:p>
    <w:p>
      <w:pPr>
        <w:pStyle w:val="NormalBold"/>
      </w:pPr>
      <w:r>
        <w:rPr>
          <w:rStyle w:val="HideTWBExt"/>
          <w:b w:val="0"/>
        </w:rPr>
        <w:t>&lt;RepeatBlock-By&gt;</w:t>
      </w:r>
      <w:r>
        <w:rPr>
          <w:rStyle w:val="HideTWBExt"/>
          <w:b w:val="0"/>
        </w:rPr>
        <w:t>&lt;Members&gt;</w:t>
      </w:r>
      <w:r>
        <w:t>Yvan Verougstraete, Stine Bosse, Christophe Grudler, Oihane Agirregoitia Martínez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Regulas priekšlikums</w:t>
      </w:r>
      <w:r>
        <w:rPr>
          <w:rStyle w:val="HideTWBExt"/>
        </w:rPr>
        <w:t>&lt;/DocAmend&gt;</w:t>
      </w:r>
    </w:p>
    <w:p>
      <w:pPr>
        <w:pStyle w:val="NormalBold"/>
      </w:pPr>
      <w:r>
        <w:rPr>
          <w:rStyle w:val="HideTWBExt"/>
        </w:rPr>
        <w:t>&lt;Article&gt;</w:t>
      </w:r>
      <w:r>
        <w:t>14. pants – 5.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Komisijas ierosinātais teksts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w:t>
            </w:r>
            <w:r>
              <w:tab/>
            </w:r>
            <w:r>
              <w:rPr>
                <w:b/>
                <w:i/>
              </w:rPr>
              <w:t>EKF InvestEU instrumenta ietvaros izveido neatkarīgu Investīciju komiteju (“Investīciju komiteja”).</w:t>
            </w:r>
          </w:p>
        </w:tc>
        <w:tc>
          <w:tcPr>
            <w:tcW w:w="4876" w:type="dxa"/>
            <w:tcBorders>
              <w:top w:val="nil"/>
              <w:left w:val="nil"/>
              <w:bottom w:val="nil"/>
              <w:right w:val="nil"/>
            </w:tcBorders>
          </w:tcPr>
          <w:p>
            <w:pPr>
              <w:pStyle w:val="Normal6a"/>
            </w:pPr>
            <w:r>
              <w:rPr>
                <w:b/>
                <w:i/>
              </w:rPr>
              <w:t>svītrots</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Pamatojums</w:t>
      </w:r>
      <w:r>
        <w:rPr>
          <w:rStyle w:val="HideTWBExt"/>
        </w:rPr>
        <w:t>&lt;/TitreJust&gt;</w:t>
      </w:r>
    </w:p>
    <w:p>
      <w:pPr>
        <w:pStyle w:val="AmJustText"/>
      </w:pPr>
      <w:r>
        <w:t>Iekļauts jaunajā 14.b pantā.</w:t>
      </w:r>
    </w:p>
    <w:p>
      <w:r>
        <w:rPr>
          <w:rStyle w:val="HideTWBExt"/>
        </w:rPr>
        <w:t>&lt;/Amend&gt;</w:t>
      </w:r>
    </w:p>
    <w:p>
      <w:pPr>
        <w:pStyle w:val="AmNumberTabs"/>
      </w:pPr>
      <w:r>
        <w:rPr>
          <w:rStyle w:val="HideTWBExt"/>
        </w:rPr>
        <w:t>&lt;Amend&gt;</w:t>
      </w:r>
      <w:r>
        <w:t>Grozījums Nr.</w:t>
      </w:r>
      <w:r>
        <w:tab/>
      </w:r>
      <w:r>
        <w:tab/>
      </w:r>
      <w:r>
        <w:rPr>
          <w:rStyle w:val="HideTWBExt"/>
        </w:rPr>
        <w:t>&lt;NumAm&gt;</w:t>
      </w:r>
      <w:r>
        <w:t>1974</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Regulas priekšlikums</w:t>
      </w:r>
      <w:r>
        <w:rPr>
          <w:rStyle w:val="HideTWBExt"/>
        </w:rPr>
        <w:t>&lt;/DocAmend&gt;</w:t>
      </w:r>
    </w:p>
    <w:p>
      <w:pPr>
        <w:pStyle w:val="NormalBold"/>
      </w:pPr>
      <w:r>
        <w:rPr>
          <w:rStyle w:val="HideTWBExt"/>
        </w:rPr>
        <w:t>&lt;Article&gt;</w:t>
      </w:r>
      <w:r>
        <w:t>14. pants – 6.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Komisijas ierosinātais teksts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6.</w:t>
            </w:r>
            <w:r>
              <w:tab/>
            </w:r>
            <w:r>
              <w:rPr>
                <w:b/>
                <w:i/>
              </w:rPr>
              <w:t>Investīciju komitejas sastāvs nodrošina, ka tai ir plašas zināšanas par nozarēm, uz kurām attiecas EKF, un plašas zināšanas par ģeogrāfiskajiem tirgiem Savienībā, un nodrošina, ka Investīciju komitejā kopumā ir ievērots dzimumu līdzsvars.</w:t>
            </w:r>
          </w:p>
        </w:tc>
        <w:tc>
          <w:tcPr>
            <w:tcW w:w="4876" w:type="dxa"/>
            <w:tcBorders>
              <w:top w:val="nil"/>
              <w:left w:val="nil"/>
              <w:bottom w:val="nil"/>
              <w:right w:val="nil"/>
            </w:tcBorders>
          </w:tcPr>
          <w:p>
            <w:pPr>
              <w:pStyle w:val="Normal6a"/>
            </w:pPr>
            <w:r>
              <w:rPr>
                <w:b/>
                <w:i/>
              </w:rPr>
              <w:t>svītrots</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Pamatojums</w:t>
      </w:r>
      <w:r>
        <w:rPr>
          <w:rStyle w:val="HideTWBExt"/>
        </w:rPr>
        <w:t>&lt;/TitreJust&gt;</w:t>
      </w:r>
    </w:p>
    <w:p>
      <w:pPr>
        <w:pStyle w:val="AmJustText"/>
      </w:pPr>
      <w:r>
        <w:t>Tiek ieviests atsevišķs pants par InvestEU Investīciju komiteju, pamatojoties uz pašreizējo struktūru.</w:t>
      </w:r>
    </w:p>
    <w:p>
      <w:r>
        <w:rPr>
          <w:rStyle w:val="HideTWBExt"/>
        </w:rPr>
        <w:t>&lt;/Amend&gt;</w:t>
      </w:r>
    </w:p>
    <w:p>
      <w:pPr>
        <w:pStyle w:val="AmNumberTabs"/>
      </w:pPr>
      <w:r>
        <w:rPr>
          <w:rStyle w:val="HideTWBExt"/>
        </w:rPr>
        <w:t>&lt;Amend&gt;</w:t>
      </w:r>
      <w:r>
        <w:t>Grozījums Nr.</w:t>
      </w:r>
      <w:r>
        <w:tab/>
      </w:r>
      <w:r>
        <w:tab/>
      </w:r>
      <w:r>
        <w:rPr>
          <w:rStyle w:val="HideTWBExt"/>
        </w:rPr>
        <w:t>&lt;NumAm&gt;</w:t>
      </w:r>
      <w:r>
        <w:t>1975</w:t>
      </w:r>
      <w:r>
        <w:rPr>
          <w:rStyle w:val="HideTWBExt"/>
        </w:rPr>
        <w:t>&lt;/NumAm&gt;</w:t>
      </w:r>
    </w:p>
    <w:p>
      <w:pPr>
        <w:pStyle w:val="NormalBold"/>
      </w:pPr>
      <w:r>
        <w:rPr>
          <w:rStyle w:val="HideTWBExt"/>
          <w:b w:val="0"/>
        </w:rPr>
        <w:t>&lt;RepeatBlock-By&gt;</w:t>
      </w:r>
      <w:r>
        <w:rPr>
          <w:rStyle w:val="HideTWBExt"/>
          <w:b w:val="0"/>
        </w:rPr>
        <w:t>&lt;Members&gt;</w:t>
      </w:r>
      <w:r>
        <w:t>Yvan Verougstraete, Stine Bosse, Christophe Grudler, Oihane Agirregoitia Martínez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Regulas priekšlikums</w:t>
      </w:r>
      <w:r>
        <w:rPr>
          <w:rStyle w:val="HideTWBExt"/>
        </w:rPr>
        <w:t>&lt;/DocAmend&gt;</w:t>
      </w:r>
    </w:p>
    <w:p>
      <w:pPr>
        <w:pStyle w:val="NormalBold"/>
      </w:pPr>
      <w:r>
        <w:rPr>
          <w:rStyle w:val="HideTWBExt"/>
        </w:rPr>
        <w:t>&lt;Article&gt;</w:t>
      </w:r>
      <w:r>
        <w:t>14. pants – 6.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Komisijas ierosinātais teksts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6.</w:t>
            </w:r>
            <w:r>
              <w:tab/>
            </w:r>
            <w:r>
              <w:rPr>
                <w:b/>
                <w:i/>
              </w:rPr>
              <w:t>Investīciju komitejas sastāvs nodrošina, ka tai ir plašas zināšanas par nozarēm, uz kurām attiecas EKF, un plašas zināšanas par ģeogrāfiskajiem tirgiem Savienībā, un nodrošina, ka Investīciju komitejā kopumā ir ievērots dzimumu līdzsvars.</w:t>
            </w:r>
          </w:p>
        </w:tc>
        <w:tc>
          <w:tcPr>
            <w:tcW w:w="4876" w:type="dxa"/>
            <w:tcBorders>
              <w:top w:val="nil"/>
              <w:left w:val="nil"/>
              <w:bottom w:val="nil"/>
              <w:right w:val="nil"/>
            </w:tcBorders>
          </w:tcPr>
          <w:p>
            <w:pPr>
              <w:pStyle w:val="Normal6a"/>
            </w:pPr>
            <w:r>
              <w:rPr>
                <w:b/>
                <w:i/>
              </w:rPr>
              <w:t>svītrots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1976</w:t>
      </w:r>
      <w:r>
        <w:rPr>
          <w:rStyle w:val="HideTWBExt"/>
        </w:rPr>
        <w:t>&lt;/NumAm&gt;</w:t>
      </w:r>
    </w:p>
    <w:p>
      <w:pPr>
        <w:pStyle w:val="NormalBold"/>
      </w:pPr>
      <w:r>
        <w:rPr>
          <w:rStyle w:val="HideTWBExt"/>
          <w:b w:val="0"/>
        </w:rPr>
        <w:t>&lt;RepeatBlock-By&gt;</w:t>
      </w:r>
      <w:r>
        <w:rPr>
          <w:rStyle w:val="HideTWBExt"/>
          <w:b w:val="0"/>
        </w:rPr>
        <w:t>&lt;Members&gt;</w:t>
      </w:r>
      <w:r>
        <w:t>Radan Kanev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Regulas priekšlikums</w:t>
      </w:r>
      <w:r>
        <w:rPr>
          <w:rStyle w:val="HideTWBExt"/>
        </w:rPr>
        <w:t>&lt;/DocAmend&gt;</w:t>
      </w:r>
    </w:p>
    <w:p>
      <w:pPr>
        <w:pStyle w:val="NormalBold"/>
      </w:pPr>
      <w:r>
        <w:rPr>
          <w:rStyle w:val="HideTWBExt"/>
        </w:rPr>
        <w:t>&lt;Article&gt;</w:t>
      </w:r>
      <w:r>
        <w:t>14. pants – 6.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Komisijas ierosinātais teksts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Investīciju komitejas sastāvs nodrošina, ka tai ir plašas zināšanas par nozarēm, uz kurām attiecas EKF, un plašas zināšanas par ģeogrāfiskajiem tirgiem Savienībā, un nodrošina, ka Investīciju komitejā kopumā ir ievērots dzimumu līdzsvars.</w:t>
            </w:r>
          </w:p>
        </w:tc>
        <w:tc>
          <w:tcPr>
            <w:tcW w:w="4876" w:type="dxa"/>
            <w:tcBorders>
              <w:top w:val="nil"/>
              <w:left w:val="nil"/>
              <w:bottom w:val="nil"/>
              <w:right w:val="nil"/>
            </w:tcBorders>
          </w:tcPr>
          <w:p>
            <w:pPr>
              <w:pStyle w:val="Normal6a"/>
            </w:pPr>
            <w:r>
              <w:t>6.</w:t>
            </w:r>
            <w:r>
              <w:tab/>
            </w:r>
            <w:r>
              <w:t xml:space="preserve">Investīciju komitejas sastāvs nodrošina, ka tai ir plašas zināšanas par nozarēm, uz kurām attiecas EKF, un plašas zināšanas par ģeogrāfiskajiem tirgiem Savienībā, un nodrošina, ka Investīciju komitejā kopumā ir ievērots </w:t>
            </w:r>
            <w:r>
              <w:rPr>
                <w:b/>
                <w:i/>
              </w:rPr>
              <w:t>ģeogrāfiskais un</w:t>
            </w:r>
            <w:r>
              <w:t xml:space="preserve"> dzimumu līdzsvars. </w:t>
            </w:r>
            <w:r>
              <w:rPr>
                <w:b/>
                <w:i/>
              </w:rPr>
              <w:t>Investīciju komitejas locekļus izraugās, pamatojoties uz viņu kompetenci, profesionālo pieredzi un neatkarību, un viņi rīkojas visas Savienības interesēs.</w:t>
            </w:r>
            <w:r>
              <w:t xml:space="preserve"> </w:t>
            </w:r>
            <w:r>
              <w:rPr>
                <w:b/>
                <w:i/>
              </w:rPr>
              <w:t>Uz viņiem attiecas stingri noteikumi par interešu konfliktu novēršanu un pārvaldību, tostarp pienākums iesniegt un atjaunināt interešu deklarāciju un atturēties no apspriedēm un lēmumiem šādu konfliktu gadījumā.</w:t>
            </w:r>
            <w:r>
              <w:t xml:space="preserve"> </w:t>
            </w:r>
            <w:r>
              <w:rPr>
                <w:b/>
                <w:i/>
              </w:rPr>
              <w:t>Investīciju komitejas sastāvā, cik vien iespējams, ir līdzsvaroti pārstāvētas dažādas dalībvalstis un reģioni un dažādu veidu speciālās zināšanas, tostarp publiskās un privātās investīcijas, finanšu iestādes un reālās ekonomikas nozares.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1977</w:t>
      </w:r>
      <w:r>
        <w:rPr>
          <w:rStyle w:val="HideTWBExt"/>
        </w:rPr>
        <w:t>&lt;/NumAm&gt;</w:t>
      </w:r>
    </w:p>
    <w:p>
      <w:pPr>
        <w:pStyle w:val="NormalBold"/>
      </w:pPr>
      <w:r>
        <w:rPr>
          <w:rStyle w:val="HideTWBExt"/>
          <w:b w:val="0"/>
        </w:rPr>
        <w:t>&lt;RepeatBlock-By&gt;</w:t>
      </w:r>
      <w:r>
        <w:rPr>
          <w:rStyle w:val="HideTWBExt"/>
          <w:b w:val="0"/>
        </w:rPr>
        <w:t>&lt;Members&gt;</w:t>
      </w:r>
      <w:r>
        <w:t>Christophe Grudler, Yvan Verougstraete, Morten Løkkegaard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Regulas priekšlikums</w:t>
      </w:r>
      <w:r>
        <w:rPr>
          <w:rStyle w:val="HideTWBExt"/>
        </w:rPr>
        <w:t>&lt;/DocAmend&gt;</w:t>
      </w:r>
    </w:p>
    <w:p>
      <w:pPr>
        <w:pStyle w:val="NormalBold"/>
      </w:pPr>
      <w:r>
        <w:rPr>
          <w:rStyle w:val="HideTWBExt"/>
        </w:rPr>
        <w:t>&lt;Article&gt;</w:t>
      </w:r>
      <w:r>
        <w:t>14. pants – 6.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Komisijas ierosinātais teksts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Investīciju komitejas sastāvs nodrošina, ka tai ir plašas zināšanas par nozarēm, uz kurām attiecas EKF, un plašas zināšanas par ģeogrāfiskajiem tirgiem Savienībā, un nodrošina, ka Investīciju komitejā kopumā ir ievērots dzimumu līdzsvars.</w:t>
            </w:r>
          </w:p>
        </w:tc>
        <w:tc>
          <w:tcPr>
            <w:tcW w:w="4876" w:type="dxa"/>
            <w:tcBorders>
              <w:top w:val="nil"/>
              <w:left w:val="nil"/>
              <w:bottom w:val="nil"/>
              <w:right w:val="nil"/>
            </w:tcBorders>
          </w:tcPr>
          <w:p>
            <w:pPr>
              <w:pStyle w:val="Normal6a"/>
            </w:pPr>
            <w:r>
              <w:t>6.</w:t>
            </w:r>
            <w:r>
              <w:tab/>
            </w:r>
            <w:r>
              <w:t xml:space="preserve">Investīciju komitejas sastāvs nodrošina, ka tai ir plašas zināšanas par nozarēm, uz kurām attiecas EKF, un plašas zināšanas par ģeogrāfiskajiem tirgiem Savienībā, un nodrošina, ka Investīciju komitejā kopumā ir ievērots dzimumu līdzsvars. </w:t>
            </w:r>
            <w:r>
              <w:rPr>
                <w:b/>
                <w:i/>
              </w:rPr>
              <w:t>Investīciju komitejas locekļi pārstāv subjektus, kas ir iedibināti Savienībā un ko nekontrolē trešā valsts vai trešās valsts subjekts.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1978</w:t>
      </w:r>
      <w:r>
        <w:rPr>
          <w:rStyle w:val="HideTWBExt"/>
        </w:rPr>
        <w:t>&lt;/NumAm&gt;</w:t>
      </w:r>
    </w:p>
    <w:p>
      <w:pPr>
        <w:pStyle w:val="NormalBold"/>
      </w:pPr>
      <w:r>
        <w:rPr>
          <w:rStyle w:val="HideTWBExt"/>
          <w:b w:val="0"/>
        </w:rPr>
        <w:t>&lt;RepeatBlock-By&gt;</w:t>
      </w:r>
      <w:r>
        <w:rPr>
          <w:rStyle w:val="HideTWBExt"/>
          <w:b w:val="0"/>
        </w:rPr>
        <w:t>&lt;Members&gt;</w:t>
      </w:r>
      <w:r>
        <w:t>Sarah Knafo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Regulas priekšlikums</w:t>
      </w:r>
      <w:r>
        <w:rPr>
          <w:rStyle w:val="HideTWBExt"/>
        </w:rPr>
        <w:t>&lt;/DocAmend&gt;</w:t>
      </w:r>
    </w:p>
    <w:p>
      <w:pPr>
        <w:pStyle w:val="NormalBold"/>
      </w:pPr>
      <w:r>
        <w:rPr>
          <w:rStyle w:val="HideTWBExt"/>
        </w:rPr>
        <w:t>&lt;Article&gt;</w:t>
      </w:r>
      <w:r>
        <w:t>14. pants – 6.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Komisijas ierosinātais teksts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Investīciju komitejas sastāvs nodrošina, ka tai ir plašas zināšanas par nozarēm, uz kurām attiecas EKF, un plašas zināšanas par ģeogrāfiskajiem tirgiem Savienībā, un </w:t>
            </w:r>
            <w:r>
              <w:rPr>
                <w:b/>
                <w:i/>
              </w:rPr>
              <w:t>nodrošina, ka</w:t>
            </w:r>
            <w:r>
              <w:t xml:space="preserve"> Investīciju </w:t>
            </w:r>
            <w:r>
              <w:rPr>
                <w:b/>
                <w:i/>
              </w:rPr>
              <w:t>komitejā kopumā ir ievērots dzimumu līdzsvars</w:t>
            </w:r>
            <w:r>
              <w:t>.</w:t>
            </w:r>
          </w:p>
        </w:tc>
        <w:tc>
          <w:tcPr>
            <w:tcW w:w="4876" w:type="dxa"/>
            <w:tcBorders>
              <w:top w:val="nil"/>
              <w:left w:val="nil"/>
              <w:bottom w:val="nil"/>
              <w:right w:val="nil"/>
            </w:tcBorders>
          </w:tcPr>
          <w:p>
            <w:pPr>
              <w:pStyle w:val="Normal6a"/>
            </w:pPr>
            <w:r>
              <w:t>6.</w:t>
            </w:r>
            <w:r>
              <w:tab/>
            </w:r>
            <w:r>
              <w:t xml:space="preserve">Investīciju komitejas sastāvs nodrošina, ka tai ir plašas zināšanas par nozarēm, uz kurām attiecas EKF, un plašas zināšanas par ģeogrāfiskajiem tirgiem Savienībā, un </w:t>
            </w:r>
            <w:r>
              <w:rPr>
                <w:b/>
                <w:i/>
              </w:rPr>
              <w:t>tajā ir vismaz viens loceklis ar pierādītu profesionālo pieredzi riska kapitāla vai izaugsmes kapitāla jomā un viens loceklis ar pierādītu pieredzi institucionālo</w:t>
            </w:r>
            <w:r>
              <w:t xml:space="preserve"> investīciju </w:t>
            </w:r>
            <w:r>
              <w:rPr>
                <w:b/>
                <w:i/>
              </w:rPr>
              <w:t>pārvaldībā</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1979</w:t>
      </w:r>
      <w:r>
        <w:rPr>
          <w:rStyle w:val="HideTWBExt"/>
        </w:rPr>
        <w:t>&lt;/NumAm&gt;</w:t>
      </w:r>
    </w:p>
    <w:p>
      <w:pPr>
        <w:pStyle w:val="NormalBold"/>
      </w:pPr>
      <w:r>
        <w:rPr>
          <w:rStyle w:val="HideTWBExt"/>
          <w:b w:val="0"/>
        </w:rPr>
        <w:t>&lt;RepeatBlock-By&gt;</w:t>
      </w:r>
      <w:r>
        <w:rPr>
          <w:rStyle w:val="HideTWBExt"/>
          <w:b w:val="0"/>
        </w:rPr>
        <w:t>&lt;Members&gt;</w:t>
      </w:r>
      <w:r>
        <w:t>Jana Nagyová, Ondřej Knotek, Tomáš Kubín, Klara Dostalova, Ewa Zajączkowska-Hernik, Afroditi Latinopoulou, Anna Bryłka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Regulas priekšlikums</w:t>
      </w:r>
      <w:r>
        <w:rPr>
          <w:rStyle w:val="HideTWBExt"/>
        </w:rPr>
        <w:t>&lt;/DocAmend&gt;</w:t>
      </w:r>
    </w:p>
    <w:p>
      <w:pPr>
        <w:pStyle w:val="NormalBold"/>
      </w:pPr>
      <w:r>
        <w:rPr>
          <w:rStyle w:val="HideTWBExt"/>
        </w:rPr>
        <w:t>&lt;Article&gt;</w:t>
      </w:r>
      <w:r>
        <w:t>14. pants – 6.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Komisijas ierosinātais teksts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Investīciju komitejas sastāvs nodrošina, ka tai ir plašas zināšanas par nozarēm, uz kurām attiecas EKF, un plašas zināšanas par ģeogrāfiskajiem tirgiem Savienībā, un nodrošina, ka Investīciju komitejā kopumā ir ievērots dzimumu līdzsvars.</w:t>
            </w:r>
          </w:p>
        </w:tc>
        <w:tc>
          <w:tcPr>
            <w:tcW w:w="4876" w:type="dxa"/>
            <w:tcBorders>
              <w:top w:val="nil"/>
              <w:left w:val="nil"/>
              <w:bottom w:val="nil"/>
              <w:right w:val="nil"/>
            </w:tcBorders>
          </w:tcPr>
          <w:p>
            <w:pPr>
              <w:pStyle w:val="Normal6a"/>
            </w:pPr>
            <w:r>
              <w:t>6.</w:t>
            </w:r>
            <w:r>
              <w:tab/>
            </w:r>
            <w:r>
              <w:t xml:space="preserve">Investīciju komitejas sastāvs nodrošina, ka tai ir plašas zināšanas par nozarēm, uz kurām attiecas EKF, un plašas zināšanas par ģeogrāfiskajiem tirgiem Savienībā, un nodrošina, ka Investīciju komitejā kopumā ir ievērots dzimumu </w:t>
            </w:r>
            <w:r>
              <w:rPr>
                <w:b/>
                <w:i/>
              </w:rPr>
              <w:t>un ģeogrāfiskais</w:t>
            </w:r>
            <w:r>
              <w:t xml:space="preserve"> līdzsvars.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1980</w:t>
      </w:r>
      <w:r>
        <w:rPr>
          <w:rStyle w:val="HideTWBExt"/>
        </w:rPr>
        <w:t>&lt;/NumAm&gt;</w:t>
      </w:r>
    </w:p>
    <w:p>
      <w:pPr>
        <w:pStyle w:val="NormalBold"/>
      </w:pPr>
      <w:r>
        <w:rPr>
          <w:rStyle w:val="HideTWBExt"/>
          <w:b w:val="0"/>
        </w:rPr>
        <w:t>&lt;RepeatBlock-By&gt;</w:t>
      </w:r>
      <w:r>
        <w:rPr>
          <w:rStyle w:val="HideTWBExt"/>
          <w:b w:val="0"/>
        </w:rPr>
        <w:t>&lt;Members&gt;</w:t>
      </w:r>
      <w:r>
        <w:t>Borys Budka, Danuše Nerudová, Davor Ivo Stier, Nikolina Brnjac, Eszter Lakos, Karlo Ressler, Miriam Lexmann, Adam Jarubas, Krzysztof Hetman, Kamila Gasiuk-Pihowicz, Mirosława Nykiel, Iuliu Winkler, Loránt Vincze, Andrzej Halicki, Virgil-Daniel Popescu, Inese Vaidere, Tomáš Zdechovský, Siegfried Mureşan, Ioan-Rareş Bogdan, Daniel Buda, Gheorghe Falcă, Adina Vălean, Romana Tomc, Eva Maydell, Jan Farský, Rasa Juknevičienė, Andrey Kovatchev, Andrey Novakov, Ilia Lazarov, Sandra Kalniete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Regulas priekšlikums</w:t>
      </w:r>
      <w:r>
        <w:rPr>
          <w:rStyle w:val="HideTWBExt"/>
        </w:rPr>
        <w:t>&lt;/DocAmend&gt;</w:t>
      </w:r>
    </w:p>
    <w:p>
      <w:pPr>
        <w:pStyle w:val="NormalBold"/>
      </w:pPr>
      <w:r>
        <w:rPr>
          <w:rStyle w:val="HideTWBExt"/>
        </w:rPr>
        <w:t>&lt;Article&gt;</w:t>
      </w:r>
      <w:r>
        <w:t>14. pants – 6.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Komisijas ierosinātais teksts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Investīciju komitejas sastāvs nodrošina, ka tai ir plašas zināšanas par nozarēm, uz kurām attiecas EKF, un plašas zināšanas par ģeogrāfiskajiem tirgiem Savienībā, un nodrošina, ka Investīciju komitejā kopumā ir ievērots dzimumu līdzsvars.</w:t>
            </w:r>
          </w:p>
        </w:tc>
        <w:tc>
          <w:tcPr>
            <w:tcW w:w="4876" w:type="dxa"/>
            <w:tcBorders>
              <w:top w:val="nil"/>
              <w:left w:val="nil"/>
              <w:bottom w:val="nil"/>
              <w:right w:val="nil"/>
            </w:tcBorders>
          </w:tcPr>
          <w:p>
            <w:pPr>
              <w:pStyle w:val="Normal6a"/>
            </w:pPr>
            <w:r>
              <w:t>6.</w:t>
            </w:r>
            <w:r>
              <w:tab/>
            </w:r>
            <w:r>
              <w:t xml:space="preserve">Investīciju komitejas sastāvs nodrošina, ka tai ir plašas zināšanas par nozarēm, uz kurām attiecas EKF, un plašas zināšanas par ģeogrāfiskajiem tirgiem Savienībā, un nodrošina, ka Investīciju komitejā kopumā ir ievērots dzimumu </w:t>
            </w:r>
            <w:r>
              <w:rPr>
                <w:b/>
                <w:i/>
              </w:rPr>
              <w:t>un ģeogrāfiskais</w:t>
            </w:r>
            <w:r>
              <w:t xml:space="preserve"> līdzsvars.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1981</w:t>
      </w:r>
      <w:r>
        <w:rPr>
          <w:rStyle w:val="HideTWBExt"/>
        </w:rPr>
        <w:t>&lt;/NumAm&gt;</w:t>
      </w:r>
    </w:p>
    <w:p>
      <w:pPr>
        <w:pStyle w:val="NormalBold"/>
      </w:pPr>
      <w:r>
        <w:rPr>
          <w:rStyle w:val="HideTWBExt"/>
          <w:b w:val="0"/>
        </w:rPr>
        <w:t>&lt;RepeatBlock-By&gt;</w:t>
      </w:r>
      <w:r>
        <w:rPr>
          <w:rStyle w:val="HideTWBExt"/>
          <w:b w:val="0"/>
        </w:rPr>
        <w:t>&lt;Members&gt;</w:t>
      </w:r>
      <w:r>
        <w:t>Diana Iovanovici Şoşoacă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Regulas priekšlikums</w:t>
      </w:r>
      <w:r>
        <w:rPr>
          <w:rStyle w:val="HideTWBExt"/>
        </w:rPr>
        <w:t>&lt;/DocAmend&gt;</w:t>
      </w:r>
    </w:p>
    <w:p>
      <w:pPr>
        <w:pStyle w:val="NormalBold"/>
      </w:pPr>
      <w:r>
        <w:rPr>
          <w:rStyle w:val="HideTWBExt"/>
        </w:rPr>
        <w:t>&lt;Article&gt;</w:t>
      </w:r>
      <w:r>
        <w:t>14. pants – 6.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Komisijas ierosinātais teksts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Investīciju komitejas sastāvs nodrošina, ka tai ir plašas zināšanas par nozarēm, uz kurām attiecas EKF, un plašas zināšanas par ģeogrāfiskajiem tirgiem Savienībā, un nodrošina, ka Investīciju komitejā kopumā ir ievērots dzimumu līdzsvars.</w:t>
            </w:r>
          </w:p>
        </w:tc>
        <w:tc>
          <w:tcPr>
            <w:tcW w:w="4876" w:type="dxa"/>
            <w:tcBorders>
              <w:top w:val="nil"/>
              <w:left w:val="nil"/>
              <w:bottom w:val="nil"/>
              <w:right w:val="nil"/>
            </w:tcBorders>
          </w:tcPr>
          <w:p>
            <w:pPr>
              <w:pStyle w:val="Normal6a"/>
            </w:pPr>
            <w:r>
              <w:t>6.</w:t>
            </w:r>
            <w:r>
              <w:tab/>
            </w:r>
            <w:r>
              <w:t xml:space="preserve">Investīciju komitejas sastāvs nodrošina, ka tai ir plašas zināšanas par nozarēm, uz kurām attiecas EKF, un plašas zināšanas par ģeogrāfiskajiem tirgiem Savienībā, un nodrošina, ka Investīciju komitejā kopumā ir ievērots dzimumu </w:t>
            </w:r>
            <w:r>
              <w:rPr>
                <w:b/>
                <w:i/>
              </w:rPr>
              <w:t>un ģeogrāfiskais</w:t>
            </w:r>
            <w:r>
              <w:t xml:space="preserve"> līdzsvars.</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1982</w:t>
      </w:r>
      <w:r>
        <w:rPr>
          <w:rStyle w:val="HideTWBExt"/>
        </w:rPr>
        <w:t>&lt;/NumAm&gt;</w:t>
      </w:r>
    </w:p>
    <w:p>
      <w:pPr>
        <w:pStyle w:val="NormalBold"/>
      </w:pPr>
      <w:r>
        <w:rPr>
          <w:rStyle w:val="HideTWBExt"/>
          <w:b w:val="0"/>
        </w:rPr>
        <w:t>&lt;RepeatBlock-By&gt;</w:t>
      </w:r>
      <w:r>
        <w:rPr>
          <w:rStyle w:val="HideTWBExt"/>
          <w:b w:val="0"/>
        </w:rPr>
        <w:t>&lt;Members&gt;</w:t>
      </w:r>
      <w:r>
        <w:t>András Gyürk, Jorge Martín Frías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Regulas priekšlikums</w:t>
      </w:r>
      <w:r>
        <w:rPr>
          <w:rStyle w:val="HideTWBExt"/>
        </w:rPr>
        <w:t>&lt;/DocAmend&gt;</w:t>
      </w:r>
    </w:p>
    <w:p>
      <w:pPr>
        <w:pStyle w:val="NormalBold"/>
      </w:pPr>
      <w:r>
        <w:rPr>
          <w:rStyle w:val="HideTWBExt"/>
        </w:rPr>
        <w:t>&lt;Article&gt;</w:t>
      </w:r>
      <w:r>
        <w:t>14. pants – 6. punkts</w:t>
      </w:r>
      <w:r>
        <w:rPr>
          <w:rStyle w:val="HideTWBExt"/>
        </w:rPr>
        <w:t>&lt;/Article&gt;</w:t>
      </w:r>
    </w:p>
    <w:p>
      <w:r>
        <w:rPr>
          <w:rStyle w:val="HideTWBExt"/>
        </w:rPr>
        <w:t>&lt;DocAmend2&gt;</w:t>
      </w:r>
      <w:r>
        <w:t>Regulas priekšlikums</w:t>
      </w:r>
      <w:r>
        <w:rPr>
          <w:rStyle w:val="HideTWBExt"/>
        </w:rPr>
        <w:t>&lt;/DocAmend2&gt;</w:t>
      </w:r>
    </w:p>
    <w:p>
      <w:r>
        <w:rPr>
          <w:rStyle w:val="HideTWBExt"/>
        </w:rPr>
        <w:t>&lt;Article2&gt;</w:t>
      </w:r>
      <w:r>
        <w:t>14. pants – 6. punkts</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Komisijas ierosinātais teksts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Investīciju komitejas sastāvs nodrošina, ka tai ir plašas zināšanas par nozarēm, uz kurām attiecas EKF, un plašas zināšanas par ģeogrāfiskajiem tirgiem Savienībā, un nodrošina, ka Investīciju komitejā kopumā ir ievērots </w:t>
            </w:r>
            <w:r>
              <w:rPr>
                <w:b/>
                <w:i/>
              </w:rPr>
              <w:t>dzimumu</w:t>
            </w:r>
            <w:r>
              <w:t xml:space="preserve"> līdzsvars.</w:t>
            </w:r>
          </w:p>
        </w:tc>
        <w:tc>
          <w:tcPr>
            <w:tcW w:w="4876" w:type="dxa"/>
            <w:tcBorders>
              <w:top w:val="nil"/>
              <w:left w:val="nil"/>
              <w:bottom w:val="nil"/>
              <w:right w:val="nil"/>
            </w:tcBorders>
          </w:tcPr>
          <w:p>
            <w:pPr>
              <w:pStyle w:val="Normal6a"/>
            </w:pPr>
            <w:r>
              <w:t>6.</w:t>
            </w:r>
            <w:r>
              <w:tab/>
            </w:r>
            <w:r>
              <w:t xml:space="preserve">Investīciju komitejas sastāvs nodrošina, ka tai ir plašas zināšanas par nozarēm, uz kurām attiecas EKF, un plašas zināšanas par ģeogrāfiskajiem tirgiem Savienībā, un nodrošina, ka Investīciju komitejā kopumā ir ievērots </w:t>
            </w:r>
            <w:r>
              <w:rPr>
                <w:b/>
                <w:i/>
              </w:rPr>
              <w:t>ģeogrāfiskais</w:t>
            </w:r>
            <w:r>
              <w:t xml:space="preserve"> līdzsvars.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1983</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Regulas priekšlikums</w:t>
      </w:r>
      <w:r>
        <w:rPr>
          <w:rStyle w:val="HideTWBExt"/>
        </w:rPr>
        <w:t>&lt;/DocAmend&gt;</w:t>
      </w:r>
    </w:p>
    <w:p>
      <w:pPr>
        <w:pStyle w:val="NormalBold"/>
      </w:pPr>
      <w:r>
        <w:rPr>
          <w:rStyle w:val="HideTWBExt"/>
        </w:rPr>
        <w:t>&lt;Article&gt;</w:t>
      </w:r>
      <w:r>
        <w:t>14. pants – 7.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Komisijas ierosinātais teksts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7.</w:t>
            </w:r>
            <w:r>
              <w:tab/>
            </w:r>
            <w:r>
              <w:rPr>
                <w:b/>
                <w:i/>
              </w:rPr>
              <w:t>Investīciju komiteja izskata priekšlikumus par finansēšanas un investīciju darbībām, ko īstenošanas partneri iesnieguši segumam saskaņā ar Savienības garantiju, un pārbauda EKF InvestEU instrumenta finansējuma priekšlikumu atbilstību piemērojamajiem noteikumiem.</w:t>
            </w:r>
          </w:p>
        </w:tc>
        <w:tc>
          <w:tcPr>
            <w:tcW w:w="4876" w:type="dxa"/>
            <w:tcBorders>
              <w:top w:val="nil"/>
              <w:left w:val="nil"/>
              <w:bottom w:val="nil"/>
              <w:right w:val="nil"/>
            </w:tcBorders>
          </w:tcPr>
          <w:p>
            <w:pPr>
              <w:pStyle w:val="Normal6a"/>
            </w:pPr>
            <w:r>
              <w:rPr>
                <w:b/>
                <w:i/>
              </w:rPr>
              <w:t>svītrots</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Pamatojums</w:t>
      </w:r>
      <w:r>
        <w:rPr>
          <w:rStyle w:val="HideTWBExt"/>
        </w:rPr>
        <w:t>&lt;/TitreJust&gt;</w:t>
      </w:r>
    </w:p>
    <w:p>
      <w:pPr>
        <w:pStyle w:val="AmJustText"/>
      </w:pPr>
      <w:r>
        <w:t>Tiek ieviests atsevišķs pants par InvestEU Investīciju komiteju, pamatojoties uz pašreizējo struktūru.</w:t>
      </w:r>
    </w:p>
    <w:p>
      <w:r>
        <w:rPr>
          <w:rStyle w:val="HideTWBExt"/>
        </w:rPr>
        <w:t>&lt;/Amend&gt;</w:t>
      </w:r>
    </w:p>
    <w:p>
      <w:pPr>
        <w:pStyle w:val="AmNumberTabs"/>
      </w:pPr>
      <w:r>
        <w:rPr>
          <w:rStyle w:val="HideTWBExt"/>
        </w:rPr>
        <w:t>&lt;Amend&gt;</w:t>
      </w:r>
      <w:r>
        <w:t>Grozījums Nr.</w:t>
      </w:r>
      <w:r>
        <w:tab/>
      </w:r>
      <w:r>
        <w:tab/>
      </w:r>
      <w:r>
        <w:rPr>
          <w:rStyle w:val="HideTWBExt"/>
        </w:rPr>
        <w:t>&lt;NumAm&gt;</w:t>
      </w:r>
      <w:r>
        <w:t>1984</w:t>
      </w:r>
      <w:r>
        <w:rPr>
          <w:rStyle w:val="HideTWBExt"/>
        </w:rPr>
        <w:t>&lt;/NumAm&gt;</w:t>
      </w:r>
    </w:p>
    <w:p>
      <w:pPr>
        <w:pStyle w:val="NormalBold"/>
      </w:pPr>
      <w:r>
        <w:rPr>
          <w:rStyle w:val="HideTWBExt"/>
          <w:b w:val="0"/>
        </w:rPr>
        <w:t>&lt;RepeatBlock-By&gt;</w:t>
      </w:r>
      <w:r>
        <w:rPr>
          <w:rStyle w:val="HideTWBExt"/>
          <w:b w:val="0"/>
        </w:rPr>
        <w:t>&lt;Members&gt;</w:t>
      </w:r>
      <w:r>
        <w:t>Yvan Verougstraete, Stine Bosse, Christophe Grudler, Oihane Agirregoitia Martínez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Regulas priekšlikums</w:t>
      </w:r>
      <w:r>
        <w:rPr>
          <w:rStyle w:val="HideTWBExt"/>
        </w:rPr>
        <w:t>&lt;/DocAmend&gt;</w:t>
      </w:r>
    </w:p>
    <w:p>
      <w:pPr>
        <w:pStyle w:val="NormalBold"/>
      </w:pPr>
      <w:r>
        <w:rPr>
          <w:rStyle w:val="HideTWBExt"/>
        </w:rPr>
        <w:t>&lt;Article&gt;</w:t>
      </w:r>
      <w:r>
        <w:t>14. pants – 7.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Komisijas ierosinātais teksts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7.</w:t>
            </w:r>
            <w:r>
              <w:tab/>
            </w:r>
            <w:r>
              <w:rPr>
                <w:b/>
                <w:i/>
              </w:rPr>
              <w:t>Investīciju komiteja izskata priekšlikumus par finansēšanas un investīciju darbībām, ko īstenošanas partneri iesnieguši segumam saskaņā ar Savienības garantiju, un pārbauda EKF InvestEU instrumenta finansējuma priekšlikumu atbilstību piemērojamajiem noteikumiem.</w:t>
            </w:r>
          </w:p>
        </w:tc>
        <w:tc>
          <w:tcPr>
            <w:tcW w:w="4876" w:type="dxa"/>
            <w:tcBorders>
              <w:top w:val="nil"/>
              <w:left w:val="nil"/>
              <w:bottom w:val="nil"/>
              <w:right w:val="nil"/>
            </w:tcBorders>
          </w:tcPr>
          <w:p>
            <w:pPr>
              <w:pStyle w:val="Normal6a"/>
            </w:pPr>
            <w:r>
              <w:rPr>
                <w:b/>
                <w:i/>
              </w:rPr>
              <w:t>svītrots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1985</w:t>
      </w:r>
      <w:r>
        <w:rPr>
          <w:rStyle w:val="HideTWBExt"/>
        </w:rPr>
        <w:t>&lt;/NumAm&gt;</w:t>
      </w:r>
    </w:p>
    <w:p>
      <w:pPr>
        <w:pStyle w:val="NormalBold"/>
      </w:pPr>
      <w:r>
        <w:rPr>
          <w:rStyle w:val="HideTWBExt"/>
          <w:b w:val="0"/>
        </w:rPr>
        <w:t>&lt;RepeatBlock-By&gt;</w:t>
      </w:r>
      <w:r>
        <w:rPr>
          <w:rStyle w:val="HideTWBExt"/>
          <w:b w:val="0"/>
        </w:rPr>
        <w:t>&lt;Members&gt;</w:t>
      </w:r>
      <w:r>
        <w:t>Aura Salla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Regulas priekšlikums</w:t>
      </w:r>
      <w:r>
        <w:rPr>
          <w:rStyle w:val="HideTWBExt"/>
        </w:rPr>
        <w:t>&lt;/DocAmend&gt;</w:t>
      </w:r>
    </w:p>
    <w:p>
      <w:pPr>
        <w:pStyle w:val="NormalBold"/>
      </w:pPr>
      <w:r>
        <w:rPr>
          <w:rStyle w:val="HideTWBExt"/>
        </w:rPr>
        <w:t>&lt;Article&gt;</w:t>
      </w:r>
      <w:r>
        <w:t>14. pants – 7.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Komisijas ierosinātais teksts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Investīciju komiteja izskata priekšlikumus par finansēšanas un investīciju darbībām, ko īstenošanas partneri iesnieguši segumam saskaņā ar Savienības garantiju, un pārbauda EKF InvestEU instrumenta finansējuma priekšlikumu atbilstību piemērojamajiem noteikumiem.</w:t>
            </w:r>
          </w:p>
        </w:tc>
        <w:tc>
          <w:tcPr>
            <w:tcW w:w="4876" w:type="dxa"/>
            <w:tcBorders>
              <w:top w:val="nil"/>
              <w:left w:val="nil"/>
              <w:bottom w:val="nil"/>
              <w:right w:val="nil"/>
            </w:tcBorders>
          </w:tcPr>
          <w:p>
            <w:pPr>
              <w:pStyle w:val="Normal6a"/>
            </w:pPr>
            <w:r>
              <w:t>7.</w:t>
            </w:r>
            <w:r>
              <w:tab/>
            </w:r>
            <w:r>
              <w:t>Investīciju komiteja izskata priekšlikumus par finansēšanas un investīciju darbībām</w:t>
            </w:r>
            <w:r>
              <w:rPr>
                <w:b/>
                <w:i/>
              </w:rPr>
              <w:t>, kuras var izpausties kā pamatdarbības</w:t>
            </w:r>
            <w:r>
              <w:t>, ko īstenošanas partneri iesnieguši segumam saskaņā ar Savienības garantiju, un pārbauda EKF InvestEU instrumenta finansējuma priekšlikumu atbilstību piemērojamajiem noteikumiem.</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Pamatojums</w:t>
      </w:r>
      <w:r>
        <w:rPr>
          <w:rStyle w:val="HideTWBExt"/>
        </w:rPr>
        <w:t>&lt;/TitreJust&gt;</w:t>
      </w:r>
    </w:p>
    <w:p>
      <w:pPr>
        <w:pStyle w:val="AmJustText"/>
      </w:pPr>
      <w:r>
        <w:t>InvestEU regulā Investīciju komitejai ir paredzēta rīcības brīvība apstiprināt programmas vai struktūras, kuras sadalās sīkākos apakšprojektos, bez nepieciešamības apstiprināt šādus apakšprojektus katru atsevišķi.</w:t>
      </w:r>
      <w:r>
        <w:t xml:space="preserve"> </w:t>
      </w:r>
      <w:r>
        <w:t>Investīciju komiteja vienmēr patur tiesības apstiprināt apakšprojektus (izņemot, ja to vērtība ir mazāka par 3 miljoniem EUR).</w:t>
      </w:r>
      <w:r>
        <w:t xml:space="preserve"> </w:t>
      </w:r>
      <w:r>
        <w:t>Šāda norma (pašreizējās InvestEU regulas 14. panta 6. punkts) ir izrādījusies ārkārtīgi vērtīga, jo nodrošina labāku ienākšanas tirgū laiku un efektīvāku pārvaldību.</w:t>
      </w:r>
    </w:p>
    <w:p>
      <w:r>
        <w:rPr>
          <w:rStyle w:val="HideTWBExt"/>
        </w:rPr>
        <w:t>&lt;/Amend&gt;</w:t>
      </w:r>
    </w:p>
    <w:p>
      <w:pPr>
        <w:pStyle w:val="AmNumberTabs"/>
      </w:pPr>
      <w:r>
        <w:rPr>
          <w:rStyle w:val="HideTWBExt"/>
        </w:rPr>
        <w:t>&lt;Amend&gt;</w:t>
      </w:r>
      <w:r>
        <w:t>Grozījums Nr.</w:t>
      </w:r>
      <w:r>
        <w:tab/>
      </w:r>
      <w:r>
        <w:tab/>
      </w:r>
      <w:r>
        <w:rPr>
          <w:rStyle w:val="HideTWBExt"/>
        </w:rPr>
        <w:t>&lt;NumAm&gt;</w:t>
      </w:r>
      <w:r>
        <w:t>1986</w:t>
      </w:r>
      <w:r>
        <w:rPr>
          <w:rStyle w:val="HideTWBExt"/>
        </w:rPr>
        <w:t>&lt;/NumAm&gt;</w:t>
      </w:r>
    </w:p>
    <w:p>
      <w:pPr>
        <w:pStyle w:val="NormalBold"/>
      </w:pPr>
      <w:r>
        <w:rPr>
          <w:rStyle w:val="HideTWBExt"/>
          <w:b w:val="0"/>
        </w:rPr>
        <w:t>&lt;RepeatBlock-By&gt;</w:t>
      </w:r>
      <w:r>
        <w:rPr>
          <w:rStyle w:val="HideTWBExt"/>
          <w:b w:val="0"/>
        </w:rPr>
        <w:t>&lt;Members&gt;</w:t>
      </w:r>
      <w:r>
        <w:t>Sarah Knafo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Regulas priekšlikums</w:t>
      </w:r>
      <w:r>
        <w:rPr>
          <w:rStyle w:val="HideTWBExt"/>
        </w:rPr>
        <w:t>&lt;/DocAmend&gt;</w:t>
      </w:r>
    </w:p>
    <w:p>
      <w:pPr>
        <w:pStyle w:val="NormalBold"/>
      </w:pPr>
      <w:r>
        <w:rPr>
          <w:rStyle w:val="HideTWBExt"/>
        </w:rPr>
        <w:t>&lt;Article&gt;</w:t>
      </w:r>
      <w:r>
        <w:t>14. pants – 7.a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Komisijas ierosinātais teksts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Investīciju komiteja pārskata 25.a pantā minēto kolektīvā ieguldījuma partneru dalību atbalstītajās darbībās un pārbauda to atbilstību piemērojamajām investīciju pamatnostādnēm un stratēģiskajiem aizsardzības pasākumiem, kas noteikti šajā regulā, tostarp prasībām, kuras saistītas ar Savienības ilgtermiņa konkurētspēju un stratēģisko autonomiju, investīciju stratēģiju saskaņošanu ar Savienības stratēģiskajām interesēm, pareizu un atbildīgu investīciju praksi un nosacījumiem, kas reglamentē atbalstīto aktīvu un stratēģisko spēju izbeigšanu, nodošanu vai tālākpārdošanu.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1987</w:t>
      </w:r>
      <w:r>
        <w:rPr>
          <w:rStyle w:val="HideTWBExt"/>
        </w:rPr>
        <w:t>&lt;/NumAm&gt;</w:t>
      </w:r>
    </w:p>
    <w:p>
      <w:pPr>
        <w:pStyle w:val="NormalBold"/>
      </w:pPr>
      <w:r>
        <w:rPr>
          <w:rStyle w:val="HideTWBExt"/>
          <w:b w:val="0"/>
        </w:rPr>
        <w:t>&lt;RepeatBlock-By&gt;</w:t>
      </w:r>
      <w:r>
        <w:rPr>
          <w:rStyle w:val="HideTWBExt"/>
          <w:b w:val="0"/>
        </w:rPr>
        <w:t>&lt;Members&gt;</w:t>
      </w:r>
      <w:r>
        <w:t>Julie Rechagneux, Aleksandar Nikolic, Mélanie Disdier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Regulas priekšlikums</w:t>
      </w:r>
      <w:r>
        <w:rPr>
          <w:rStyle w:val="HideTWBExt"/>
        </w:rPr>
        <w:t>&lt;/DocAmend&gt;</w:t>
      </w:r>
    </w:p>
    <w:p>
      <w:pPr>
        <w:pStyle w:val="NormalBold"/>
      </w:pPr>
      <w:r>
        <w:rPr>
          <w:rStyle w:val="HideTWBExt"/>
        </w:rPr>
        <w:t>&lt;Article&gt;</w:t>
      </w:r>
      <w:r>
        <w:t>14. pants – 7.a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Komisijas ierosinātais teksts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Investīciju komiteja arī pārskata kolektīvā ieguldījuma partneru dalību atbalstītajās darbībās un pārbauda to atbilstību piemērojamajām investīciju pamatnostādnēm un stratēģiskajiem aizsardzības pasākumiem, kas noteikti šajā regulā, tostarp prasībām, kuras saistītas ar Savienības ilgtermiņa konkurētspēju un stratēģisko autonomiju, investīciju stratēģiju saskaņošanu ar Savienības stratēģiskajām interesēm, pareizu un atbildīgu investīciju praksi un nosacījumiem, kas reglamentē atbalstīto aktīvu un stratēģisko spēju izbeigšanu, nodošanu vai tālākpārdošanu.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1988</w:t>
      </w:r>
      <w:r>
        <w:rPr>
          <w:rStyle w:val="HideTWBExt"/>
        </w:rPr>
        <w:t>&lt;/NumAm&gt;</w:t>
      </w:r>
    </w:p>
    <w:p>
      <w:pPr>
        <w:pStyle w:val="NormalBold"/>
      </w:pPr>
      <w:r>
        <w:rPr>
          <w:rStyle w:val="HideTWBExt"/>
          <w:b w:val="0"/>
        </w:rPr>
        <w:t>&lt;RepeatBlock-By&gt;</w:t>
      </w:r>
      <w:r>
        <w:rPr>
          <w:rStyle w:val="HideTWBExt"/>
          <w:b w:val="0"/>
        </w:rPr>
        <w:t>&lt;Members&gt;</w:t>
      </w:r>
      <w:r>
        <w:t>Yvan Verougstraete, Stine Bosse, Christophe Grudler, Oihane Agirregoitia Martínez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Regulas priekšlikums</w:t>
      </w:r>
      <w:r>
        <w:rPr>
          <w:rStyle w:val="HideTWBExt"/>
        </w:rPr>
        <w:t>&lt;/DocAmend&gt;</w:t>
      </w:r>
    </w:p>
    <w:p>
      <w:pPr>
        <w:pStyle w:val="NormalBold"/>
      </w:pPr>
      <w:r>
        <w:rPr>
          <w:rStyle w:val="HideTWBExt"/>
        </w:rPr>
        <w:t>&lt;Article&gt;</w:t>
      </w:r>
      <w:r>
        <w:t>14. pants – 8.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Komisijas ierosinātais teksts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8.</w:t>
            </w:r>
            <w:r>
              <w:tab/>
            </w:r>
            <w:r>
              <w:rPr>
                <w:b/>
                <w:i/>
              </w:rPr>
              <w:t>EKF InvestEU instrumenta Konsultatīvajā padomē ir pa vienam katra īstenošanas partnera pārstāvim un pa vienam pārstāvim no katras dalībvalsts.</w:t>
            </w:r>
            <w:r>
              <w:t xml:space="preserve"> </w:t>
            </w:r>
            <w:r>
              <w:rPr>
                <w:b/>
                <w:i/>
              </w:rPr>
              <w:t>EKF InvestEU instrumenta Konsultatīvā padome sniedz konsultācijas par finanšu produktu izstrādi un stratēģisko un operatīvo virzību savā kompetences jomā.</w:t>
            </w:r>
            <w:r>
              <w:t xml:space="preserve"> </w:t>
            </w:r>
            <w:r>
              <w:rPr>
                <w:b/>
                <w:i/>
              </w:rPr>
              <w:t>Tā arī sniedz konsultācijas par koordināciju ar EIP, lai nodrošinātu papildināmību ar citu Savienības finansējumu vai privātām investīcijām.</w:t>
            </w:r>
            <w:r>
              <w:t xml:space="preserve"> </w:t>
            </w:r>
            <w:r>
              <w:rPr>
                <w:b/>
                <w:i/>
              </w:rPr>
              <w:t>Konsultatīvās padomes priekšsēdētājs ir Komisijas pārstāvis.</w:t>
            </w:r>
          </w:p>
        </w:tc>
        <w:tc>
          <w:tcPr>
            <w:tcW w:w="4876" w:type="dxa"/>
            <w:tcBorders>
              <w:top w:val="nil"/>
              <w:left w:val="nil"/>
              <w:bottom w:val="nil"/>
              <w:right w:val="nil"/>
            </w:tcBorders>
          </w:tcPr>
          <w:p>
            <w:pPr>
              <w:pStyle w:val="Normal6a"/>
            </w:pPr>
            <w:r>
              <w:rPr>
                <w:b/>
                <w:i/>
              </w:rPr>
              <w:t>svītrots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1989</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Regulas priekšlikums</w:t>
      </w:r>
      <w:r>
        <w:rPr>
          <w:rStyle w:val="HideTWBExt"/>
        </w:rPr>
        <w:t>&lt;/DocAmend&gt;</w:t>
      </w:r>
    </w:p>
    <w:p>
      <w:pPr>
        <w:pStyle w:val="NormalBold"/>
      </w:pPr>
      <w:r>
        <w:rPr>
          <w:rStyle w:val="HideTWBExt"/>
        </w:rPr>
        <w:t>&lt;Article&gt;</w:t>
      </w:r>
      <w:r>
        <w:t>14. pants – 8.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Komisijas ierosinātais teksts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8.</w:t>
            </w:r>
            <w:r>
              <w:tab/>
            </w:r>
            <w:r>
              <w:rPr>
                <w:b/>
                <w:i/>
              </w:rPr>
              <w:t>EKF InvestEU instrumenta Konsultatīvajā padomē ir pa vienam katra īstenošanas partnera pārstāvim un pa vienam pārstāvim no katras dalībvalsts.</w:t>
            </w:r>
            <w:r>
              <w:t xml:space="preserve"> </w:t>
            </w:r>
            <w:r>
              <w:rPr>
                <w:b/>
                <w:i/>
              </w:rPr>
              <w:t>EKF InvestEU instrumenta Konsultatīvā padome sniedz konsultācijas par finanšu produktu izstrādi un stratēģisko un operatīvo virzību savā kompetences jomā.</w:t>
            </w:r>
            <w:r>
              <w:t xml:space="preserve"> </w:t>
            </w:r>
            <w:r>
              <w:rPr>
                <w:b/>
                <w:i/>
              </w:rPr>
              <w:t>Tā arī sniedz konsultācijas par koordināciju ar EIP, lai nodrošinātu papildināmību ar citu Savienības finansējumu vai privātām investīcijām.</w:t>
            </w:r>
            <w:r>
              <w:t xml:space="preserve"> </w:t>
            </w:r>
            <w:r>
              <w:rPr>
                <w:b/>
                <w:i/>
              </w:rPr>
              <w:t>Konsultatīvās padomes priekšsēdētājs ir Komisijas pārstāvis.</w:t>
            </w:r>
          </w:p>
        </w:tc>
        <w:tc>
          <w:tcPr>
            <w:tcW w:w="4876" w:type="dxa"/>
            <w:tcBorders>
              <w:top w:val="nil"/>
              <w:left w:val="nil"/>
              <w:bottom w:val="nil"/>
              <w:right w:val="nil"/>
            </w:tcBorders>
          </w:tcPr>
          <w:p>
            <w:pPr>
              <w:pStyle w:val="Normal6a"/>
            </w:pPr>
            <w:r>
              <w:rPr>
                <w:b/>
                <w:i/>
              </w:rPr>
              <w:t>svītrots</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Pamatojums</w:t>
      </w:r>
      <w:r>
        <w:rPr>
          <w:rStyle w:val="HideTWBExt"/>
        </w:rPr>
        <w:t>&lt;/TitreJust&gt;</w:t>
      </w:r>
    </w:p>
    <w:p>
      <w:pPr>
        <w:pStyle w:val="AmJustText"/>
      </w:pPr>
      <w:r>
        <w:t>Tiek ieviests atsevišķs pants par InvestEU Konsultatīvo padomi, pamatojoties uz esošo InvestEU struktūru.</w:t>
      </w:r>
    </w:p>
    <w:p>
      <w:r>
        <w:rPr>
          <w:rStyle w:val="HideTWBExt"/>
        </w:rPr>
        <w:t>&lt;/Amend&gt;</w:t>
      </w:r>
    </w:p>
    <w:p>
      <w:pPr>
        <w:pStyle w:val="AmNumberTabs"/>
      </w:pPr>
      <w:r>
        <w:rPr>
          <w:rStyle w:val="HideTWBExt"/>
        </w:rPr>
        <w:t>&lt;Amend&gt;</w:t>
      </w:r>
      <w:r>
        <w:t>Grozījums Nr.</w:t>
      </w:r>
      <w:r>
        <w:tab/>
      </w:r>
      <w:r>
        <w:tab/>
      </w:r>
      <w:r>
        <w:rPr>
          <w:rStyle w:val="HideTWBExt"/>
        </w:rPr>
        <w:t>&lt;NumAm&gt;</w:t>
      </w:r>
      <w:r>
        <w:t>1990</w:t>
      </w:r>
      <w:r>
        <w:rPr>
          <w:rStyle w:val="HideTWBExt"/>
        </w:rPr>
        <w:t>&lt;/NumAm&gt;</w:t>
      </w:r>
    </w:p>
    <w:p>
      <w:pPr>
        <w:pStyle w:val="NormalBold"/>
      </w:pPr>
      <w:r>
        <w:rPr>
          <w:rStyle w:val="HideTWBExt"/>
          <w:b w:val="0"/>
        </w:rPr>
        <w:t>&lt;RepeatBlock-By&gt;</w:t>
      </w:r>
      <w:r>
        <w:rPr>
          <w:rStyle w:val="HideTWBExt"/>
          <w:b w:val="0"/>
        </w:rPr>
        <w:t>&lt;Members&gt;</w:t>
      </w:r>
      <w:r>
        <w:t>Marc Botenga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Regulas priekšlikums</w:t>
      </w:r>
      <w:r>
        <w:rPr>
          <w:rStyle w:val="HideTWBExt"/>
        </w:rPr>
        <w:t>&lt;/DocAmend&gt;</w:t>
      </w:r>
    </w:p>
    <w:p>
      <w:pPr>
        <w:pStyle w:val="NormalBold"/>
      </w:pPr>
      <w:r>
        <w:rPr>
          <w:rStyle w:val="HideTWBExt"/>
        </w:rPr>
        <w:t>&lt;Article&gt;</w:t>
      </w:r>
      <w:r>
        <w:t>14. pants – 8.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Komisijas ierosinātais teksts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EKF InvestEU instrumenta Konsultatīvajā padomē ir </w:t>
            </w:r>
            <w:r>
              <w:rPr>
                <w:b/>
                <w:i/>
              </w:rPr>
              <w:t>pa vienam katra īstenošanas partnera pārstāvim un pa vienam pārstāvim no katras dalībvalsts.</w:t>
            </w:r>
            <w:r>
              <w:t xml:space="preserve"> </w:t>
            </w:r>
            <w:r>
              <w:rPr>
                <w:b/>
                <w:i/>
              </w:rPr>
              <w:t>EKF InvestEU instrumenta Konsultatīvā padome sniedz konsultācijas par</w:t>
            </w:r>
            <w:r>
              <w:t xml:space="preserve"> finanšu </w:t>
            </w:r>
            <w:r>
              <w:rPr>
                <w:b/>
                <w:i/>
              </w:rPr>
              <w:t>produktu izstrādi un stratēģisko un operatīvo virzību savā kompetences jomā.</w:t>
            </w:r>
            <w:r>
              <w:t xml:space="preserve"> </w:t>
            </w:r>
            <w:r>
              <w:rPr>
                <w:b/>
                <w:i/>
              </w:rPr>
              <w:t>Tā arī sniedz konsultācijas par koordināciju ar EIP, lai nodrošinātu papildināmību ar citu Savienības finansējumu vai privātām investīcijām</w:t>
            </w:r>
            <w:r>
              <w:t>. Konsultatīvās padomes priekšsēdētājs ir Komisijas pārstāvis.</w:t>
            </w:r>
          </w:p>
        </w:tc>
        <w:tc>
          <w:tcPr>
            <w:tcW w:w="4876" w:type="dxa"/>
            <w:tcBorders>
              <w:top w:val="nil"/>
              <w:left w:val="nil"/>
              <w:bottom w:val="nil"/>
              <w:right w:val="nil"/>
            </w:tcBorders>
          </w:tcPr>
          <w:p>
            <w:pPr>
              <w:pStyle w:val="Normal6a"/>
            </w:pPr>
            <w:r>
              <w:t>8.</w:t>
            </w:r>
            <w:r>
              <w:tab/>
            </w:r>
            <w:r>
              <w:t xml:space="preserve">EKF InvestEU instrumenta </w:t>
            </w:r>
            <w:r>
              <w:rPr>
                <w:b/>
                <w:i/>
              </w:rPr>
              <w:t>Konsultatīvo padomi ieceļ Komisija, apspriežoties ar Eiropas Parlamentu un dalībvalstīm.</w:t>
            </w:r>
            <w:r>
              <w:t xml:space="preserve"> Konsultatīvajā padomē ir </w:t>
            </w:r>
            <w:r>
              <w:rPr>
                <w:b/>
                <w:i/>
              </w:rPr>
              <w:t>proporcionāli iekļauti valstu un reģionālo valdību, arodbiedrību un pilsoniskās sabiedrības pārstāvji, kā arī publisko</w:t>
            </w:r>
            <w:r>
              <w:t xml:space="preserve"> finanšu </w:t>
            </w:r>
            <w:r>
              <w:rPr>
                <w:b/>
                <w:i/>
              </w:rPr>
              <w:t>iestāžu pārstāvji, ņemot vērā arī vajadzību nodrošināt līdzsvaru attiecībā uz nozari, speciālajām zināšanām, dzimumu, vecumu un ģeogrāfisko pārstāvību. Nevienai nozarei nav vairākuma.</w:t>
            </w:r>
            <w:r>
              <w:t xml:space="preserve"> </w:t>
            </w:r>
            <w:r>
              <w:rPr>
                <w:b/>
                <w:i/>
              </w:rPr>
              <w:t>Eiropas Parlaments ieceļ divus papildu pārstāvjus</w:t>
            </w:r>
            <w:r>
              <w:t>. Konsultatīvās padomes priekšsēdētājs ir Komisijas pārstāvis.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1991</w:t>
      </w:r>
      <w:r>
        <w:rPr>
          <w:rStyle w:val="HideTWBExt"/>
        </w:rPr>
        <w:t>&lt;/NumAm&gt;</w:t>
      </w:r>
    </w:p>
    <w:p>
      <w:pPr>
        <w:pStyle w:val="NormalBold"/>
      </w:pPr>
      <w:r>
        <w:rPr>
          <w:rStyle w:val="HideTWBExt"/>
          <w:b w:val="0"/>
        </w:rPr>
        <w:t>&lt;RepeatBlock-By&gt;</w:t>
      </w:r>
      <w:r>
        <w:rPr>
          <w:rStyle w:val="HideTWBExt"/>
          <w:b w:val="0"/>
        </w:rPr>
        <w:t>&lt;Members&gt;</w:t>
      </w:r>
      <w:r>
        <w:t>Marc Botenga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Regulas priekšlikums</w:t>
      </w:r>
      <w:r>
        <w:rPr>
          <w:rStyle w:val="HideTWBExt"/>
        </w:rPr>
        <w:t>&lt;/DocAmend&gt;</w:t>
      </w:r>
    </w:p>
    <w:p>
      <w:pPr>
        <w:pStyle w:val="NormalBold"/>
      </w:pPr>
      <w:r>
        <w:rPr>
          <w:rStyle w:val="HideTWBExt"/>
        </w:rPr>
        <w:t>&lt;Article&gt;</w:t>
      </w:r>
      <w:r>
        <w:t>14. pants – 8.a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Komisijas ierosinātais teksts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Konsultatīvā padome publisko savas darba kārtības, protokolus un ziņojumus par savu ikgadējo darbību.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1992</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Regulas priekšlikums</w:t>
      </w:r>
      <w:r>
        <w:rPr>
          <w:rStyle w:val="HideTWBExt"/>
        </w:rPr>
        <w:t>&lt;/DocAmend&gt;</w:t>
      </w:r>
    </w:p>
    <w:p>
      <w:pPr>
        <w:pStyle w:val="NormalBold"/>
      </w:pPr>
      <w:r>
        <w:rPr>
          <w:rStyle w:val="HideTWBExt"/>
        </w:rPr>
        <w:t>&lt;Article&gt;</w:t>
      </w:r>
      <w:r>
        <w:t>14. pants – 9.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Komisijas ierosinātais teksts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9.</w:t>
            </w:r>
            <w:r>
              <w:tab/>
            </w:r>
            <w:r>
              <w:rPr>
                <w:b/>
                <w:i/>
              </w:rPr>
              <w:t>Komisija nosaka sīki izstrādātus noteikumus par EKF InvestEU instrumenta Investīciju komitejas un Konsultatīvās padomes locekļu atlasi un sastāvu, atalgojumu, reglamentu, interešu konfliktiem un konfidencialitāti.</w:t>
            </w:r>
          </w:p>
        </w:tc>
        <w:tc>
          <w:tcPr>
            <w:tcW w:w="4876" w:type="dxa"/>
            <w:tcBorders>
              <w:top w:val="nil"/>
              <w:left w:val="nil"/>
              <w:bottom w:val="nil"/>
              <w:right w:val="nil"/>
            </w:tcBorders>
          </w:tcPr>
          <w:p>
            <w:pPr>
              <w:pStyle w:val="Normal6a"/>
            </w:pPr>
            <w:r>
              <w:rPr>
                <w:b/>
                <w:i/>
              </w:rPr>
              <w:t>svītrots</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Pamatojums</w:t>
      </w:r>
      <w:r>
        <w:rPr>
          <w:rStyle w:val="HideTWBExt"/>
        </w:rPr>
        <w:t>&lt;/TitreJust&gt;</w:t>
      </w:r>
    </w:p>
    <w:p>
      <w:pPr>
        <w:pStyle w:val="AmJustText"/>
      </w:pPr>
      <w:r>
        <w:t>Tiek ieviesti atsevišķi panti par InvestEU Investīciju padomi un Konsultatīvo padomi, pamatojoties uz esošo InvestEU struktūru.</w:t>
      </w:r>
    </w:p>
    <w:p>
      <w:r>
        <w:rPr>
          <w:rStyle w:val="HideTWBExt"/>
        </w:rPr>
        <w:t>&lt;/Amend&gt;</w:t>
      </w:r>
    </w:p>
    <w:p>
      <w:pPr>
        <w:pStyle w:val="AmNumberTabs"/>
      </w:pPr>
      <w:r>
        <w:rPr>
          <w:rStyle w:val="HideTWBExt"/>
        </w:rPr>
        <w:t>&lt;Amend&gt;</w:t>
      </w:r>
      <w:r>
        <w:t>Grozījums Nr.</w:t>
      </w:r>
      <w:r>
        <w:tab/>
      </w:r>
      <w:r>
        <w:tab/>
      </w:r>
      <w:r>
        <w:rPr>
          <w:rStyle w:val="HideTWBExt"/>
        </w:rPr>
        <w:t>&lt;NumAm&gt;</w:t>
      </w:r>
      <w:r>
        <w:t>1993</w:t>
      </w:r>
      <w:r>
        <w:rPr>
          <w:rStyle w:val="HideTWBExt"/>
        </w:rPr>
        <w:t>&lt;/NumAm&gt;</w:t>
      </w:r>
    </w:p>
    <w:p>
      <w:pPr>
        <w:pStyle w:val="NormalBold"/>
      </w:pPr>
      <w:r>
        <w:rPr>
          <w:rStyle w:val="HideTWBExt"/>
          <w:b w:val="0"/>
        </w:rPr>
        <w:t>&lt;RepeatBlock-By&gt;</w:t>
      </w:r>
      <w:r>
        <w:rPr>
          <w:rStyle w:val="HideTWBExt"/>
          <w:b w:val="0"/>
        </w:rPr>
        <w:t>&lt;Members&gt;</w:t>
      </w:r>
      <w:r>
        <w:t>Yvan Verougstraete, Stine Bosse, Christophe Grudler, Oihane Agirregoitia Martínez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Regulas priekšlikums</w:t>
      </w:r>
      <w:r>
        <w:rPr>
          <w:rStyle w:val="HideTWBExt"/>
        </w:rPr>
        <w:t>&lt;/DocAmend&gt;</w:t>
      </w:r>
    </w:p>
    <w:p>
      <w:pPr>
        <w:pStyle w:val="NormalBold"/>
      </w:pPr>
      <w:r>
        <w:rPr>
          <w:rStyle w:val="HideTWBExt"/>
        </w:rPr>
        <w:t>&lt;Article&gt;</w:t>
      </w:r>
      <w:r>
        <w:t>14. pants – 9.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Komisijas ierosinātais teksts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9.</w:t>
            </w:r>
            <w:r>
              <w:tab/>
            </w:r>
            <w:r>
              <w:rPr>
                <w:b/>
                <w:i/>
              </w:rPr>
              <w:t>Komisija nosaka sīki izstrādātus noteikumus par EKF InvestEU instrumenta Investīciju komitejas un Konsultatīvās padomes locekļu atlasi un sastāvu, atalgojumu, reglamentu, interešu konfliktiem un konfidencialitāti.</w:t>
            </w:r>
          </w:p>
        </w:tc>
        <w:tc>
          <w:tcPr>
            <w:tcW w:w="4876" w:type="dxa"/>
            <w:tcBorders>
              <w:top w:val="nil"/>
              <w:left w:val="nil"/>
              <w:bottom w:val="nil"/>
              <w:right w:val="nil"/>
            </w:tcBorders>
          </w:tcPr>
          <w:p>
            <w:pPr>
              <w:pStyle w:val="Normal6a"/>
            </w:pPr>
            <w:r>
              <w:rPr>
                <w:b/>
                <w:i/>
              </w:rPr>
              <w:t>svītrots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1994</w:t>
      </w:r>
      <w:r>
        <w:rPr>
          <w:rStyle w:val="HideTWBExt"/>
        </w:rPr>
        <w:t>&lt;/NumAm&gt;</w:t>
      </w:r>
    </w:p>
    <w:p>
      <w:pPr>
        <w:pStyle w:val="NormalBold"/>
      </w:pPr>
      <w:r>
        <w:rPr>
          <w:rStyle w:val="HideTWBExt"/>
          <w:b w:val="0"/>
        </w:rPr>
        <w:t>&lt;RepeatBlock-By&gt;</w:t>
      </w:r>
      <w:r>
        <w:rPr>
          <w:rStyle w:val="HideTWBExt"/>
          <w:b w:val="0"/>
        </w:rPr>
        <w:t>&lt;Members&gt;</w:t>
      </w:r>
      <w:r>
        <w:t>Marc Botenga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Regulas priekšlikums</w:t>
      </w:r>
      <w:r>
        <w:rPr>
          <w:rStyle w:val="HideTWBExt"/>
        </w:rPr>
        <w:t>&lt;/DocAmend&gt;</w:t>
      </w:r>
    </w:p>
    <w:p>
      <w:pPr>
        <w:pStyle w:val="NormalBold"/>
      </w:pPr>
      <w:r>
        <w:rPr>
          <w:rStyle w:val="HideTWBExt"/>
        </w:rPr>
        <w:t>&lt;Article&gt;</w:t>
      </w:r>
      <w:r>
        <w:t>14. pants – 9.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Komisijas ierosinātais teksts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Komisija nosaka sīki izstrādātus noteikumus par EKF InvestEU instrumenta Investīciju komitejas un Konsultatīvās padomes locekļu atlasi un sastāvu, atalgojumu, reglamentu, interešu konfliktiem un konfidencialitāti.</w:t>
            </w:r>
          </w:p>
        </w:tc>
        <w:tc>
          <w:tcPr>
            <w:tcW w:w="4876" w:type="dxa"/>
            <w:tcBorders>
              <w:top w:val="nil"/>
              <w:left w:val="nil"/>
              <w:bottom w:val="nil"/>
              <w:right w:val="nil"/>
            </w:tcBorders>
          </w:tcPr>
          <w:p>
            <w:pPr>
              <w:pStyle w:val="Normal6a"/>
            </w:pPr>
            <w:r>
              <w:t>9.</w:t>
            </w:r>
            <w:r>
              <w:tab/>
            </w:r>
            <w:r>
              <w:t xml:space="preserve">Komisija nosaka sīki izstrādātus noteikumus par EKF InvestEU instrumenta Investīciju komitejas un Konsultatīvās padomes locekļu atlasi un sastāvu, atalgojumu, reglamentu, interešu konfliktiem un konfidencialitāti. </w:t>
            </w:r>
            <w:r>
              <w:rPr>
                <w:b/>
                <w:i/>
              </w:rPr>
              <w:t>Padomes locekļiem ir saistoši Komisijas izstrādātie noteikumi, kā arī šādi noteikumi: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1995</w:t>
      </w:r>
      <w:r>
        <w:rPr>
          <w:rStyle w:val="HideTWBExt"/>
        </w:rPr>
        <w:t>&lt;/NumAm&gt;</w:t>
      </w:r>
    </w:p>
    <w:p>
      <w:pPr>
        <w:pStyle w:val="NormalBold"/>
      </w:pPr>
      <w:r>
        <w:rPr>
          <w:rStyle w:val="HideTWBExt"/>
          <w:b w:val="0"/>
        </w:rPr>
        <w:t>&lt;RepeatBlock-By&gt;</w:t>
      </w:r>
      <w:r>
        <w:rPr>
          <w:rStyle w:val="HideTWBExt"/>
          <w:b w:val="0"/>
        </w:rPr>
        <w:t>&lt;Members&gt;</w:t>
      </w:r>
      <w:r>
        <w:t>Marc Botenga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Regulas priekšlikums</w:t>
      </w:r>
      <w:r>
        <w:rPr>
          <w:rStyle w:val="HideTWBExt"/>
        </w:rPr>
        <w:t>&lt;/DocAmend&gt;</w:t>
      </w:r>
    </w:p>
    <w:p>
      <w:pPr>
        <w:pStyle w:val="NormalBold"/>
      </w:pPr>
      <w:r>
        <w:rPr>
          <w:rStyle w:val="HideTWBExt"/>
        </w:rPr>
        <w:t>&lt;Article&gt;</w:t>
      </w:r>
      <w:r>
        <w:t>14. pants – 9. punkts – 1. apakšpunkts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Komisijas ierosinātais teksts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ab/>
            </w:r>
            <w:r>
              <w:rPr>
                <w:b/>
                <w:i/>
              </w:rPr>
              <w:t>Par nekādām darbībām, kuras tiek veiktas, lai pildītu amatu Konsultatīvajā padomē, netiek maksāta atlīdzība, izņemot tādu izmaksu atlīdzināšanu, kas ir cieši saistītas ar pilnvarām.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1996</w:t>
      </w:r>
      <w:r>
        <w:rPr>
          <w:rStyle w:val="HideTWBExt"/>
        </w:rPr>
        <w:t>&lt;/NumAm&gt;</w:t>
      </w:r>
    </w:p>
    <w:p>
      <w:pPr>
        <w:pStyle w:val="NormalBold"/>
      </w:pPr>
      <w:r>
        <w:rPr>
          <w:rStyle w:val="HideTWBExt"/>
          <w:b w:val="0"/>
        </w:rPr>
        <w:t>&lt;RepeatBlock-By&gt;</w:t>
      </w:r>
      <w:r>
        <w:rPr>
          <w:rStyle w:val="HideTWBExt"/>
          <w:b w:val="0"/>
        </w:rPr>
        <w:t>&lt;Members&gt;</w:t>
      </w:r>
      <w:r>
        <w:t>Marc Botenga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Regulas priekšlikums</w:t>
      </w:r>
      <w:r>
        <w:rPr>
          <w:rStyle w:val="HideTWBExt"/>
        </w:rPr>
        <w:t>&lt;/DocAmend&gt;</w:t>
      </w:r>
    </w:p>
    <w:p>
      <w:pPr>
        <w:pStyle w:val="NormalBold"/>
      </w:pPr>
      <w:r>
        <w:rPr>
          <w:rStyle w:val="HideTWBExt"/>
        </w:rPr>
        <w:t>&lt;Article&gt;</w:t>
      </w:r>
      <w:r>
        <w:t>14. pants – 9. punkts – 2. apakšpunkts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Komisijas ierosinātais teksts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w:t>
            </w:r>
            <w:r>
              <w:tab/>
            </w:r>
            <w:r>
              <w:rPr>
                <w:b/>
                <w:i/>
              </w:rPr>
              <w:t>Uz visiem Konsultatīvās padomes locekļiem attiecas nogaidīšanas periods.</w:t>
            </w:r>
            <w:r>
              <w:t xml:space="preserve"> </w:t>
            </w:r>
            <w:r>
              <w:rPr>
                <w:b/>
                <w:i/>
              </w:rPr>
              <w:t>Tas nozīmē, ka vismaz piecus gadus pēc padomes locekļa amata beigām ir jāatturas ieņemt amatu jebkurā uzņēmumā vai citā peļņas gūšanas organizācijā, kurā EKF atbalsts tieši vai netieši dod labumu loceklim, kā arī jāatturas no jebkādām finansiālām interesēm šādās organizācijās, kas izriet no aktīvu īpašumtiesībām.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1997</w:t>
      </w:r>
      <w:r>
        <w:rPr>
          <w:rStyle w:val="HideTWBExt"/>
        </w:rPr>
        <w:t>&lt;/NumAm&gt;</w:t>
      </w:r>
    </w:p>
    <w:p>
      <w:pPr>
        <w:pStyle w:val="NormalBold"/>
      </w:pPr>
      <w:r>
        <w:rPr>
          <w:rStyle w:val="HideTWBExt"/>
          <w:b w:val="0"/>
        </w:rPr>
        <w:t>&lt;RepeatBlock-By&gt;</w:t>
      </w:r>
      <w:r>
        <w:rPr>
          <w:rStyle w:val="HideTWBExt"/>
          <w:b w:val="0"/>
        </w:rPr>
        <w:t>&lt;Members&gt;</w:t>
      </w:r>
      <w:r>
        <w:t>Marc Botenga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Regulas priekšlikums</w:t>
      </w:r>
      <w:r>
        <w:rPr>
          <w:rStyle w:val="HideTWBExt"/>
        </w:rPr>
        <w:t>&lt;/DocAmend&gt;</w:t>
      </w:r>
    </w:p>
    <w:p>
      <w:pPr>
        <w:pStyle w:val="NormalBold"/>
      </w:pPr>
      <w:r>
        <w:rPr>
          <w:rStyle w:val="HideTWBExt"/>
        </w:rPr>
        <w:t>&lt;Article&gt;</w:t>
      </w:r>
      <w:r>
        <w:t>14. pants – 9. punkts – 3. apakšpunkts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Komisijas ierosinātais teksts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w:t>
            </w:r>
            <w:r>
              <w:tab/>
            </w:r>
            <w:r>
              <w:rPr>
                <w:b/>
                <w:i/>
              </w:rPr>
              <w:t>Konsultatīvā padome pienācīgi pārstāv visu Savienības daudzveidību, tostarp ģeogrāfisko, etnisko, dzimumu u.c. daudzveidību.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1998</w:t>
      </w:r>
      <w:r>
        <w:rPr>
          <w:rStyle w:val="HideTWBExt"/>
        </w:rPr>
        <w:t>&lt;/NumAm&gt;</w:t>
      </w:r>
    </w:p>
    <w:p>
      <w:pPr>
        <w:pStyle w:val="NormalBold"/>
      </w:pPr>
      <w:r>
        <w:rPr>
          <w:rStyle w:val="HideTWBExt"/>
          <w:b w:val="0"/>
        </w:rPr>
        <w:t>&lt;RepeatBlock-By&gt;</w:t>
      </w:r>
      <w:r>
        <w:rPr>
          <w:rStyle w:val="HideTWBExt"/>
          <w:b w:val="0"/>
        </w:rPr>
        <w:t>&lt;Members&gt;</w:t>
      </w:r>
      <w:r>
        <w:t>Radan Kanev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Regulas priekšlikums</w:t>
      </w:r>
      <w:r>
        <w:rPr>
          <w:rStyle w:val="HideTWBExt"/>
        </w:rPr>
        <w:t>&lt;/DocAmend&gt;</w:t>
      </w:r>
    </w:p>
    <w:p>
      <w:pPr>
        <w:pStyle w:val="NormalBold"/>
      </w:pPr>
      <w:r>
        <w:rPr>
          <w:rStyle w:val="HideTWBExt"/>
        </w:rPr>
        <w:t>&lt;Article&gt;</w:t>
      </w:r>
      <w:r>
        <w:t>14. pants – 9.a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Komisijas ierosinātais teksts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Komisija reizi divos gados iesniedz Eiropas Parlamentam un Padomei ziņojumu par šīs regulas īstenošanu.</w:t>
            </w:r>
            <w:r>
              <w:t xml:space="preserve"> </w:t>
            </w:r>
            <w:r>
              <w:rPr>
                <w:b/>
                <w:i/>
              </w:rPr>
              <w:t>Ziņojumā jo īpaši izklāsta to, kā fonda izstrādē un īstenošanā ir ņemti vērā EKF Stratēģiskās ieinteresēto personu padomes, Investīciju komitejas un Konsultatīvās padomes ieteikumi par EKF InvestEU instrumentu.</w:t>
            </w:r>
            <w:r>
              <w:t xml:space="preserve"> </w:t>
            </w:r>
            <w:r>
              <w:rPr>
                <w:b/>
                <w:i/>
              </w:rPr>
              <w:t>Ziņojumā apraksta 11. punktā minēto apspriešanos ar ieinteresētajām personām un tematisko platformu darbību, tostarp to sastāvu, sanāksmju biežumu un galvenos secinājumus, un paskaidro, kā minētais ieguldījums ir atspoguļots darba programmās, finanšu produktos un projektu stratēģiskajos portfeļos.</w:t>
            </w:r>
            <w:r>
              <w:t xml:space="preserve"> </w:t>
            </w:r>
            <w:r>
              <w:rPr>
                <w:b/>
                <w:i/>
              </w:rPr>
              <w:t>Ja Komisija nolemj pilnībā vai daļēji neievērot 1. un 2. punktā minētos padomus vai ieteikumus, ziņojumā sniedz argumentētu pamatojumu.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1999</w:t>
      </w:r>
      <w:r>
        <w:rPr>
          <w:rStyle w:val="HideTWBExt"/>
        </w:rPr>
        <w:t>&lt;/NumAm&gt;</w:t>
      </w:r>
    </w:p>
    <w:p>
      <w:pPr>
        <w:pStyle w:val="NormalBold"/>
      </w:pPr>
      <w:r>
        <w:rPr>
          <w:rStyle w:val="HideTWBExt"/>
          <w:b w:val="0"/>
        </w:rPr>
        <w:t>&lt;RepeatBlock-By&gt;</w:t>
      </w:r>
      <w:r>
        <w:rPr>
          <w:rStyle w:val="HideTWBExt"/>
          <w:b w:val="0"/>
        </w:rPr>
        <w:t>&lt;Members&gt;</w:t>
      </w:r>
      <w:r>
        <w:t>Yvan Verougstraete, Stine Bosse, Christophe Grudler, Oihane Agirregoitia Martínez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Regulas priekšlikums</w:t>
      </w:r>
      <w:r>
        <w:rPr>
          <w:rStyle w:val="HideTWBExt"/>
        </w:rPr>
        <w:t>&lt;/DocAmend&gt;</w:t>
      </w:r>
    </w:p>
    <w:p>
      <w:pPr>
        <w:pStyle w:val="NormalBold"/>
      </w:pPr>
      <w:r>
        <w:rPr>
          <w:rStyle w:val="HideTWBExt"/>
        </w:rPr>
        <w:t>&lt;Article&gt;</w:t>
      </w:r>
      <w:r>
        <w:t>14. pants – 10.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Komisijas ierosinātais teksts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10.</w:t>
            </w:r>
            <w:r>
              <w:tab/>
            </w:r>
            <w:r>
              <w:rPr>
                <w:b/>
                <w:i/>
              </w:rPr>
              <w:t>Komisija un īstenošanas partneri izveido regulārus politikas pārskatīšanas dialogus, lai apspriestu progresu finanšu produktu īstenošanā un iesaistītos attiecīgajās politikas norisēs.</w:t>
            </w:r>
          </w:p>
        </w:tc>
        <w:tc>
          <w:tcPr>
            <w:tcW w:w="4876" w:type="dxa"/>
            <w:tcBorders>
              <w:top w:val="nil"/>
              <w:left w:val="nil"/>
              <w:bottom w:val="nil"/>
              <w:right w:val="nil"/>
            </w:tcBorders>
          </w:tcPr>
          <w:p>
            <w:pPr>
              <w:pStyle w:val="Normal6a"/>
            </w:pPr>
            <w:r>
              <w:rPr>
                <w:b/>
                <w:i/>
              </w:rPr>
              <w:t>svītrots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2000</w:t>
      </w:r>
      <w:r>
        <w:rPr>
          <w:rStyle w:val="HideTWBExt"/>
        </w:rPr>
        <w:t>&lt;/NumAm&gt;</w:t>
      </w:r>
    </w:p>
    <w:p>
      <w:pPr>
        <w:pStyle w:val="NormalBold"/>
      </w:pPr>
      <w:r>
        <w:rPr>
          <w:rStyle w:val="HideTWBExt"/>
          <w:b w:val="0"/>
        </w:rPr>
        <w:t>&lt;RepeatBlock-By&gt;</w:t>
      </w:r>
      <w:r>
        <w:rPr>
          <w:rStyle w:val="HideTWBExt"/>
          <w:b w:val="0"/>
        </w:rPr>
        <w:t>&lt;Members&gt;</w:t>
      </w:r>
      <w:r>
        <w:t>Yvan Verougstraete, Christophe Grudler, Oihane Agirregoitia Martínez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Regulas priekšlikums</w:t>
      </w:r>
      <w:r>
        <w:rPr>
          <w:rStyle w:val="HideTWBExt"/>
        </w:rPr>
        <w:t>&lt;/DocAmend&gt;</w:t>
      </w:r>
    </w:p>
    <w:p>
      <w:pPr>
        <w:pStyle w:val="NormalBold"/>
      </w:pPr>
      <w:r>
        <w:rPr>
          <w:rStyle w:val="HideTWBExt"/>
        </w:rPr>
        <w:t>&lt;Article&gt;</w:t>
      </w:r>
      <w:r>
        <w:t>14. pants – 11.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Komisijas ierosinātais teksts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11.</w:t>
            </w:r>
            <w:r>
              <w:tab/>
            </w:r>
            <w:r>
              <w:rPr>
                <w:b/>
                <w:i/>
              </w:rPr>
              <w:t>Komisija nodrošina, ka darba programmu izstrādē notiek apspriešanās ar ieinteresētajām personām, katrā logā izveidojot vienu vai vairākas tematiskās platformas.</w:t>
            </w:r>
          </w:p>
        </w:tc>
        <w:tc>
          <w:tcPr>
            <w:tcW w:w="4876" w:type="dxa"/>
            <w:tcBorders>
              <w:top w:val="nil"/>
              <w:left w:val="nil"/>
              <w:bottom w:val="nil"/>
              <w:right w:val="nil"/>
            </w:tcBorders>
          </w:tcPr>
          <w:p>
            <w:pPr>
              <w:pStyle w:val="Normal6a"/>
            </w:pPr>
            <w:r>
              <w:rPr>
                <w:b/>
                <w:i/>
              </w:rPr>
              <w:t>svītrots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2001</w:t>
      </w:r>
      <w:r>
        <w:rPr>
          <w:rStyle w:val="HideTWBExt"/>
        </w:rPr>
        <w:t>&lt;/NumAm&gt;</w:t>
      </w:r>
    </w:p>
    <w:p>
      <w:pPr>
        <w:pStyle w:val="NormalBold"/>
      </w:pPr>
      <w:r>
        <w:rPr>
          <w:rStyle w:val="HideTWBExt"/>
          <w:b w:val="0"/>
        </w:rPr>
        <w:t>&lt;RepeatBlock-By&gt;</w:t>
      </w:r>
      <w:r>
        <w:rPr>
          <w:rStyle w:val="HideTWBExt"/>
          <w:b w:val="0"/>
        </w:rPr>
        <w:t>&lt;Members&gt;</w:t>
      </w:r>
      <w:r>
        <w:t>Paolo Borchia, Isabella Tovaglieri, Raffaele Stancanelli, András Gyürk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Regulas priekšlikums</w:t>
      </w:r>
      <w:r>
        <w:rPr>
          <w:rStyle w:val="HideTWBExt"/>
        </w:rPr>
        <w:t>&lt;/DocAmend&gt;</w:t>
      </w:r>
    </w:p>
    <w:p>
      <w:pPr>
        <w:pStyle w:val="NormalBold"/>
      </w:pPr>
      <w:r>
        <w:rPr>
          <w:rStyle w:val="HideTWBExt"/>
        </w:rPr>
        <w:t>&lt;Article&gt;</w:t>
      </w:r>
      <w:r>
        <w:t>14. pants – 11.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Komisijas ierosinātais teksts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Komisija nodrošina, ka darba programmu izstrādē notiek apspriešanās ar ieinteresētajām personām, katrā logā izveidojot vienu vai vairākas tematiskās platformas.</w:t>
            </w:r>
          </w:p>
        </w:tc>
        <w:tc>
          <w:tcPr>
            <w:tcW w:w="4876" w:type="dxa"/>
            <w:tcBorders>
              <w:top w:val="nil"/>
              <w:left w:val="nil"/>
              <w:bottom w:val="nil"/>
              <w:right w:val="nil"/>
            </w:tcBorders>
          </w:tcPr>
          <w:p>
            <w:pPr>
              <w:pStyle w:val="Normal6a"/>
            </w:pPr>
            <w:r>
              <w:t>11.</w:t>
            </w:r>
            <w:r>
              <w:tab/>
            </w:r>
            <w:r>
              <w:t xml:space="preserve">Komisija nodrošina, ka darba programmu izstrādē notiek apspriešanās ar ieinteresētajām personām, katrā logā izveidojot vienu vai vairākas tematiskās platformas. </w:t>
            </w:r>
            <w:r>
              <w:rPr>
                <w:b/>
                <w:i/>
              </w:rPr>
              <w:t>Komisija, katrā logā izveidojot vienu vai vairākas tematiskās platformas, nodrošina, lai darba programmu izstrādē apspriešanās ar ieinteresētajām personām notiktu visos pārvaldes līmeņos, tostarp ar reģionālajām inovācijas aģentūrām, kopām un attīstības aģentūrām, mikrouzņēmumu un MVU pārstāvjiem.</w:t>
            </w:r>
            <w:r>
              <w:t xml:space="preserve"> </w:t>
            </w:r>
            <w:r>
              <w:rPr>
                <w:b/>
                <w:i/>
              </w:rPr>
              <w:t>Katra tematiskā platforma ietver strukturētu apspriešanos ar attiecīgajām ieinteresētajām personām, garantējot mikrouzņēmumu un MVU pārstāvja līdzdalību.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2002</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Regulas priekšlikums</w:t>
      </w:r>
      <w:r>
        <w:rPr>
          <w:rStyle w:val="HideTWBExt"/>
        </w:rPr>
        <w:t>&lt;/DocAmend&gt;</w:t>
      </w:r>
    </w:p>
    <w:p>
      <w:pPr>
        <w:pStyle w:val="NormalBold"/>
      </w:pPr>
      <w:r>
        <w:rPr>
          <w:rStyle w:val="HideTWBExt"/>
        </w:rPr>
        <w:t>&lt;Article&gt;</w:t>
      </w:r>
      <w:r>
        <w:t>14. pants – 11.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Komisijas ierosinātais teksts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Komisija </w:t>
            </w:r>
            <w:r>
              <w:rPr>
                <w:b/>
                <w:i/>
              </w:rPr>
              <w:t>nodrošina, ka</w:t>
            </w:r>
            <w:r>
              <w:t xml:space="preserve"> darba programmu </w:t>
            </w:r>
            <w:r>
              <w:rPr>
                <w:b/>
                <w:i/>
              </w:rPr>
              <w:t>izstrādē notiek</w:t>
            </w:r>
            <w:r>
              <w:t xml:space="preserve"> apspriešanās ar ieinteresētajām personām, katrā logā izveidojot </w:t>
            </w:r>
            <w:r>
              <w:rPr>
                <w:b/>
                <w:i/>
              </w:rPr>
              <w:t>vienu vai</w:t>
            </w:r>
            <w:r>
              <w:t xml:space="preserve"> vairākas tematiskās platformas.</w:t>
            </w:r>
          </w:p>
        </w:tc>
        <w:tc>
          <w:tcPr>
            <w:tcW w:w="4876" w:type="dxa"/>
            <w:tcBorders>
              <w:top w:val="nil"/>
              <w:left w:val="nil"/>
              <w:bottom w:val="nil"/>
              <w:right w:val="nil"/>
            </w:tcBorders>
          </w:tcPr>
          <w:p>
            <w:pPr>
              <w:pStyle w:val="Normal6a"/>
            </w:pPr>
            <w:r>
              <w:t>11.</w:t>
            </w:r>
            <w:r>
              <w:tab/>
            </w:r>
            <w:r>
              <w:t xml:space="preserve">Komisija </w:t>
            </w:r>
            <w:r>
              <w:rPr>
                <w:b/>
                <w:i/>
              </w:rPr>
              <w:t>dažādos</w:t>
            </w:r>
            <w:r>
              <w:t xml:space="preserve"> darba programmu </w:t>
            </w:r>
            <w:r>
              <w:rPr>
                <w:b/>
                <w:i/>
              </w:rPr>
              <w:t>izstrādes posmos rīko plašas, iekļaujošas un savlaicīgas</w:t>
            </w:r>
            <w:r>
              <w:t xml:space="preserve"> apspriešanās ar ieinteresētajām personām, </w:t>
            </w:r>
            <w:r>
              <w:rPr>
                <w:b/>
                <w:i/>
              </w:rPr>
              <w:t>tostarp</w:t>
            </w:r>
            <w:r>
              <w:t xml:space="preserve"> katrā </w:t>
            </w:r>
            <w:r>
              <w:rPr>
                <w:b/>
                <w:i/>
              </w:rPr>
              <w:t>politikas</w:t>
            </w:r>
            <w:r>
              <w:t xml:space="preserve"> logā izveidojot vairākas tematiskās platformas </w:t>
            </w:r>
            <w:r>
              <w:rPr>
                <w:b/>
                <w:i/>
              </w:rPr>
              <w:t>saskaņā ar 6</w:t>
            </w:r>
            <w:r>
              <w:t>.</w:t>
            </w:r>
            <w:r>
              <w:rPr>
                <w:b/>
                <w:i/>
              </w:rPr>
              <w:t>a pantā minēto stratēģisko prioritāšu satvaru.</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Komisija apspriežas arī ar attiecīgo programmas komiteju, kas izveidota saskaņā ar Pētniecības un inovācijas pamatprogrammu.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2003</w:t>
      </w:r>
      <w:r>
        <w:rPr>
          <w:rStyle w:val="HideTWBExt"/>
        </w:rPr>
        <w:t>&lt;/NumAm&gt;</w:t>
      </w:r>
    </w:p>
    <w:p>
      <w:pPr>
        <w:pStyle w:val="NormalBold"/>
      </w:pPr>
      <w:r>
        <w:rPr>
          <w:rStyle w:val="HideTWBExt"/>
          <w:b w:val="0"/>
        </w:rPr>
        <w:t>&lt;RepeatBlock-By&gt;</w:t>
      </w:r>
      <w:r>
        <w:rPr>
          <w:rStyle w:val="HideTWBExt"/>
          <w:b w:val="0"/>
        </w:rPr>
        <w:t>&lt;Members&gt;</w:t>
      </w:r>
      <w:r>
        <w:t>Sarah Knafo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Regulas priekšlikums</w:t>
      </w:r>
      <w:r>
        <w:rPr>
          <w:rStyle w:val="HideTWBExt"/>
        </w:rPr>
        <w:t>&lt;/DocAmend&gt;</w:t>
      </w:r>
    </w:p>
    <w:p>
      <w:pPr>
        <w:pStyle w:val="NormalBold"/>
      </w:pPr>
      <w:r>
        <w:rPr>
          <w:rStyle w:val="HideTWBExt"/>
        </w:rPr>
        <w:t>&lt;Article&gt;</w:t>
      </w:r>
      <w:r>
        <w:t>14. pants – 11.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Komisijas ierosinātais teksts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Komisija nodrošina, ka darba programmu izstrādē notiek apspriešanās ar ieinteresētajām personām, katrā logā izveidojot vienu vai vairākas tematiskās platformas.</w:t>
            </w:r>
          </w:p>
        </w:tc>
        <w:tc>
          <w:tcPr>
            <w:tcW w:w="4876" w:type="dxa"/>
            <w:tcBorders>
              <w:top w:val="nil"/>
              <w:left w:val="nil"/>
              <w:bottom w:val="nil"/>
              <w:right w:val="nil"/>
            </w:tcBorders>
          </w:tcPr>
          <w:p>
            <w:pPr>
              <w:pStyle w:val="Normal6a"/>
            </w:pPr>
            <w:r>
              <w:t>11.</w:t>
            </w:r>
            <w:r>
              <w:tab/>
            </w:r>
            <w:r>
              <w:t xml:space="preserve">Komisija nodrošina, ka darba programmu izstrādē notiek apspriešanās ar ieinteresētajām personām, katrā logā izveidojot vienu vai vairākas tematiskās platformas. </w:t>
            </w:r>
            <w:r>
              <w:rPr>
                <w:b/>
                <w:i/>
              </w:rPr>
              <w:t>Tematiskās platformas ietver Eiropas vadošo rūpniecības uzņēmumu, vidējas kapitalizācijas sabiedrību, institucionālo investoru, riska kapitāla un privātā kapitāla fondu līdzsvarotu pārstāvību.</w:t>
            </w:r>
            <w:r>
              <w:t xml:space="preserve"> </w:t>
            </w:r>
            <w:r>
              <w:rPr>
                <w:b/>
                <w:i/>
              </w:rPr>
              <w:t>Platformas sanāksmju protokolus dara publiski pieejamus.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2004</w:t>
      </w:r>
      <w:r>
        <w:rPr>
          <w:rStyle w:val="HideTWBExt"/>
        </w:rPr>
        <w:t>&lt;/NumAm&gt;</w:t>
      </w:r>
    </w:p>
    <w:p>
      <w:pPr>
        <w:pStyle w:val="NormalBold"/>
      </w:pPr>
      <w:r>
        <w:rPr>
          <w:rStyle w:val="HideTWBExt"/>
          <w:b w:val="0"/>
        </w:rPr>
        <w:t>&lt;RepeatBlock-By&gt;</w:t>
      </w:r>
      <w:r>
        <w:rPr>
          <w:rStyle w:val="HideTWBExt"/>
          <w:b w:val="0"/>
        </w:rPr>
        <w:t>&lt;Members&gt;</w:t>
      </w:r>
      <w:r>
        <w:t>Jaroslava Pokorná Jermanová, Jana Nagyová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Regulas priekšlikums</w:t>
      </w:r>
      <w:r>
        <w:rPr>
          <w:rStyle w:val="HideTWBExt"/>
        </w:rPr>
        <w:t>&lt;/DocAmend&gt;</w:t>
      </w:r>
    </w:p>
    <w:p>
      <w:pPr>
        <w:pStyle w:val="NormalBold"/>
      </w:pPr>
      <w:r>
        <w:rPr>
          <w:rStyle w:val="HideTWBExt"/>
        </w:rPr>
        <w:t>&lt;Article&gt;</w:t>
      </w:r>
      <w:r>
        <w:t>14. pants – 11.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Komisijas ierosinātais teksts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Komisija nodrošina, ka darba programmu izstrādē notiek apspriešanās ar ieinteresētajām personām, katrā logā izveidojot vienu vai vairākas tematiskās platformas.</w:t>
            </w:r>
          </w:p>
        </w:tc>
        <w:tc>
          <w:tcPr>
            <w:tcW w:w="4876" w:type="dxa"/>
            <w:tcBorders>
              <w:top w:val="nil"/>
              <w:left w:val="nil"/>
              <w:bottom w:val="nil"/>
              <w:right w:val="nil"/>
            </w:tcBorders>
          </w:tcPr>
          <w:p>
            <w:pPr>
              <w:pStyle w:val="Normal6a"/>
            </w:pPr>
            <w:r>
              <w:t>11.</w:t>
            </w:r>
            <w:r>
              <w:tab/>
            </w:r>
            <w:r>
              <w:t xml:space="preserve">Komisija nodrošina, ka darba programmu izstrādē notiek apspriešanās ar ieinteresētajām personām, katrā logā izveidojot vienu vai vairākas tematiskās platformas. </w:t>
            </w:r>
            <w:r>
              <w:rPr>
                <w:b/>
                <w:i/>
              </w:rPr>
              <w:t>Izstrādājot uzaicinājumus, ņem vērā visu dalībvalstu īpašās iezīmes un teritoriālo potenciālu, lai nodrošinātu, ka atbalstītās darbības atbilst uzņēmumu faktiskajām vajadzībām visā Savienībā.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2005</w:t>
      </w:r>
      <w:r>
        <w:rPr>
          <w:rStyle w:val="HideTWBExt"/>
        </w:rPr>
        <w:t>&lt;/NumAm&gt;</w:t>
      </w:r>
    </w:p>
    <w:p>
      <w:pPr>
        <w:pStyle w:val="NormalBold"/>
      </w:pPr>
      <w:r>
        <w:rPr>
          <w:rStyle w:val="HideTWBExt"/>
          <w:b w:val="0"/>
        </w:rPr>
        <w:t>&lt;RepeatBlock-By&gt;</w:t>
      </w:r>
      <w:r>
        <w:rPr>
          <w:rStyle w:val="HideTWBExt"/>
          <w:b w:val="0"/>
        </w:rPr>
        <w:t>&lt;Members&gt;</w:t>
      </w:r>
      <w:r>
        <w:t>András Gyürk, Jorge Martín Frías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Regulas priekšlikums</w:t>
      </w:r>
      <w:r>
        <w:rPr>
          <w:rStyle w:val="HideTWBExt"/>
        </w:rPr>
        <w:t>&lt;/DocAmend&gt;</w:t>
      </w:r>
    </w:p>
    <w:p>
      <w:pPr>
        <w:pStyle w:val="NormalBold"/>
      </w:pPr>
      <w:r>
        <w:rPr>
          <w:rStyle w:val="HideTWBExt"/>
        </w:rPr>
        <w:t>&lt;Article&gt;</w:t>
      </w:r>
      <w:r>
        <w:t>14. pants – 11. punkts</w:t>
      </w:r>
      <w:r>
        <w:rPr>
          <w:rStyle w:val="HideTWBExt"/>
        </w:rPr>
        <w:t>&lt;/Article&gt;</w:t>
      </w:r>
    </w:p>
    <w:p>
      <w:r>
        <w:rPr>
          <w:rStyle w:val="HideTWBExt"/>
        </w:rPr>
        <w:t>&lt;DocAmend2&gt;</w:t>
      </w:r>
      <w:r>
        <w:t>Regulas priekšlikums</w:t>
      </w:r>
      <w:r>
        <w:rPr>
          <w:rStyle w:val="HideTWBExt"/>
        </w:rPr>
        <w:t>&lt;/DocAmend2&gt;</w:t>
      </w:r>
    </w:p>
    <w:p>
      <w:r>
        <w:rPr>
          <w:rStyle w:val="HideTWBExt"/>
        </w:rPr>
        <w:t>&lt;Article2&gt;</w:t>
      </w:r>
      <w:r>
        <w:t>14. pants – 11. punkts</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Komisijas ierosinātais teksts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Komisija nodrošina, ka darba programmu izstrādē notiek apspriešanās ar ieinteresētajām personām, katrā logā izveidojot vienu vai vairākas tematiskās platformas.</w:t>
            </w:r>
          </w:p>
        </w:tc>
        <w:tc>
          <w:tcPr>
            <w:tcW w:w="4876" w:type="dxa"/>
            <w:tcBorders>
              <w:top w:val="nil"/>
              <w:left w:val="nil"/>
              <w:bottom w:val="nil"/>
              <w:right w:val="nil"/>
            </w:tcBorders>
          </w:tcPr>
          <w:p>
            <w:pPr>
              <w:pStyle w:val="Normal6a"/>
            </w:pPr>
            <w:r>
              <w:t>11.</w:t>
            </w:r>
            <w:r>
              <w:tab/>
            </w:r>
            <w:r>
              <w:t xml:space="preserve">Komisija nodrošina, ka darba programmu izstrādē notiek apspriešanās ar ieinteresētajām personām, katrā logā izveidojot vienu vai vairākas tematiskās platformas. </w:t>
            </w:r>
            <w:r>
              <w:rPr>
                <w:b/>
                <w:i/>
              </w:rPr>
              <w:t>Izstrādājot uzaicinājumus, ņem vērā visu dalībvalstu īpašās iezīmes un teritoriālo potenciālu, lai nodrošinātu, ka atbalstītās darbības atbilst uzņēmumu faktiskajām vajadzībām visā Savienībā.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2006</w:t>
      </w:r>
      <w:r>
        <w:rPr>
          <w:rStyle w:val="HideTWBExt"/>
        </w:rPr>
        <w:t>&lt;/NumAm&gt;</w:t>
      </w:r>
    </w:p>
    <w:p>
      <w:pPr>
        <w:pStyle w:val="NormalBold"/>
      </w:pPr>
      <w:r>
        <w:rPr>
          <w:rStyle w:val="HideTWBExt"/>
          <w:b w:val="0"/>
        </w:rPr>
        <w:t>&lt;RepeatBlock-By&gt;</w:t>
      </w:r>
      <w:r>
        <w:rPr>
          <w:rStyle w:val="HideTWBExt"/>
          <w:b w:val="0"/>
        </w:rPr>
        <w:t>&lt;Members&gt;</w:t>
      </w:r>
      <w:r>
        <w:t>Mohammed Chahim, Sérgio Gonçalves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Regulas priekšlikums</w:t>
      </w:r>
      <w:r>
        <w:rPr>
          <w:rStyle w:val="HideTWBExt"/>
        </w:rPr>
        <w:t>&lt;/DocAmend&gt;</w:t>
      </w:r>
    </w:p>
    <w:p>
      <w:pPr>
        <w:pStyle w:val="NormalBold"/>
      </w:pPr>
      <w:r>
        <w:rPr>
          <w:rStyle w:val="HideTWBExt"/>
        </w:rPr>
        <w:t>&lt;Article&gt;</w:t>
      </w:r>
      <w:r>
        <w:t>14. pants – 11.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Komisijas ierosinātais teksts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Komisija nodrošina, ka darba programmu izstrādē notiek apspriešanās ar ieinteresētajām personām, katrā logā izveidojot vienu vai vairākas tematiskās platformas.</w:t>
            </w:r>
          </w:p>
        </w:tc>
        <w:tc>
          <w:tcPr>
            <w:tcW w:w="4876" w:type="dxa"/>
            <w:tcBorders>
              <w:top w:val="nil"/>
              <w:left w:val="nil"/>
              <w:bottom w:val="nil"/>
              <w:right w:val="nil"/>
            </w:tcBorders>
          </w:tcPr>
          <w:p>
            <w:pPr>
              <w:pStyle w:val="Normal6a"/>
            </w:pPr>
            <w:r>
              <w:t>11.</w:t>
            </w:r>
            <w:r>
              <w:tab/>
            </w:r>
            <w:r>
              <w:t>Komisija nodrošina, ka darba programmu izstrādē notiek apspriešanās ar ieinteresētajām personām, katrā logā izveidojot vienu vai vairākas tematiskās platformas</w:t>
            </w:r>
            <w:r>
              <w:rPr>
                <w:b/>
                <w:i/>
              </w:rPr>
              <w:t>, tostarp, ja iespējams, vienu platformu par ilgtspējīgu un viedu mobilitāti, kuru sastāvs ir līdzīgs EKF Stratēģiskās ieinteresēto personu padomes pārstāvju sastāvam</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Pamatojums</w:t>
      </w:r>
      <w:r>
        <w:rPr>
          <w:rStyle w:val="HideTWBExt"/>
        </w:rPr>
        <w:t>&lt;/TitreJust&gt;</w:t>
      </w:r>
    </w:p>
    <w:p>
      <w:pPr>
        <w:pStyle w:val="AmJustText"/>
      </w:pPr>
      <w:r>
        <w:t>Šis grozījums bija daļa no kompromisa grozījumiem, par kuriem tika panākta vienošanās saistībā ar TRAN komitejas atzinumu.</w:t>
      </w:r>
    </w:p>
    <w:p>
      <w:r>
        <w:rPr>
          <w:rStyle w:val="HideTWBExt"/>
        </w:rPr>
        <w:t>&lt;/Amend&gt;</w:t>
      </w:r>
    </w:p>
    <w:p>
      <w:pPr>
        <w:pStyle w:val="AmNumberTabs"/>
      </w:pPr>
      <w:r>
        <w:rPr>
          <w:rStyle w:val="HideTWBExt"/>
        </w:rPr>
        <w:t>&lt;Amend&gt;</w:t>
      </w:r>
      <w:r>
        <w:t>Grozījums Nr.</w:t>
      </w:r>
      <w:r>
        <w:tab/>
      </w:r>
      <w:r>
        <w:tab/>
      </w:r>
      <w:r>
        <w:rPr>
          <w:rStyle w:val="HideTWBExt"/>
        </w:rPr>
        <w:t>&lt;NumAm&gt;</w:t>
      </w:r>
      <w:r>
        <w:t>2007</w:t>
      </w:r>
      <w:r>
        <w:rPr>
          <w:rStyle w:val="HideTWBExt"/>
        </w:rPr>
        <w:t>&lt;/NumAm&gt;</w:t>
      </w:r>
    </w:p>
    <w:p>
      <w:pPr>
        <w:pStyle w:val="NormalBold"/>
      </w:pPr>
      <w:r>
        <w:rPr>
          <w:rStyle w:val="HideTWBExt"/>
          <w:b w:val="0"/>
        </w:rPr>
        <w:t>&lt;RepeatBlock-By&gt;</w:t>
      </w:r>
      <w:r>
        <w:rPr>
          <w:rStyle w:val="HideTWBExt"/>
          <w:b w:val="0"/>
        </w:rPr>
        <w:t>&lt;Members&gt;</w:t>
      </w:r>
      <w:r>
        <w:t>Nicola Procaccini, Alessandro Ciriani, Elena Donazzan, Pietro Fiocchi, Lara Magoni, Francesco Torselli, Mariateresa Vivaldini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Regulas priekšlikums</w:t>
      </w:r>
      <w:r>
        <w:rPr>
          <w:rStyle w:val="HideTWBExt"/>
        </w:rPr>
        <w:t>&lt;/DocAmend&gt;</w:t>
      </w:r>
    </w:p>
    <w:p>
      <w:pPr>
        <w:pStyle w:val="NormalBold"/>
      </w:pPr>
      <w:r>
        <w:rPr>
          <w:rStyle w:val="HideTWBExt"/>
        </w:rPr>
        <w:t>&lt;Article&gt;</w:t>
      </w:r>
      <w:r>
        <w:t>14. pants – 11.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Komisijas ierosinātais teksts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Komisija nodrošina, ka darba programmu izstrādē notiek apspriešanās ar ieinteresētajām personām, katrā logā izveidojot vienu vai vairākas tematiskās platformas.</w:t>
            </w:r>
          </w:p>
        </w:tc>
        <w:tc>
          <w:tcPr>
            <w:tcW w:w="4876" w:type="dxa"/>
            <w:tcBorders>
              <w:top w:val="nil"/>
              <w:left w:val="nil"/>
              <w:bottom w:val="nil"/>
              <w:right w:val="nil"/>
            </w:tcBorders>
          </w:tcPr>
          <w:p>
            <w:pPr>
              <w:pStyle w:val="Normal6a"/>
            </w:pPr>
            <w:r>
              <w:t>11.</w:t>
            </w:r>
            <w:r>
              <w:tab/>
            </w:r>
            <w:r>
              <w:t xml:space="preserve">Komisija nodrošina, ka darba programmu izstrādē notiek apspriešanās ar ieinteresētajām personām, </w:t>
            </w:r>
            <w:r>
              <w:rPr>
                <w:b/>
                <w:i/>
              </w:rPr>
              <w:t>tostarp mikrouzņēmumu un MVU pārstāvjiem,</w:t>
            </w:r>
            <w:r>
              <w:t xml:space="preserve"> katrā logā izveidojot vienu vai vairākas tematiskās platformas.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2008</w:t>
      </w:r>
      <w:r>
        <w:rPr>
          <w:rStyle w:val="HideTWBExt"/>
        </w:rPr>
        <w:t>&lt;/NumAm&gt;</w:t>
      </w:r>
    </w:p>
    <w:p>
      <w:pPr>
        <w:pStyle w:val="NormalBold"/>
      </w:pPr>
      <w:r>
        <w:rPr>
          <w:rStyle w:val="HideTWBExt"/>
          <w:b w:val="0"/>
        </w:rPr>
        <w:t>&lt;RepeatBlock-By&gt;</w:t>
      </w:r>
      <w:r>
        <w:rPr>
          <w:rStyle w:val="HideTWBExt"/>
          <w:b w:val="0"/>
        </w:rPr>
        <w:t>&lt;Members&gt;</w:t>
      </w:r>
      <w:r>
        <w:t>András Gyürk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Regulas priekšlikums</w:t>
      </w:r>
      <w:r>
        <w:rPr>
          <w:rStyle w:val="HideTWBExt"/>
        </w:rPr>
        <w:t>&lt;/DocAmend&gt;</w:t>
      </w:r>
    </w:p>
    <w:p>
      <w:pPr>
        <w:pStyle w:val="NormalBold"/>
      </w:pPr>
      <w:r>
        <w:rPr>
          <w:rStyle w:val="HideTWBExt"/>
        </w:rPr>
        <w:t>&lt;Article&gt;</w:t>
      </w:r>
      <w:r>
        <w:t>14. pants – 11.a punkts (jauns)</w:t>
      </w:r>
      <w:r>
        <w:rPr>
          <w:rStyle w:val="HideTWBExt"/>
        </w:rPr>
        <w:t>&lt;/Article&gt;</w:t>
      </w:r>
    </w:p>
    <w:p>
      <w:r>
        <w:rPr>
          <w:rStyle w:val="HideTWBExt"/>
        </w:rPr>
        <w:t>&lt;DocAmend2&gt;</w:t>
      </w:r>
      <w:r>
        <w:t>Regulas priekšlikums</w:t>
      </w:r>
      <w:r>
        <w:rPr>
          <w:rStyle w:val="HideTWBExt"/>
        </w:rPr>
        <w:t>&lt;/DocAmend2&gt;</w:t>
      </w:r>
    </w:p>
    <w:p>
      <w:r>
        <w:rPr>
          <w:rStyle w:val="HideTWBExt"/>
        </w:rPr>
        <w:t>&lt;Article2&gt;</w:t>
      </w:r>
      <w:r>
        <w:t>14. pants – 11.a punkts (jauns)</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Komisijas ierosinātais teksts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EKF nodrošina īpašas projektu konsultāciju spējas, lai atbalstītu pieteikumu iesniedzējus no visām dalībvalstīm, īpašu uzmanību pievēršot jaunākajām dalībvalstīm un mazāk pārstāvētiem reģioniem.</w:t>
            </w:r>
            <w:r>
              <w:t xml:space="preserve"> </w:t>
            </w:r>
            <w:r>
              <w:rPr>
                <w:b/>
                <w:i/>
              </w:rPr>
              <w:t>Lai koriģētu pastāvošo ģeogrāfisko nelīdzsvarotību attiecībā uz piekļuvi konsultatīvajam atbalstam, Komisija nodrošina garantētu minimālo konsultāciju pakalpojumu līmeni pieteikuma iesniedzējiem no nepietiekami pārstāvētām dalībvalstīm, tostarp piešķirot minimālo konsultāciju stundu skaitu gadā katrai dalībvalstij.</w:t>
            </w:r>
            <w:r>
              <w:t xml:space="preserve"> </w:t>
            </w:r>
            <w:r>
              <w:rPr>
                <w:b/>
                <w:i/>
              </w:rPr>
              <w:t>Komisija katru gadu ziņo par to, kā dalībvalstis izmanto konsultāciju pakalpojumus.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2009</w:t>
      </w:r>
      <w:r>
        <w:rPr>
          <w:rStyle w:val="HideTWBExt"/>
        </w:rPr>
        <w:t>&lt;/NumAm&gt;</w:t>
      </w:r>
    </w:p>
    <w:p>
      <w:pPr>
        <w:pStyle w:val="NormalBold"/>
      </w:pPr>
      <w:r>
        <w:rPr>
          <w:rStyle w:val="HideTWBExt"/>
          <w:b w:val="0"/>
        </w:rPr>
        <w:t>&lt;RepeatBlock-By&gt;</w:t>
      </w:r>
      <w:r>
        <w:rPr>
          <w:rStyle w:val="HideTWBExt"/>
          <w:b w:val="0"/>
        </w:rPr>
        <w:t>&lt;Members&gt;</w:t>
      </w:r>
      <w:r>
        <w:t>Sarah Knafo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Regulas priekšlikums</w:t>
      </w:r>
      <w:r>
        <w:rPr>
          <w:rStyle w:val="HideTWBExt"/>
        </w:rPr>
        <w:t>&lt;/DocAmend&gt;</w:t>
      </w:r>
    </w:p>
    <w:p>
      <w:pPr>
        <w:pStyle w:val="NormalBold"/>
      </w:pPr>
      <w:r>
        <w:rPr>
          <w:rStyle w:val="HideTWBExt"/>
        </w:rPr>
        <w:t>&lt;Article&gt;</w:t>
      </w:r>
      <w:r>
        <w:t>14. pants – 11.a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Komisijas ierosinātais teksts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Komisija pirms katras darba programmas stāšanās spēkā publicē regulatīvās ietekmes novērtējumu, kurā kvantificē kumulatīvo administratīvo slogu, ko saņēmējiem rada fonda ziņošanas pienākumi.</w:t>
            </w:r>
            <w:r>
              <w:t xml:space="preserve"> </w:t>
            </w:r>
            <w:r>
              <w:rPr>
                <w:b/>
                <w:i/>
              </w:rPr>
              <w:t>Ja kumulatīvais slogs pārsniedz 3 % no piešķirto līgumu vērtības, Komisija ierosina korektīvus pasākumus.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2010</w:t>
      </w:r>
      <w:r>
        <w:rPr>
          <w:rStyle w:val="HideTWBExt"/>
        </w:rPr>
        <w:t>&lt;/NumAm&gt;</w:t>
      </w:r>
    </w:p>
    <w:p>
      <w:pPr>
        <w:pStyle w:val="NormalBold"/>
      </w:pPr>
      <w:r>
        <w:rPr>
          <w:rStyle w:val="HideTWBExt"/>
          <w:b w:val="0"/>
        </w:rPr>
        <w:t>&lt;RepeatBlock-By&gt;</w:t>
      </w:r>
      <w:r>
        <w:rPr>
          <w:rStyle w:val="HideTWBExt"/>
          <w:b w:val="0"/>
        </w:rPr>
        <w:t>&lt;Members&gt;</w:t>
      </w:r>
      <w:r>
        <w:t>Raúl de la Hoz Quintano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Regulas priekšlikums</w:t>
      </w:r>
      <w:r>
        <w:rPr>
          <w:rStyle w:val="HideTWBExt"/>
        </w:rPr>
        <w:t>&lt;/DocAmend&gt;</w:t>
      </w:r>
    </w:p>
    <w:p>
      <w:pPr>
        <w:pStyle w:val="NormalBold"/>
      </w:pPr>
      <w:r>
        <w:rPr>
          <w:rStyle w:val="HideTWBExt"/>
        </w:rPr>
        <w:t>&lt;Article&gt;</w:t>
      </w:r>
      <w:r>
        <w:t>14. pants – 11.a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Komisijas ierosinātais teksts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Ņemot vērā InvestEU no jauna piešķirto svarīgumu, Eiropas Investīciju bankas Valdei būtu jāveic atbilstīgi pasākumi, lai nodrošinātu atbilstību visaugstākajiem ārējās prudenciālās uzraudzības standartiem, vienlaikus apsverot nepieciešamos pielāgojumus, kas izriet no EIB unikālā darījumdarbības modeļa.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2011</w:t>
      </w:r>
      <w:r>
        <w:rPr>
          <w:rStyle w:val="HideTWBExt"/>
        </w:rPr>
        <w:t>&lt;/NumAm&gt;</w:t>
      </w:r>
    </w:p>
    <w:p>
      <w:pPr>
        <w:pStyle w:val="NormalBold"/>
      </w:pPr>
      <w:r>
        <w:rPr>
          <w:rStyle w:val="HideTWBExt"/>
          <w:b w:val="0"/>
        </w:rPr>
        <w:t>&lt;RepeatBlock-By&gt;</w:t>
      </w:r>
      <w:r>
        <w:rPr>
          <w:rStyle w:val="HideTWBExt"/>
          <w:b w:val="0"/>
        </w:rPr>
        <w:t>&lt;Members&gt;</w:t>
      </w:r>
      <w:r>
        <w:t>Borys Budka, Eva Maydell, Romana Tomc, Adina Vălean, Gheorghe Falcă, Daniel Buda, Ioan-Rareş Bogdan, Siegfried Mureşan, Tomáš Zdechovský, Inese Vaidere, Virgil-Daniel Popescu, Andrzej Halicki, Loránt Vincze, Iuliu Winkler, Mirosława Nykiel, Kamila Gasiuk-Pihowicz, Krzysztof Hetman, Adam Jarubas, Miriam Lexmann, Karlo Ressler, Eszter Lakos, Nikolina Brnjac, Davor Ivo Stier, Danuše Nerudová, Jan Farský, Rasa Juknevičienė, Andrey Kovatchev, Andrey Novakov, Ilia Lazarov, Sandra Kalniete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Regulas priekšlikums</w:t>
      </w:r>
      <w:r>
        <w:rPr>
          <w:rStyle w:val="HideTWBExt"/>
        </w:rPr>
        <w:t>&lt;/DocAmend&gt;</w:t>
      </w:r>
    </w:p>
    <w:p>
      <w:pPr>
        <w:pStyle w:val="NormalBold"/>
      </w:pPr>
      <w:r>
        <w:rPr>
          <w:rStyle w:val="HideTWBExt"/>
        </w:rPr>
        <w:t>&lt;Article&gt;</w:t>
      </w:r>
      <w:r>
        <w:t>14.a pants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Komisijas ierosinātais teksts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14.a pants</w:t>
            </w:r>
            <w:r>
              <w:tab/>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Ekonomikas un tehnoloģiju konsultatīvā padome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 xml:space="preserve"> </w:t>
            </w:r>
            <w:r>
              <w:rPr>
                <w:b/>
                <w:i/>
              </w:rPr>
              <w:t>Tiek izveidota Ekonomikas un tehnoloģiju konsultatīvā padome (“Konsultatīvā padome”).</w:t>
            </w:r>
            <w:r>
              <w:t xml:space="preserve"> </w:t>
            </w:r>
            <w:r>
              <w:rPr>
                <w:b/>
                <w:i/>
              </w:rPr>
              <w:t>2.</w:t>
            </w:r>
            <w:r>
              <w:t xml:space="preserve"> </w:t>
            </w:r>
            <w:r>
              <w:rPr>
                <w:b/>
                <w:i/>
              </w:rPr>
              <w:t>Konsultatīvās padomes locekļus ieceļ Komisija pēc atklāta uzaicinājuma izvirzīt kandidātus un atklāta uzaicinājuma paust interesi.</w:t>
            </w:r>
            <w:r>
              <w:t xml:space="preserve"> </w:t>
            </w:r>
            <w:r>
              <w:rPr>
                <w:b/>
                <w:i/>
              </w:rPr>
              <w:t>Konsultatīvās padomes locekļu pilnvaru termiņš ir četri gadi, un to var atjaunot vienu reizi.</w:t>
            </w:r>
            <w:r>
              <w:t xml:space="preserve"> </w:t>
            </w:r>
            <w:r>
              <w:rPr>
                <w:b/>
                <w:i/>
              </w:rPr>
              <w:t>Konsultatīvās padomes locekļi rīkojas godprātīgi un godīgi.</w:t>
            </w:r>
            <w:r>
              <w:t xml:space="preserve"> </w:t>
            </w:r>
            <w:r>
              <w:rPr>
                <w:b/>
                <w:i/>
              </w:rPr>
              <w:t>Jebkurā brīdī tās sastāvā var būt ne vairāk kā piecpadsmit locekļi.</w:t>
            </w:r>
            <w:r>
              <w:t xml:space="preserve"> </w:t>
            </w:r>
            <w:r>
              <w:rPr>
                <w:b/>
                <w:i/>
              </w:rPr>
              <w:t>Izraugoties locekļus, būtu jāievēro Savienības ģeogrāfiskās daudzveidības princips.</w:t>
            </w:r>
            <w:r>
              <w:t xml:space="preserve"> </w:t>
            </w:r>
            <w:r>
              <w:rPr>
                <w:b/>
                <w:i/>
              </w:rPr>
              <w:t>3.</w:t>
            </w:r>
            <w:r>
              <w:t xml:space="preserve"> </w:t>
            </w:r>
            <w:r>
              <w:rPr>
                <w:b/>
                <w:i/>
              </w:rPr>
              <w:t>Konsultatīvās padomes locekļus izraugās, pamatojoties uz viņu zināšanām ekonomikā, inovācijā un tehnoloģiju attīstībā, it īpaši EKF aptvertajās nozarēs.</w:t>
            </w:r>
            <w:r>
              <w:t xml:space="preserve"> </w:t>
            </w:r>
            <w:r>
              <w:rPr>
                <w:b/>
                <w:i/>
              </w:rPr>
              <w:t>Ekspertiem vajadzētu būt no dažādām profesionālajām un institucionālajām vidēm akadēmiskajās aprindās un privātajā sektorā.</w:t>
            </w:r>
            <w:r>
              <w:t xml:space="preserve"> </w:t>
            </w:r>
            <w:r>
              <w:rPr>
                <w:b/>
                <w:i/>
              </w:rPr>
              <w:t>4.</w:t>
            </w:r>
            <w:r>
              <w:t xml:space="preserve"> </w:t>
            </w:r>
            <w:r>
              <w:rPr>
                <w:b/>
                <w:i/>
              </w:rPr>
              <w:t>Konsultatīvajai padomei ir šādi uzdevumi: a) konsultēt Komisiju par Savienības ekonomikas attīstību, tostarp par inovācijas konverģences stāvokli dalībvalstīs; b) konsultēt Komisiju par tehnoloģiju un inovāciju attīstību nozarēs, uz kurām attiecas EKF; c) konsultēt Komisiju par tirgus nepilnību un neoptimālu ieguldījumu situāciju jomām, kuras varētu risināt, īstenojot EKF; d) konsultēt Komisiju par stratēģisko portfeļu noteikšanu dažādās nozarēs, uz kurām attiecas EKF.</w:t>
            </w:r>
            <w:r>
              <w:t xml:space="preserve"> </w:t>
            </w:r>
            <w:r>
              <w:rPr>
                <w:b/>
                <w:i/>
              </w:rPr>
              <w:t>Konsultatīvajai padomei nav nekādas lomas attiecībā uz drošības un aizsardzības nozarēm, kā arī darbībām šajās nozarēs, kuras finansē EKF.</w:t>
            </w:r>
            <w:r>
              <w:t xml:space="preserve"> </w:t>
            </w:r>
            <w:r>
              <w:rPr>
                <w:b/>
                <w:i/>
              </w:rPr>
              <w:t>5.</w:t>
            </w:r>
            <w:r>
              <w:t xml:space="preserve"> </w:t>
            </w:r>
            <w:r>
              <w:rPr>
                <w:b/>
                <w:i/>
              </w:rPr>
              <w:t>Konsultatīvā padome katru gadu septembrī publicē gada ziņojumu ar Eiropas ekonomikas perspektīvu turpmākajiem gadiem. Ziņojumā iekļauj ieteikumus Komisijai par EKF īstenošanu saistībā ar konsultatīvo padomju uzdevumiem saskaņā ar 4. punktu, kā arī to pamatā esošo analīzi.</w:t>
            </w:r>
            <w:r>
              <w:t xml:space="preserve"> </w:t>
            </w:r>
            <w:r>
              <w:rPr>
                <w:b/>
                <w:i/>
              </w:rPr>
              <w:t>6.</w:t>
            </w:r>
            <w:r>
              <w:t xml:space="preserve"> </w:t>
            </w:r>
            <w:r>
              <w:rPr>
                <w:b/>
                <w:i/>
              </w:rPr>
              <w:t>Komisija šīs regulas īstenošanas laikā vadās pēc 4. punktā minētajā gada ziņojumā sniegtajiem ieteikumiem un analīzes un pienācīgi ņem tos vērā.</w:t>
            </w:r>
            <w:r>
              <w:t xml:space="preserve"> </w:t>
            </w:r>
            <w:r>
              <w:rPr>
                <w:b/>
                <w:i/>
              </w:rPr>
              <w:t>7.</w:t>
            </w:r>
            <w:r>
              <w:t xml:space="preserve"> </w:t>
            </w:r>
            <w:r>
              <w:rPr>
                <w:b/>
                <w:i/>
              </w:rPr>
              <w:t>Konsultatīvā padome darbojas neatkarīgi no Komisijas.</w:t>
            </w:r>
            <w:r>
              <w:t xml:space="preserve"> </w:t>
            </w:r>
            <w:r>
              <w:rPr>
                <w:b/>
                <w:i/>
              </w:rPr>
              <w:t>Konsultatīvās padomes locekļi, pildot savus uzdevumus, nelūdz un nepieņem norādījumus no Savienības iestādēm vai struktūrām, kā arī no jebkuras citas fiziskas vai juridiskas personas.</w:t>
            </w:r>
            <w:r>
              <w:t xml:space="preserve"> </w:t>
            </w:r>
            <w:r>
              <w:rPr>
                <w:b/>
                <w:i/>
              </w:rPr>
              <w:t>8.</w:t>
            </w:r>
            <w:r>
              <w:t xml:space="preserve"> </w:t>
            </w:r>
            <w:r>
              <w:rPr>
                <w:b/>
                <w:i/>
              </w:rPr>
              <w:t>Komisija nodrošina Konsultatīvajai padomei pietiekamus resursus un personālu, lai tā varētu veikt savus uzdevumus saskaņā ar šo regulu.</w:t>
            </w:r>
            <w:r>
              <w:t xml:space="preserve"> </w:t>
            </w:r>
            <w:r>
              <w:rPr>
                <w:b/>
                <w:i/>
              </w:rPr>
              <w:t>Konsultatīvajai padomei norīkotie darbinieki pieņem norādījumus tikai no Konsultatīvās padomes.</w:t>
            </w:r>
            <w:r>
              <w:t xml:space="preserve"> </w:t>
            </w:r>
            <w:r>
              <w:rPr>
                <w:b/>
                <w:i/>
              </w:rPr>
              <w:t>Konsultatīvajai padomei nodrošina piekļuvi attiecīgām Komisijas iekšējām zināšanām.</w:t>
            </w:r>
            <w:r>
              <w:t xml:space="preserve"> </w:t>
            </w:r>
            <w:r>
              <w:rPr>
                <w:b/>
                <w:i/>
              </w:rPr>
              <w:t>9.</w:t>
            </w:r>
            <w:r>
              <w:t xml:space="preserve"> </w:t>
            </w:r>
            <w:r>
              <w:rPr>
                <w:b/>
                <w:i/>
              </w:rPr>
              <w:t>Konsultatīvā padome, pamatojoties uz Komisijas priekšlikumu, sīki izstrādā noteikumus par Konsultatīvās padomes reglamentu, interešu konfliktiem un konfidencialitāti.</w:t>
            </w:r>
            <w:r>
              <w:t xml:space="preserve"> </w:t>
            </w:r>
            <w:r>
              <w:rPr>
                <w:b/>
                <w:i/>
              </w:rPr>
              <w:t>Komitejas locekļiem šie noteikumi ir saistoši.</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Pamatojums</w:t>
      </w:r>
      <w:r>
        <w:rPr>
          <w:rStyle w:val="HideTWBExt"/>
        </w:rPr>
        <w:t>&lt;/TitreJust&gt;</w:t>
      </w:r>
    </w:p>
    <w:p>
      <w:pPr>
        <w:pStyle w:val="AmJustText"/>
      </w:pPr>
      <w:r>
        <w:t>Paplašināts Ehler-Nica ziņojuma grozījums.</w:t>
      </w:r>
    </w:p>
    <w:p>
      <w:r>
        <w:rPr>
          <w:rStyle w:val="HideTWBExt"/>
        </w:rPr>
        <w:t>&lt;/Amend&gt;</w:t>
      </w:r>
    </w:p>
    <w:p>
      <w:pPr>
        <w:pStyle w:val="AmNumberTabs"/>
      </w:pPr>
      <w:r>
        <w:rPr>
          <w:rStyle w:val="HideTWBExt"/>
        </w:rPr>
        <w:t>&lt;Amend&gt;</w:t>
      </w:r>
      <w:r>
        <w:t>Grozījums Nr.</w:t>
      </w:r>
      <w:r>
        <w:tab/>
      </w:r>
      <w:r>
        <w:tab/>
      </w:r>
      <w:r>
        <w:rPr>
          <w:rStyle w:val="HideTWBExt"/>
        </w:rPr>
        <w:t>&lt;NumAm&gt;</w:t>
      </w:r>
      <w:r>
        <w:t>2012</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Regulas priekšlikums</w:t>
      </w:r>
      <w:r>
        <w:rPr>
          <w:rStyle w:val="HideTWBExt"/>
        </w:rPr>
        <w:t>&lt;/DocAmend&gt;</w:t>
      </w:r>
    </w:p>
    <w:p>
      <w:pPr>
        <w:pStyle w:val="NormalBold"/>
      </w:pPr>
      <w:r>
        <w:rPr>
          <w:rStyle w:val="HideTWBExt"/>
        </w:rPr>
        <w:t>&lt;Article&gt;</w:t>
      </w:r>
      <w:r>
        <w:t>14.a pants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Komisijas ierosinātais teksts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14.a pants</w:t>
            </w:r>
            <w:r>
              <w:tab/>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Investīciju komiteja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 xml:space="preserve"> </w:t>
            </w:r>
            <w:r>
              <w:rPr>
                <w:b/>
                <w:i/>
              </w:rPr>
              <w:t>EKF InvestEU instrumenta ietvaros izveido pilnīgi neatkarīgu Investīciju komiteju (“Investīciju komiteja”).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w:t>
            </w:r>
            <w:r>
              <w:t xml:space="preserve"> </w:t>
            </w:r>
            <w:r>
              <w:rPr>
                <w:b/>
                <w:i/>
              </w:rPr>
              <w:t>Investīciju komiteja tiekas piecos dažādos sastāvos, kas atbilst 3. pantā minētajiem transversālajiem mērķiem un 1. panta 2. punktā minētajiem četriem politikas logiem.</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w:t>
            </w:r>
            <w:r>
              <w:t xml:space="preserve"> </w:t>
            </w:r>
            <w:r>
              <w:rPr>
                <w:b/>
                <w:i/>
              </w:rPr>
              <w:t>Katrā Investīciju komitejas sastāvā ir seši atalgoti ārējie eksperti.</w:t>
            </w:r>
            <w:r>
              <w:t xml:space="preserve"> </w:t>
            </w:r>
            <w:r>
              <w:rPr>
                <w:b/>
                <w:i/>
              </w:rPr>
              <w:t>Ekspertus izraugās pēc atklāta uzaicinājuma izvirzīt kandidatūras vai paust ieinteresētību, vai abiem, atkarībā no tā, ko Komisija uzskata par piemērotāku, un tos ieceļ Komisija.</w:t>
            </w:r>
            <w:r>
              <w:t xml:space="preserve"> </w:t>
            </w:r>
            <w:r>
              <w:rPr>
                <w:b/>
                <w:i/>
              </w:rPr>
              <w:t>Ekspertus ieceļ amatā uz termiņu, kas nepārsniedz trīsarpus gadus un ko var vienreiz pagarināt.</w:t>
            </w:r>
            <w:r>
              <w:t xml:space="preserve"> </w:t>
            </w:r>
            <w:r>
              <w:rPr>
                <w:b/>
                <w:i/>
              </w:rPr>
              <w:t>Komitejas locekļi rīkojas godprātīgi un godīgi, pilda savus pienākumus objektīvi un vienīgi EKF interesēs un nelūdz un nepieņem norādījumus no nevienas ne publiskas, ne privātas struktūras.</w:t>
            </w:r>
            <w:r>
              <w:t xml:space="preserve"> </w:t>
            </w:r>
            <w:r>
              <w:rPr>
                <w:b/>
                <w:i/>
              </w:rPr>
              <w:t>Atlīdzību viņiem nodrošina Savienība.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w:t>
            </w:r>
            <w:r>
              <w:t xml:space="preserve"> </w:t>
            </w:r>
            <w:r>
              <w:rPr>
                <w:b/>
                <w:i/>
              </w:rPr>
              <w:t>Investīciju komitejas sastāvs nodrošina, ka tai ir plašas zināšanas par 1. panta 2. punktā minētajiem politikas logiem, tostarp tirgus pieredze saistībā ar projektu strukturēšanu un finansēšanu vai MVU, jaunuzņēmumu vai korporāciju finansēšanu, un plašas zināšanas par ģeogrāfiskajiem tirgiem Savienībā, un nodrošina, ka Investīciju komitejā kopumā ir ievērots dzimumu līdzsvars.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w:t>
            </w:r>
            <w:r>
              <w:t xml:space="preserve"> </w:t>
            </w:r>
            <w:r>
              <w:rPr>
                <w:b/>
                <w:i/>
              </w:rPr>
              <w:t>Investīciju komitejas četri locekļi ir pastāvīgie locekļi katrā no Investīciju komitejas pieciem sastāviem.</w:t>
            </w:r>
            <w:r>
              <w:t xml:space="preserve"> </w:t>
            </w:r>
            <w:r>
              <w:rPr>
                <w:b/>
                <w:i/>
              </w:rPr>
              <w:t>Investīciju komiteja no savu pastāvīgo locekļu vidus ievēl priekšsēdētāju, un tam palīdz sekretariāts, kas administratīvi atrodas Komisijā.</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w:t>
            </w:r>
            <w:r>
              <w:t xml:space="preserve"> </w:t>
            </w:r>
            <w:r>
              <w:rPr>
                <w:b/>
                <w:i/>
              </w:rPr>
              <w:t>Investīciju komiteja izskata priekšlikumus par finansēšanas un investīciju darbībām, ko īstenošanas partneri iesnieguši segumam saskaņā ar Savienības garantiju, un pārbauda EKF InvestEU instrumenta finansējuma priekšlikumu atbilstību piemērojamajiem noteikumiem.</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w:t>
            </w:r>
            <w:r>
              <w:t xml:space="preserve"> </w:t>
            </w:r>
            <w:r>
              <w:rPr>
                <w:b/>
                <w:i/>
              </w:rPr>
              <w:t>Investīciju komitejas secinājumus pieņem ar visu locekļu vienkāršu balsu vairākumu ar noteikumu, ka vienkāršais balsu vairākums ietver vismaz viena tādas konfigurācijas pagaidu locekļa balsi, kas saistīta ar politikas sadaļu, saskaņā ar kuru priekšlikums tiek sniegts.</w:t>
            </w:r>
            <w:r>
              <w:t xml:space="preserve"> </w:t>
            </w:r>
            <w:r>
              <w:rPr>
                <w:b/>
                <w:i/>
              </w:rPr>
              <w:t>Neizšķirta balsojuma gadījumā izšķirošā balss ir Investīciju komitejas priekšsēdētājam.</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w:t>
            </w:r>
            <w:r>
              <w:t xml:space="preserve"> </w:t>
            </w:r>
            <w:r>
              <w:rPr>
                <w:b/>
                <w:i/>
              </w:rPr>
              <w:t>Komisija paredz sīki izstrādātus noteikumus par Investīciju komitejas atlasi un sastāvu, atalgojumu, reglamentu, interešu konfliktiem un konfidencialitāti.</w:t>
            </w:r>
            <w:r>
              <w:t xml:space="preserve"> </w:t>
            </w:r>
            <w:r>
              <w:rPr>
                <w:b/>
                <w:i/>
              </w:rPr>
              <w:t>Komitejas locekļiem šie noteikumi ir saistoši.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w:t>
            </w:r>
            <w:r>
              <w:t xml:space="preserve"> </w:t>
            </w:r>
            <w:r>
              <w:rPr>
                <w:b/>
                <w:i/>
              </w:rPr>
              <w:t>Komisija regulāri informē Eiropas Parlamentu par Investīciju komitejas darbībām, un Eiropas Parlaments laikus saņem visus šīs komitejas sagatavotos secinājumus.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2013</w:t>
      </w:r>
      <w:r>
        <w:rPr>
          <w:rStyle w:val="HideTWBExt"/>
        </w:rPr>
        <w:t>&lt;/NumAm&gt;</w:t>
      </w:r>
    </w:p>
    <w:p>
      <w:pPr>
        <w:pStyle w:val="NormalBold"/>
      </w:pPr>
      <w:r>
        <w:rPr>
          <w:rStyle w:val="HideTWBExt"/>
          <w:b w:val="0"/>
        </w:rPr>
        <w:t>&lt;RepeatBlock-By&gt;</w:t>
      </w:r>
      <w:r>
        <w:rPr>
          <w:rStyle w:val="HideTWBExt"/>
          <w:b w:val="0"/>
        </w:rPr>
        <w:t>&lt;Members&gt;</w:t>
      </w:r>
      <w:r>
        <w:t>Giorgio Gori, Stefano Bonaccini, Annalisa Corrado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Regulas priekšlikums</w:t>
      </w:r>
      <w:r>
        <w:rPr>
          <w:rStyle w:val="HideTWBExt"/>
        </w:rPr>
        <w:t>&lt;/DocAmend&gt;</w:t>
      </w:r>
    </w:p>
    <w:p>
      <w:pPr>
        <w:pStyle w:val="NormalBold"/>
      </w:pPr>
      <w:r>
        <w:rPr>
          <w:rStyle w:val="HideTWBExt"/>
        </w:rPr>
        <w:t>&lt;Article&gt;</w:t>
      </w:r>
      <w:r>
        <w:t>14.a pants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Komisijas ierosinātais teksts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14.a pants</w:t>
            </w:r>
            <w:r>
              <w:tab/>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Inovatīvu un lokāli sakņotu industriālo ekosistēmu veicināšana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EKF veicina un izmanto inovatīvu un konkrētai vietai pielāgotu industriālo ekosistēmu potenciālu, mācoties no vietējās dinamikas, saskaņojot Eiropas investīcijas ar kopīgām prioritātēm un paplašinot produktivitātes pieauguma potenciālu, tādējādi nodrošinot labāku izvēršanu un izvēršanu.</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To panāk, ES un valsts un reģionālā līmeņa pārvaldības struktūras saskaņojot ar galvenajām prioritātēm, tādējādi nodrošinot pamatu teritoriālo ekosistēmu aktīvai iesaistei fonda konkrētajos mērķos.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Paredz šādas darbības: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veicināt efektīvu sinerģiju, apvienojot ES atbalstu inovatīvām un lokāli sakņotām rūpnieciskajām ekosistēmām caur atjaunotām viedās specializācijas stratēģijām Eiropas reģionos, kas ir saskaņotas ar Eiropas ilgtermiņa ilgtspējas un iekļautības mērķiem;</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veicināt efektīvu sinerģiju, apvienojot vietējo, reģionālo un valsts atbalstu no atjaunotām viedās specializācijas stratēģijām virzībā uz ES konkurētspējas un inovācijas prioritātēm;</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attīstīt inovatīvas un lokāli sakņotas rūpnieciskās ekosistēmas, īstenojot spēju veidošanas pasākumus, kas veicina pārveidojošas inovācijas pieejas;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atļaut līdzradīšanu un savstarpēju mācīšanos dažādās politikas jomās, pāri robežām un pārvaldības līmeņos, lai nodrošinātu horizontālu un vertikālu saskaņotību, atbalstot inovācijas ekosistēmu tīklu veidošanu, jo īpaši Eiropas vērtību ķēdēs;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 nodrošināt resursus jaunu pieeju izstrādei inovācijas veicināšanā un to testēšanai vietējā/reģionālā līmenī, izmantojot īpašas regulatīvās mācību telpas;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 atbalstīt pasākumus, lai koordinēti un konsekventi veicinātu tādu politiku un pasākumu partnerību un daudzlīmeņu pārvaldību, kuru mērķis ir atbalstīt vietējas inovācijas virzītu pārveidi.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Īstenojot savu politiku, katrā EKF finansēšanas mērķī būtu jāņem vērā vajadzība izmantot lokālo sakņotas inovācijas sistēmas.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Šīm darbībām būtu arī jāatbalsta uzņēmumu, jo īpaši MVU, jaunuzņēmumu, augošu uzņēmumu un vidējas kapitalizācijas uzņēmumu, dalība Eiropas vērtības ķēdēs, jāveicina uzņēmumu paplašināšana un ieviešana tirgū un jānodrošina, ka reģionālās ekosistēmas var darboties kā teritoriāli aktivatori un kvalificētas darbības saskarnes EKF pasākumu īstenošanai.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2014</w:t>
      </w:r>
      <w:r>
        <w:rPr>
          <w:rStyle w:val="HideTWBExt"/>
        </w:rPr>
        <w:t>&lt;/NumAm&gt;</w:t>
      </w:r>
    </w:p>
    <w:p>
      <w:pPr>
        <w:pStyle w:val="NormalBold"/>
      </w:pPr>
      <w:r>
        <w:rPr>
          <w:rStyle w:val="HideTWBExt"/>
          <w:b w:val="0"/>
        </w:rPr>
        <w:t>&lt;RepeatBlock-By&gt;</w:t>
      </w:r>
      <w:r>
        <w:rPr>
          <w:rStyle w:val="HideTWBExt"/>
          <w:b w:val="0"/>
        </w:rPr>
        <w:t>&lt;Members&gt;</w:t>
      </w:r>
      <w:r>
        <w:t>Yvan Verougstraete, Stine Bosse, Michal Wiezik, Christophe Grudler, Barry Andrews, Oihane Agirregoitia Martínez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Regulas priekšlikums</w:t>
      </w:r>
      <w:r>
        <w:rPr>
          <w:rStyle w:val="HideTWBExt"/>
        </w:rPr>
        <w:t>&lt;/DocAmend&gt;</w:t>
      </w:r>
    </w:p>
    <w:p>
      <w:pPr>
        <w:pStyle w:val="NormalBold"/>
      </w:pPr>
      <w:r>
        <w:rPr>
          <w:rStyle w:val="HideTWBExt"/>
        </w:rPr>
        <w:t>&lt;Article&gt;</w:t>
      </w:r>
      <w:r>
        <w:t>14.a pants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Komisijas ierosinātais teksts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14.a pants</w:t>
            </w:r>
            <w:r>
              <w:tab/>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Padomdevējas struktūras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 xml:space="preserve"> </w:t>
            </w:r>
            <w:r>
              <w:rPr>
                <w:b/>
                <w:i/>
              </w:rPr>
              <w:t>Tiek izveidota Ieinteresēto personu padome.</w:t>
            </w:r>
            <w:r>
              <w:t xml:space="preserve"> </w:t>
            </w:r>
            <w:r>
              <w:rPr>
                <w:b/>
                <w:i/>
              </w:rPr>
              <w:t>Ieinteresēto personu padome informē Komisiju par attiecīgajām ilgtermiņa konkurētspējas tendencēm, konsultē par tirgus nepilnību jomām un neoptimālām investīciju situācijām un atbalsta Konkurētspējas koordinācijas mehānisma darbu, formulējot ieteikumus.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w:t>
            </w:r>
            <w:r>
              <w:t xml:space="preserve"> </w:t>
            </w:r>
            <w:r>
              <w:rPr>
                <w:b/>
                <w:i/>
              </w:rPr>
              <w:t>Ieinteresēto personu padome var sanākt tematiskās apakškonfigurācijās, kas attiecas uz jebkuru no politikas logiem vai apakšiedalījumiem.</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w:t>
            </w:r>
            <w:r>
              <w:t xml:space="preserve"> </w:t>
            </w:r>
            <w:r>
              <w:rPr>
                <w:b/>
                <w:i/>
              </w:rPr>
              <w:t>Ieinteresēto personu padomes locekļus ieceļ Komisija, izsludinot atklātu uzaicinājumu izvirzīt kandidatūras vai paust ieinteresētību, vai abus, atkarībā no tā, ko Komisija uzskata par piemērotāku, un viņus ieceļ, galvenokārt pamatojoties uz viņu zinātniskajām, tehniskajām vai praktiskajām speciālajām zināšanām par nozarēm un investīciju vidi, ņemot vērā arī vajadzību nodrošināt līdzsvaru attiecībā uz nozari, organizācijas veidu, tostarp pilsonisko sabiedrību, sociālās ekonomikas dalībniekiem un privātajiem investoriem, un lielumu, speciālajām zināšanām, dzimumu, vecumu un ģeogrāfisko pārstāvību.</w:t>
            </w:r>
            <w:r>
              <w:t xml:space="preserve"> </w:t>
            </w:r>
            <w:r>
              <w:rPr>
                <w:b/>
                <w:i/>
              </w:rPr>
              <w:t>Padomes locekļu pilnvaru termiņš ir četri gadi, un to var atjaunot vienu reizi.</w:t>
            </w:r>
            <w:r>
              <w:t xml:space="preserve"> </w:t>
            </w:r>
            <w:r>
              <w:rPr>
                <w:b/>
                <w:i/>
              </w:rPr>
              <w:t>Padomes locekļi rīkojas godprātīgi un godīgi.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w:t>
            </w:r>
            <w:r>
              <w:t xml:space="preserve"> </w:t>
            </w:r>
            <w:r>
              <w:rPr>
                <w:b/>
                <w:i/>
              </w:rPr>
              <w:t>Komisija nosaka sīki izstrādātus noteikumus par EKF Ieinteresēto personu padomes atlasi un sastāvu, atalgojumu, reglamentu, pārredzamību, interešu konfliktiem un konfidencialitāti.</w:t>
            </w:r>
            <w:r>
              <w:t xml:space="preserve"> </w:t>
            </w:r>
            <w:r>
              <w:rPr>
                <w:b/>
                <w:i/>
              </w:rPr>
              <w:t>Padomes locekļiem šie noteikumi ir saistoši.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w:t>
            </w:r>
            <w:r>
              <w:t xml:space="preserve"> </w:t>
            </w:r>
            <w:r>
              <w:rPr>
                <w:b/>
                <w:i/>
              </w:rPr>
              <w:t>Tiek izveidots Jauno tehnoloģiju novērošanas centrs.</w:t>
            </w:r>
            <w:r>
              <w:t xml:space="preserve"> </w:t>
            </w:r>
            <w:r>
              <w:rPr>
                <w:b/>
                <w:i/>
              </w:rPr>
              <w:t>Tas sniegs pārredzamu, uz pierādījumiem balstītu un akadēmisku ieguldījumu Komisijai par attiecīgajām ilgtermiņa konkurētspējas tendencēm un rūpniecības un tehnoloģiju attīstību un atbalstīs Konkurētspējas koordinācijas mehānisma darbu.</w:t>
            </w:r>
            <w:r>
              <w:t xml:space="preserve"> </w:t>
            </w:r>
            <w:r>
              <w:rPr>
                <w:b/>
                <w:i/>
              </w:rPr>
              <w:t>Novērošanas centrs regulāri sagatavo ziņojumu, kurā sniedz pārskatu par šīm tendencēm turpmākajos gados.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w:t>
            </w:r>
            <w:r>
              <w:t xml:space="preserve"> </w:t>
            </w:r>
            <w:r>
              <w:rPr>
                <w:b/>
                <w:i/>
              </w:rPr>
              <w:t>Novērošanas centrs var sanākt tematiskās apakškonfigurācijās, kas attiecas uz jebkuru no politikas logiem vai apakšiedalījumiem.</w:t>
            </w:r>
            <w:r>
              <w:t xml:space="preserve"> </w:t>
            </w:r>
            <w:r>
              <w:rPr>
                <w:b/>
                <w:i/>
              </w:rPr>
              <w:t>Ja attiecīgās speciālās zināšanas jau pastāv, piemēram, ES Kritisko tehnoloģiju observatorija un Eiropas Rūpniecības pārveides un emisiju inovācijas centrs (INCITE), tas izmanto šos veidojumus, nevis dublē tos.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2015</w:t>
      </w:r>
      <w:r>
        <w:rPr>
          <w:rStyle w:val="HideTWBExt"/>
        </w:rPr>
        <w:t>&lt;/NumAm&gt;</w:t>
      </w:r>
    </w:p>
    <w:p>
      <w:pPr>
        <w:pStyle w:val="NormalBold"/>
      </w:pPr>
      <w:r>
        <w:rPr>
          <w:rStyle w:val="HideTWBExt"/>
          <w:b w:val="0"/>
        </w:rPr>
        <w:t>&lt;RepeatBlock-By&gt;</w:t>
      </w:r>
      <w:r>
        <w:rPr>
          <w:rStyle w:val="HideTWBExt"/>
          <w:b w:val="0"/>
        </w:rPr>
        <w:t>&lt;Members&gt;</w:t>
      </w:r>
      <w:r>
        <w:t>Raúl de la Hoz Quintano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Regulas priekšlikums</w:t>
      </w:r>
      <w:r>
        <w:rPr>
          <w:rStyle w:val="HideTWBExt"/>
        </w:rPr>
        <w:t>&lt;/DocAmend&gt;</w:t>
      </w:r>
    </w:p>
    <w:p>
      <w:pPr>
        <w:pStyle w:val="NormalBold"/>
      </w:pPr>
      <w:r>
        <w:rPr>
          <w:rStyle w:val="HideTWBExt"/>
        </w:rPr>
        <w:t>&lt;Article&gt;</w:t>
      </w:r>
      <w:r>
        <w:t>14.a pants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Komisijas ierosinātais teksts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14.a pants</w:t>
            </w:r>
            <w:r>
              <w:tab/>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 xml:space="preserve"> </w:t>
            </w:r>
            <w:r>
              <w:rPr>
                <w:b/>
                <w:i/>
              </w:rPr>
              <w:t>Eiropas Parlaments saskaņā ar savām prerogatīvām kā budžeta lēmējinstitūcija un budžeta izpildes apstiprinātājiestāde saskaņā ar Līgumiem un Finanšu regulu pilnībā pārrauga Eiropas Konkurētspējas fonda (EKF) īstenošanu.</w:t>
            </w:r>
            <w:r>
              <w:t xml:space="preserve"> </w:t>
            </w:r>
            <w:r>
              <w:rPr>
                <w:b/>
                <w:i/>
              </w:rPr>
              <w:t>Komisija saņem Eiropas Parlamenta apstiprinājumu par EKF budžeta pārvaldības apstiprināšanu ikgadējā budžeta izpildes apstiprināšanas procedūrā.</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w:t>
            </w:r>
            <w:r>
              <w:t xml:space="preserve"> </w:t>
            </w:r>
            <w:r>
              <w:rPr>
                <w:b/>
                <w:i/>
              </w:rPr>
              <w:t>Komisija, Ieinteresēto personu padome un Investīciju komiteja kopīgi sagatavo un iesniedz Eiropas Parlamentam un Padomei gada ziņojumu par ilgtermiņa konkurētspējas tendencēm, tirgus nepilnību jomām un neoptimālām investīciju situācijām, ko varētu risināt, īstenojot EKF.</w:t>
            </w:r>
            <w:r>
              <w:t xml:space="preserve"> </w:t>
            </w:r>
            <w:r>
              <w:rPr>
                <w:b/>
                <w:i/>
              </w:rPr>
              <w:t>Ziņojumā galveno uzmanību pievērš tikai horizontāliem pamatnosacījumiem pētniecības izcilībai, inovācijas spējai un Eiropas uzņēmumu globālajai konkurētspējai, un tajā neietver konkrētu nozaru, tehnoloģiju vai uzņēmumu vertikālu atlasi par “uzvarētājiem”.</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w:t>
            </w:r>
            <w:r>
              <w:t xml:space="preserve"> </w:t>
            </w:r>
            <w:r>
              <w:rPr>
                <w:b/>
                <w:i/>
              </w:rPr>
              <w:t>Tiek izveidots pastāvīga dialoga mehānisms starp Eiropas Parlamentu (ar tā kompetento komiteju, jo īpaši ITRE, ECON un BUDG komiteju, starpniecību), Komisiju, Ieinteresēto personu padomi un Investīciju komiteju.</w:t>
            </w:r>
            <w:r>
              <w:t xml:space="preserve"> </w:t>
            </w:r>
            <w:r>
              <w:rPr>
                <w:b/>
                <w:i/>
              </w:rPr>
              <w:t>Šis mehānisms nodrošina regulāru informācijas apmaiņu par EKF vispārējo virzību, tā prioritāšu īstenošanu, Ieinteresēto personu padomes un Investīciju komitejas sniegtajiem ieteikumiem un ievirzēm, kā arī jaunām konkurētspējas problēmām un tirgus norisēm.</w:t>
            </w:r>
            <w:r>
              <w:t xml:space="preserve"> </w:t>
            </w:r>
            <w:r>
              <w:rPr>
                <w:b/>
                <w:i/>
              </w:rPr>
              <w:t>Tajā var ietvert īpašas uzklausīšanas, kopīgas sanāksmes un strukturētas konsultācijas vismaz divas reizes gadā.</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w:t>
            </w:r>
            <w:r>
              <w:t xml:space="preserve"> </w:t>
            </w:r>
            <w:r>
              <w:rPr>
                <w:b/>
                <w:i/>
              </w:rPr>
              <w:t>Pirms galīgās iecelšanas Komisija apspriežas ar kompetentajām Eiropas Parlamenta komitejām par Ieinteresēto personu padomes kandidātu sarakstu, ļaujot komitejām sniegt nesaistošus apsvērumus, lai nodrošinātu līdzsvaru nozaru, organizācijas veidu, speciālo zināšanu, ģeogrāfiskā sadalījuma, dzimuma, vecuma un citu attiecīgo kritēriju ziņā.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2016</w:t>
      </w:r>
      <w:r>
        <w:rPr>
          <w:rStyle w:val="HideTWBExt"/>
        </w:rPr>
        <w:t>&lt;/NumAm&gt;</w:t>
      </w:r>
    </w:p>
    <w:p>
      <w:pPr>
        <w:pStyle w:val="NormalBold"/>
      </w:pPr>
      <w:r>
        <w:rPr>
          <w:rStyle w:val="HideTWBExt"/>
          <w:b w:val="0"/>
        </w:rPr>
        <w:t>&lt;RepeatBlock-By&gt;</w:t>
      </w:r>
      <w:r>
        <w:rPr>
          <w:rStyle w:val="HideTWBExt"/>
          <w:b w:val="0"/>
        </w:rPr>
        <w:t>&lt;Members&gt;</w:t>
      </w:r>
      <w:r>
        <w:t>Morten Løkkegaard, Andreas Glück,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Regulas priekšlikums</w:t>
      </w:r>
      <w:r>
        <w:rPr>
          <w:rStyle w:val="HideTWBExt"/>
        </w:rPr>
        <w:t>&lt;/DocAmend&gt;</w:t>
      </w:r>
    </w:p>
    <w:p>
      <w:pPr>
        <w:pStyle w:val="NormalBold"/>
      </w:pPr>
      <w:r>
        <w:rPr>
          <w:rStyle w:val="HideTWBExt"/>
        </w:rPr>
        <w:t>&lt;Article&gt;</w:t>
      </w:r>
      <w:r>
        <w:t>14.a pants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Komisijas ierosinātais teksts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14.a pants</w:t>
            </w:r>
            <w:r>
              <w:tab/>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Pamatprogrammas “Apvārsnis” pārejas shēma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 xml:space="preserve"> </w:t>
            </w:r>
            <w:r>
              <w:rPr>
                <w:b/>
                <w:i/>
              </w:rPr>
              <w:t>Lai paātrinātu pētniecības rezultātu valorizāciju projektos, kas jau finansēti saskaņā ar pamatprogrammu “Apvārsnis Eiropa” vai kādu no iepriekšējām Eiropas pamatprogrammām, izveido pamatprogrammas “Apvārsnis” pārejas shēmu.</w:t>
            </w:r>
            <w:r>
              <w:t xml:space="preserve"> </w:t>
            </w:r>
            <w:r>
              <w:rPr>
                <w:b/>
                <w:i/>
              </w:rPr>
              <w:t>Shēma ir vienkāršots pārejas mehānisms jau izvērtētiem pamatprogrammas projektiem, nevis uzaicinājums iesniegt priekšlikumus EKF ietvaros.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w:t>
            </w:r>
            <w:r>
              <w:t xml:space="preserve"> </w:t>
            </w:r>
            <w:r>
              <w:rPr>
                <w:b/>
                <w:i/>
              </w:rPr>
              <w:t>Shēma sniedz atbalstu tādu projektu rezultātu ieviešanai, komercializācijai, mērogošanai, licencēšanai, standartizācijai, validācijai, demonstrācijai, regulatīvai gatavībai, zināšanu valorizācijai vai citiem to izmantošanas veidiem reālajā pasaulē, kas finansēti saskaņā ar pamatprogrammas “Apvārsnis Eiropa” regulu vai jebkuru no iepriekšējām Eiropas pamatprogrammām, kuras veicina viena vai vairāku šajā regulā izklāstīto mērķu sasniegšanu.</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w:t>
            </w:r>
            <w:r>
              <w:t xml:space="preserve"> </w:t>
            </w:r>
            <w:r>
              <w:rPr>
                <w:b/>
                <w:i/>
              </w:rPr>
              <w:t>Atbalsttiesīgo projektu apzināšanas pamatā ir pamatprogrammas “Apvārsnis Eiropa” vai kādas no iepriekšējām Eiropas pamatprogrammām finansēto projektu rezultāti, izvērtēšanas iznākumi un ziņošanas informācija, vienlaikus izvairoties no jebkādas prasības pēc jauna pilna priekšlikumu iesniegšanas procesa saskaņā ar šo regulu.</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w:t>
            </w:r>
            <w:r>
              <w:t xml:space="preserve"> </w:t>
            </w:r>
            <w:r>
              <w:rPr>
                <w:b/>
                <w:i/>
              </w:rPr>
              <w:t>Atbalstu saskaņā ar pamatprogrammas “Apvārsnis Eiropa” pārejas shēmu piešķir, izmantojot vienkāršotu pārejas pieprasījumu, ko iesniedz viens vai vairāki tāda projekta atbalsta saņēmēji, kuru finansē saskaņā ar pamatprogrammas “Apvārsnis Eiropa” regulu vai jebkuru no iepriekšējām Eiropas pamatprogrammām.</w:t>
            </w:r>
            <w:r>
              <w:t xml:space="preserve"> </w:t>
            </w:r>
            <w:r>
              <w:rPr>
                <w:b/>
                <w:i/>
              </w:rPr>
              <w:t>Pieprasījumā iekļauj aprakstu par ierosināto ceļu uz izmantošanu reālos apstākļos un attiecīgā gadījumā atjauninātu konsorcija sastāvu.</w:t>
            </w:r>
            <w:r>
              <w:t xml:space="preserve"> </w:t>
            </w:r>
            <w:r>
              <w:rPr>
                <w:b/>
                <w:i/>
              </w:rPr>
              <w:t>Komisija nepieprasa informāciju, kas jau ir iesniegta, izvērtēta vai iekļauta ziņojumos par pamatprogrammu, izņemot gadījumus, kad tā nepieciešama, lai pārbaudītu atbalsttiesīgumu, Savienības iesaistīšanās pievienoto vērtību, atbilstību šai regulai vai vajadzību pēc EKF atbalsta.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w:t>
            </w:r>
            <w:r>
              <w:t xml:space="preserve"> </w:t>
            </w:r>
            <w:r>
              <w:rPr>
                <w:b/>
                <w:i/>
              </w:rPr>
              <w:t>Pamatprogrammas “Apvārsnis” pārejas shēma ir pastāvīgi atvērta pieprasījumiem.</w:t>
            </w:r>
            <w:r>
              <w:t xml:space="preserve"> </w:t>
            </w:r>
            <w:r>
              <w:rPr>
                <w:b/>
                <w:i/>
              </w:rPr>
              <w:t>Komisija pārejas pieprasījumus izvērtē vismaz četras reizes gadā.</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Pamatojums</w:t>
      </w:r>
      <w:r>
        <w:rPr>
          <w:rStyle w:val="HideTWBExt"/>
        </w:rPr>
        <w:t>&lt;/TitreJust&gt;</w:t>
      </w:r>
    </w:p>
    <w:p>
      <w:pPr>
        <w:pStyle w:val="AmJustText"/>
      </w:pPr>
      <w:r>
        <w:t>Shēmas mērķis ir atbalstīt pamatprogrammas “Apvārsnis” finansēto projektu rezultātu valorizāciju, nodrošinot vienkāršotu pieteikšanās procesu, kurā ņemti vērā novērtējumi, kas jau ir veikti pirms pamatprogrammas “Apvārsnis” līdzekļu piešķiršanas.</w:t>
      </w:r>
      <w:r>
        <w:t xml:space="preserve"> </w:t>
      </w:r>
      <w:r>
        <w:t>Lai projektus varētu viegli pārorientēt no pamatprogrammas “Apvārsnis” finansējuma uz EKF finansējumu, ņemot vērā pašreizējās problēmas, kas saistītas ar inovācijas ieviešanu tirgū Eiropā, shēmai būtu jāturpina darboties, nevis jābalstās uz uzaicinājumiem iesniegt priekšlikumus, vienlaikus joprojām saglabājot saskaņotību ar EKF mērķiem.</w:t>
      </w:r>
    </w:p>
    <w:p>
      <w:r>
        <w:rPr>
          <w:rStyle w:val="HideTWBExt"/>
        </w:rPr>
        <w:t>&lt;/Amend&gt;</w:t>
      </w:r>
    </w:p>
    <w:p>
      <w:pPr>
        <w:pStyle w:val="AmNumberTabs"/>
      </w:pPr>
      <w:r>
        <w:rPr>
          <w:rStyle w:val="HideTWBExt"/>
        </w:rPr>
        <w:t>&lt;Amend&gt;</w:t>
      </w:r>
      <w:r>
        <w:t>Grozījums Nr.</w:t>
      </w:r>
      <w:r>
        <w:tab/>
      </w:r>
      <w:r>
        <w:tab/>
      </w:r>
      <w:r>
        <w:rPr>
          <w:rStyle w:val="HideTWBExt"/>
        </w:rPr>
        <w:t>&lt;NumAm&gt;</w:t>
      </w:r>
      <w:r>
        <w:t>2017</w:t>
      </w:r>
      <w:r>
        <w:rPr>
          <w:rStyle w:val="HideTWBExt"/>
        </w:rPr>
        <w:t>&lt;/NumAm&gt;</w:t>
      </w:r>
    </w:p>
    <w:p>
      <w:pPr>
        <w:pStyle w:val="NormalBold"/>
      </w:pPr>
      <w:r>
        <w:rPr>
          <w:rStyle w:val="HideTWBExt"/>
          <w:b w:val="0"/>
        </w:rPr>
        <w:t>&lt;RepeatBlock-By&gt;</w:t>
      </w:r>
      <w:r>
        <w:rPr>
          <w:rStyle w:val="HideTWBExt"/>
          <w:b w:val="0"/>
        </w:rPr>
        <w:t>&lt;Members&gt;</w:t>
      </w:r>
      <w:r>
        <w:t>Christian Ehler, Oliver Schenk, Matej Tonin, Adina Vălean, Pilar del Castillo Vera, Hildegard Bentele, Angelika Niebler, Eszter Lakos, Wouter Beke, Radan Kanev, Susana Solís Pérez, Virgil-Daniel Popescu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Regulas priekšlikums</w:t>
      </w:r>
      <w:r>
        <w:rPr>
          <w:rStyle w:val="HideTWBExt"/>
        </w:rPr>
        <w:t>&lt;/DocAmend&gt;</w:t>
      </w:r>
    </w:p>
    <w:p>
      <w:pPr>
        <w:pStyle w:val="NormalBold"/>
      </w:pPr>
      <w:r>
        <w:rPr>
          <w:rStyle w:val="HideTWBExt"/>
        </w:rPr>
        <w:t>&lt;Article&gt;</w:t>
      </w:r>
      <w:r>
        <w:t>14.a pants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Komisijas ierosinātais teksts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14.a pants</w:t>
            </w:r>
            <w:r>
              <w:tab/>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[14.d “Apvārsnis Eiropa” ceļa darbības]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Attiecīgā gadījumā tiek sasauktas EKF programmu komiteju un [atsauce uz programmas “Apvārsnis Eiropa” komiteju] kopīgas sanāksmes, lai nodrošinātu saskaņotību ar Eiropas prioritātēm.</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Pamatojums</w:t>
      </w:r>
      <w:r>
        <w:rPr>
          <w:rStyle w:val="HideTWBExt"/>
        </w:rPr>
        <w:t>&lt;/TitreJust&gt;</w:t>
      </w:r>
    </w:p>
    <w:p>
      <w:pPr>
        <w:pStyle w:val="AmJustText"/>
      </w:pPr>
      <w:r>
        <w:t>14.d pantam tiek pievienots jauns punkts, kas iekļauts ziņojuma projektā.</w:t>
      </w:r>
    </w:p>
    <w:p>
      <w:r>
        <w:rPr>
          <w:rStyle w:val="HideTWBExt"/>
        </w:rPr>
        <w:t>&lt;/Amend&gt;</w:t>
      </w:r>
    </w:p>
    <w:p>
      <w:pPr>
        <w:pStyle w:val="AmNumberTabs"/>
      </w:pPr>
      <w:r>
        <w:rPr>
          <w:rStyle w:val="HideTWBExt"/>
        </w:rPr>
        <w:t>&lt;Amend&gt;</w:t>
      </w:r>
      <w:r>
        <w:t>Grozījums Nr.</w:t>
      </w:r>
      <w:r>
        <w:tab/>
      </w:r>
      <w:r>
        <w:tab/>
      </w:r>
      <w:r>
        <w:rPr>
          <w:rStyle w:val="HideTWBExt"/>
        </w:rPr>
        <w:t>&lt;NumAm&gt;</w:t>
      </w:r>
      <w:r>
        <w:t>2018</w:t>
      </w:r>
      <w:r>
        <w:rPr>
          <w:rStyle w:val="HideTWBExt"/>
        </w:rPr>
        <w:t>&lt;/NumAm&gt;</w:t>
      </w:r>
    </w:p>
    <w:p>
      <w:pPr>
        <w:pStyle w:val="NormalBold"/>
      </w:pPr>
      <w:r>
        <w:rPr>
          <w:rStyle w:val="HideTWBExt"/>
          <w:b w:val="0"/>
        </w:rPr>
        <w:t>&lt;RepeatBlock-By&gt;</w:t>
      </w:r>
      <w:r>
        <w:rPr>
          <w:rStyle w:val="HideTWBExt"/>
          <w:b w:val="0"/>
        </w:rPr>
        <w:t>&lt;Members&gt;</w:t>
      </w:r>
      <w:r>
        <w:t>Aura Salla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Regulas priekšlikums</w:t>
      </w:r>
      <w:r>
        <w:rPr>
          <w:rStyle w:val="HideTWBExt"/>
        </w:rPr>
        <w:t>&lt;/DocAmend&gt;</w:t>
      </w:r>
    </w:p>
    <w:p>
      <w:pPr>
        <w:pStyle w:val="NormalBold"/>
      </w:pPr>
      <w:r>
        <w:rPr>
          <w:rStyle w:val="HideTWBExt"/>
        </w:rPr>
        <w:t>&lt;Article&gt;</w:t>
      </w:r>
      <w:r>
        <w:t>14.a pants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Komisijas ierosinātais teksts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14.a pants</w:t>
            </w:r>
            <w:r>
              <w:tab/>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[14.d “Apvārsnis Eiropa” ceļa darbības]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Attiecīgā gadījumā tiek sasauktas EKF programmu komiteju un [atsauce uz programmas “Apvārsnis Eiropa” komiteju] kopīgas sanāksmes, lai nodrošinātu saskaņotību ar Eiropas prioritātēm.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2019</w:t>
      </w:r>
      <w:r>
        <w:rPr>
          <w:rStyle w:val="HideTWBExt"/>
        </w:rPr>
        <w:t>&lt;/NumAm&gt;</w:t>
      </w:r>
    </w:p>
    <w:p>
      <w:pPr>
        <w:pStyle w:val="NormalBold"/>
      </w:pPr>
      <w:r>
        <w:rPr>
          <w:rStyle w:val="HideTWBExt"/>
          <w:b w:val="0"/>
        </w:rPr>
        <w:t>&lt;RepeatBlock-By&gt;</w:t>
      </w:r>
      <w:r>
        <w:rPr>
          <w:rStyle w:val="HideTWBExt"/>
          <w:b w:val="0"/>
        </w:rPr>
        <w:t>&lt;Members&gt;</w:t>
      </w:r>
      <w:r>
        <w:t>Yvan Verougstraete, Stine Bosse, Christophe Grudler, Oihane Agirregoitia Martínez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Regulas priekšlikums</w:t>
      </w:r>
      <w:r>
        <w:rPr>
          <w:rStyle w:val="HideTWBExt"/>
        </w:rPr>
        <w:t>&lt;/DocAmend&gt;</w:t>
      </w:r>
    </w:p>
    <w:p>
      <w:pPr>
        <w:pStyle w:val="NormalBold"/>
      </w:pPr>
      <w:r>
        <w:rPr>
          <w:rStyle w:val="HideTWBExt"/>
        </w:rPr>
        <w:t>&lt;Article&gt;</w:t>
      </w:r>
      <w:r>
        <w:t>14.b pants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Komisijas ierosinātais teksts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14.b pants</w:t>
            </w:r>
            <w:r>
              <w:tab/>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EKF InvestEU instrumenta pārvaldība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 xml:space="preserve"> </w:t>
            </w:r>
            <w:r>
              <w:rPr>
                <w:b/>
                <w:i/>
              </w:rPr>
              <w:t>EKF InvestEU instrumenta ietvaros izveido pilnīgi neatkarīgu Investīciju komiteju (“Investīciju komiteja”).</w:t>
            </w:r>
            <w:r>
              <w:t xml:space="preserve"> </w:t>
            </w:r>
            <w:r>
              <w:rPr>
                <w:b/>
                <w:i/>
              </w:rPr>
              <w:t>Investīciju komiteja: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izskata priekšlikumus par finansēšanas un investīciju darbībām, ko iesnieguši īstenošanas partneri segumam saskaņā ar Savienības garantiju;</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pārbauda a) apakšpunktā minēto priekšlikumu atbilstību piemērojamajiem noteikumiem un 21. panta 5. punktā minētajām investīciju pamatnostādnēm un apstiprina vai noraida tos.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w:t>
            </w:r>
            <w:r>
              <w:t xml:space="preserve"> </w:t>
            </w:r>
            <w:r>
              <w:rPr>
                <w:b/>
                <w:i/>
              </w:rPr>
              <w:t>Komisija atlasa Investīciju komitejas locekļus un ieceļ tos uz termiņu, kas nepārsniedz četrus gadus un ko var pagarināt vienu reizi.</w:t>
            </w:r>
            <w:r>
              <w:t xml:space="preserve"> </w:t>
            </w:r>
            <w:r>
              <w:rPr>
                <w:b/>
                <w:i/>
              </w:rPr>
              <w:t>Atlīdzību viņiem nodrošina Savienība.</w:t>
            </w:r>
            <w:r>
              <w:t xml:space="preserve"> </w:t>
            </w:r>
            <w:r>
              <w:rPr>
                <w:b/>
                <w:i/>
              </w:rPr>
              <w:t>Investīciju komitejas locekļiem ir attiecīga augsta līmeņa tirgus pieredze projektu strukturēšanā un finansēšanā vai MVU vai korporāciju finansēšanā.</w:t>
            </w:r>
            <w:r>
              <w:t xml:space="preserve"> </w:t>
            </w:r>
            <w:r>
              <w:rPr>
                <w:b/>
                <w:i/>
              </w:rPr>
              <w:t>Investīciju komitejas sastāvs nodrošina, ka tai ir plašas zināšanas par nozarēm, uz kurām attiecas EKF, un plašas zināšanas par ģeogrāfiskajiem tirgiem Savienībā, un nodrošina, ka Investīciju komitejā kopumā ir ievērots dzimumu līdzsvars.</w:t>
            </w:r>
            <w:r>
              <w:t xml:space="preserve"> </w:t>
            </w:r>
            <w:r>
              <w:rPr>
                <w:b/>
                <w:i/>
              </w:rPr>
              <w:t>Atlase ir pārredzama un objektīvi pamatota.</w:t>
            </w:r>
            <w:r>
              <w:t xml:space="preserve"> </w:t>
            </w:r>
            <w:r>
              <w:rPr>
                <w:b/>
                <w:i/>
              </w:rPr>
              <w:t>Investīciju komiteja no savu locekļu vidus ievēlē priekšsēdētāju.</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w:t>
            </w:r>
            <w:r>
              <w:t xml:space="preserve"> </w:t>
            </w:r>
            <w:r>
              <w:rPr>
                <w:b/>
                <w:i/>
              </w:rPr>
              <w:t>Investīciju komitejas locekļi savus pienākumus pilda objektīvi un tikai Eiropas Konkurētspējas fonda interesēs.</w:t>
            </w:r>
            <w:r>
              <w:t xml:space="preserve"> </w:t>
            </w:r>
            <w:r>
              <w:rPr>
                <w:b/>
                <w:i/>
              </w:rPr>
              <w:t>Viņi neprasa un nepieņem norādījumus no īstenošanas partneriem, Savienības iestādēm, dalībvalstīm vai jebkādām citām publiskām vai privātām struktūrām.</w:t>
            </w:r>
            <w:r>
              <w:t xml:space="preserve"> </w:t>
            </w:r>
            <w:r>
              <w:rPr>
                <w:b/>
                <w:i/>
              </w:rPr>
              <w:t>Visu Investīciju komitejas locekļu curricula vitae un interešu deklarācijas tiek publiskotas un atjauninātas.</w:t>
            </w:r>
            <w:r>
              <w:t xml:space="preserve"> </w:t>
            </w:r>
            <w:r>
              <w:rPr>
                <w:b/>
                <w:i/>
              </w:rPr>
              <w:t>Katrs Investīciju komitejas loceklis nevilcinoties sniedz Komisijai visu informāciju un dokumentāciju, kas vajadzīga, lai pastāvīgi apstiprinātu, ka nav izveidojies interešu konflikts.</w:t>
            </w:r>
            <w:r>
              <w:t xml:space="preserve"> </w:t>
            </w:r>
            <w:r>
              <w:rPr>
                <w:b/>
                <w:i/>
              </w:rPr>
              <w:t>Komisija var atbrīvot locekli no viņa vai viņas pienākumu pildīšanas, ja viņš vai viņa neievēro šajā punktā noteiktās prasības vai citu attiecīgi pamatotu iemeslu dēļ.</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w:t>
            </w:r>
            <w:r>
              <w:t xml:space="preserve"> </w:t>
            </w:r>
            <w:r>
              <w:rPr>
                <w:b/>
                <w:i/>
              </w:rPr>
              <w:t>Investīciju komiteja 1. punkta b) apakšpunktā minētos lēmumus pieņem ar visu locekļu vienkāršu balsu vairākumu.</w:t>
            </w:r>
            <w:r>
              <w:t xml:space="preserve"> </w:t>
            </w:r>
            <w:r>
              <w:rPr>
                <w:b/>
                <w:i/>
              </w:rPr>
              <w:t>Neizšķirta balsojuma gadījumā izšķirošā balss ir Investīciju komitejas priekšsēdētājam.</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w:t>
            </w:r>
            <w:r>
              <w:t xml:space="preserve"> </w:t>
            </w:r>
            <w:r>
              <w:rPr>
                <w:b/>
                <w:i/>
              </w:rPr>
              <w:t>Investīciju komitejas lēmumi, ar kuriem apstiprina ES garantijas segumu finansēšanas vai investīciju darbībai, ir publiski pieejami un ietver apstiprināšanas pamatojumu un informāciju par darbību, jo īpaši tās aprakstu, darbības virzītāju un finanšu starpnieku identitāti un darbības mērķus.</w:t>
            </w:r>
            <w:r>
              <w:t xml:space="preserve"> </w:t>
            </w:r>
            <w:r>
              <w:rPr>
                <w:b/>
                <w:i/>
              </w:rPr>
              <w:t>Informācijā, ko dara publiski pieejamu saskaņā ar pirmo daļu, neiekļauj sensitīvu komercinformāciju vai personas datus, kas nav atklājami saskaņā ar Savienības datu aizsardzības noteikumiem.</w:t>
            </w:r>
            <w:r>
              <w:t xml:space="preserve"> </w:t>
            </w:r>
            <w:r>
              <w:rPr>
                <w:b/>
                <w:i/>
              </w:rPr>
              <w:t>Sensitīvu komercinformāciju saturošas Investīciju komitejas secinājumu daļas Komisija nosūta Eiropas Parlamentam un Padomei pēc pieprasījuma, ievērojot stingras konfidencialitātes prasības.</w:t>
            </w:r>
            <w:r>
              <w:t xml:space="preserve"> </w:t>
            </w:r>
            <w:r>
              <w:rPr>
                <w:b/>
                <w:i/>
              </w:rPr>
              <w:t>Divreiz gadā Investīciju komiteja iesniedz Eiropas Parlamentam un Padomei sarakstu ar Investīciju komitejas lēmumiem noraidīt ES garantijas izmantošanu, kas saskaņā ar 1. punkta b) apakšpunktu pieņemti iepriekšējos sešos mēnešos.</w:t>
            </w:r>
            <w:r>
              <w:t xml:space="preserve"> </w:t>
            </w:r>
            <w:r>
              <w:rPr>
                <w:b/>
                <w:i/>
              </w:rPr>
              <w:t>Minēto informāciju iesniedz, ievērojot stingras konfidencialitātes prasības.</w:t>
            </w:r>
            <w:r>
              <w:t xml:space="preserve"> </w:t>
            </w:r>
            <w:r>
              <w:rPr>
                <w:b/>
                <w:i/>
              </w:rPr>
              <w:t>Saskaņā ar 1. punkta b) apakšpunktu pieņemtos Investīciju komitejas lēmumus savlaicīgi dara pieejamus attiecīgajam īstenošanas partnerim.</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w:t>
            </w:r>
            <w:r>
              <w:t xml:space="preserve"> </w:t>
            </w:r>
            <w:r>
              <w:rPr>
                <w:b/>
                <w:i/>
              </w:rPr>
              <w:t>Ja Investīciju komiteja tiek lūgta apstiprināt ES garantijas izmantošanu finansēšanas vai ieguldījumu darbībai, kas ir mehānisms, programma vai struktūra, kuru pamatā ir apakšprojekti, minētais apstiprinājums ietver pamatā esošos apakšprojektus, izņemot gadījumus, kad Investīciju komiteja nolemj paturēt tiesības apstiprināt tos atsevišķi.</w:t>
            </w:r>
            <w:r>
              <w:t xml:space="preserve"> </w:t>
            </w:r>
            <w:r>
              <w:rPr>
                <w:b/>
                <w:i/>
              </w:rPr>
              <w:t>Investīciju komitejai nav tiesību atsevišķi apstiprināt apakšprojektus, kuru apjoms ir mazāks par 3 000 000 EUR.</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w:t>
            </w:r>
            <w:r>
              <w:t xml:space="preserve"> </w:t>
            </w:r>
            <w:r>
              <w:rPr>
                <w:b/>
                <w:i/>
              </w:rPr>
              <w:t>EKF InvestEU instrumenta Konsultatīvajā padomē ir divi EIB grupas pārstāvji, pa vienam katra cita īstenošanas partnera pārstāvim un pa vienam pārstāvim no katras dalībvalsts.</w:t>
            </w:r>
            <w:r>
              <w:t xml:space="preserve"> </w:t>
            </w:r>
            <w:r>
              <w:rPr>
                <w:b/>
                <w:i/>
              </w:rPr>
              <w:t>EKF InvestEU instrumenta Konsultatīvā padome sniedz konsultācijas par finanšu produktu izstrādi un stratēģisko un operatīvo virzību savā kompetences jomā.</w:t>
            </w:r>
            <w:r>
              <w:t xml:space="preserve"> </w:t>
            </w:r>
            <w:r>
              <w:rPr>
                <w:b/>
                <w:i/>
              </w:rPr>
              <w:t>Tā arī sniedz konsultācijas par koordināciju ar EIP, lai nodrošinātu papildināmību ar citu Savienības finansējumu vai privātām investīcijām.</w:t>
            </w:r>
            <w:r>
              <w:t xml:space="preserve"> </w:t>
            </w:r>
            <w:r>
              <w:rPr>
                <w:b/>
                <w:i/>
              </w:rPr>
              <w:t>Konsultatīvās padomes priekšsēdētājs ir Komisijas pārstāvis.</w:t>
            </w:r>
            <w:r>
              <w:t xml:space="preserve"> </w:t>
            </w:r>
            <w:r>
              <w:rPr>
                <w:b/>
                <w:i/>
              </w:rPr>
              <w:t>Viens no EIB grupas pārstāvjiem ir priekšsēdētāja vietnieks.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w:t>
            </w:r>
            <w:r>
              <w:t xml:space="preserve"> </w:t>
            </w:r>
            <w:r>
              <w:rPr>
                <w:b/>
                <w:i/>
              </w:rPr>
              <w:t>Komisija nosaka sīki izstrādātus noteikumus par Investīciju komitejas un EKF InvestEU instrumenta Konsultatīvās padomes locekļu atlasi un sastāvu, atalgojumu, reglamentu, interešu konfliktiem un konfidencialitāti.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w:t>
            </w:r>
            <w:r>
              <w:t xml:space="preserve"> </w:t>
            </w:r>
            <w:r>
              <w:rPr>
                <w:b/>
                <w:i/>
              </w:rPr>
              <w:t>Komisija un īstenošanas partneri izveido regulārus politikas pārskatīšanas dialogus, lai apspriestu progresu finanšu produktu īstenošanā un iesaistītos attiecīgajās politikas norisēs.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2020</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Regulas priekšlikums</w:t>
      </w:r>
      <w:r>
        <w:rPr>
          <w:rStyle w:val="HideTWBExt"/>
        </w:rPr>
        <w:t>&lt;/DocAmend&gt;</w:t>
      </w:r>
    </w:p>
    <w:p>
      <w:pPr>
        <w:pStyle w:val="NormalBold"/>
      </w:pPr>
      <w:r>
        <w:rPr>
          <w:rStyle w:val="HideTWBExt"/>
        </w:rPr>
        <w:t>&lt;Article&gt;</w:t>
      </w:r>
      <w:r>
        <w:t>14.b pants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Komisijas ierosinātais teksts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14.b pants</w:t>
            </w:r>
            <w:r>
              <w:tab/>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EKF InvestEU instrumenta Konsultatīvā padome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 xml:space="preserve"> </w:t>
            </w:r>
            <w:r>
              <w:rPr>
                <w:b/>
                <w:i/>
              </w:rPr>
              <w:t>Komisiju un Investīciju komiteju konsultē konsultatīva padome (“Konsultatīvā padome”).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w:t>
            </w:r>
            <w:r>
              <w:t xml:space="preserve"> </w:t>
            </w:r>
            <w:r>
              <w:rPr>
                <w:b/>
                <w:i/>
              </w:rPr>
              <w:t>Konsultatīvā padome cenšas nodrošināt dzimumu līdzsvaru, un tās sastāvā ir:</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viens katra īstenošanas partnera pārstāvis;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viens pārstāvis no katras dalībvalsts;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Eiropas Parlamenta pārstāvis, kas pilda novērotāja uzdevumu;</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viens Eiropas Ekonomikas un sociālo lietu komitejas pārstāvis;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 viens Reģionu komitejas pārstāvis;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 viens EIB pārstāvis.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w:t>
            </w:r>
            <w:r>
              <w:t xml:space="preserve"> </w:t>
            </w:r>
            <w:r>
              <w:rPr>
                <w:b/>
                <w:i/>
              </w:rPr>
              <w:t>Konsultatīvās padomes priekšsēdētājs ir Komisijas pārstāvis.</w:t>
            </w:r>
            <w:r>
              <w:t xml:space="preserve"> </w:t>
            </w:r>
            <w:r>
              <w:rPr>
                <w:b/>
                <w:i/>
              </w:rPr>
              <w:t>EIB grupas pārstāvis ir priekšsēdētāja vietnieks.</w:t>
            </w:r>
            <w:r>
              <w:t xml:space="preserve"> </w:t>
            </w:r>
            <w:r>
              <w:rPr>
                <w:b/>
                <w:i/>
              </w:rPr>
              <w:t>Konsultatīvā padome tiekas regulāri, vismaz divas reizes gadā pēc priekšsēdētāja pieprasījuma.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w:t>
            </w:r>
            <w:r>
              <w:t xml:space="preserve"> </w:t>
            </w:r>
            <w:r>
              <w:rPr>
                <w:b/>
                <w:i/>
              </w:rPr>
              <w:t>Konsultatīvā padome: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sniedz konsultācijas Komisijai un Investīciju komitejai par to finanšu produktu izstrādi, kas jāievieš saskaņā ar šo regulu, lai nodrošinātu finanšu efektivitāti;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sniedz konsultācijas Komisijai un Investīciju komitejai par tirgus norisēm, tirgus apstākļiem, tirgus nepilnībām un neoptimālām investīciju situācijām;</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apmainās viedokļiem par tirgus norisēm un dalās paraugpraksē;</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sniedz padomus par koordināciju ar EIP, lai nodrošinātu papildināmību ar citu Savienības finansējumu vai privātām investīcijām, īpašu uzmanību pievēršot inovatīviem jaunuzņēmumiem un inovatīviem augošiem uzņēmumiem;</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 sniedz padomus par konkrētu finanšu produktu izstrādi, kā izklāstīts [21.a pantā (jauns)].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w:t>
            </w:r>
            <w:r>
              <w:t xml:space="preserve"> </w:t>
            </w:r>
            <w:r>
              <w:rPr>
                <w:b/>
                <w:i/>
              </w:rPr>
              <w:t>Konsultatīvās padomes sanāksmju detalizētos protokolus publisko pēc iespējas ātri pēc tam, kad konsultatīvā padome tos ir apstiprinājusi.</w:t>
            </w:r>
            <w:r>
              <w:t xml:space="preserve"> </w:t>
            </w:r>
            <w:r>
              <w:rPr>
                <w:b/>
                <w:i/>
              </w:rPr>
              <w:t>Komisija ievieš Konsultatīvās padomes darbības noteikumus un procedūras un vada Konsultatīvās padomes sekretariātu.</w:t>
            </w:r>
            <w:r>
              <w:t xml:space="preserve"> </w:t>
            </w:r>
            <w:r>
              <w:rPr>
                <w:b/>
                <w:i/>
              </w:rPr>
              <w:t>Konsultatīvajai padomei dara pieejamus visus attiecīgos dokumentus un informāciju, lai tā varētu veikt savus uzdevumus.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2021</w:t>
      </w:r>
      <w:r>
        <w:rPr>
          <w:rStyle w:val="HideTWBExt"/>
        </w:rPr>
        <w:t>&lt;/NumAm&gt;</w:t>
      </w:r>
    </w:p>
    <w:p>
      <w:pPr>
        <w:pStyle w:val="NormalBold"/>
      </w:pPr>
      <w:r>
        <w:rPr>
          <w:rStyle w:val="HideTWBExt"/>
          <w:b w:val="0"/>
        </w:rPr>
        <w:t>&lt;RepeatBlock-By&gt;</w:t>
      </w:r>
      <w:r>
        <w:rPr>
          <w:rStyle w:val="HideTWBExt"/>
          <w:b w:val="0"/>
        </w:rPr>
        <w:t>&lt;Members&gt;</w:t>
      </w:r>
      <w:r>
        <w:t>Christian Ehler, Oliver Schenk, Matej Tonin, Adina Vălean, Pilar del Castillo Vera, Hildegard Bentele, Angelika Niebler, Eszter Lakos, Radan Kanev, Susana Solís Pérez, Virgil-Daniel Popescu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Regulas priekšlikums</w:t>
      </w:r>
      <w:r>
        <w:rPr>
          <w:rStyle w:val="HideTWBExt"/>
        </w:rPr>
        <w:t>&lt;/DocAmend&gt;</w:t>
      </w:r>
    </w:p>
    <w:p>
      <w:pPr>
        <w:pStyle w:val="NormalBold"/>
      </w:pPr>
      <w:r>
        <w:rPr>
          <w:rStyle w:val="HideTWBExt"/>
        </w:rPr>
        <w:t>&lt;Article&gt;</w:t>
      </w:r>
      <w:r>
        <w:t>14.b pants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Komisijas ierosinātais teksts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14.b pants</w:t>
            </w:r>
            <w:r>
              <w:tab/>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Snieguma satvara regulas īstenošana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 xml:space="preserve"> </w:t>
            </w:r>
            <w:r>
              <w:rPr>
                <w:b/>
                <w:i/>
              </w:rPr>
              <w:t>Atkāpjoties no [Snieguma satvara regula] 1. panta 2. punkta, Regulas (ES, Euratom) 2024/2509 33. panta 2. punkta attiecīgi d) un f) apakšpunktā minēto principu “nenodari būtisku kaitējumu” un dzimumu līdztiesības principa, kā arī citu horizontālo principu piemērošanu nosaka šajā pantā, lai nodrošinātu, ka tas ir iespējams un atbilst šīs programmas mērķiem.</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w:t>
            </w:r>
            <w:r>
              <w:t xml:space="preserve"> </w:t>
            </w:r>
            <w:r>
              <w:rPr>
                <w:b/>
                <w:i/>
              </w:rPr>
              <w:t>Kā ieguldījumu [Snieguma satvara regula] 4. panta 2. punktā noteiktā vispārējā izdevumu mērķa sasniegšanā šīs programmas mērķis ir klimata politikas un vides mērķiem tērēt 15 % no tās budžeta, izņemot aizsardzības un drošības īstenošanai izmantotā budžeta (tostarp civilo projektu divējāda lietojuma daļas).</w:t>
            </w:r>
            <w:r>
              <w:t xml:space="preserve"> </w:t>
            </w:r>
            <w:r>
              <w:rPr>
                <w:b/>
                <w:i/>
              </w:rPr>
              <w:t>Uzskata, ka katra darbība, kas palīdz sasniegt 3. panta 2. punkta a) apakšpunktā noteikto mērķi, 100 % apmērā sekmē klimata politikas un vides mērķu sasniegšanu.</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w:t>
            </w:r>
            <w:r>
              <w:t xml:space="preserve"> </w:t>
            </w:r>
            <w:r>
              <w:rPr>
                <w:b/>
                <w:i/>
              </w:rPr>
              <w:t>Uzskata, ka visas šīs programmas finansētās darbības atbilst principam "nenodarīt būtisku kaitējumu".</w:t>
            </w:r>
            <w:r>
              <w:t xml:space="preserve"> </w:t>
            </w:r>
            <w:r>
              <w:rPr>
                <w:b/>
                <w:i/>
              </w:rPr>
              <w:t>Pieteikuma iesniedzējiem nav jāpierāda atbilstība šim principam nevienā pieteikuma vai finansēšanas procedūras posmā.</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w:t>
            </w:r>
            <w:r>
              <w:t xml:space="preserve"> </w:t>
            </w:r>
            <w:r>
              <w:rPr>
                <w:b/>
                <w:i/>
              </w:rPr>
              <w:t>Ņemot vērā to subjektu specifiku, kuri var saņemt finansējumu saskaņā ar šo programmu, darbības saskaņā ar šo programmu uzskata par atbilstīgām Regulas (ES, Euratom) 2024/2509 33. panta 2. punkta 3. apakšpunktā noteiktajām prasībām.</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w:t>
            </w:r>
            <w:r>
              <w:t xml:space="preserve"> </w:t>
            </w:r>
            <w:r>
              <w:rPr>
                <w:b/>
                <w:i/>
              </w:rPr>
              <w:t>Uzskata, ka visas šīs programmas finansētās darbības atbilst dzimumu līdztiesības principam.</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w:t>
            </w:r>
            <w:r>
              <w:t xml:space="preserve"> </w:t>
            </w:r>
            <w:r>
              <w:rPr>
                <w:b/>
                <w:i/>
              </w:rPr>
              <w:t>Piemērojot Regulas [XXXX/XXXX] 6. panta 2. punktu, piemērojamo tiesību aktu un piemērojamo koplīgumu ievērošanu uzskata par darbības īstenošanu attiecībā uz darba un nodarbinātības apstākļiem.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2022</w:t>
      </w:r>
      <w:r>
        <w:rPr>
          <w:rStyle w:val="HideTWBExt"/>
        </w:rPr>
        <w:t>&lt;/NumAm&gt;</w:t>
      </w:r>
    </w:p>
    <w:p>
      <w:pPr>
        <w:pStyle w:val="NormalBold"/>
      </w:pPr>
      <w:r>
        <w:rPr>
          <w:rStyle w:val="HideTWBExt"/>
          <w:b w:val="0"/>
        </w:rPr>
        <w:t>&lt;RepeatBlock-By&gt;</w:t>
      </w:r>
      <w:r>
        <w:rPr>
          <w:rStyle w:val="HideTWBExt"/>
          <w:b w:val="0"/>
        </w:rPr>
        <w:t>&lt;Members&gt;</w:t>
      </w:r>
      <w:r>
        <w:t>Aura Salla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Regulas priekšlikums</w:t>
      </w:r>
      <w:r>
        <w:rPr>
          <w:rStyle w:val="HideTWBExt"/>
        </w:rPr>
        <w:t>&lt;/DocAmend&gt;</w:t>
      </w:r>
    </w:p>
    <w:p>
      <w:pPr>
        <w:pStyle w:val="NormalBold"/>
      </w:pPr>
      <w:r>
        <w:rPr>
          <w:rStyle w:val="HideTWBExt"/>
        </w:rPr>
        <w:t>&lt;Article&gt;</w:t>
      </w:r>
      <w:r>
        <w:t>14.b pants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Komisijas ierosinātais teksts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14.b pants</w:t>
            </w:r>
            <w:r>
              <w:tab/>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Snieguma satvara regulas īstenošana 1.</w:t>
            </w:r>
            <w:r>
              <w:t xml:space="preserve"> </w:t>
            </w:r>
            <w:r>
              <w:rPr>
                <w:b/>
                <w:i/>
              </w:rPr>
              <w:t>Atkāpjoties no [Snieguma satvara regula] 1. panta 2. punkta, Regulas (ES, Euratom) 2024/2509 33. panta 2. punkta attiecīgi d) un f) apakšpunktā minēto principu “nenodari būtisku kaitējumu” un dzimumu līdztiesības principa, kā arī citu horizontālo principu piemērošanu nosaka šajā pantā, lai nodrošinātu, ka tas ir iespējams un atbilst šīs programmas mērķiem.</w:t>
            </w:r>
            <w:r>
              <w:t xml:space="preserve"> </w:t>
            </w:r>
            <w:r>
              <w:rPr>
                <w:b/>
                <w:i/>
              </w:rPr>
              <w:t>2.</w:t>
            </w:r>
            <w:r>
              <w:t xml:space="preserve"> </w:t>
            </w:r>
            <w:r>
              <w:rPr>
                <w:b/>
                <w:i/>
              </w:rPr>
              <w:t>Kā ieguldījumu [Snieguma satvara regula] 4. panta 2. punktā noteiktā vispārējā izdevumu mērķa sasniegšanā šīs programmas mērķis ir klimata politikas un vides mērķiem tērēt 15 % no tās budžeta, izņemot aizsardzības un drošības īstenošanai izmantotā budžeta (tostarp civilo projektu divējāda lietojuma daļas).</w:t>
            </w:r>
            <w:r>
              <w:t xml:space="preserve"> </w:t>
            </w:r>
            <w:r>
              <w:rPr>
                <w:b/>
                <w:i/>
              </w:rPr>
              <w:t>Uzskata, ka katra darbība, kas palīdz sasniegt 3. panta 2. punkta a) apakšpunktā noteikto mērķi, 100 % apmērā sekmē klimata politikas un vides mērķu sasniegšanu.</w:t>
            </w:r>
            <w:r>
              <w:t xml:space="preserve"> </w:t>
            </w:r>
            <w:r>
              <w:rPr>
                <w:b/>
                <w:i/>
              </w:rPr>
              <w:t>Uzskata, ka visas šīs programmas finansētās darbības atbilst principam "nenodarīt būtisku kaitējumu".</w:t>
            </w:r>
            <w:r>
              <w:t xml:space="preserve"> </w:t>
            </w:r>
            <w:r>
              <w:rPr>
                <w:b/>
                <w:i/>
              </w:rPr>
              <w:t>Pieteikuma iesniedzējiem nav jāpierāda atbilstība šim principam nevienā pieteikuma vai finansēšanas procedūras posmā.</w:t>
            </w:r>
            <w:r>
              <w:t xml:space="preserve"> </w:t>
            </w:r>
            <w:r>
              <w:rPr>
                <w:b/>
                <w:i/>
              </w:rPr>
              <w:t>4.</w:t>
            </w:r>
            <w:r>
              <w:t xml:space="preserve"> </w:t>
            </w:r>
            <w:r>
              <w:rPr>
                <w:b/>
                <w:i/>
              </w:rPr>
              <w:t>Ņemot vērā to subjektu specifiku, kuri var saņemt finansējumu saskaņā ar šo programmu, darbības saskaņā ar šo programmu uzskata par atbilstīgām Regulas (ES, Euratom) 2024/2509 33. panta 2. punkta 3. apakšpunktā noteiktajām prasībām.</w:t>
            </w:r>
            <w:r>
              <w:t xml:space="preserve"> </w:t>
            </w:r>
            <w:r>
              <w:rPr>
                <w:b/>
                <w:i/>
              </w:rPr>
              <w:t>5.</w:t>
            </w:r>
            <w:r>
              <w:t xml:space="preserve"> </w:t>
            </w:r>
            <w:r>
              <w:rPr>
                <w:b/>
                <w:i/>
              </w:rPr>
              <w:t>Uzskata, ka visas šīs programmas finansētās darbības atbilst dzimumu līdztiesības principam.</w:t>
            </w:r>
            <w:r>
              <w:t xml:space="preserve"> </w:t>
            </w:r>
            <w:r>
              <w:rPr>
                <w:b/>
                <w:i/>
              </w:rPr>
              <w:t>6.</w:t>
            </w:r>
            <w:r>
              <w:t xml:space="preserve"> </w:t>
            </w:r>
            <w:r>
              <w:rPr>
                <w:b/>
                <w:i/>
              </w:rPr>
              <w:t>Piemērojot Regulas [XXXX/XXXX] 6. panta 2. punktu, piemērojamo tiesību aktu un piemērojamo koplīgumu ievērošanu uzskata par darbības īstenošanu attiecībā uz darba un nodarbinātības apstākļiem.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2023</w:t>
      </w:r>
      <w:r>
        <w:rPr>
          <w:rStyle w:val="HideTWBExt"/>
        </w:rPr>
        <w:t>&lt;/NumAm&gt;</w:t>
      </w:r>
    </w:p>
    <w:p>
      <w:pPr>
        <w:pStyle w:val="NormalBold"/>
      </w:pPr>
      <w:r>
        <w:rPr>
          <w:rStyle w:val="HideTWBExt"/>
          <w:b w:val="0"/>
        </w:rPr>
        <w:t>&lt;RepeatBlock-By&gt;</w:t>
      </w:r>
      <w:r>
        <w:rPr>
          <w:rStyle w:val="HideTWBExt"/>
          <w:b w:val="0"/>
        </w:rPr>
        <w:t>&lt;Members&gt;</w:t>
      </w:r>
      <w:r>
        <w:t>Borys Budka, Danuše Nerudová, Davor Ivo Stier, Nikolina Brnjac, Eszter Lakos, Karlo Ressler, Miriam Lexmann, Adam Jarubas, Krzysztof Hetman, Kamila Gasiuk-Pihowicz, Mirosława Nykiel, Iuliu Winkler, Loránt Vincze, Andrzej Halicki, Virgil-Daniel Popescu, Inese Vaidere, Tomáš Zdechovský, Siegfried Mureşan, Ioan-Rareş Bogdan, Daniel Buda, Gheorghe Falcă, Adina Vălean, Romana Tomc, Jan Farský, Rasa Juknevičienė, Andrey Kovatchev, Andrey Novakov, Eva Maydell, Ilia Lazarov, Sandra Kalniete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Regulas priekšlikums</w:t>
      </w:r>
      <w:r>
        <w:rPr>
          <w:rStyle w:val="HideTWBExt"/>
        </w:rPr>
        <w:t>&lt;/DocAmend&gt;</w:t>
      </w:r>
    </w:p>
    <w:p>
      <w:pPr>
        <w:pStyle w:val="NormalBold"/>
      </w:pPr>
      <w:r>
        <w:rPr>
          <w:rStyle w:val="HideTWBExt"/>
        </w:rPr>
        <w:t>&lt;Article&gt;</w:t>
      </w:r>
      <w:r>
        <w:t>14.b pants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Komisijas ierosinātais teksts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14.b pants</w:t>
            </w:r>
            <w:r>
              <w:tab/>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Ieinteresēto personu grupa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 xml:space="preserve"> </w:t>
            </w:r>
            <w:r>
              <w:rPr>
                <w:b/>
                <w:i/>
              </w:rPr>
              <w:t>Tiek izveidota Ieinteresēto personu grupa.</w:t>
            </w:r>
            <w:r>
              <w:t xml:space="preserve"> </w:t>
            </w:r>
            <w:r>
              <w:rPr>
                <w:b/>
                <w:i/>
              </w:rPr>
              <w:t>2.</w:t>
            </w:r>
            <w:r>
              <w:t xml:space="preserve"> </w:t>
            </w:r>
            <w:r>
              <w:rPr>
                <w:b/>
                <w:i/>
              </w:rPr>
              <w:t>Ieinteresēto personu grupas uzdevums ir atbalstīt Komisiju, sagatavojot un izstrādājot uzaicinājumus iesniegt priekšlikumus saskaņā ar šo regulu.</w:t>
            </w:r>
            <w:r>
              <w:t xml:space="preserve"> </w:t>
            </w:r>
            <w:r>
              <w:rPr>
                <w:b/>
                <w:i/>
              </w:rPr>
              <w:t>Tā sniedz Komisijai nesaistošas konsultācijas uzaicinājuma sagatavošanas agrīnā posmā, lai nodrošinātu, ka finansēšanas nosacījumi, attiecināmības prasības, vērtēšanas kritēriji un administratīvās procedūras ir samērīgas, skaidras un saskaņotas ar tirgus reālo situāciju.</w:t>
            </w:r>
            <w:r>
              <w:t xml:space="preserve"> </w:t>
            </w:r>
            <w:r>
              <w:rPr>
                <w:b/>
                <w:i/>
              </w:rPr>
              <w:t>3.</w:t>
            </w:r>
            <w:r>
              <w:t xml:space="preserve"> </w:t>
            </w:r>
            <w:r>
              <w:rPr>
                <w:b/>
                <w:i/>
              </w:rPr>
              <w:t>Ieinteresēto personu grupā ir pārstāvji no attiecīgajām rūpniecības nozarēm, maziem un vidējiem uzņēmumiem, finanšu iestādēm, investoriem, pētniecības un tehnoloģiju organizācijām, sociālajiem partneriem, reģionālo un vietējo iestāžu pārstāvjiem un citiem attiecīgiem tirgus dalībniekiem, kas izraudzīti, pamatojoties uz zināšanām, ģeogrāfisko līdzsvaru un pārredzamību.</w:t>
            </w:r>
            <w:r>
              <w:t xml:space="preserve"> </w:t>
            </w:r>
            <w:r>
              <w:rPr>
                <w:b/>
                <w:i/>
              </w:rPr>
              <w:t>4.</w:t>
            </w:r>
            <w:r>
              <w:t xml:space="preserve"> </w:t>
            </w:r>
            <w:r>
              <w:rPr>
                <w:b/>
                <w:i/>
              </w:rPr>
              <w:t>Komisija nodrošina, ka apspriešanās ar ieinteresēto personu grupu veicina dalības vienkāršošanu, uzņēmumu iesaisti un saskaņā ar šo regulu atbalstīto darbību ietekmes un efektivitātes stiprināšanu.</w:t>
            </w:r>
            <w:r>
              <w:t xml:space="preserve"> </w:t>
            </w:r>
            <w:r>
              <w:rPr>
                <w:b/>
                <w:i/>
              </w:rPr>
              <w:t>5.</w:t>
            </w:r>
            <w:r>
              <w:t xml:space="preserve"> </w:t>
            </w:r>
            <w:r>
              <w:rPr>
                <w:b/>
                <w:i/>
              </w:rPr>
              <w:t>Ieinteresēto personu grupa var sanākt tematiskās apakškonfigurācijās, kas attiecas uz politikas logiem.</w:t>
            </w:r>
            <w:r>
              <w:t xml:space="preserve"> </w:t>
            </w:r>
            <w:r>
              <w:rPr>
                <w:b/>
                <w:i/>
              </w:rPr>
              <w:t>6.</w:t>
            </w:r>
            <w:r>
              <w:t xml:space="preserve"> </w:t>
            </w:r>
            <w:r>
              <w:rPr>
                <w:b/>
                <w:i/>
              </w:rPr>
              <w:t>Šīs regulas vajadzībām Eiropas Konkurētspējas pētniecības padome, kas izveidota ar pamatprogrammas “Apvārsnis Eiropa” regulu, tiek uzskatīta par ieinteresēto personu grupas apakškonfigurāciju.</w:t>
            </w:r>
            <w:r>
              <w:t xml:space="preserve"> </w:t>
            </w:r>
            <w:r>
              <w:rPr>
                <w:b/>
                <w:i/>
              </w:rPr>
              <w:t>Tā sniedz konsultācijas Komisijai par uzaicinājumiem iesniegt priekšlikumus, kas saistīti ar pamatprogrammas “Apvārsnis Eiropa” ceļa darbībām.</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Pamatojums</w:t>
      </w:r>
      <w:r>
        <w:rPr>
          <w:rStyle w:val="HideTWBExt"/>
        </w:rPr>
        <w:t>&lt;/TitreJust&gt;</w:t>
      </w:r>
    </w:p>
    <w:p>
      <w:pPr>
        <w:pStyle w:val="AmJustText"/>
      </w:pPr>
      <w:r>
        <w:t>Paplašināts Ehler-Nica ziņojuma grozījums.</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788.897</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114</w:t>
    </w:r>
    <w:r>
      <w:fldChar w:fldCharType="end"/>
    </w:r>
    <w:r>
      <w:t>/</w:t>
    </w:r>
    <w:r>
      <w:fldChar w:fldCharType="begin"/>
    </w:r>
    <w:r>
      <w:instrText xml:space="preserve"> NUMPAGES </w:instrText>
    </w:r>
    <w:r>
      <w:fldChar w:fldCharType="separate"/>
    </w:r>
    <w:r>
      <w:t>114</w:t>
    </w:r>
    <w:r>
      <w:fldChar w:fldCharType="end"/>
    </w:r>
    <w:r>
      <w:tab/>
    </w:r>
    <w:r>
      <w:rPr>
        <w:rStyle w:val="HideTWBExt"/>
      </w:rPr>
      <w:t>&lt;PathFdR&gt;</w:t>
    </w:r>
    <w:r>
      <w:t>AM\1344027LV.docx</w:t>
    </w:r>
    <w:r>
      <w:rPr>
        <w:rStyle w:val="HideTWBExt"/>
      </w:rPr>
      <w:t>&lt;/PathFdR&gt;</w:t>
    </w:r>
  </w:p>
  <w:p>
    <w:pPr>
      <w:pStyle w:val="EPFooter2"/>
    </w:pPr>
    <w:r>
      <w:t>LV</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AM\1344027LV.docx</w:t>
    </w:r>
    <w:r>
      <w:rPr>
        <w:rStyle w:val="HideTWBExt"/>
      </w:rPr>
      <w:t>&lt;/PathFdR&gt;</w:t>
    </w:r>
    <w:r>
      <w:tab/>
    </w:r>
    <w:r>
      <w:fldChar w:fldCharType="begin"/>
    </w:r>
    <w:r>
      <w:instrText xml:space="preserve"> PAGE </w:instrText>
    </w:r>
    <w:r>
      <w:fldChar w:fldCharType="separate"/>
    </w:r>
    <w:r>
      <w:t>113</w:t>
    </w:r>
    <w:r>
      <w:fldChar w:fldCharType="end"/>
    </w:r>
    <w:r>
      <w:t>/</w:t>
    </w:r>
    <w:r>
      <w:fldChar w:fldCharType="begin"/>
    </w:r>
    <w:r>
      <w:instrText xml:space="preserve"> NUMPAGES </w:instrText>
    </w:r>
    <w:r>
      <w:fldChar w:fldCharType="separate"/>
    </w:r>
    <w:r>
      <w:t>114</w:t>
    </w:r>
    <w:r>
      <w:fldChar w:fldCharType="end"/>
    </w:r>
    <w:r>
      <w:tab/>
    </w:r>
    <w:r>
      <w:t>PE</w:t>
    </w:r>
    <w:r>
      <w:rPr>
        <w:rStyle w:val="HideTWBExt"/>
      </w:rPr>
      <w:t>&lt;NoPE&gt;</w:t>
    </w:r>
    <w:r>
      <w:t>788.897</w:t>
    </w:r>
    <w:r>
      <w:rPr>
        <w:rStyle w:val="HideTWBExt"/>
      </w:rPr>
      <w:t>&lt;/NoPE&gt;</w:t>
    </w:r>
    <w:r>
      <w:rPr>
        <w:rStyle w:val="HideTWBExt"/>
      </w:rPr>
      <w:t>&lt;Version&gt;</w:t>
    </w:r>
    <w:r>
      <w:t>v01-00</w:t>
    </w:r>
    <w:r>
      <w:rPr>
        <w:rStyle w:val="HideTWBExt"/>
      </w:rPr>
      <w:t>&lt;/Version&gt;</w:t>
    </w:r>
  </w:p>
  <w:p>
    <w:pPr>
      <w:pStyle w:val="EPFooter2"/>
    </w:pPr>
    <w:r>
      <w:tab/>
    </w:r>
    <w:r>
      <w:tab/>
    </w:r>
    <w:r>
      <w:t>LV</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AM\1344027LV.docx</w:t>
    </w:r>
    <w:r>
      <w:rPr>
        <w:rStyle w:val="HideTWBExt"/>
      </w:rPr>
      <w:t>&lt;/PathFdR&gt;</w:t>
    </w:r>
    <w:r>
      <w:tab/>
    </w:r>
    <w:r>
      <w:tab/>
    </w:r>
    <w:r>
      <w:t>PE</w:t>
    </w:r>
    <w:r>
      <w:rPr>
        <w:rStyle w:val="HideTWBExt"/>
      </w:rPr>
      <w:t>&lt;NoPE&gt;</w:t>
    </w:r>
    <w:r>
      <w:t>788.897</w:t>
    </w:r>
    <w:r>
      <w:rPr>
        <w:rStyle w:val="HideTWBExt"/>
      </w:rPr>
      <w:t>&lt;/NoPE&gt;</w:t>
    </w:r>
    <w:r>
      <w:rPr>
        <w:rStyle w:val="HideTWBExt"/>
      </w:rPr>
      <w:t>&lt;Version&gt;</w:t>
    </w:r>
    <w:r>
      <w:t>v01-00</w:t>
    </w:r>
    <w:r>
      <w:rPr>
        <w:rStyle w:val="HideTWBExt"/>
      </w:rPr>
      <w:t>&lt;/Version&gt;</w:t>
    </w:r>
  </w:p>
  <w:p>
    <w:pPr>
      <w:pStyle w:val="EPFooter2"/>
    </w:pPr>
    <w:r>
      <w:t>LV</w:t>
    </w:r>
    <w:r>
      <w:tab/>
    </w:r>
    <w:r>
      <w:rPr>
        <w:rStyle w:val="EPFooter2Motto"/>
      </w:rPr>
      <w:t>Vienoti daudzveidībā</w:t>
    </w:r>
    <w:r>
      <w:tab/>
    </w:r>
    <w:r>
      <w:t>LV</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lv-LV"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114</Pages>
  <Words>22344</Words>
  <Characters>153864</Characters>
  <Application>Microsoft Office Word</Application>
  <DocSecurity>0</DocSecurity>
  <Lines>1</Lines>
  <Paragraphs>1799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174818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1344027</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547199</vt:lpwstr>
  </property>
  <property fmtid="{D5CDD505-2E9C-101B-9397-08002B2CF9AE}" pid="7" name="dmxml.render.traceId">
    <vt:lpwstr>6a3d436b4e1d63393c553bdc8273dfe5</vt:lpwstr>
  </property>
  <property fmtid="{D5CDD505-2E9C-101B-9397-08002B2CF9AE}" pid="8" name="FooterPath">
    <vt:lpwstr>AM\1344027LV.docx</vt:lpwstr>
  </property>
  <property fmtid="{D5CDD505-2E9C-101B-9397-08002B2CF9AE}" pid="9" name="PE Number">
    <vt:lpwstr>788.897</vt:lpwstr>
  </property>
  <property fmtid="{D5CDD505-2E9C-101B-9397-08002B2CF9AE}" pid="10" name="UID">
    <vt:lpwstr>eu.europa.europarl-DIN1-2026-0000140161_02.00-lv-01.00_text-xml</vt:lpwstr>
  </property>
</Properties>
</file>