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Utskottet för industrifrågor, forskning och energi</w:t>
      </w:r>
      <w:r>
        <w:rPr>
          <w:rStyle w:val="HideTWBExt"/>
        </w:rPr>
        <w:t>&lt;/Commission&gt;</w:t>
      </w:r>
    </w:p>
    <w:p>
      <w:pPr>
        <w:pStyle w:val="LineBottom"/>
      </w:pPr>
      <w:r>
        <w:t xml:space="preserve"> </w:t>
      </w:r>
    </w:p>
    <w:p>
      <w:pPr>
        <w:pStyle w:val="CoverReference"/>
      </w:pPr>
      <w:r>
        <w:rPr>
          <w:rStyle w:val="HideTWBExt"/>
        </w:rPr>
        <w:t>&lt;RefProc&gt;</w:t>
      </w:r>
      <w:r>
        <w:t>2025/0555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{19/05/2026}</w:t>
      </w:r>
      <w:r>
        <w:t>19.5.2026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1842</w:t>
      </w:r>
      <w:r>
        <w:t xml:space="preserve"> - </w:t>
      </w:r>
      <w:r>
        <w:t>2023</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Christian Ehler, Dan Nica</w:t>
      </w:r>
      <w:r>
        <w:rPr>
          <w:rStyle w:val="HideTWBExt"/>
        </w:rPr>
        <w:t>&lt;/Rapporteur&gt;</w:t>
      </w:r>
    </w:p>
    <w:p>
      <w:pPr>
        <w:pStyle w:val="CoverNormal24a"/>
      </w:pPr>
      <w:r>
        <w:rPr>
          <w:rStyle w:val="HideTWBExt"/>
        </w:rPr>
        <w:t>&lt;DocRefPE&gt;</w:t>
      </w:r>
      <w:r>
        <w:t>(PE784.506v01-00)</w:t>
      </w:r>
      <w:r>
        <w:rPr>
          <w:rStyle w:val="HideTWBExt"/>
        </w:rPr>
        <w:t>&lt;/DocRefPE&gt;</w:t>
      </w:r>
    </w:p>
    <w:p>
      <w:pPr>
        <w:pStyle w:val="CoverNormal24a"/>
      </w:pPr>
      <w:r>
        <w:rPr>
          <w:rStyle w:val="HideTWBExt"/>
        </w:rPr>
        <w:t>&lt;Titre&gt;</w:t>
      </w:r>
      <w:r>
        <w:t>Inrättande av Europeiska konkurrenskraftsfonden (EKF), inbegripet det särskilda programmet för försvarsforskning och försvarsinnovation</w:t>
      </w:r>
      <w:r>
        <w:rPr>
          <w:rStyle w:val="HideTWBExt"/>
        </w:rPr>
        <w:t>&lt;/Titre&gt;</w:t>
      </w:r>
    </w:p>
    <w:p>
      <w:pPr>
        <w:pStyle w:val="CoverNormal"/>
      </w:pPr>
      <w:r>
        <w:rPr>
          <w:rStyle w:val="HideTWBExt"/>
        </w:rPr>
        <w:t>&lt;DocAmend&gt;</w:t>
      </w:r>
      <w:r>
        <w:t>Förslag till förordning</w:t>
      </w:r>
      <w:r>
        <w:rPr>
          <w:rStyle w:val="HideTWBExt"/>
        </w:rPr>
        <w:t>&lt;/DocAmend&gt;</w:t>
      </w:r>
    </w:p>
    <w:p>
      <w:pPr>
        <w:pStyle w:val="CoverNormal24a"/>
      </w:pPr>
      <w:r>
        <w:rPr>
          <w:rStyle w:val="HideTWBExt"/>
        </w:rPr>
        <w:t>&lt;DocRef&gt;</w:t>
      </w:r>
      <w:r>
        <w:t>(COM(2025)0555 – 2025/0555(COD))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1842</w:t>
      </w:r>
      <w:r>
        <w:rPr>
          <w:rStyle w:val="HideTWBExt"/>
        </w:rPr>
        <w:t>&lt;/NumAm&gt;</w:t>
      </w:r>
    </w:p>
    <w:p>
      <w:pPr>
        <w:pStyle w:val="NormalBold"/>
      </w:pPr>
      <w:r>
        <w:rPr>
          <w:rStyle w:val="HideTWBExt"/>
          <w:b w:val="0"/>
        </w:rPr>
        <w:t>&lt;RepeatBlock-By&gt;</w:t>
      </w:r>
      <w:r>
        <w:rPr>
          <w:rStyle w:val="HideTWBExt"/>
          <w:b w:val="0"/>
        </w:rPr>
        <w:t>&lt;Members&gt;</w:t>
      </w:r>
      <w:r>
        <w:t>Thomas Pellerin-Carlin, Yannis Maniatis, Christophe Clergeau, Pierre Jouvet,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11</w:t>
            </w:r>
            <w:r>
              <w:tab/>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Associering av tredjeländer till verksamheter inom EKF</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EKF får öppnas för deltagande för följande tredjeländer genom fullständig eller partiell associering, i enlighet med de mål som fastställs i artikel 3 och i enlighet med relevanta internationella avtal eller beslut som antagits inom ramen för dessa avtal och som är tillämpliga på</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medlemmar i Europeiska frihandelssammanslutningen som är medlemmar i Europeiska ekonomiska samarbetsområdet samt Andorra, Monaco och San Marino,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anslutande länder, kandidatländer och potentiella kandidatländer,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länder som deltar i den europeiska grannskapspolitiken,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andra tredjeländer.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Förutsatt att eventuella särskilda villkor inom varje politikområde eller komponent är uppfyllda av det aktuella tredjelandet ska associeringsavtalen för deltagande i EKF</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säkerställa en rättvis balans vad gäller bidrag från och förmåner till det tredjeland som deltar i EKF,</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fastställa villkoren för deltagande i programmen, inklusive beräkning av ekonomiska bidrag, i form av ett driftsbidrag och en deltagaravgift, till EKF och dess allmänna administrativa kostnader,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inte ge tredjelandet någon befogenhet att fatta beslut som rör programmet,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garantera unionens rätt att säkerställa en sund ekonomisk förvaltning och att skydda sina ekonomiska intressen,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säkerställa skyddet av unionens och dess medlemsstaters strategiska intressen, säkerhetsintressen, försvarsintressen och intressen avseende allmän ordning.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Vid tillämpning av led d ska tredjelandet bevilja de rättigheter och den tillgång som krävs enligt förordning (EU, Euratom) 2024/2509 och förordning (EU, Euratom) nr 883/2013 och garantera att verkställighetsbeslut som ålägger en betalningsskyldighet på grundval av artikel 299 i EUF-fördraget samt domar och beslut från Europeiska unionens domstol är verkställbara, och säkerställa att dess behöriga myndigheter samarbetar med Europeiska åklagarmyndigheten (Eppo) vid utredningar och åtal mot brott som påverkar unionens ekonomiska intressen i enlighet med tillämpliga internationella avtal och andra tillämpliga regler.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Separata särskilda avtal får ingås i enlighet med artikel 218 i EUF-fördraget för verksamheter inom EKF som rör säkerhet och tillhandahållande av säkra tjänster och kritiska tillgångar till unionen.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får öppnas för deltagande för följande tredjeländer genom fullständig eller partiell associering, i enlighet med de mål som fastställs i artikel 3 och i enlighet med relevanta internationella avtal eller beslut som antagits inom ramen för dessa avtal och som är tillämpliga på</w:t>
            </w:r>
          </w:p>
        </w:tc>
        <w:tc>
          <w:tcPr>
            <w:tcW w:w="4876" w:type="dxa"/>
            <w:tcBorders>
              <w:top w:val="nil"/>
              <w:left w:val="nil"/>
              <w:bottom w:val="nil"/>
              <w:right w:val="nil"/>
            </w:tcBorders>
          </w:tcPr>
          <w:p>
            <w:pPr>
              <w:pStyle w:val="Normal6a"/>
            </w:pPr>
            <w:r>
              <w:t>1.</w:t>
            </w:r>
            <w:r>
              <w:tab/>
            </w:r>
            <w:r>
              <w:t xml:space="preserve">EKF får öppnas för deltagande för följande tredjeländer </w:t>
            </w:r>
            <w:r>
              <w:rPr>
                <w:b/>
                <w:i/>
              </w:rPr>
              <w:t>som inte handlar i strid med unionens eller dess medlemsstaters säkerhets- och försvarsintressen, inbegripet iakttagandet av principen om goda grannförbindelser,</w:t>
            </w:r>
            <w:r>
              <w:t xml:space="preserve"> genom fullständig eller partiell associering, i enlighet med de mål som fastställs i artikel 3 och i enlighet med relevanta internationella avtal eller beslut som antagits inom ramen för dessa avtal och som är tillämpliga på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får öppnas för deltagande för följande tredjeländer genom fullständig eller partiell associering, i enlighet med de mål som fastställs i artikel 3 och i enlighet med relevanta internationella avtal eller beslut som antagits inom ramen för dessa avtal och som är tillämpliga på</w:t>
            </w:r>
          </w:p>
        </w:tc>
        <w:tc>
          <w:tcPr>
            <w:tcW w:w="4876" w:type="dxa"/>
            <w:tcBorders>
              <w:top w:val="nil"/>
              <w:left w:val="nil"/>
              <w:bottom w:val="nil"/>
              <w:right w:val="nil"/>
            </w:tcBorders>
          </w:tcPr>
          <w:p>
            <w:pPr>
              <w:pStyle w:val="Normal6a"/>
            </w:pPr>
            <w:r>
              <w:t>1.</w:t>
            </w:r>
            <w:r>
              <w:tab/>
            </w:r>
            <w:r>
              <w:t>EKF får öppnas för deltagande för följande tredjeländer genom fullständig eller partiell associering</w:t>
            </w:r>
            <w:r>
              <w:rPr>
                <w:b/>
                <w:i/>
              </w:rPr>
              <w:t>, däribland specifika delar av programmet som exempelvis dubbelsidiga auktioner</w:t>
            </w:r>
            <w:r>
              <w:t>, i enlighet med de mål som fastställs i artikel 3 och i enlighet med relevanta internationella avtal eller beslut som antagits inom ramen för dessa avtal och som är tillämpliga på</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The European Hydrogen Bank (EHB) plays an important role in facilitating early market creation for hydrogen.</w:t>
      </w:r>
      <w:r>
        <w:t xml:space="preserve"> </w:t>
      </w:r>
      <w:r>
        <w:t>Both domestic production and imports are important to meet potentially large future demand from industrial sectors such as steel and chemicals.</w:t>
      </w:r>
      <w:r>
        <w:t xml:space="preserve"> </w:t>
      </w:r>
      <w:r>
        <w:t>However, This will require additional financing.</w:t>
      </w:r>
      <w:r>
        <w:t xml:space="preserve"> </w:t>
      </w:r>
      <w:r>
        <w:t>Furthermore, there is currently no dedicated funding available for the international leg of the EHB to support imports of renewable hydrogen.</w:t>
      </w:r>
      <w:r>
        <w:t xml:space="preserve"> </w:t>
      </w:r>
      <w:r>
        <w:t>In order to design a scheme for renewable hydrogen imports from third countries into the EU, substantial analytical and preparatory work is required in the immediate term.</w:t>
      </w:r>
      <w:r>
        <w:t xml:space="preserve"> </w:t>
      </w:r>
      <w:r>
        <w:t>Such preparatory work could include, amongst other tasks, analysing the hydrogen market landscape globally, identifying the specific risks associated with the import of hydrogen and the associated financing challenges, and the advantages and disadvantages of different auction design elements, building on existing experience available, such as the international auctions organised by the H2Global Foundation.</w:t>
      </w:r>
    </w:p>
    <w:p>
      <w:r>
        <w:rPr>
          <w:rStyle w:val="HideTWBExt"/>
        </w:rPr>
        <w:t>&lt;/Amend&gt;</w:t>
      </w:r>
    </w:p>
    <w:p>
      <w:pPr>
        <w:pStyle w:val="AmNumberTabs"/>
      </w:pPr>
      <w:r>
        <w:rPr>
          <w:rStyle w:val="HideTWBExt"/>
        </w:rPr>
        <w:t>&lt;Amend&gt;</w:t>
      </w:r>
      <w:r>
        <w:t>Ändringsförslag</w:t>
      </w:r>
      <w:r>
        <w:tab/>
      </w:r>
      <w:r>
        <w:tab/>
      </w:r>
      <w:r>
        <w:rPr>
          <w:rStyle w:val="HideTWBExt"/>
        </w:rPr>
        <w:t>&lt;NumAm&gt;</w:t>
      </w:r>
      <w:r>
        <w:t>1845</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Morten Løkkegaard,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får öppnas för deltagande för följande tredjeländer genom fullständig eller partiell associering, i enlighet med de mål som fastställs i artikel 3 och i enlighet med relevanta internationella avtal eller beslut som antagits inom ramen för dessa avtal och som är tillämpliga på</w:t>
            </w:r>
          </w:p>
        </w:tc>
        <w:tc>
          <w:tcPr>
            <w:tcW w:w="4876" w:type="dxa"/>
            <w:tcBorders>
              <w:top w:val="nil"/>
              <w:left w:val="nil"/>
              <w:bottom w:val="nil"/>
              <w:right w:val="nil"/>
            </w:tcBorders>
          </w:tcPr>
          <w:p>
            <w:pPr>
              <w:pStyle w:val="Normal6a"/>
            </w:pPr>
            <w:r>
              <w:t>1.</w:t>
            </w:r>
            <w:r>
              <w:tab/>
            </w:r>
            <w:r>
              <w:t>EKF får öppnas för deltagande för följande tredjeländer genom fullständig eller partiell associering</w:t>
            </w:r>
            <w:r>
              <w:rPr>
                <w:b/>
                <w:i/>
              </w:rPr>
              <w:t>, däribland specifika delar av programmet</w:t>
            </w:r>
            <w:r>
              <w:t>, i enlighet med de mål som fastställs i artikel 3 och i enlighet med relevanta internationella avtal eller beslut som antagits inom ramen för dessa avtal och som är tillämpliga på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1846</w:t>
      </w:r>
      <w:r>
        <w:rPr>
          <w:rStyle w:val="HideTWBExt"/>
        </w:rPr>
        <w:t>&lt;/NumAm&gt;</w:t>
      </w:r>
    </w:p>
    <w:p>
      <w:pPr>
        <w:pStyle w:val="NormalBold"/>
      </w:pPr>
      <w:r>
        <w:rPr>
          <w:rStyle w:val="HideTWBExt"/>
          <w:b w:val="0"/>
        </w:rPr>
        <w:t>&lt;RepeatBlock-By&gt;</w:t>
      </w:r>
      <w:r>
        <w:rPr>
          <w:rStyle w:val="HideTWBExt"/>
          <w:b w:val="0"/>
        </w:rPr>
        <w:t>&lt;Members&gt;</w:t>
      </w:r>
      <w:r>
        <w:t>Sophie Wilmès,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får öppnas för deltagande för följande tredjeländer genom fullständig eller partiell associering, i enlighet med de mål som fastställs i artikel 3 och i enlighet med relevanta internationella avtal eller beslut som antagits inom ramen för dessa avtal och som är tillämpliga på</w:t>
            </w:r>
          </w:p>
        </w:tc>
        <w:tc>
          <w:tcPr>
            <w:tcW w:w="4876" w:type="dxa"/>
            <w:tcBorders>
              <w:top w:val="nil"/>
              <w:left w:val="nil"/>
              <w:bottom w:val="nil"/>
              <w:right w:val="nil"/>
            </w:tcBorders>
          </w:tcPr>
          <w:p>
            <w:pPr>
              <w:pStyle w:val="Normal6a"/>
            </w:pPr>
            <w:r>
              <w:t>1.</w:t>
            </w:r>
            <w:r>
              <w:tab/>
            </w:r>
            <w:r>
              <w:t xml:space="preserve">EKF får </w:t>
            </w:r>
            <w:r>
              <w:rPr>
                <w:b/>
                <w:i/>
              </w:rPr>
              <w:t>i unionens intresse</w:t>
            </w:r>
            <w:r>
              <w:t xml:space="preserve"> öppnas för deltagande för följande tredjeländer genom fullständig eller partiell associering, i enlighet med de mål som fastställs i artikel 3 och i enlighet med relevanta internationella avtal eller beslut som antagits inom ramen för dessa avtal och som är tillämpliga på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1847</w:t>
      </w:r>
      <w:r>
        <w:rPr>
          <w:rStyle w:val="HideTWBExt"/>
        </w:rPr>
        <w:t>&lt;/NumAm&gt;</w:t>
      </w:r>
    </w:p>
    <w:p>
      <w:pPr>
        <w:pStyle w:val="NormalBold"/>
      </w:pPr>
      <w:r>
        <w:rPr>
          <w:rStyle w:val="HideTWBExt"/>
          <w:b w:val="0"/>
        </w:rPr>
        <w:t>&lt;RepeatBlock-By&gt;</w:t>
      </w:r>
      <w:r>
        <w:rPr>
          <w:rStyle w:val="HideTWBExt"/>
          <w:b w:val="0"/>
        </w:rPr>
        <w:t>&lt;Members&gt;</w:t>
      </w:r>
      <w:r>
        <w:t>Andreas Glück,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EKF </w:t>
            </w:r>
            <w:r>
              <w:rPr>
                <w:b/>
                <w:i/>
              </w:rPr>
              <w:t>får</w:t>
            </w:r>
            <w:r>
              <w:t xml:space="preserve"> öppnas för deltagande för följande tredjeländer genom fullständig eller partiell associering, i enlighet med de mål som fastställs i artikel 3 och i enlighet med relevanta internationella avtal eller beslut som antagits inom ramen för dessa avtal och som är tillämpliga på</w:t>
            </w:r>
          </w:p>
        </w:tc>
        <w:tc>
          <w:tcPr>
            <w:tcW w:w="4876" w:type="dxa"/>
            <w:tcBorders>
              <w:top w:val="nil"/>
              <w:left w:val="nil"/>
              <w:bottom w:val="nil"/>
              <w:right w:val="nil"/>
            </w:tcBorders>
          </w:tcPr>
          <w:p>
            <w:pPr>
              <w:pStyle w:val="Normal6a"/>
            </w:pPr>
            <w:r>
              <w:t>1.</w:t>
            </w:r>
            <w:r>
              <w:tab/>
            </w:r>
            <w:r>
              <w:t xml:space="preserve">EKF </w:t>
            </w:r>
            <w:r>
              <w:rPr>
                <w:b/>
                <w:i/>
              </w:rPr>
              <w:t>ska</w:t>
            </w:r>
            <w:r>
              <w:t xml:space="preserve"> öppnas för deltagande för följande tredjeländer genom fullständig eller partiell associering, i enlighet med de mål som fastställs i artikel 3 och i enlighet med relevanta internationella avtal eller beslut som antagits inom ramen för dessa avtal och som är tillämpliga på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medlemmar i Europeiska frihandelssammanslutningen som är medlemmar i Europeiska ekonomiska samarbetsområdet samt Andorra, Monaco och San Marino</w:t>
            </w:r>
            <w:r>
              <w:rPr>
                <w:b/>
                <w:i/>
              </w:rPr>
              <w:t>,</w:t>
            </w:r>
          </w:p>
        </w:tc>
        <w:tc>
          <w:tcPr>
            <w:tcW w:w="4876" w:type="dxa"/>
            <w:tcBorders>
              <w:top w:val="nil"/>
              <w:left w:val="nil"/>
              <w:bottom w:val="nil"/>
              <w:right w:val="nil"/>
            </w:tcBorders>
          </w:tcPr>
          <w:p>
            <w:pPr>
              <w:pStyle w:val="Normal6a"/>
            </w:pPr>
            <w:r>
              <w:t>a)</w:t>
            </w:r>
            <w:r>
              <w:tab/>
            </w:r>
            <w:r>
              <w:t>medlemmar i Europeiska frihandelssammanslutningen som är medlemmar i Europeiska ekonomiska samarbetsområdet</w:t>
            </w:r>
            <w:r>
              <w:rPr>
                <w:b/>
                <w:i/>
              </w:rPr>
              <w:t>, i enlighet med villkoren i avtalet om Europeiska ekonomiska samarbetsområdet,</w:t>
            </w:r>
            <w:r>
              <w:t xml:space="preserve"> samt Andorra, Monaco och San Marino</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1849</w:t>
      </w:r>
      <w:r>
        <w:rPr>
          <w:rStyle w:val="HideTWBExt"/>
        </w:rPr>
        <w:t>&lt;/NumAm&gt;</w:t>
      </w:r>
    </w:p>
    <w:p>
      <w:pPr>
        <w:pStyle w:val="NormalBold"/>
      </w:pPr>
      <w:r>
        <w:rPr>
          <w:rStyle w:val="HideTWBExt"/>
          <w:b w:val="0"/>
        </w:rPr>
        <w:t>&lt;RepeatBlock-By&gt;</w:t>
      </w:r>
      <w:r>
        <w:rPr>
          <w:rStyle w:val="HideTWBExt"/>
          <w:b w:val="0"/>
        </w:rPr>
        <w:t>&lt;Members&gt;</w:t>
      </w:r>
      <w:r>
        <w:t>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medlemmar i Europeiska frihandelssammanslutningen som är medlemmar i Europeiska ekonomiska samarbetsområdet samt Andorra, Monaco och San Marino</w:t>
            </w:r>
            <w:r>
              <w:rPr>
                <w:b/>
                <w:i/>
              </w:rPr>
              <w:t>,</w:t>
            </w:r>
          </w:p>
        </w:tc>
        <w:tc>
          <w:tcPr>
            <w:tcW w:w="4876" w:type="dxa"/>
            <w:tcBorders>
              <w:top w:val="nil"/>
              <w:left w:val="nil"/>
              <w:bottom w:val="nil"/>
              <w:right w:val="nil"/>
            </w:tcBorders>
          </w:tcPr>
          <w:p>
            <w:pPr>
              <w:pStyle w:val="Normal6a"/>
            </w:pPr>
            <w:r>
              <w:t>a)</w:t>
            </w:r>
            <w:r>
              <w:tab/>
            </w:r>
            <w:r>
              <w:t>medlemmar i Europeiska frihandelssammanslutningen som är medlemmar i Europeiska ekonomiska samarbetsområdet</w:t>
            </w:r>
            <w:r>
              <w:rPr>
                <w:b/>
                <w:i/>
              </w:rPr>
              <w:t>, i enlighet med villkoren i avtalet om Europeiska ekonomiska samarbetsområdet,</w:t>
            </w:r>
            <w:r>
              <w:t xml:space="preserve"> samt Andorra, Monaco och San Marino</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anslutande länder, kandidatländer och potentiella kandidatländer,</w:t>
            </w:r>
          </w:p>
        </w:tc>
        <w:tc>
          <w:tcPr>
            <w:tcW w:w="4876" w:type="dxa"/>
            <w:tcBorders>
              <w:top w:val="nil"/>
              <w:left w:val="nil"/>
              <w:bottom w:val="nil"/>
              <w:right w:val="nil"/>
            </w:tcBorders>
          </w:tcPr>
          <w:p>
            <w:pPr>
              <w:pStyle w:val="Normal6a"/>
            </w:pPr>
            <w:r>
              <w:t>b)</w:t>
            </w:r>
            <w:r>
              <w:tab/>
            </w:r>
            <w:r>
              <w:t xml:space="preserve">anslutande länder, kandidatländer och potentiella kandidatländer, </w:t>
            </w:r>
            <w:r>
              <w:rPr>
                <w:b/>
                <w:i/>
              </w:rPr>
              <w:t>särskilt Ukraina och Republiken Moldavien, med beaktande av deras utveckling mot EU-anslutning och, i förekommande fall, deras deltagande i unionens säkerhets- och försvarsram,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Ukraina och Republiken Moldavien har erkänts som kandidatländer av Europeiska rådet och har inlett anslutningsförhandlingar med unionen.</w:t>
      </w:r>
      <w:r>
        <w:t xml:space="preserve"> </w:t>
      </w:r>
      <w:r>
        <w:t>Att uttryckligen omnämna dem i artikel 11.1 b överensstämmer med de befintliga hänvisningarna till Ukraina i artiklarna 47, 49 och 50 i kommissionens förslag och säkerställer rättslig samstämmighet mellan ramen för tredjeländers deltagande och unionens utvidgnings- och säkerhetspolitik.</w:t>
      </w:r>
    </w:p>
    <w:p>
      <w:r>
        <w:rPr>
          <w:rStyle w:val="HideTWBExt"/>
        </w:rPr>
        <w:t>&lt;/Amend&gt;</w:t>
      </w:r>
    </w:p>
    <w:p>
      <w:pPr>
        <w:pStyle w:val="AmNumberTabs"/>
      </w:pPr>
      <w:r>
        <w:rPr>
          <w:rStyle w:val="HideTWBExt"/>
        </w:rPr>
        <w:t>&lt;Amend&gt;</w:t>
      </w:r>
      <w:r>
        <w:t>Ändringsförslag</w:t>
      </w:r>
      <w:r>
        <w:tab/>
      </w:r>
      <w:r>
        <w:tab/>
      </w:r>
      <w:r>
        <w:rPr>
          <w:rStyle w:val="HideTWBExt"/>
        </w:rPr>
        <w:t>&lt;NumAm&gt;</w:t>
      </w:r>
      <w:r>
        <w:t>1851</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länder som deltar i den europeiska grannskapspolitiken,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1852</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andra tredjeländer.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andra tredjeländer.</w:t>
            </w:r>
          </w:p>
        </w:tc>
        <w:tc>
          <w:tcPr>
            <w:tcW w:w="4876" w:type="dxa"/>
            <w:tcBorders>
              <w:top w:val="nil"/>
              <w:left w:val="nil"/>
              <w:bottom w:val="nil"/>
              <w:right w:val="nil"/>
            </w:tcBorders>
          </w:tcPr>
          <w:p>
            <w:pPr>
              <w:pStyle w:val="Normal6a"/>
            </w:pPr>
            <w:r>
              <w:t>d)</w:t>
            </w:r>
            <w:r>
              <w:tab/>
            </w:r>
            <w:r>
              <w:t xml:space="preserve">andra tredjeländer </w:t>
            </w:r>
            <w:r>
              <w:rPr>
                <w:b/>
                <w:i/>
              </w:rPr>
              <w:t>och territorier, med ett liknande engagemang för en regelbaserad öppen marknadsekonomi som respekterar mänskliga rättigheter och unionens standarder och värden, däribland klimatåtaganden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1854</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andra tredjeländer.</w:t>
            </w:r>
          </w:p>
        </w:tc>
        <w:tc>
          <w:tcPr>
            <w:tcW w:w="4876" w:type="dxa"/>
            <w:tcBorders>
              <w:top w:val="nil"/>
              <w:left w:val="nil"/>
              <w:bottom w:val="nil"/>
              <w:right w:val="nil"/>
            </w:tcBorders>
          </w:tcPr>
          <w:p>
            <w:pPr>
              <w:pStyle w:val="Normal6a"/>
            </w:pPr>
            <w:r>
              <w:t>d)</w:t>
            </w:r>
            <w:r>
              <w:tab/>
            </w:r>
            <w:r>
              <w:t xml:space="preserve">andra tredjeländer </w:t>
            </w:r>
            <w:r>
              <w:rPr>
                <w:b/>
                <w:i/>
              </w:rPr>
              <w:t>som ansluter sig till en regelbaserad öppen marknadsekonomi som respekterar mänskliga rättigheter och unionens standarder och värden, däribland åtaganden i fråga om klimat och biologisk mångfald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1855</w:t>
      </w:r>
      <w:r>
        <w:rPr>
          <w:rStyle w:val="HideTWBExt"/>
        </w:rPr>
        <w:t>&lt;/NumAm&gt;</w:t>
      </w:r>
    </w:p>
    <w:p>
      <w:pPr>
        <w:pStyle w:val="NormalBold"/>
      </w:pPr>
      <w:r>
        <w:rPr>
          <w:rStyle w:val="HideTWBExt"/>
          <w:b w:val="0"/>
        </w:rPr>
        <w:t>&lt;RepeatBlock-By&gt;</w:t>
      </w:r>
      <w:r>
        <w:rPr>
          <w:rStyle w:val="HideTWBExt"/>
          <w:b w:val="0"/>
        </w:rPr>
        <w:t>&lt;Members&gt;</w:t>
      </w:r>
      <w:r>
        <w:t>Sophie Wilmès,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andra tredjeländer.</w:t>
            </w:r>
          </w:p>
        </w:tc>
        <w:tc>
          <w:tcPr>
            <w:tcW w:w="4876" w:type="dxa"/>
            <w:tcBorders>
              <w:top w:val="nil"/>
              <w:left w:val="nil"/>
              <w:bottom w:val="nil"/>
              <w:right w:val="nil"/>
            </w:tcBorders>
          </w:tcPr>
          <w:p>
            <w:pPr>
              <w:pStyle w:val="Normal6a"/>
            </w:pPr>
            <w:r>
              <w:t>d)</w:t>
            </w:r>
            <w:r>
              <w:tab/>
            </w:r>
            <w:r>
              <w:t xml:space="preserve">andra </w:t>
            </w:r>
            <w:r>
              <w:rPr>
                <w:b/>
                <w:i/>
              </w:rPr>
              <w:t>likasinnade</w:t>
            </w:r>
            <w:r>
              <w:t xml:space="preserve">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1 – led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EKF kommer inte att vara öppen för deltagande av tredjeländer som är inblandade i olaglig ockupation eller annektering av territorier,</w:t>
            </w:r>
            <w:r>
              <w:t xml:space="preserve"> </w:t>
            </w:r>
            <w:r>
              <w:rPr>
                <w:b/>
                <w:i/>
              </w:rPr>
              <w:t>eller av tredjeländer som är ansvariga för grova och systematiska människorättskränkningar eller andra kränkningar av internationell rätt.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1857</w:t>
      </w:r>
      <w:r>
        <w:rPr>
          <w:rStyle w:val="HideTWBExt"/>
        </w:rPr>
        <w:t>&lt;/NumAm&gt;</w:t>
      </w:r>
    </w:p>
    <w:p>
      <w:pPr>
        <w:pStyle w:val="NormalBold"/>
      </w:pPr>
      <w:r>
        <w:rPr>
          <w:rStyle w:val="HideTWBExt"/>
          <w:b w:val="0"/>
        </w:rPr>
        <w:t>&lt;RepeatBlock-By&gt;</w:t>
      </w:r>
      <w:r>
        <w:rPr>
          <w:rStyle w:val="HideTWBExt"/>
          <w:b w:val="0"/>
        </w:rPr>
        <w:t>&lt;Members&gt;</w:t>
      </w:r>
      <w:r>
        <w:t>Yvan Verougstraete, Brigitte van den Berg,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2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fastställa villkoren för deltagande i programmen, inklusive beräkning av ekonomiska bidrag, i form av ett driftsbidrag och en deltagaravgift, till EKF och dess allmänna administrativa kostnader,</w:t>
            </w:r>
          </w:p>
        </w:tc>
        <w:tc>
          <w:tcPr>
            <w:tcW w:w="4876" w:type="dxa"/>
            <w:tcBorders>
              <w:top w:val="nil"/>
              <w:left w:val="nil"/>
              <w:bottom w:val="nil"/>
              <w:right w:val="nil"/>
            </w:tcBorders>
          </w:tcPr>
          <w:p>
            <w:pPr>
              <w:pStyle w:val="Normal6a"/>
            </w:pPr>
            <w:r>
              <w:t>b)</w:t>
            </w:r>
            <w:r>
              <w:tab/>
            </w:r>
            <w:r>
              <w:t xml:space="preserve">fastställa villkoren för deltagande i programmen, inklusive beräkning av ekonomiska bidrag </w:t>
            </w:r>
            <w:r>
              <w:rPr>
                <w:b/>
                <w:i/>
              </w:rPr>
              <w:t>från tredjeländer</w:t>
            </w:r>
            <w:r>
              <w:t>, i form av ett driftsbidrag och en deltagaravgift, till EKF och dess allmänna administrativa kostnader,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1858</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2 – led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säkerställa ömsesidig tillgång för EU-enheter till relevanta finansieringsinstrument i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2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inte ge tredjelandet någon befogenhet att fatta beslut som rör programmet,</w:t>
            </w:r>
          </w:p>
        </w:tc>
        <w:tc>
          <w:tcPr>
            <w:tcW w:w="4876" w:type="dxa"/>
            <w:tcBorders>
              <w:top w:val="nil"/>
              <w:left w:val="nil"/>
              <w:bottom w:val="nil"/>
              <w:right w:val="nil"/>
            </w:tcBorders>
          </w:tcPr>
          <w:p>
            <w:pPr>
              <w:pStyle w:val="Normal6a"/>
            </w:pPr>
            <w:r>
              <w:t>c)</w:t>
            </w:r>
            <w:r>
              <w:tab/>
            </w:r>
            <w:r>
              <w:t xml:space="preserve">inte ge tredjelandet någon befogenhet att fatta beslut som rör programmet </w:t>
            </w:r>
            <w:r>
              <w:rPr>
                <w:b/>
                <w:i/>
              </w:rPr>
              <w:t>eller någon kontroll över viktig infrastruktur</w:t>
            </w:r>
            <w:r>
              <w:t xml:space="preserve">, </w:t>
            </w:r>
            <w:r>
              <w:rPr>
                <w:b/>
                <w:i/>
              </w:rPr>
              <w:t>inbegripet på energiområdet, hälsoområdet och det digitala 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2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säkerställa skyddet av unionens </w:t>
            </w:r>
            <w:r>
              <w:rPr>
                <w:b/>
                <w:i/>
              </w:rPr>
              <w:t>och</w:t>
            </w:r>
            <w:r>
              <w:t xml:space="preserve"> dess medlemsstaters strategiska intressen</w:t>
            </w:r>
            <w:r>
              <w:rPr>
                <w:b/>
                <w:i/>
              </w:rPr>
              <w:t>, säkerhetsintressen, försvarsintressen</w:t>
            </w:r>
            <w:r>
              <w:t xml:space="preserve"> och intressen avseende allmän ordning.</w:t>
            </w:r>
          </w:p>
        </w:tc>
        <w:tc>
          <w:tcPr>
            <w:tcW w:w="4876" w:type="dxa"/>
            <w:tcBorders>
              <w:top w:val="nil"/>
              <w:left w:val="nil"/>
              <w:bottom w:val="nil"/>
              <w:right w:val="nil"/>
            </w:tcBorders>
          </w:tcPr>
          <w:p>
            <w:pPr>
              <w:pStyle w:val="Normal6a"/>
            </w:pPr>
            <w:r>
              <w:t>e)</w:t>
            </w:r>
            <w:r>
              <w:tab/>
            </w:r>
            <w:r>
              <w:t>säkerställa skyddet av unionens</w:t>
            </w:r>
            <w:r>
              <w:rPr>
                <w:b/>
                <w:i/>
              </w:rPr>
              <w:t>,</w:t>
            </w:r>
            <w:r>
              <w:t xml:space="preserve"> dess medlemsstaters </w:t>
            </w:r>
            <w:r>
              <w:rPr>
                <w:b/>
                <w:i/>
              </w:rPr>
              <w:t>och människors</w:t>
            </w:r>
            <w:r>
              <w:t xml:space="preserve"> strategiska intressen och intressen avseende allmän ordning.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1861</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2 – stycke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Associeringsavtalet får möjliggöra ömsesidigt deltagande för rättsliga enheter som är etablerade i unionen i motsvarande program i associerade länder i enlighet med de villkor som fastställs i dessa program.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1862</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Vid tillämpning av led d ska tredjelandet bevilja de rättigheter och den tillgång som krävs enligt förordning (EU, Euratom) 2024/2509 och förordning (EU, Euratom) nr 883/2013 och garantera att verkställighetsbeslut som ålägger en betalningsskyldighet på grundval av artikel 299 i EUF-fördraget samt domar och beslut från Europeiska unionens domstol är verkställbara, och säkerställa att dess behöriga myndigheter samarbetar med Europeiska åklagarmyndigheten (Eppo) vid utredningar och åtal mot brott som påverkar unionens ekonomiska intressen i enlighet med tillämpliga internationella avtal och andra tillämpliga regler.</w:t>
            </w:r>
          </w:p>
        </w:tc>
        <w:tc>
          <w:tcPr>
            <w:tcW w:w="4876" w:type="dxa"/>
            <w:tcBorders>
              <w:top w:val="nil"/>
              <w:left w:val="nil"/>
              <w:bottom w:val="nil"/>
              <w:right w:val="nil"/>
            </w:tcBorders>
          </w:tcPr>
          <w:p>
            <w:pPr>
              <w:pStyle w:val="Normal6a"/>
            </w:pPr>
            <w:r>
              <w:t>3.</w:t>
            </w:r>
            <w:r>
              <w:tab/>
            </w:r>
            <w:r>
              <w:t xml:space="preserve">Vid tillämpning av led d ska tredjelandet bevilja de rättigheter och den tillgång som krävs enligt förordning (EU, Euratom) 2024/2509 och förordning (EU, Euratom) nr 883/2013 </w:t>
            </w:r>
            <w:r>
              <w:rPr>
                <w:b/>
                <w:i/>
              </w:rPr>
              <w:t>till kommissionen, Eppo, Olaf och Europeiska revisionsrätten,</w:t>
            </w:r>
            <w:r>
              <w:t xml:space="preserve"> och garantera att verkställighetsbeslut som ålägger en betalningsskyldighet på grundval av artikel 299 i EUF-fördraget samt domar och beslut från Europeiska unionens domstol är verkställbara, och säkerställa att dess behöriga myndigheter samarbetar med Europeiska åklagarmyndigheten (Eppo) vid utredningar och åtal mot brott som påverkar unionens ekonomiska intressen i enlighet med tillämpliga internationella avtal och andra tillämpliga regler.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Tredjeländers associering eller partiella associering ska endast vara möjlig om de uppfyller följande kriterier: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Fullständig efterlevnad av internationell rätt, inbegripet internationell människorättslagstiftning, internationell humanitär rätt och konventionen om förebyggande och bestraffning av brottet folkmord.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Engagemang för en regelbaserad öppen marknadsekonomi, med rättvis och skälig hantering av immaterialrättigheter och respekt för mänskliga rättigheter, understödd av demokratiska institutioner.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Uppvisande av miljönormer och sociala normer som minst motsvarar unionens normer, och inlämnande av utökade nationellt fastställda bidrag till UNFCCC senast den dag då associeringsavtalet undertecknas.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Aktivt främjande av strategier för att förbättra medborgarnas ekonomiska och sociala välfärd.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3b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Associeringsavtalet ska innehålla bestämmelser som gör det möjligt att tillfälligt upphäva, begränsa eller avsluta associeringen vid en allvarlig överträdelse av de villkor som fastställs i avtalet, inklusive vid en allvarlig överträdelse av de grundläggande rättigheterna eller rättsstatsprincipen.</w:t>
            </w:r>
            <w:r>
              <w:t xml:space="preserve"> </w:t>
            </w:r>
            <w:r>
              <w:rPr>
                <w:b/>
                <w:i/>
              </w:rPr>
              <w:t>Om det finns starka och ihållande bevis för att ett associerat land inte uppfyller kravet på fullständig efterlevnad av internationell rätt som fastställs i punkt 3a, ska kommissionen utan dröjsmål inleda förfarandet för uppsägning av associeringsavtalet.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 – punkt 3c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Associeringsavtal enligt punkt 2 ska ingås i enlighet med artikel 218 i EUF-fördraget och ska kräva parlamentets godkännande i enlighet med artikel 218.6 a i EUF-fördraget.</w:t>
            </w:r>
            <w:r>
              <w:t xml:space="preserve"> </w:t>
            </w:r>
            <w:r>
              <w:rPr>
                <w:b/>
                <w:i/>
              </w:rPr>
              <w:t>Parlamentet ska i enlighet med artikel 218.10 i EUF-fördraget omedelbart och fullständigt informeras i alla skeden av förfarandet.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1866</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11a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Skyddsåtgärder som är tillämpliga på enheter som inte är etablerade i en medlemsstat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 xml:space="preserve"> </w:t>
            </w:r>
            <w:r>
              <w:rPr>
                <w:b/>
                <w:i/>
              </w:rPr>
              <w:t>Deltagande av enheter som är etablerade i de länder som avses i punkt 1 b, c och d ska förutsätta följande: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Avsaknad av kontroll från en enhet från ett icke-stödberättigat tredjeland.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En verifierbar garanti för försörjningstrygghet.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Ett villkor om ömsesidigt tillträde för unionens enheter till dessa länders marknader för offentlig upphandling och finansieringsprogram.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Efterlevnad av de överföringsrestriktioner som avses i artikel 10.2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1867</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ska genomföras genom arbetsprogram i enlighet med artikel 110 i förordning (EU, Euratom) 2024/2509.</w:t>
            </w:r>
          </w:p>
        </w:tc>
        <w:tc>
          <w:tcPr>
            <w:tcW w:w="4876" w:type="dxa"/>
            <w:tcBorders>
              <w:top w:val="nil"/>
              <w:left w:val="nil"/>
              <w:bottom w:val="nil"/>
              <w:right w:val="nil"/>
            </w:tcBorders>
          </w:tcPr>
          <w:p>
            <w:pPr>
              <w:pStyle w:val="Normal6a"/>
            </w:pPr>
            <w:r>
              <w:t>1.</w:t>
            </w:r>
            <w:r>
              <w:tab/>
            </w:r>
            <w:r>
              <w:t xml:space="preserve">EKF ska genomföras genom arbetsprogram i enlighet med artikel 110 i förordning (EU, Euratom) 2024/2509. </w:t>
            </w:r>
            <w:r>
              <w:rPr>
                <w:b/>
                <w:i/>
              </w:rPr>
              <w:t>Arbetsprogram som rör EKF:s InvestEU-instrument ska antas i enlighet med de investeringsriktlinjer som avses i artikel 21.5.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1868</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Radan Kanev, Virgil-Daniel Popescu, Eva Maydell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ska genomföras genom arbetsprogram i enlighet med artikel 110 i förordning (EU, Euratom) 2024/2509.</w:t>
            </w:r>
          </w:p>
        </w:tc>
        <w:tc>
          <w:tcPr>
            <w:tcW w:w="4876" w:type="dxa"/>
            <w:tcBorders>
              <w:top w:val="nil"/>
              <w:left w:val="nil"/>
              <w:bottom w:val="nil"/>
              <w:right w:val="nil"/>
            </w:tcBorders>
          </w:tcPr>
          <w:p>
            <w:pPr>
              <w:pStyle w:val="Normal6a"/>
            </w:pPr>
            <w:r>
              <w:t>1.</w:t>
            </w:r>
            <w:r>
              <w:tab/>
            </w:r>
            <w:r>
              <w:t>EKF ska genomföras genom arbetsprogram i enlighet med artikel 110 i förordning (EU, Euratom) 2024/2509</w:t>
            </w:r>
            <w:r>
              <w:rPr>
                <w:b/>
                <w:i/>
              </w:rPr>
              <w:t>, med undantag för den budget som avses i artikel 4.2 a, som fastställs i förväg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1869</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ska genomföras genom arbetsprogram i enlighet med artikel 110 i förordning (EU, Euratom) 2024/2509.</w:t>
            </w:r>
          </w:p>
        </w:tc>
        <w:tc>
          <w:tcPr>
            <w:tcW w:w="4876" w:type="dxa"/>
            <w:tcBorders>
              <w:top w:val="nil"/>
              <w:left w:val="nil"/>
              <w:bottom w:val="nil"/>
              <w:right w:val="nil"/>
            </w:tcBorders>
          </w:tcPr>
          <w:p>
            <w:pPr>
              <w:pStyle w:val="Normal6a"/>
            </w:pPr>
            <w:r>
              <w:t>1.</w:t>
            </w:r>
            <w:r>
              <w:tab/>
            </w:r>
            <w:r>
              <w:t>EKF ska genomföras genom arbetsprogram i enlighet med artikel 110 i förordning (EU, Euratom) 2024/2509</w:t>
            </w:r>
            <w:r>
              <w:rPr>
                <w:b/>
                <w:i/>
              </w:rPr>
              <w:t>, med undantag för den budget som avses i artikel 4.2 a, som fastställs i förväg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1870</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ska genomföras genom arbetsprogram i enlighet med artikel 110 i förordning (EU, Euratom) 2024/2509.</w:t>
            </w:r>
          </w:p>
        </w:tc>
        <w:tc>
          <w:tcPr>
            <w:tcW w:w="4876" w:type="dxa"/>
            <w:tcBorders>
              <w:top w:val="nil"/>
              <w:left w:val="nil"/>
              <w:bottom w:val="nil"/>
              <w:right w:val="nil"/>
            </w:tcBorders>
          </w:tcPr>
          <w:p>
            <w:pPr>
              <w:pStyle w:val="Normal6a"/>
            </w:pPr>
            <w:r>
              <w:t>1.</w:t>
            </w:r>
            <w:r>
              <w:tab/>
            </w:r>
            <w:r>
              <w:t>EKF ska genomföras genom arbetsprogram i enlighet med artikel 110 i förordning (EU, Euratom) 2024/2509</w:t>
            </w:r>
            <w:r>
              <w:rPr>
                <w:b/>
                <w:i/>
              </w:rPr>
              <w:t>, vilket säkerställer komplementaritet och synergier med andra relevanta unionsinstrument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EKF ska genomföras genom arbetsprogram i enlighet med artikel 110 i förordning (EU, Euratom) 2024/2509.</w:t>
            </w:r>
          </w:p>
        </w:tc>
        <w:tc>
          <w:tcPr>
            <w:tcW w:w="4876" w:type="dxa"/>
            <w:tcBorders>
              <w:top w:val="nil"/>
              <w:left w:val="nil"/>
              <w:bottom w:val="nil"/>
              <w:right w:val="nil"/>
            </w:tcBorders>
          </w:tcPr>
          <w:p>
            <w:pPr>
              <w:pStyle w:val="Normal6a"/>
            </w:pPr>
            <w:r>
              <w:t>1.</w:t>
            </w:r>
            <w:r>
              <w:tab/>
            </w:r>
            <w:r>
              <w:t xml:space="preserve">EKF ska genomföras genom </w:t>
            </w:r>
            <w:r>
              <w:rPr>
                <w:b/>
                <w:i/>
              </w:rPr>
              <w:t>fleråriga</w:t>
            </w:r>
            <w:r>
              <w:t xml:space="preserve"> arbetsprogram </w:t>
            </w:r>
            <w:r>
              <w:rPr>
                <w:b/>
                <w:i/>
              </w:rPr>
              <w:t>som omfattar minst tre år</w:t>
            </w:r>
            <w:r>
              <w:t xml:space="preserve"> i enlighet med artikel 110 i förordning (EU, Euratom) 2024/2509.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1872</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När kommissionen utarbetar arbetsprogrammen ska den ha ett nära samarbete med medlemsstaterna, inbegripet de behöriga regionala myndigheterna, i syfte att säkerställa samstämmighet mellan insatser inom ramen för EKF och nationella och regionala utvecklingsstrategier, strategier för smart specialisering och andra relevanta programplaneringsdokument, samtidigt som fondens europeiska strategiska mål skyddas.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1873</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Kommissionen ska säkerställa att den genomsnittliga tiden för beviljande vid tilldelningsförfaranden enligt denna förordning inte överstiger fem månader från sista dagen för inlämnande av förslag, och att den genomsnittliga tiden för utbetalning inte överstiger trettio dagar från den dag då villkoren för utbetalning uppfyllts. Kommissionen ska årligen rapportera till Europaparlamentet och rådet om dessa indikatorer.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1874</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Radan Kanev, Jan Farský, Rasa Juknevičienė, Andrey Kovatchev, Andrey Novakov, Ilia Lazarov, Emil Radev,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EKF ska genomföras i enlighet med förordning (EU, Euratom) 2024/2509, genom direkt förvaltning eller genom indirekt förvaltning med de enheter som avses i artikel 62.1 c i den förordningen.</w:t>
            </w:r>
          </w:p>
        </w:tc>
        <w:tc>
          <w:tcPr>
            <w:tcW w:w="4876" w:type="dxa"/>
            <w:tcBorders>
              <w:top w:val="nil"/>
              <w:left w:val="nil"/>
              <w:bottom w:val="nil"/>
              <w:right w:val="nil"/>
            </w:tcBorders>
          </w:tcPr>
          <w:p>
            <w:pPr>
              <w:pStyle w:val="Normal6a"/>
            </w:pPr>
            <w:r>
              <w:t>2.</w:t>
            </w:r>
            <w:r>
              <w:tab/>
            </w:r>
            <w:r>
              <w:t>EKF ska genomföras i enlighet med förordning (EU, Euratom) 2024/2509, genom direkt förvaltning eller genom indirekt förvaltning med de enheter som avses i artikel 62.1 c i den förordningen</w:t>
            </w:r>
            <w:r>
              <w:rPr>
                <w:b/>
                <w:i/>
              </w:rPr>
              <w:t>, på ett sätt som säkerställer förenklade förfaranden, särskilt rapporteringskrav och ansökningsprocesser för ansökningsomgångar, för att förbättra tillgängligheten för alla stödmottagare och slutmottagare, inklusive mindre aktörer och mindre erfarna sökande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1875</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EKF ska genomföras i enlighet med förordning (EU, Euratom) 2024/2509, genom direkt förvaltning eller genom indirekt förvaltning med de enheter som avses i artikel 62.1 c i den förordningen.</w:t>
            </w:r>
          </w:p>
        </w:tc>
        <w:tc>
          <w:tcPr>
            <w:tcW w:w="4876" w:type="dxa"/>
            <w:tcBorders>
              <w:top w:val="nil"/>
              <w:left w:val="nil"/>
              <w:bottom w:val="nil"/>
              <w:right w:val="nil"/>
            </w:tcBorders>
          </w:tcPr>
          <w:p>
            <w:pPr>
              <w:pStyle w:val="Normal6a"/>
            </w:pPr>
            <w:r>
              <w:t>2.</w:t>
            </w:r>
            <w:r>
              <w:tab/>
            </w:r>
            <w:r>
              <w:t>EKF ska genomföras i enlighet med förordning (EU, Euratom) 2024/2509, genom direkt förvaltning eller genom indirekt förvaltning med de enheter som avses i artikel 62.1 c i den förordningen</w:t>
            </w:r>
            <w:r>
              <w:rPr>
                <w:b/>
                <w:i/>
              </w:rPr>
              <w:t>, för att säkerställa samordning, komplementaritet och synergier med andra relevanta unionsinstrument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EKF ska genomföras i enlighet med förordning (EU, Euratom) 2024/2509, genom direkt förvaltning </w:t>
            </w:r>
            <w:r>
              <w:rPr>
                <w:b/>
                <w:i/>
              </w:rPr>
              <w:t>eller genom indirekt förvaltning med de enheter som avses i artikel 62.1 c i den förordningen</w:t>
            </w:r>
            <w:r>
              <w:t>.</w:t>
            </w:r>
          </w:p>
        </w:tc>
        <w:tc>
          <w:tcPr>
            <w:tcW w:w="4876" w:type="dxa"/>
            <w:tcBorders>
              <w:top w:val="nil"/>
              <w:left w:val="nil"/>
              <w:bottom w:val="nil"/>
              <w:right w:val="nil"/>
            </w:tcBorders>
          </w:tcPr>
          <w:p>
            <w:pPr>
              <w:pStyle w:val="Normal6a"/>
            </w:pPr>
            <w:r>
              <w:t>2.</w:t>
            </w:r>
            <w:r>
              <w:tab/>
            </w:r>
            <w:r>
              <w:t>EKF ska genomföras i enlighet med förordning (EU, Euratom) 2024/2509, genom direkt förvaltning.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1877</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Arbetsprogrammen får föreskriva att utvalda EKF-instrument genomförs genom decentraliserade mekanismer eller hybridmekanismer för genomförande, med deltagande av nationella och regionala genomförandeorgan, särskilt när det gäller territoriellt riktade insatser eller åtgärder som riktar sig till små och medelstora företag.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1878</w:t>
      </w:r>
      <w:r>
        <w:rPr>
          <w:rStyle w:val="HideTWBExt"/>
        </w:rPr>
        <w:t>&lt;/NumAm&gt;</w:t>
      </w:r>
    </w:p>
    <w:p>
      <w:pPr>
        <w:pStyle w:val="NormalBold"/>
      </w:pPr>
      <w:r>
        <w:rPr>
          <w:rStyle w:val="HideTWBExt"/>
          <w:b w:val="0"/>
        </w:rPr>
        <w:t>&lt;RepeatBlock-By&gt;</w:t>
      </w:r>
      <w:r>
        <w:rPr>
          <w:rStyle w:val="HideTWBExt"/>
          <w:b w:val="0"/>
        </w:rPr>
        <w:t>&lt;Members&gt;</w:t>
      </w:r>
      <w:r>
        <w:t>Christophe Clergeau, Jean-Marc Germain, Romana Jerković, Kristian Vigenin, Thomas Pellerin-Carlin,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EKF:s InvestEU-instrument ska vara det prioriterade alternativet för genomförandet för att frigöra ytterligare offentliga och privata investeringar.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ändringsförslag syftar till att återintroducera ändringar som antogs i SANT:s yttrande.</w:t>
      </w:r>
    </w:p>
    <w:p>
      <w:r>
        <w:rPr>
          <w:rStyle w:val="HideTWBExt"/>
        </w:rPr>
        <w:t>&lt;/Amend&gt;</w:t>
      </w:r>
    </w:p>
    <w:p>
      <w:pPr>
        <w:pStyle w:val="AmNumberTabs"/>
      </w:pPr>
      <w:r>
        <w:rPr>
          <w:rStyle w:val="HideTWBExt"/>
        </w:rPr>
        <w:t>&lt;Amend&gt;</w:t>
      </w:r>
      <w:r>
        <w:t>Ändringsförslag</w:t>
      </w:r>
      <w:r>
        <w:tab/>
      </w:r>
      <w:r>
        <w:tab/>
      </w:r>
      <w:r>
        <w:rPr>
          <w:rStyle w:val="HideTWBExt"/>
        </w:rPr>
        <w:t>&lt;NumAm&gt;</w:t>
      </w:r>
      <w:r>
        <w:t>1879</w:t>
      </w:r>
      <w:r>
        <w:rPr>
          <w:rStyle w:val="HideTWBExt"/>
        </w:rPr>
        <w:t>&lt;/NumAm&gt;</w:t>
      </w:r>
    </w:p>
    <w:p>
      <w:pPr>
        <w:pStyle w:val="NormalBold"/>
      </w:pPr>
      <w:r>
        <w:rPr>
          <w:rStyle w:val="HideTWBExt"/>
          <w:b w:val="0"/>
        </w:rPr>
        <w:t>&lt;RepeatBlock-By&gt;</w:t>
      </w:r>
      <w:r>
        <w:rPr>
          <w:rStyle w:val="HideTWBExt"/>
          <w:b w:val="0"/>
        </w:rPr>
        <w:t>&lt;Members&gt;</w:t>
      </w:r>
      <w:r>
        <w:t>Yvan Verougstraete, Pascal Canfin, Stine Bosse, Sigrid Friis, Morten Løkkegaard,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EKF:s InvestEU-instrument ska vara det prioriterade alternativet för genomförandet för att frigöra ytterligare offentliga och privata investeringar.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När arbetsprogrammen rör genomförande av sådan verksamhet som avses i artikel 42 ska de innehålla ett särskilt kapitel om kritiska råmaterial.</w:t>
            </w:r>
            <w:r>
              <w:t xml:space="preserve"> </w:t>
            </w:r>
            <w:r>
              <w:rPr>
                <w:b/>
                <w:i/>
              </w:rPr>
              <w:t>I det kapitlet ska åtminstone följande anges:</w:t>
            </w:r>
            <w:r>
              <w:t xml:space="preserve"> </w:t>
            </w:r>
            <w:r>
              <w:rPr>
                <w:b/>
                <w:i/>
              </w:rPr>
              <w:t>De stödberättigande kostnadskategorierna.</w:t>
            </w:r>
            <w:r>
              <w:t xml:space="preserve"> </w:t>
            </w:r>
            <w:r>
              <w:rPr>
                <w:b/>
                <w:i/>
              </w:rPr>
              <w:t>De former av unionsstöd som finns, inbegripet bidrag, upphandling, budgetgarantier, finansieringsinstrument och blandfinansieringsinsatser.</w:t>
            </w:r>
            <w:r>
              <w:t xml:space="preserve"> </w:t>
            </w:r>
            <w:r>
              <w:rPr>
                <w:b/>
                <w:i/>
              </w:rPr>
              <w:t>Villkoren för stöd till prospektering, utvinning, bearbetning, raffinering, återvinning, lagerhållning, inköp, långsiktiga offtake-avtal och tillhörande infrastruktur.</w:t>
            </w:r>
            <w:r>
              <w:t xml:space="preserve"> </w:t>
            </w:r>
            <w:r>
              <w:rPr>
                <w:b/>
                <w:i/>
              </w:rPr>
              <w:t>Kriterierna för urval och tilldelning av stöd till råmaterialsprojekt.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Projekt för kritiska råmaterial, särskilt inom utvinning, bearbetning och återvinning, kännetecknas av långa ledtider, hög kapitalintensitet och särskilda risker vad gäller tillståndsgivning och miljö.</w:t>
      </w:r>
      <w:r>
        <w:t xml:space="preserve"> </w:t>
      </w:r>
      <w:r>
        <w:t>Arbetsprogrammens struktur enligt artikel 12 bör för dessa projekt uttryckligen ange de stödberättigande kostnadskategorierna, de tillgängliga formerna av unionsstöd samt urvals- och tilldelningsvillkoren.</w:t>
      </w:r>
      <w:r>
        <w:t xml:space="preserve"> </w:t>
      </w:r>
      <w:r>
        <w:t>Detta säkerställer förutsägbarhet för projektansvariga och återspeglar rekommendationerna i förordningen om kritiska råvaror i fråga om operativa planer.</w:t>
      </w:r>
    </w:p>
    <w:p>
      <w:r>
        <w:rPr>
          <w:rStyle w:val="HideTWBExt"/>
        </w:rPr>
        <w:t>&lt;/Amend&gt;</w:t>
      </w:r>
    </w:p>
    <w:p>
      <w:pPr>
        <w:pStyle w:val="AmNumberTabs"/>
      </w:pPr>
      <w:r>
        <w:rPr>
          <w:rStyle w:val="HideTWBExt"/>
        </w:rPr>
        <w:t>&lt;Amend&gt;</w:t>
      </w:r>
      <w:r>
        <w:t>Ändringsförslag</w:t>
      </w:r>
      <w:r>
        <w:tab/>
      </w:r>
      <w:r>
        <w:tab/>
      </w:r>
      <w:r>
        <w:rPr>
          <w:rStyle w:val="HideTWBExt"/>
        </w:rPr>
        <w:t>&lt;NumAm&gt;</w:t>
      </w:r>
      <w:r>
        <w:t>1881</w:t>
      </w:r>
      <w:r>
        <w:rPr>
          <w:rStyle w:val="HideTWBExt"/>
        </w:rPr>
        <w:t>&lt;/NumAm&gt;</w:t>
      </w:r>
    </w:p>
    <w:p>
      <w:pPr>
        <w:pStyle w:val="NormalBold"/>
      </w:pPr>
      <w:r>
        <w:rPr>
          <w:rStyle w:val="HideTWBExt"/>
          <w:b w:val="0"/>
        </w:rPr>
        <w:t>&lt;RepeatBlock-By&gt;</w:t>
      </w:r>
      <w:r>
        <w:rPr>
          <w:rStyle w:val="HideTWBExt"/>
          <w:b w:val="0"/>
        </w:rPr>
        <w:t>&lt;Members&gt;</w:t>
      </w:r>
      <w:r>
        <w:t>Dan Nica, Borys Budka,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Vid tilldelningsförfaranden ska utvärderingen, utöver spetskompetenskriterier, ta hänsyn till geografisk balans, ekonomisk resiliens, en gränsöverskridande dimension, ekonomisk tillväxtdynamik i medlemsstaterna och regionerna, stödet till EU-omfattande värdekedjor och tillgången till kritiska och sällsynta råmaterial, för att säkerställa att alla medlemsstater kan dra nytta av dessa resurser.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EKF-medlen bör användas lika i alla medlemsstater för att undvika koncentration endast i vissa medlemsstater.</w:t>
      </w:r>
    </w:p>
    <w:p>
      <w:r>
        <w:rPr>
          <w:rStyle w:val="HideTWBExt"/>
        </w:rPr>
        <w:t>&lt;/Amend&gt;</w:t>
      </w:r>
    </w:p>
    <w:p>
      <w:pPr>
        <w:pStyle w:val="AmNumberTabs"/>
      </w:pPr>
      <w:r>
        <w:rPr>
          <w:rStyle w:val="HideTWBExt"/>
        </w:rPr>
        <w:t>&lt;Amend&gt;</w:t>
      </w:r>
      <w:r>
        <w:t>Ändringsförslag</w:t>
      </w:r>
      <w:r>
        <w:tab/>
      </w:r>
      <w:r>
        <w:tab/>
      </w:r>
      <w:r>
        <w:rPr>
          <w:rStyle w:val="HideTWBExt"/>
        </w:rPr>
        <w:t>&lt;NumAm&gt;</w:t>
      </w:r>
      <w:r>
        <w:t>1882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För att säkerställa en balanserad utveckling i hela unionen ska minst 35 % av medlen inom EKF gå till enheter från medlemsstater vars BNI per capita fortfarande ligger under EU-genomsnittet.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1883</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När tilldelningsförfarandena rör fler än ett särskilt mål i artikel 3.2 får arbetsprogrammet ange att tilldelningsförfarandet ska genomföras enligt en enda uppsättning regler genom direkt tillämpning av förordning (EU, Euratom) 2024/2509, kompletterat med de allmänna reglerna i kapitel I och II, eller genom tillämpning av reglerna för ett av de aktuella särskilda målen.</w:t>
            </w:r>
          </w:p>
        </w:tc>
        <w:tc>
          <w:tcPr>
            <w:tcW w:w="4876" w:type="dxa"/>
            <w:tcBorders>
              <w:top w:val="nil"/>
              <w:left w:val="nil"/>
              <w:bottom w:val="nil"/>
              <w:right w:val="nil"/>
            </w:tcBorders>
          </w:tcPr>
          <w:p>
            <w:pPr>
              <w:pStyle w:val="Normal6a"/>
            </w:pPr>
            <w:r>
              <w:t>4.</w:t>
            </w:r>
            <w:r>
              <w:tab/>
            </w:r>
            <w:r>
              <w:t xml:space="preserve">När tilldelningsförfarandena rör fler än ett särskilt mål i artikel 3.2 får arbetsprogrammet ange att tilldelningsförfarandet ska genomföras enligt en enda uppsättning regler genom direkt tillämpning av förordning (EU, Euratom) 2024/2509, kompletterat med de allmänna reglerna i kapitel I och II, eller genom tillämpning av reglerna för ett av de aktuella särskilda målen. </w:t>
            </w:r>
            <w:r>
              <w:rPr>
                <w:b/>
                <w:i/>
              </w:rPr>
              <w:t>En ansökningsomgång får äga rum inom ramen för fler än ett politikområde, och kombinera medel från relevanta politikområden så att de bidrar till en ansökningsomgång som bidrar till de särskilda målen för fler än ett politikområde, så som fastställs i artikel 3.2.</w:t>
            </w:r>
            <w:r>
              <w:t xml:space="preserve"> </w:t>
            </w:r>
            <w:r>
              <w:rPr>
                <w:b/>
                <w:i/>
              </w:rPr>
              <w:t>Ansökningsomgångar och tilldelningsförfaranden som rör teknikinfrastruktur får utformas och finansieras genom flera politikområden när så är relevant för att tillgodose sektorsövergripande investeringsbehov, inbegripet ren omställning, hälsa och bioekonomi, resiliens och säkerhet samt digitala frågor.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När tilldelningsförfarandena rör fler än ett särskilt mål i artikel 3.2 </w:t>
            </w:r>
            <w:r>
              <w:rPr>
                <w:b/>
                <w:i/>
              </w:rPr>
              <w:t>får</w:t>
            </w:r>
            <w:r>
              <w:t xml:space="preserve"> arbetsprogrammet ange </w:t>
            </w:r>
            <w:r>
              <w:rPr>
                <w:b/>
                <w:i/>
              </w:rPr>
              <w:t>att tilldelningsförfarandet ska genomföras enligt en enda uppsättning regler genom direkt tillämpning av förordning (EU, Euratom) 2024/2509, kompletterat med de allmänna reglerna i kapitel I och II, eller genom tillämpning av</w:t>
            </w:r>
            <w:r>
              <w:t xml:space="preserve"> reglerna för </w:t>
            </w:r>
            <w:r>
              <w:rPr>
                <w:b/>
                <w:i/>
              </w:rPr>
              <w:t>ett av</w:t>
            </w:r>
            <w:r>
              <w:t xml:space="preserve"> de aktuella särskilda målen.</w:t>
            </w:r>
          </w:p>
        </w:tc>
        <w:tc>
          <w:tcPr>
            <w:tcW w:w="4876" w:type="dxa"/>
            <w:tcBorders>
              <w:top w:val="nil"/>
              <w:left w:val="nil"/>
              <w:bottom w:val="nil"/>
              <w:right w:val="nil"/>
            </w:tcBorders>
          </w:tcPr>
          <w:p>
            <w:pPr>
              <w:pStyle w:val="Normal6a"/>
            </w:pPr>
            <w:r>
              <w:t>4.</w:t>
            </w:r>
            <w:r>
              <w:tab/>
            </w:r>
            <w:r>
              <w:t xml:space="preserve">När tilldelningsförfarandena rör fler än ett särskilt mål i artikel 3.2 </w:t>
            </w:r>
            <w:r>
              <w:rPr>
                <w:b/>
                <w:i/>
              </w:rPr>
              <w:t>ska</w:t>
            </w:r>
            <w:r>
              <w:t xml:space="preserve"> arbetsprogrammet ange </w:t>
            </w:r>
            <w:r>
              <w:rPr>
                <w:b/>
                <w:i/>
              </w:rPr>
              <w:t>det särskilda tilldelningsförfarande som är anpassat till</w:t>
            </w:r>
            <w:r>
              <w:t xml:space="preserve"> reglerna för de aktuella särskilda målen.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1885</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Utöver de indikatorer som anges i Europaparlamentets och rådets förordning [prestationsförordningen] ska kommissionen dessutom genomföra EKF på grundval av en regelbunden analys av programgenomförandet, deltagandetrender och tillträdeshinder med bland annat relevanta programförvaltningsdata och nätverksanalyser.</w:t>
            </w:r>
            <w:r>
              <w:rPr>
                <w:b/>
                <w:i/>
              </w:rPr>
              <w:t>På grundval av detta ska kommissionen vidta förebyggande och korrigerande åtgärder för att säkerställa ett brett deltagande, undvika omotiverade koncentrationer och uppnå en EU-omfattande täckning.</w:t>
            </w:r>
            <w:r>
              <w:rPr>
                <w:b/>
                <w:i/>
              </w:rPr>
              <w:t>I detta syfte ska kommissionen särskilt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fastställa lägsta vägledande tröskelvärden, på grundval av objektiva och transparenta kriterier, för fördelning av medel till uppstartsföretag och förstagångssökande inom ramen för vissa ansökningsomgångar eller instrument inom EKF, särskilt i syfte att säkerställa en rättvis geografisk fördelning och stärka innovationskapaciteten hos små och medelstora företag och enheter från mindre utvecklade regioner och medlemsstater samt från övergångsregioner och övergångsmedlemsstater,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stödja integreringen av enheter från olika medlemsstater i värdekedjorna på den inre marknaden, i enlighet med artikel 16, bland annat genom att främja en multinationell sammansättning av konsortier eller i värdekedjan och genom att underlätta ett meningsfullt deltagande för små och medelstora företag i sådana värdekedjor, särskilt företag från mindre utvecklade regioner och övergångsregioner.</w:t>
            </w:r>
            <w:r>
              <w:rPr>
                <w:b/>
                <w:i/>
              </w:rPr>
              <w:t>Detta ska inbegripa prioritetspoäng, riktad kontaktförmedling, program för kapacitetsuppbyggnad och bestämmelser om minskade administrativa bördor för mindre enheter.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Kommissionen ska regelbundet involvera medlemsstaterna i utformningen och övervakningen av dessa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Vederbörliga ansträngningar ska göras för att i slutet av investeringsperioden säkerställa att ett brett spektrum av sektorer och regioner har täckts och att alltför stor sektoriell eller geografisk koncentration har undvikits.</w:t>
            </w:r>
            <w:r>
              <w:rPr>
                <w:b/>
                <w:i/>
              </w:rPr>
              <w:t>Kommissionen ska utforma en enhetlig strategi för att stödja dessa ansträngningar.</w:t>
            </w:r>
            <w:r>
              <w:rPr>
                <w:b/>
                <w:i/>
              </w:rPr>
              <w:t>Övervakningsmekanismen ska årligen övervaka och rapportera om uppfyllandet av detta mål på medlemsstatsnivå och regional nivå.</w:t>
            </w:r>
            <w:r>
              <w:rPr>
                <w:b/>
                <w:i/>
              </w:rPr>
              <w:t>Vid sektoriell eller geografisk koncentration ska kommissionen vidta korrigerande åtgärder för att säkerställa att målet enligt denna punkt uppnås.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För att främja en balanserad fördelning av resurser inom EKF ska kommissionen genomföra den på grundval av en regelbunden analys av deltagandetrender och tillträdeshinder.</w:t>
            </w:r>
            <w:r>
              <w:rPr>
                <w:b/>
                <w:i/>
              </w:rPr>
              <w:t>I detta syfte ska kommissionen vidta särskilda åtgärder, särskilt följande: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Fastställa lägsta vägledande tröskelvärden för tilldelning av finansiering till medlemsstater som avses i artikel 12.3 inom ramen för vissa ansökningsomgångar eller instrument inom EKF, på grundval av objektiva och transparenta kriterier.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Stödja integreringen av enheter från olika medlemsstater i värdekedjorna på den inre marknaden, i enlighet med artikel 16, särskilt genom att säkerställa geografisk balans i sammansättningen av konsortier eller i värdekedjan.</w:t>
            </w:r>
            <w:r>
              <w:t xml:space="preserve"> </w:t>
            </w:r>
            <w:r>
              <w:rPr>
                <w:b/>
                <w:i/>
              </w:rPr>
              <w:t>Kommissionen ska regelbundet involvera medlemsstaterna i utformningen och övervakningen av sådana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1887</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Utöver de indikatorer som anges i Europaparlamentets och rådets förordning (EU) [XXX]23 [prestationsförordningen] ska kommissionen genomföra EKF på grundval av en regelbunden analys av programgenomförandet, deltagandetrender och tillträdeshinder med bland annat relevanta programförvaltningsdata och nätverksanalyser.</w:t>
            </w:r>
            <w:r>
              <w:rPr>
                <w:b/>
                <w:i/>
              </w:rPr>
              <w:t>På grundval av detta ska kommissionen vidta förebyggande och korrigerande åtgärder för att säkerställa ett brett deltagande, undvika omotiverade koncentrationer och uppnå en EU-omfattande inverkan.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detta syfte ska kommissionen särskilt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fastställa lägsta vägledande tröskelvärden, på grundval av objektiva och transparenta kriterier, för fördelning av medel till uppstartsföretag och förstagångssökande inom ramen för vissa av EKF:s ansökningsomgångar eller instrument,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stödja integreringen av enheter från olika medlemsstater i värdekedjorna på den inre marknaden, i enlighet med artikel 16, bland annat genom att främja multinationell sammansättning av konsortier eller i värdekedjan,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Kommissionen ska regelbundet involvera medlemsstaterna i utformningen och övervakningen av dessa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1888</w:t>
      </w:r>
      <w:r>
        <w:rPr>
          <w:rStyle w:val="HideTWBExt"/>
        </w:rPr>
        <w:t>&lt;/NumAm&gt;</w:t>
      </w:r>
    </w:p>
    <w:p>
      <w:pPr>
        <w:pStyle w:val="NormalBold"/>
      </w:pPr>
      <w:r>
        <w:rPr>
          <w:rStyle w:val="HideTWBExt"/>
          <w:b w:val="0"/>
        </w:rPr>
        <w:t>&lt;RepeatBlock-By&gt;</w:t>
      </w:r>
      <w:r>
        <w:rPr>
          <w:rStyle w:val="HideTWBExt"/>
          <w:b w:val="0"/>
        </w:rPr>
        <w:t>&lt;Members&gt;</w:t>
      </w:r>
      <w:r>
        <w:t>Borys Budka, Radan Kanev,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Eszter Lakos, Nikolina Brnjac, Davor Ivo Stier, Danuše Nerudová, Eva Maydell,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Genomförandet av EKF ska ske på grundval av en regelbunden analys av programgenomförandet, deltagandetrender och tillträdeshinder med bland annat relevanta programförvaltningsdata och nätverksanalyser.</w:t>
            </w:r>
            <w:r>
              <w:t xml:space="preserve"> </w:t>
            </w:r>
            <w:r>
              <w:rPr>
                <w:b/>
                <w:i/>
              </w:rPr>
              <w:t>På grundval av detta ska kommissionen ompröva och vidta åtgärder för att säkerställa ett omfattande geografiskt deltagande, undvika omotiverade koncentrationer och uppnå en EU-omfattande inverkan.</w:t>
            </w:r>
            <w:r>
              <w:t xml:space="preserve"> </w:t>
            </w:r>
            <w:r>
              <w:rPr>
                <w:b/>
                <w:i/>
              </w:rPr>
              <w:t>I detta syfte ska kommissionen särskilt a) fastställa lägsta vägledande tröskelvärden, på grundval av objektiva och transparenta kriterier, för fördelning av medel till uppstartsföretag och förstagångssökande inom ramen för vissa ansökningsomgångar eller instrument inom EKF, b) stödja integreringen av enheter från olika medlemsstater i värdekedjorna på den inre marknaden, i enlighet med artikel 16, bland annat genom att främja multinationell sammansättning av konsortier eller i värdekedjan, c) upprätta en geografisk resultattavla för projekt som finansieras av EKF, vilken bör uppdateras i vederbörlig ordning varje år.</w:t>
            </w:r>
            <w:r>
              <w:t xml:space="preserve"> </w:t>
            </w:r>
            <w:r>
              <w:rPr>
                <w:b/>
                <w:i/>
              </w:rPr>
              <w:t>Kommissionen ska regelbundet involvera medlemsstaterna och Europaparlamentet i utformningen och övervakningen av dessa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1889</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Utöver de indikatorer som anges i Europaparlamentets och rådets prestationsförordning ska kommissionen dessutom genomföra EKF på grundval av en regelbunden analys av programgenomförandet, deltagandetrender och tillträdeshinder med bland annat relevanta programförvaltningsdata och nätverksanalyser.</w:t>
            </w:r>
            <w:r>
              <w:rPr>
                <w:b/>
                <w:i/>
              </w:rPr>
              <w:t>På grundval av detta ska kommissionen vidta förebyggande och korrigerande åtgärder för att säkerställa ett brett deltagande, undvika omotiverade koncentrationer och uppnå en EU-omfattande inverkan.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detta syfte ska kommissionen särskilt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fastställa lägsta vägledande tröskelvärden, på grundval av objektiva och transparenta kriterier, för fördelning av medel till uppstartsföretag och förstagångssökande inom ramen för vissa av EKF:s ansökningsomgångar eller instrument,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stödja integreringen av enheter från olika medlemsstater i värdekedjorna på den inre marknaden, i enlighet med artikel 16, bland annat genom att främja multinationell sammansättning av konsortier eller i värdekedjan,</w:t>
            </w:r>
            <w:r>
              <w:t xml:space="preserve"> </w:t>
            </w:r>
            <w:r>
              <w:rPr>
                <w:b/>
                <w:i/>
              </w:rPr>
              <w:t>Kommissionen ska regelbundet involvera medlemsstaterna i utformningen och övervakningen av dessa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1890</w:t>
      </w:r>
      <w:r>
        <w:rPr>
          <w:rStyle w:val="HideTWBExt"/>
        </w:rPr>
        <w:t>&lt;/NumAm&gt;</w:t>
      </w:r>
    </w:p>
    <w:p>
      <w:pPr>
        <w:pStyle w:val="NormalBold"/>
      </w:pPr>
      <w:r>
        <w:rPr>
          <w:rStyle w:val="HideTWBExt"/>
          <w:b w:val="0"/>
        </w:rPr>
        <w:t>&lt;RepeatBlock-By&gt;</w:t>
      </w:r>
      <w:r>
        <w:rPr>
          <w:rStyle w:val="HideTWBExt"/>
          <w:b w:val="0"/>
        </w:rPr>
        <w:t>&lt;Members&gt;</w:t>
      </w:r>
      <w:r>
        <w:t>Brigitte van den Berg,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 tilldelningsförfaranden inom EKF ska prioritet ges till ansökningar som lämnats in av konsortier bestående av företag som är etablerade i olika medlemsstater.</w:t>
            </w:r>
            <w:r>
              <w:t xml:space="preserve"> </w:t>
            </w:r>
            <w:r>
              <w:rPr>
                <w:b/>
                <w:i/>
              </w:rPr>
              <w:t>Utvärderingskommittéerna får tillämpa en finansieringsbonus på finansieringssatsen eller tilldelningspoängen för sådana konsortier om minst ett av de deltagande företagen är etablerat i ett territorium som har fått stöd inom ramen för Fonden för en rättvis omställning i enlighet med förordning (EU) 2021/1056.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1891</w:t>
      </w:r>
      <w:r>
        <w:rPr>
          <w:rStyle w:val="HideTWBExt"/>
        </w:rPr>
        <w:t>&lt;/NumAm&gt;</w:t>
      </w:r>
    </w:p>
    <w:p>
      <w:pPr>
        <w:pStyle w:val="NormalBold"/>
      </w:pPr>
      <w:r>
        <w:rPr>
          <w:rStyle w:val="HideTWBExt"/>
          <w:b w:val="0"/>
        </w:rPr>
        <w:t>&lt;RepeatBlock-By&gt;</w:t>
      </w:r>
      <w:r>
        <w:rPr>
          <w:rStyle w:val="HideTWBExt"/>
          <w:b w:val="0"/>
        </w:rPr>
        <w:t>&lt;Members&gt;</w:t>
      </w:r>
      <w:r>
        <w:t>Dan Nica,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 tilldelningsförfaranden inom EKF ska prioritet ges till ansökningar som lämnats in av konsortier bestående av företag som är etablerade i olika medlemsstater.</w:t>
            </w:r>
            <w:r>
              <w:t xml:space="preserve"> </w:t>
            </w:r>
            <w:r>
              <w:rPr>
                <w:b/>
                <w:i/>
              </w:rPr>
              <w:t>Utvärderingskommittéerna ska tillämpa en finansieringsbonus på finansieringssatsen eller tilldelningspoängen för sådana konsortier om minst ett av de deltagande företagen är etablerat i en av unionens östra gränsregioner som påverkas av Rysslands anfallskrig mot Ukraina.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EKF-medlen bör användas lika i alla medlemsstater, särskilt de som är mer utsatta för Rysslands aggression mot Ukraina, för att undvika koncentration endast i vissa medlemsstater.</w:t>
      </w:r>
    </w:p>
    <w:p>
      <w:r>
        <w:rPr>
          <w:rStyle w:val="HideTWBExt"/>
        </w:rPr>
        <w:t>&lt;/Amend&gt;</w:t>
      </w:r>
    </w:p>
    <w:p>
      <w:pPr>
        <w:pStyle w:val="AmNumberTabs"/>
      </w:pPr>
      <w:r>
        <w:rPr>
          <w:rStyle w:val="HideTWBExt"/>
        </w:rPr>
        <w:t>&lt;Amend&gt;</w:t>
      </w:r>
      <w:r>
        <w:t>Ändringsförslag</w:t>
      </w:r>
      <w:r>
        <w:tab/>
      </w:r>
      <w:r>
        <w:tab/>
      </w:r>
      <w:r>
        <w:rPr>
          <w:rStyle w:val="HideTWBExt"/>
        </w:rPr>
        <w:t>&lt;NumAm&gt;</w:t>
      </w:r>
      <w:r>
        <w:t>1892</w:t>
      </w:r>
      <w:r>
        <w:rPr>
          <w:rStyle w:val="HideTWBExt"/>
        </w:rPr>
        <w:t>&lt;/NumAm&gt;</w:t>
      </w:r>
    </w:p>
    <w:p>
      <w:pPr>
        <w:pStyle w:val="NormalBold"/>
      </w:pPr>
      <w:r>
        <w:rPr>
          <w:rStyle w:val="HideTWBExt"/>
          <w:b w:val="0"/>
        </w:rPr>
        <w:t>&lt;RepeatBlock-By&gt;</w:t>
      </w:r>
      <w:r>
        <w:rPr>
          <w:rStyle w:val="HideTWBExt"/>
          <w:b w:val="0"/>
        </w:rPr>
        <w:t>&lt;Members&gt;</w:t>
      </w:r>
      <w:r>
        <w:t>Rihards Kols, Cristian Terheş</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 tilldelningsförfaranden inom EKF ska prioritet ges till ansökningar som lämnats in av konsortier bestående av företag som är etablerade i olika medlemsstater.</w:t>
            </w:r>
            <w:r>
              <w:t xml:space="preserve"> </w:t>
            </w:r>
            <w:r>
              <w:rPr>
                <w:b/>
                <w:i/>
              </w:rPr>
              <w:t>Utvärderingskommittéerna får tillämpa en finansieringsbonus på finansieringssatsen eller tilldelningspoängen för sådana konsortier om minst ett av de deltagande företagen är etablerat i en av unionens östra gränsregioner som påverkas av Rysslands anfallskrig mot Ukraina.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 tilldelningsförfaranden inom EKF ska prioritet ges till ansökningar som lämnats in av konsortier bestående av företag som är etablerade i olika medlemsstater.</w:t>
            </w:r>
            <w:r>
              <w:t xml:space="preserve"> </w:t>
            </w:r>
            <w:r>
              <w:rPr>
                <w:b/>
                <w:i/>
              </w:rPr>
              <w:t>Utvärderingskommittéerna får tillämpa en finansieringsbonus på finansieringssatsen eller tilldelningspoängen för sådana konsortier om minst ett av de deltagande företagen är etablerat i en av unionens östra gränsregioner som påverkas av Rysslands anfallskrig mot Ukraina.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1894</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Under vissa vederbörligen motiverade omständigheter får unionsfinansiering beviljas utan något meddelande om ansökningsomgång i enlighet med artikel 198 i Europaparlamentets och rådets förordning (EU, Euratom) 2024/2509, inbegripet led 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Under vissa vederbörligen motiverade omständigheter får unionsfinansiering beviljas utan något meddelande om ansökningsomgång i enlighet med artikel 198 i Europaparlamentets och rådets förordning (EU, Euratom) 2024/2509, inbegripet led e.</w:t>
            </w:r>
          </w:p>
        </w:tc>
        <w:tc>
          <w:tcPr>
            <w:tcW w:w="4876" w:type="dxa"/>
            <w:tcBorders>
              <w:top w:val="nil"/>
              <w:left w:val="nil"/>
              <w:bottom w:val="nil"/>
              <w:right w:val="nil"/>
            </w:tcBorders>
          </w:tcPr>
          <w:p>
            <w:pPr>
              <w:pStyle w:val="Normal6a"/>
            </w:pPr>
            <w:r>
              <w:t>5.</w:t>
            </w:r>
            <w:r>
              <w:tab/>
            </w:r>
            <w:r>
              <w:t xml:space="preserve">Under vissa vederbörligen motiverade </w:t>
            </w:r>
            <w:r>
              <w:rPr>
                <w:b/>
                <w:i/>
              </w:rPr>
              <w:t>och exceptionella</w:t>
            </w:r>
            <w:r>
              <w:t xml:space="preserve"> omständigheter får unionsfinansiering beviljas utan något meddelande om ansökningsomgång i enlighet med artikel 198 i Europaparlamentets och rådets förordning (EU, Euratom) 2024/2509, inbegripet led 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1896</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För alla tilldelningsförfaranden inom EKF ska arbetsprogrammet fastställa ett mål för handläggningstiden för beviljande som inte överstiger åtta månader från tidsfristen för inlämnande av förslag till undertecknandet av det rättsliga åtagandet.</w:t>
            </w:r>
            <w:r>
              <w:t xml:space="preserve"> </w:t>
            </w:r>
            <w:r>
              <w:rPr>
                <w:b/>
                <w:i/>
              </w:rPr>
              <w:t>För tilldelningsförfaranden som riktar sig till små och medelstora företag och små midcapföretag, inbegripet de som omfattas av de bonusar för små och medelstora företag som avses i artikel 25, får handläggningstiden för beviljande inte överstiga fem månader och proportionerliga, förenklade revisions- och rapporteringsskyldigheter ska gälla.</w:t>
            </w:r>
            <w:r>
              <w:t xml:space="preserve"> </w:t>
            </w:r>
            <w:r>
              <w:rPr>
                <w:b/>
                <w:i/>
              </w:rPr>
              <w:t>Kommissionen ska rapportera om överensstämmelsen med dessa mål i den årliga verksamhetsrapport som avses i artikel 74.9 i förordning (EU, Euratom) 2024/2509.</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Både i Letta-rapporten och Draghi-rapporten identifieras tidsåtgången och komplexiteten i unionens tilldelningsförfaranden som en strukturell svaghet för den europeiska konkurrenskraften, särskilt för små och medelstora företag och små midcapföretag.</w:t>
      </w:r>
      <w:r>
        <w:t xml:space="preserve"> </w:t>
      </w:r>
      <w:r>
        <w:t>I skälen i kommissionens förslag åläggs EKF att tillämpa användarcentrerade, snabba och enhetliga förfaranden, vilket bör omvandlas till ett allmänt mål för handläggningstiden för beviljande av stöd och ett mål om ännu kortare handläggningstid för förfaranden som riktar sig till små och medelstora företag.</w:t>
      </w:r>
      <w:r>
        <w:t xml:space="preserve"> </w:t>
      </w:r>
      <w:r>
        <w:t>Rapporteringsskyldigheten möjliggör en ändamålsenlig övervakning utan att skapa en ytterligare administrativ börda för stödmottagarna.</w:t>
      </w:r>
    </w:p>
    <w:p>
      <w:r>
        <w:rPr>
          <w:rStyle w:val="HideTWBExt"/>
        </w:rPr>
        <w:t>&lt;/Amend&gt;</w:t>
      </w:r>
    </w:p>
    <w:p>
      <w:pPr>
        <w:pStyle w:val="AmNumberTabs"/>
      </w:pPr>
      <w:r>
        <w:rPr>
          <w:rStyle w:val="HideTWBExt"/>
        </w:rPr>
        <w:t>&lt;Amend&gt;</w:t>
      </w:r>
      <w:r>
        <w:t>Ändringsförslag</w:t>
      </w:r>
      <w:r>
        <w:tab/>
      </w:r>
      <w:r>
        <w:tab/>
      </w:r>
      <w:r>
        <w:rPr>
          <w:rStyle w:val="HideTWBExt"/>
        </w:rPr>
        <w:t>&lt;NumAm&gt;</w:t>
      </w:r>
      <w:r>
        <w:t>1897</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Unionsfinansiering får tillhandahållas i alla former som anges i förordning (EU, Euratom) 2024/2509, bland annat i form av bidrag, priser, upphandling, icke-finansiella donationer, budgetgarantier och finansieringsinstrument.</w:t>
            </w:r>
          </w:p>
        </w:tc>
        <w:tc>
          <w:tcPr>
            <w:tcW w:w="4876" w:type="dxa"/>
            <w:tcBorders>
              <w:top w:val="nil"/>
              <w:left w:val="nil"/>
              <w:bottom w:val="nil"/>
              <w:right w:val="nil"/>
            </w:tcBorders>
          </w:tcPr>
          <w:p>
            <w:pPr>
              <w:pStyle w:val="Normal6a"/>
            </w:pPr>
            <w:r>
              <w:t>6.</w:t>
            </w:r>
            <w:r>
              <w:tab/>
            </w:r>
            <w:r>
              <w:t xml:space="preserve">Unionsfinansiering får tillhandahållas i alla former som anges i förordning (EU, Euratom) 2024/2509, bland annat i form av bidrag, priser, upphandling, icke-finansiella donationer, budgetgarantier och finansieringsinstrument. </w:t>
            </w:r>
            <w:r>
              <w:rPr>
                <w:b/>
                <w:i/>
              </w:rPr>
              <w:t>Företräde bör ges till marknadsbaserade instrument.</w:t>
            </w:r>
            <w:r>
              <w:t xml:space="preserve"> </w:t>
            </w:r>
            <w:r>
              <w:rPr>
                <w:b/>
                <w:i/>
              </w:rPr>
              <w:t>Kommissionen och genomförandepartnerna ska prioritera riskminskning som maximerar den privata lånedelen.</w:t>
            </w:r>
            <w:r>
              <w:t xml:space="preserve"> </w:t>
            </w:r>
            <w:r>
              <w:rPr>
                <w:b/>
                <w:i/>
              </w:rPr>
              <w:t>Direkta bidrag ska endast användas som en sista utväg och i strikt komplementaritet med privat kapital.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Unionsfinansiering får</w:t>
            </w:r>
            <w:r>
              <w:t xml:space="preserve"> tillhandahållas </w:t>
            </w:r>
            <w:r>
              <w:rPr>
                <w:b/>
                <w:i/>
              </w:rPr>
              <w:t>i alla former som anges i förordning (EU, Euratom) 2024/2509, bland annat i form av bidrag, priser,</w:t>
            </w:r>
            <w:r>
              <w:t xml:space="preserve"> upphandling</w:t>
            </w:r>
            <w:r>
              <w:rPr>
                <w:b/>
                <w:i/>
              </w:rPr>
              <w:t>, icke-finansiella donationer, budgetgarantier och finansieringsinstrument</w:t>
            </w:r>
            <w:r>
              <w:t>.</w:t>
            </w:r>
          </w:p>
        </w:tc>
        <w:tc>
          <w:tcPr>
            <w:tcW w:w="4876" w:type="dxa"/>
            <w:tcBorders>
              <w:top w:val="nil"/>
              <w:left w:val="nil"/>
              <w:bottom w:val="nil"/>
              <w:right w:val="nil"/>
            </w:tcBorders>
          </w:tcPr>
          <w:p>
            <w:pPr>
              <w:pStyle w:val="Normal6a"/>
            </w:pPr>
            <w:r>
              <w:t>6.</w:t>
            </w:r>
            <w:r>
              <w:tab/>
            </w:r>
            <w:r>
              <w:rPr>
                <w:b/>
                <w:i/>
              </w:rPr>
              <w:t>Unionsstöd ska i första hand</w:t>
            </w:r>
            <w:r>
              <w:t xml:space="preserve"> tillhandahållas </w:t>
            </w:r>
            <w:r>
              <w:rPr>
                <w:b/>
                <w:i/>
              </w:rPr>
              <w:t>för att främja direkta offentliga investeringar, genom lån och offentlig</w:t>
            </w:r>
            <w:r>
              <w:t xml:space="preserve"> upphandling.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1899</w:t>
      </w:r>
      <w:r>
        <w:rPr>
          <w:rStyle w:val="HideTWBExt"/>
        </w:rPr>
        <w:t>&lt;/NumAm&gt;</w:t>
      </w:r>
    </w:p>
    <w:p>
      <w:pPr>
        <w:pStyle w:val="NormalBold"/>
      </w:pPr>
      <w:r>
        <w:rPr>
          <w:rStyle w:val="HideTWBExt"/>
          <w:b w:val="0"/>
        </w:rPr>
        <w:t>&lt;RepeatBlock-By&gt;</w:t>
      </w:r>
      <w:r>
        <w:rPr>
          <w:rStyle w:val="HideTWBExt"/>
          <w:b w:val="0"/>
        </w:rPr>
        <w:t>&lt;Members&gt;</w:t>
      </w:r>
      <w:r>
        <w:t>Yvan Verougstraete, Sigrid Friis,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Unionsfinansiering får tillhandahållas i alla former som anges i förordning (EU, Euratom) 2024/2509, bland annat i form av bidrag, priser, upphandling, icke-finansiella donationer, budgetgarantier och finansieringsinstrument.</w:t>
            </w:r>
          </w:p>
        </w:tc>
        <w:tc>
          <w:tcPr>
            <w:tcW w:w="4876" w:type="dxa"/>
            <w:tcBorders>
              <w:top w:val="nil"/>
              <w:left w:val="nil"/>
              <w:bottom w:val="nil"/>
              <w:right w:val="nil"/>
            </w:tcBorders>
          </w:tcPr>
          <w:p>
            <w:pPr>
              <w:pStyle w:val="Normal6a"/>
            </w:pPr>
            <w:r>
              <w:t>6.</w:t>
            </w:r>
            <w:r>
              <w:tab/>
            </w:r>
            <w:r>
              <w:t>Unionsfinansiering får tillhandahållas i alla former som anges i förordning (EU, Euratom) 2024/2509, bland annat i form av bidrag, priser, upphandling, icke-finansiella donationer, budgetgarantier och finansieringsinstrument</w:t>
            </w:r>
            <w:r>
              <w:rPr>
                <w:b/>
                <w:i/>
              </w:rPr>
              <w:t>, inbegripet genom offentlig-privata partnerskap</w:t>
            </w:r>
            <w:r>
              <w:t>.</w:t>
            </w:r>
            <w:r>
              <w:rPr>
                <w:b/>
                <w:i/>
              </w:rP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1900</w:t>
      </w:r>
      <w:r>
        <w:rPr>
          <w:rStyle w:val="HideTWBExt"/>
        </w:rPr>
        <w:t>&lt;/NumAm&gt;</w:t>
      </w:r>
    </w:p>
    <w:p>
      <w:pPr>
        <w:pStyle w:val="NormalBold"/>
      </w:pPr>
      <w:r>
        <w:rPr>
          <w:rStyle w:val="HideTWBExt"/>
          <w:b w:val="0"/>
        </w:rPr>
        <w:t>&lt;RepeatBlock-By&gt;</w:t>
      </w:r>
      <w:r>
        <w:rPr>
          <w:rStyle w:val="HideTWBExt"/>
          <w:b w:val="0"/>
        </w:rPr>
        <w:t>&lt;Members&gt;</w:t>
      </w:r>
      <w:r>
        <w:t>Thomas Pellerin-Carlin, Eric Sargiacomo,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Unionsfinansiering får tillhandahållas i alla former som anges i förordning (EU, Euratom) 2024/2509, bland annat i form av bidrag, priser, upphandling, icke-finansiella donationer, budgetgarantier och finansieringsinstrument.</w:t>
            </w:r>
          </w:p>
        </w:tc>
        <w:tc>
          <w:tcPr>
            <w:tcW w:w="4876" w:type="dxa"/>
            <w:tcBorders>
              <w:top w:val="nil"/>
              <w:left w:val="nil"/>
              <w:bottom w:val="nil"/>
              <w:right w:val="nil"/>
            </w:tcBorders>
          </w:tcPr>
          <w:p>
            <w:pPr>
              <w:pStyle w:val="Normal6a"/>
            </w:pPr>
            <w:r>
              <w:t>6.</w:t>
            </w:r>
            <w:r>
              <w:tab/>
            </w:r>
            <w:r>
              <w:t xml:space="preserve">Unionsfinansiering får tillhandahållas i alla former som anges i förordning (EU, Euratom) 2024/2509, bland annat i form av bidrag, </w:t>
            </w:r>
            <w:r>
              <w:rPr>
                <w:b/>
                <w:i/>
              </w:rPr>
              <w:t>kapitalandelar,</w:t>
            </w:r>
            <w:r>
              <w:t xml:space="preserve"> priser, upphandling, icke-finansiella donationer, budgetgarantier och finansieringsinstrument.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1901</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6a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Unionsstöd ska som utgångspunkt och huvudregel tilldelas i form av budgetgarantier och finansiella instrument.</w:t>
            </w:r>
            <w:r>
              <w:t xml:space="preserve"> </w:t>
            </w:r>
            <w:r>
              <w:rPr>
                <w:b/>
                <w:i/>
              </w:rPr>
              <w:t>Direkta bidrag får enbart tilldelas undantagsvis och när så är synnerligen motiverat.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1902</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De krav på rapportering, övervakning, revision och kontroll som åläggs stödmottagare, slutmottagare och andra mottagare av unionsstöd inom sektorer som inte anses vara högrisksektorer ska stå i proportion till unionsstödets storlek, åtgärdens riskprofil och typen av stödmottagare.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1903</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Om unionsstöd tillhandahålls i form av ett bidrag, även när det kombineras i en blandfinansieringsinsats med andra former av återbetalningspliktigt stöd som inte har stöd av unionsbudgeten, ska finansieringen tillhandahållas i enlighet med avdelning VIII i förordning (EU, Euratom) 2024/2509 och i form av finansiering som inte är kopplad till kostnaderna i enlighet med artikel 125.1 a i förordning (EU, Euratom) 2024/2509 eller om nödvändigt i form av förenklade kostnadsalternativ. Finansiering får också tillhandahållas i form av återbetalning av faktiska kostnader, om målet för en åtgärd inte kan uppnås på annat sätt eller om denna form är nödvändig för att möjliggöra andra finansieringskällor, inbegripet finansiering från medlemsstaterna.</w:t>
            </w:r>
          </w:p>
        </w:tc>
        <w:tc>
          <w:tcPr>
            <w:tcW w:w="4876" w:type="dxa"/>
            <w:tcBorders>
              <w:top w:val="nil"/>
              <w:left w:val="nil"/>
              <w:bottom w:val="nil"/>
              <w:right w:val="nil"/>
            </w:tcBorders>
          </w:tcPr>
          <w:p>
            <w:pPr>
              <w:pStyle w:val="Normal6a"/>
            </w:pPr>
            <w:r>
              <w:t>8.</w:t>
            </w:r>
            <w:r>
              <w:tab/>
            </w:r>
            <w:r>
              <w:t xml:space="preserve">Om unionsstöd tillhandahålls i form av ett bidrag, även när det kombineras i en blandfinansieringsinsats med andra former av återbetalningspliktigt stöd som inte har stöd av unionsbudgeten, ska finansieringen tillhandahållas i enlighet med avdelning VIII i förordning (EU, Euratom) 2024/2509 och i form av finansiering som inte är kopplad till kostnaderna i enlighet med artikel 125.1 a i förordning (EU, Euratom) 2024/2509 eller om nödvändigt i form av förenklade kostnadsalternativ. </w:t>
            </w:r>
            <w:r>
              <w:rPr>
                <w:b/>
                <w:i/>
              </w:rPr>
              <w:t>Särskild uppmärksamhet ska ägnas åt att minimera den administrativa bördan och underlätta tillgången för aktörer av alla storlekar.</w:t>
            </w:r>
            <w:r>
              <w:t xml:space="preserve"> Finansiering får också tillhandahållas i form av återbetalning av faktiska kostnader, om målet för en åtgärd inte kan uppnås på annat sätt eller om denna form är nödvändig för att möjliggöra andra finansieringskällor, inbegripet finansiering från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1904</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Om unionsstöd tillhandahålls i form av ett bidrag, även när det kombineras i en blandfinansieringsinsats med andra former av återbetalningspliktigt stöd som inte har stöd av unionsbudgeten, ska finansieringen tillhandahållas i enlighet med avdelning VIII i förordning (EU, Euratom) 2024/2509 och i form av finansiering som inte är kopplad till kostnaderna i enlighet med artikel 125.1 a i förordning (EU, Euratom) 2024/2509 eller om nödvändigt i form av förenklade kostnadsalternativ. Finansiering får också tillhandahållas i form av återbetalning av faktiska kostnader, om målet för en åtgärd inte kan uppnås på annat sätt eller om denna form är nödvändig för att möjliggöra andra finansieringskällor, inbegripet finansiering från medlemsstaterna.</w:t>
            </w:r>
          </w:p>
        </w:tc>
        <w:tc>
          <w:tcPr>
            <w:tcW w:w="4876" w:type="dxa"/>
            <w:tcBorders>
              <w:top w:val="nil"/>
              <w:left w:val="nil"/>
              <w:bottom w:val="nil"/>
              <w:right w:val="nil"/>
            </w:tcBorders>
          </w:tcPr>
          <w:p>
            <w:pPr>
              <w:pStyle w:val="Normal6a"/>
            </w:pPr>
            <w:r>
              <w:t>8.</w:t>
            </w:r>
            <w:r>
              <w:tab/>
            </w:r>
            <w:r>
              <w:t xml:space="preserve">Om unionsstöd tillhandahålls i form av ett bidrag, även när det kombineras i en blandfinansieringsinsats med andra former av återbetalningspliktigt stöd som inte har stöd av unionsbudgeten, ska finansieringen tillhandahållas i enlighet med avdelning VIII i förordning (EU, Euratom) 2024/2509 och i form av finansiering som inte är kopplad till kostnaderna i enlighet med artikel 125.1 a i förordning (EU, Euratom) 2024/2509 eller om nödvändigt i form av förenklade kostnadsalternativ. </w:t>
            </w:r>
            <w:r>
              <w:rPr>
                <w:b/>
                <w:i/>
              </w:rPr>
              <w:t>Särskild uppmärksamhet ska ägnas åt att minimera den administrativa bördan och underlätta tillgången för aktörer av alla storlekar.</w:t>
            </w:r>
            <w:r>
              <w:t xml:space="preserve"> Finansiering får också tillhandahållas i form av återbetalning av faktiska kostnader, om målet för en åtgärd inte kan uppnås på annat sätt eller om denna form är nödvändig för att möjliggöra andra finansieringskällor, inbegripet finansiering från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Om unionsstöd tillhandahålls i form av ett bidrag, även när det kombineras i en blandfinansieringsinsats med andra former av återbetalningspliktigt stöd som inte har stöd av unionsbudgeten, ska finansieringen tillhandahållas i enlighet med avdelning VIII i förordning (EU, Euratom) 2024/2509 och i form av finansiering som inte är kopplad till kostnaderna i enlighet med artikel 125.1 a i förordning (EU, Euratom) 2024/2509 eller om nödvändigt i form av förenklade kostnadsalternativ. Finansiering får också tillhandahållas i form av återbetalning av faktiska kostnader, om målet för en åtgärd inte kan uppnås på annat sätt eller om denna form är nödvändig för att möjliggöra andra finansieringskällor, inbegripet finansiering från medlemsstaterna.</w:t>
            </w:r>
          </w:p>
        </w:tc>
        <w:tc>
          <w:tcPr>
            <w:tcW w:w="4876" w:type="dxa"/>
            <w:tcBorders>
              <w:top w:val="nil"/>
              <w:left w:val="nil"/>
              <w:bottom w:val="nil"/>
              <w:right w:val="nil"/>
            </w:tcBorders>
          </w:tcPr>
          <w:p>
            <w:pPr>
              <w:pStyle w:val="Normal6a"/>
            </w:pPr>
            <w:r>
              <w:t>8.</w:t>
            </w:r>
            <w:r>
              <w:tab/>
            </w:r>
            <w:r>
              <w:t xml:space="preserve">Om unionsstöd tillhandahålls i form av ett bidrag, även när det kombineras i en blandfinansieringsinsats med andra former av återbetalningspliktigt stöd som inte har stöd av unionsbudgeten, ska finansieringen tillhandahållas i enlighet med avdelning VIII i förordning (EU, Euratom) 2024/2509 och i form av finansiering som inte är kopplad till kostnaderna i enlighet med artikel 125.1 a i förordning (EU, Euratom) 2024/2509 eller om nödvändigt i form av förenklade kostnadsalternativ. Finansiering får också tillhandahållas i form av återbetalning av faktiska kostnader, om målet för en åtgärd inte kan uppnås på annat sätt eller om denna form är nödvändig för att möjliggöra andra finansieringskällor, inbegripet finansiering från medlemsstaterna. </w:t>
            </w:r>
            <w:r>
              <w:rPr>
                <w:b/>
                <w:i/>
              </w:rPr>
              <w:t>Det ekonomiska stödet bör inte täcka driftskostnader.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Unionsfinansiering som ges i form av bidrag ska uteslutande avsättas för icke-vinstdrivande rättsliga enheter, aktörer inom den sociala ekonomin samt vinstdrivande rättsliga enheter som är små och medelstora företag eller innovativa expanderande företag.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8b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Punkt 8a ska inte tillämpas på stöd till åtgärder som bidrar till de särskilda mål som anges i artikel 3.2 d 2 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Tillåtet med bidrag till samarbetsinriktad forskning och utveckling på försvarsområdet.</w:t>
      </w:r>
    </w:p>
    <w:p>
      <w:r>
        <w:rPr>
          <w:rStyle w:val="HideTWBExt"/>
        </w:rPr>
        <w:t>&lt;/Amend&gt;</w:t>
      </w:r>
    </w:p>
    <w:p>
      <w:pPr>
        <w:pStyle w:val="AmNumberTabs"/>
      </w:pPr>
      <w:r>
        <w:rPr>
          <w:rStyle w:val="HideTWBExt"/>
        </w:rPr>
        <w:t>&lt;Amend&gt;</w:t>
      </w:r>
      <w:r>
        <w:t>Ändringsförslag</w:t>
      </w:r>
      <w:r>
        <w:tab/>
      </w:r>
      <w:r>
        <w:tab/>
      </w:r>
      <w:r>
        <w:rPr>
          <w:rStyle w:val="HideTWBExt"/>
        </w:rPr>
        <w:t>&lt;NumAm&gt;</w:t>
      </w:r>
      <w:r>
        <w:t>1908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För åtgärder som genomför forsknings- och innovationsverksamheter får utvärderingskommittén helt eller delvis bestå av oberoende externa experter,</w:t>
            </w:r>
            <w:r>
              <w:t xml:space="preserve"> i enlighet med artikel 153.3 i förordning (EU, Euratom) 2024/2509.</w:t>
            </w:r>
          </w:p>
        </w:tc>
        <w:tc>
          <w:tcPr>
            <w:tcW w:w="4876" w:type="dxa"/>
            <w:tcBorders>
              <w:top w:val="nil"/>
              <w:left w:val="nil"/>
              <w:bottom w:val="nil"/>
              <w:right w:val="nil"/>
            </w:tcBorders>
          </w:tcPr>
          <w:p>
            <w:pPr>
              <w:pStyle w:val="Normal6a"/>
            </w:pPr>
            <w:r>
              <w:t>9.</w:t>
            </w:r>
            <w:r>
              <w:tab/>
            </w:r>
            <w:r>
              <w:t xml:space="preserve">I enlighet med artikel 153.3 i förordning (EU, Euratom) 2024/2509 </w:t>
            </w:r>
            <w:r>
              <w:rPr>
                <w:b/>
                <w:i/>
              </w:rPr>
              <w:t>ska utvärderingskommittén bestå av oberoende externa experter, utom i vederbörligen motiverade fall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1909</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För åtgärder som genomför forsknings- och innovationsverksamheter </w:t>
            </w:r>
            <w:r>
              <w:rPr>
                <w:b/>
                <w:i/>
              </w:rPr>
              <w:t>får</w:t>
            </w:r>
            <w:r>
              <w:t xml:space="preserve"> utvärderingskommittén </w:t>
            </w:r>
            <w:r>
              <w:rPr>
                <w:b/>
                <w:i/>
              </w:rPr>
              <w:t>helt eller delvis</w:t>
            </w:r>
            <w:r>
              <w:t xml:space="preserve"> bestå av oberoende externa experter, i enlighet med artikel 153.3 i förordning (EU, Euratom) 2024/2509.</w:t>
            </w:r>
          </w:p>
        </w:tc>
        <w:tc>
          <w:tcPr>
            <w:tcW w:w="4876" w:type="dxa"/>
            <w:tcBorders>
              <w:top w:val="nil"/>
              <w:left w:val="nil"/>
              <w:bottom w:val="nil"/>
              <w:right w:val="nil"/>
            </w:tcBorders>
          </w:tcPr>
          <w:p>
            <w:pPr>
              <w:pStyle w:val="Normal6a"/>
            </w:pPr>
            <w:r>
              <w:t>9.</w:t>
            </w:r>
            <w:r>
              <w:tab/>
            </w:r>
            <w:r>
              <w:t xml:space="preserve">För åtgärder som genomför forsknings- och innovationsverksamheter </w:t>
            </w:r>
            <w:r>
              <w:rPr>
                <w:b/>
                <w:i/>
              </w:rPr>
              <w:t>ska</w:t>
            </w:r>
            <w:r>
              <w:t xml:space="preserve"> utvärderingskommittén bestå av oberoende externa experter, i enlighet med artikel 153.3 i förordning (EU, Euratom) 2024/2509.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1910</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Kommissionen ska ägna vederbörlig uppmärksamhet åt att, i den mån det är möjligt med hänsyn till sektorns särdrag, säkerställa en lämplig köns- och EU-övergripande representation av expertis och erfarenhet i utvärderingskommittéer samt i andra relevanta rådgivande organ såsom styrelser och expertgrupper, bland annat genom att involvera nationella experter.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1911</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Kommissionen ska ägna vederbörlig uppmärksamhet åt att, i den mån det är möjligt med hänsyn till sektorns särdrag, säkerställa en lämplig köns- och EU-övergripande representation av expertis och erfarenhet i utvärderingskommittéer samt i andra relevanta rådgivande organ såsom styrelser och expertgrupper, bland annat genom att involvera nationella experter.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1912</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Kommissionen ska ägna vederbörlig uppmärksamhet åt att, i den mån det är möjligt med hänsyn till sektorns särdrag, säkerställa en EU-övergripande representation av expertis och erfarenhet i utvärderingskommittéer samt i andra relevanta rådgivande organ såsom styrelser och expertgrupper, bland annat genom att involvera nationella experter.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1913</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Kommissionen ska göra sitt yttersta för att säkerställa en lämplig köns- och EU-övergripande representation av expertis och erfarenhet i utvärderingskommittéer samt i andra relevanta rådgivande organ såsom styrelser och expertgrupper, bland annat genom att involvera nationella experter.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1914</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När det är nödvändigt för att uppnå målen i artikel 3 får delar av EKF genomföras genom offentlig-privata eller offentlig-offentliga partnerskap inrättade inom ramprogrammet för forskning och innovation, särskilt genom att budgetgenomförandeuppgifter i enlighet med artikel 62.1 c i förordning (EU, Euratom) 2024/2509 anförtros åt gemensamma företag inrättade enligt artikel 187 i EUF-fördraget. Stödet från EKF ska förenas med villkor om effektiv användning av unionsfinansieringen, ett proportionerligt bidrag från andra partner som är minst lika stort som unionens bidrag och rösträtt för unionen i de beslutsfattande organen på ett sätt som skyddar unionens intressen inom partnerskapet. </w:t>
            </w:r>
            <w:r>
              <w:rPr>
                <w:b/>
                <w:i/>
              </w:rPr>
              <w:t>För det ändamålet ska gemensamma företag inrättas genom en enda rättsakt om inrättande som säkerställer centraliserade administrativa funktioner.</w:t>
            </w:r>
          </w:p>
        </w:tc>
        <w:tc>
          <w:tcPr>
            <w:tcW w:w="4876" w:type="dxa"/>
            <w:tcBorders>
              <w:top w:val="nil"/>
              <w:left w:val="nil"/>
              <w:bottom w:val="nil"/>
              <w:right w:val="nil"/>
            </w:tcBorders>
          </w:tcPr>
          <w:p>
            <w:pPr>
              <w:pStyle w:val="Normal6a"/>
            </w:pPr>
            <w:r>
              <w:t>11.</w:t>
            </w:r>
            <w:r>
              <w:tab/>
            </w:r>
            <w:r>
              <w:t>När det är nödvändigt för att uppnå målen i artikel 3 får delar av EKF genomföras genom offentlig-privata eller offentlig-offentliga partnerskap inrättade inom ramprogrammet för forskning och innovation, särskilt genom att budgetgenomförandeuppgifter i enlighet med artikel 62.1 c i förordning (EU, Euratom) 2024/2509 anförtros åt gemensamma företag inrättade enligt artikel 187 i EUF-fördraget. Stödet från EKF ska förenas med villkor om effektiv användning av unionsfinansieringen, ett proportionerligt bidrag från andra partner som är minst lika stort som unionens bidrag och rösträtt för unionen i de beslutsfattande organen på ett sätt som skyddar unionens intressen inom partnerskapet.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1915</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När det är nödvändigt för att uppnå målen i artikel 3 får delar av EKF genomföras genom offentlig-privata eller offentlig-offentliga partnerskap inrättade inom ramprogrammet för forskning och innovation, särskilt genom att budgetgenomförandeuppgifter i enlighet med artikel 62.1 c i förordning (EU, Euratom) 2024/2509 anförtros åt gemensamma företag inrättade enligt artikel 187 i EUF-fördraget. Stödet från EKF ska förenas med villkor om effektiv användning av unionsfinansieringen, ett proportionerligt bidrag från andra partner som är minst lika stort som unionens bidrag och rösträtt för unionen i de beslutsfattande organen på ett sätt som skyddar unionens intressen inom partnerskapet. </w:t>
            </w:r>
            <w:r>
              <w:rPr>
                <w:b/>
                <w:i/>
              </w:rPr>
              <w:t>För det ändamålet ska gemensamma företag inrättas genom en enda rättsakt om inrättande som säkerställer centraliserade administrativa funktioner.</w:t>
            </w:r>
          </w:p>
        </w:tc>
        <w:tc>
          <w:tcPr>
            <w:tcW w:w="4876" w:type="dxa"/>
            <w:tcBorders>
              <w:top w:val="nil"/>
              <w:left w:val="nil"/>
              <w:bottom w:val="nil"/>
              <w:right w:val="nil"/>
            </w:tcBorders>
          </w:tcPr>
          <w:p>
            <w:pPr>
              <w:pStyle w:val="Normal6a"/>
            </w:pPr>
            <w:r>
              <w:t>11.</w:t>
            </w:r>
            <w:r>
              <w:tab/>
            </w:r>
            <w:r>
              <w:t>När det är nödvändigt för att uppnå målen i artikel 3 får delar av EKF genomföras genom offentlig-privata eller offentlig-offentliga partnerskap inrättade inom ramprogrammet för forskning och innovation, särskilt genom att budgetgenomförandeuppgifter i enlighet med artikel 62.1 c i förordning (EU, Euratom) 2024/2509 anförtros åt gemensamma företag inrättade enligt artikel 187 i EUF-fördraget. Stödet från EKF ska förenas med villkor om effektiv användning av unionsfinansieringen, ett proportionerligt bidrag från andra partner som är minst lika stort som unionens bidrag och rösträtt för unionen i de beslutsfattande organen på ett sätt som skyddar unionens intressen inom partnerskapet.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1916</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När det är nödvändigt för att uppnå målen i artikel 3 får delar av EKF genomföras genom offentlig-privata eller offentlig-offentliga partnerskap inrättade inom ramprogrammet för forskning och innovation, särskilt genom att budgetgenomförandeuppgifter i enlighet med artikel 62.1 c i förordning (EU, Euratom) 2024/2509 anförtros åt gemensamma företag inrättade enligt artikel 187 i EUF-fördraget. Stödet från EKF ska förenas med villkor om effektiv användning av unionsfinansieringen, ett proportionerligt bidrag från andra partner som är minst lika stort som unionens bidrag och rösträtt för unionen i de beslutsfattande organen på ett sätt som skyddar unionens intressen inom partnerskapet. För det ändamålet ska gemensamma företag inrättas genom en enda rättsakt om inrättande som säkerställer centraliserade administrativa funktioner.</w:t>
            </w:r>
          </w:p>
        </w:tc>
        <w:tc>
          <w:tcPr>
            <w:tcW w:w="4876" w:type="dxa"/>
            <w:tcBorders>
              <w:top w:val="nil"/>
              <w:left w:val="nil"/>
              <w:bottom w:val="nil"/>
              <w:right w:val="nil"/>
            </w:tcBorders>
          </w:tcPr>
          <w:p>
            <w:pPr>
              <w:pStyle w:val="Normal6a"/>
            </w:pPr>
            <w:r>
              <w:t>11.</w:t>
            </w:r>
            <w:r>
              <w:tab/>
            </w:r>
            <w:r>
              <w:t xml:space="preserve">När det är nödvändigt för att uppnå målen i artikel 3 får delar av EKF genomföras genom offentlig-privata eller offentlig-offentliga partnerskap inrättade inom ramprogrammet för forskning och innovation, särskilt genom att budgetgenomförandeuppgifter i enlighet med artikel 62.1 c i förordning (EU, Euratom) 2024/2509 anförtros åt gemensamma företag inrättade enligt artikel 187 i EUF-fördraget. Stödet från EKF ska förenas med villkor om effektiv användning av unionsfinansieringen, ett proportionerligt bidrag från andra partner som är minst lika stort som unionens bidrag och rösträtt för unionen i de beslutsfattande organen på ett sätt som skyddar unionens intressen inom partnerskapet. För det ändamålet ska gemensamma företag inrättas genom en enda rättsakt om inrättande som säkerställer centraliserade administrativa funktioner </w:t>
            </w:r>
            <w:r>
              <w:rPr>
                <w:b/>
                <w:i/>
              </w:rPr>
              <w:t>och inkluderande styrningsstrukturer, i syfte att främja insyn och balanserad representation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är avgörande med verkningsfull samordning mellan EKF och andra unionsinstrument för att undvika dubbelarbete, maximera synergierna och säkerställa ett enhetligt genomförande.</w:t>
      </w:r>
      <w:r>
        <w:t xml:space="preserve"> </w:t>
      </w:r>
      <w:r>
        <w:t>Att främja långsiktiga, platsbaserade investeringsstrategier och samtidigt minska de administrativa bördorna kommer att öka tillgängligheten för stödmottagare av alla storlekar och bidra till hållbar konkurrenskraft, resiliens och territoriell sammanhållning i hela unionen, i linje med sammanhållningspolitikens mål.</w:t>
      </w:r>
    </w:p>
    <w:p>
      <w:r>
        <w:rPr>
          <w:rStyle w:val="HideTWBExt"/>
        </w:rPr>
        <w:t>&lt;/Amend&gt;</w:t>
      </w:r>
    </w:p>
    <w:p>
      <w:pPr>
        <w:pStyle w:val="AmNumberTabs"/>
      </w:pPr>
      <w:r>
        <w:rPr>
          <w:rStyle w:val="HideTWBExt"/>
        </w:rPr>
        <w:t>&lt;Amend&gt;</w:t>
      </w:r>
      <w:r>
        <w:t>Ändringsförslag</w:t>
      </w:r>
      <w:r>
        <w:tab/>
      </w:r>
      <w:r>
        <w:tab/>
      </w:r>
      <w:r>
        <w:rPr>
          <w:rStyle w:val="HideTWBExt"/>
        </w:rPr>
        <w:t>&lt;NumAm&gt;</w:t>
      </w:r>
      <w:r>
        <w:t>1917</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När det är nödvändigt för att uppnå målen i artikel 3 får delar av EKF genomföras genom offentlig-privata eller offentlig-offentliga partnerskap inrättade inom ramprogrammet för forskning och innovation, särskilt genom att budgetgenomförandeuppgifter i enlighet med artikel 62.1 c i förordning (EU, Euratom) 2024/2509 anförtros åt gemensamma företag inrättade enligt artikel 187 i EUF-fördraget. Stödet från EKF ska förenas med villkor om effektiv användning av unionsfinansieringen, ett proportionerligt bidrag från andra partner som är minst lika stort som unionens bidrag och rösträtt för unionen i de beslutsfattande organen på ett sätt som skyddar unionens intressen inom partnerskapet. För det ändamålet ska gemensamma företag inrättas genom en enda rättsakt om inrättande som säkerställer centraliserade administrativa funktioner.</w:t>
            </w:r>
          </w:p>
        </w:tc>
        <w:tc>
          <w:tcPr>
            <w:tcW w:w="4876" w:type="dxa"/>
            <w:tcBorders>
              <w:top w:val="nil"/>
              <w:left w:val="nil"/>
              <w:bottom w:val="nil"/>
              <w:right w:val="nil"/>
            </w:tcBorders>
          </w:tcPr>
          <w:p>
            <w:pPr>
              <w:pStyle w:val="Normal6a"/>
            </w:pPr>
            <w:r>
              <w:t>11.</w:t>
            </w:r>
            <w:r>
              <w:tab/>
            </w:r>
            <w:r>
              <w:t xml:space="preserve">När det är nödvändigt för att uppnå målen i artikel 3 får delar av EKF genomföras genom offentlig-privata eller offentlig-offentliga partnerskap inrättade inom ramprogrammet för forskning och innovation, särskilt genom att budgetgenomförandeuppgifter i enlighet med artikel 62.1 c i förordning (EU, Euratom) 2024/2509 anförtros åt gemensamma företag inrättade enligt artikel 187 i EUF-fördraget. Stödet från EKF ska förenas med villkor om effektiv användning av unionsfinansieringen, ett proportionerligt bidrag från andra partner som är minst lika stort som unionens bidrag och rösträtt för unionen i de beslutsfattande organen på ett sätt som skyddar unionens intressen inom partnerskapet. För det ändamålet ska gemensamma företag inrättas genom en enda rättsakt om inrättande som säkerställer centraliserade administrativa funktioner </w:t>
            </w:r>
            <w:r>
              <w:rPr>
                <w:b/>
                <w:i/>
              </w:rPr>
              <w:t>och inkluderande styrningsstrukturer, som säkerställer insyn och balanserad representation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1918</w:t>
      </w:r>
      <w:r>
        <w:rPr>
          <w:rStyle w:val="HideTWBExt"/>
        </w:rPr>
        <w:t>&lt;/NumAm&gt;</w:t>
      </w:r>
    </w:p>
    <w:p>
      <w:pPr>
        <w:pStyle w:val="NormalBold"/>
      </w:pPr>
      <w:r>
        <w:rPr>
          <w:rStyle w:val="HideTWBExt"/>
          <w:b w:val="0"/>
        </w:rPr>
        <w:t>&lt;RepeatBlock-By&gt;</w:t>
      </w:r>
      <w:r>
        <w:rPr>
          <w:rStyle w:val="HideTWBExt"/>
          <w:b w:val="0"/>
        </w:rPr>
        <w:t>&lt;Members&gt;</w:t>
      </w:r>
      <w:r>
        <w:t>Andreas Glück, 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När det är nödvändigt för att uppnå målen i artikel 3 får delar av EKF genomföras genom offentlig-privata eller offentlig-offentliga partnerskap inrättade inom ramprogrammet för forskning och innovation, särskilt genom att budgetgenomförandeuppgifter i enlighet med artikel 62.1 c i förordning (EU, Euratom) 2024/2509 anförtros åt gemensamma företag inrättade enligt artikel 187 i EUF-fördraget. Stödet från EKF ska förenas med villkor om effektiv användning av unionsfinansieringen, ett proportionerligt bidrag från andra partner som är minst lika stort som unionens bidrag och rösträtt för unionen i de beslutsfattande organen på ett sätt som skyddar unionens intressen inom partnerskapet. För det ändamålet ska gemensamma företag inrättas genom en enda rättsakt om inrättande som säkerställer centraliserade administrativa funktioner.</w:t>
            </w:r>
          </w:p>
        </w:tc>
        <w:tc>
          <w:tcPr>
            <w:tcW w:w="4876" w:type="dxa"/>
            <w:tcBorders>
              <w:top w:val="nil"/>
              <w:left w:val="nil"/>
              <w:bottom w:val="nil"/>
              <w:right w:val="nil"/>
            </w:tcBorders>
          </w:tcPr>
          <w:p>
            <w:pPr>
              <w:pStyle w:val="Normal6a"/>
            </w:pPr>
            <w:r>
              <w:t>11.</w:t>
            </w:r>
            <w:r>
              <w:tab/>
            </w:r>
            <w:r>
              <w:t xml:space="preserve">När det är nödvändigt för att uppnå målen i artikel 3 får delar av EKF genomföras genom offentlig-privata eller offentlig-offentliga partnerskap inrättade inom ramprogrammet för forskning och innovation, särskilt genom att budgetgenomförandeuppgifter i enlighet med artikel 62.1 c i förordning (EU, Euratom) 2024/2509 anförtros åt gemensamma företag inrättade enligt artikel 187 i EUF-fördraget. Stödet från EKF ska förenas med villkor om effektiv användning av unionsfinansieringen, ett proportionerligt bidrag </w:t>
            </w:r>
            <w:r>
              <w:rPr>
                <w:b/>
                <w:i/>
              </w:rPr>
              <w:t>och/eller bidrag in natura</w:t>
            </w:r>
            <w:r>
              <w:t xml:space="preserve"> från andra partner som är minst lika stort som unionens bidrag och rösträtt för unionen i de beslutsfattande organen på ett sätt som skyddar unionens intressen inom partnerskapet. För det ändamålet ska gemensamma företag inrättas genom en enda rättsakt om inrättande som säkerställer centraliserade administrativa funktioner.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Utvärderingen av förslag ska uteslutande baseras på förslagets kvalitet och spetskompetens, utan några fördelar eller nackdelar på grund av nivån på medlemsstaternas samfinansieringssats.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Förutom de grunder som anges i artikel 132 i förordning (EU, Euratom) 2024/2509 ska </w:t>
            </w:r>
            <w:r>
              <w:rPr>
                <w:b/>
                <w:i/>
              </w:rPr>
              <w:t>tilldelningsförfaranden</w:t>
            </w:r>
            <w:r>
              <w:t xml:space="preserve"> och därav följande rättsliga åtaganden möjliggöra uppsägning, om det är osannolikt att åtgärdens mål kommer att uppnås alls eller uppnås inom fastställd tid eller om </w:t>
            </w:r>
            <w:r>
              <w:rPr>
                <w:b/>
                <w:i/>
              </w:rPr>
              <w:t>åtgärden har förlorat sin politiska relevans</w:t>
            </w:r>
            <w:r>
              <w:t>.</w:t>
            </w:r>
          </w:p>
        </w:tc>
        <w:tc>
          <w:tcPr>
            <w:tcW w:w="4876" w:type="dxa"/>
            <w:tcBorders>
              <w:top w:val="nil"/>
              <w:left w:val="nil"/>
              <w:bottom w:val="nil"/>
              <w:right w:val="nil"/>
            </w:tcBorders>
          </w:tcPr>
          <w:p>
            <w:pPr>
              <w:pStyle w:val="Normal6a"/>
            </w:pPr>
            <w:r>
              <w:t>12.</w:t>
            </w:r>
            <w:r>
              <w:tab/>
            </w:r>
            <w:r>
              <w:t xml:space="preserve">Förutom de grunder som anges i artikel 132 i förordning (EU, Euratom) 2024/2509 ska </w:t>
            </w:r>
            <w:r>
              <w:rPr>
                <w:b/>
                <w:i/>
              </w:rPr>
              <w:t>förfaranden för tilldelning</w:t>
            </w:r>
            <w:r>
              <w:t xml:space="preserve"> och därav följande rättsliga åtaganden möjliggöra uppsägning, om det är osannolikt att åtgärdens mål kommer att uppnås alls eller uppnås inom fastställd tid eller om </w:t>
            </w:r>
            <w:r>
              <w:rPr>
                <w:b/>
                <w:i/>
              </w:rPr>
              <w:t>stödmottagarna inte följer kollektivavtal eller relevanta social- och arbetsrättsliga bestämmelser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 alla storskaliga samarbetsprojekt och åtgärder i värdekedjan som genomförs inom ramen för denna förordning ska arbetsprogrammen föreskriva genomförandet av ekonomiskt stöd till tredje parter, eller kaskadfinansiering, för att underlätta deltagandet för små och medelstora företag och uppstartsföretag.</w:t>
            </w:r>
            <w:r>
              <w:t xml:space="preserve"> </w:t>
            </w:r>
            <w:r>
              <w:rPr>
                <w:b/>
                <w:i/>
              </w:rPr>
              <w:t>Dessa ansökningsomgångar ska använda standardiserade modeller och rationaliserade processer för att minimera de administrativa kostnaderna och tillhandahålla tekniskt stöd och utbildningsstöd, inbegripet mentorskap och tillgång till avancerad infrastruktur, med hjälp av lokala kontaktpunkter.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1922</w:t>
      </w:r>
      <w:r>
        <w:rPr>
          <w:rStyle w:val="HideTWBExt"/>
        </w:rPr>
        <w:t>&lt;/NumAm&gt;</w:t>
      </w:r>
    </w:p>
    <w:p>
      <w:pPr>
        <w:pStyle w:val="NormalBold"/>
      </w:pPr>
      <w:r>
        <w:rPr>
          <w:rStyle w:val="HideTWBExt"/>
          <w:b w:val="0"/>
        </w:rPr>
        <w:t>&lt;RepeatBlock-By&gt;</w:t>
      </w:r>
      <w:r>
        <w:rPr>
          <w:rStyle w:val="HideTWBExt"/>
          <w:b w:val="0"/>
        </w:rPr>
        <w:t>&lt;Members&gt;</w:t>
      </w:r>
      <w:r>
        <w:t>Yvan Verougstraete, Brigitte van den Berg,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Unionsstöd inom ramen för EKF ska tillhandahållas med en finansieringsnivå som är anpassad till den understödda åtgärdens art, mål och särdrag, med beaktande av mognadsgraden och graden av teknisk, finansiell eller marknadsrisk, på ett sätt som är förenligt med de principer som är tillämpliga på unionsfinansiering enligt budgetförordningen och med andra unionsprogram.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1923</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 Susana Solís Pérez,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Om den verksamhet som får stöd avser storskalig produktion av varor och stödet ges i form av ett bidrag ska stödet ges i form av produktionsrelaterade incitament.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1924</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Om den verksamhet som får stöd avser storskalig produktion av varor och stödet ges i form av ett bidrag ska stödet ges i form av produktionsrelaterade incitament.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1925</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 – 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Om unionsstöd ges till linjär infrastruktur ska det i de årliga arbetsprogrammen föreskrivas att minst 50 % av finansieringen bör tillhandahållas i form av bidrag.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Arrangemang för vinstdelning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Om unionsfinansiering tillhandahålls i form av ett bidrag till en vinstdrivande rättslig enhet ska lämpliga arrangemang för vinstdelning upprättas mellan unionen och stödmottagaren.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Dessa arrangemang ska säkerställa att överskjutande avkastning som genererats under en period på upp till fem kalenderår från slutbetalningen av unionens bidrag återbetalas till unionens budget om den realiserade avkastningen från den insats som får stöd överstiger de prognoser för referensscenariot som godkändes vid tidpunkten för beslutet om tilldelning.</w:t>
            </w:r>
            <w:r>
              <w:t xml:space="preserve"> </w:t>
            </w:r>
            <w:r>
              <w:rPr>
                <w:b/>
                <w:i/>
              </w:rPr>
              <w:t>Vid tillämpning av denna punkt ska dessa avkastningar bedömas med hänvisning till den interna avkastningsgraden för den insats som får stöd.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Om den realiserade interna avkastningsgraden överstiger den godkända interna avkastningsgraden för referensscenariot, ska hela den överskjutande avkastning som överstiger den godkända interna avkastningsgraden för referensscenariot återbetalas till unionens budget.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Om unionsstöd tillhandahålls i form av en budgetgaranti eller ett finansieringsinstrument, inbegripet i blandfinansieringsinsatser, ska lämpliga risk- och avkastningsarrangemang fastställas mellan unionen, genomförandepartner och slutmottagare.</w:t>
            </w:r>
            <w:r>
              <w:t xml:space="preserve"> </w:t>
            </w:r>
            <w:r>
              <w:rPr>
                <w:b/>
                <w:i/>
              </w:rPr>
              <w:t>Dessa arrangemang ska säkerställa att unionens deltagande i riskerna med en insats motsvaras av ett rättvist och proportionellt deltagande i den ekonomiska avkastning som insatsen genererar.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Om unionsstöd används för att absorbera de första förlusterna eller på annat sätt minska den nedåtrisk som bärs av privata investerare, ska sådant stöd villkoras av en motsvarande mekanism som säkerställer att eventuella vinster som genereras av den insats som får stöd på ett proportionellt sätt kommer unionens budget till del.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Detta deltagande ska ske utöver eventuella inkomster som unionen annars skulle ha rätt till, inbegripet garantiavgifter, ränta, ersättning eller andra belopp, och ska beräknas med hänvisning till den mekanism för alltför stor avkastning som anges i punkt 1, anpassad till budgetgarantins eller finansieringsinstrumentets karaktär.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blandfinansieringsinsatser ska detaljerade arrangemang skilja mellan avkastning som kan hänföras till det återbetalningspliktiga stödet och avkastning som kan hänföras till den icke återbetalningspliktiga stödkomponenten.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All avkastning som genereras av unionsstöd enligt denna förordning och som tas emot av genomförandepartner ska föras in i unionens budget i enlighet med artikel 212.3 i förordning (EU, Euratom) 2024/2509.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De inkomster som genereras i enlighet med punkterna 1 och 2 ska utgöra interna inkomster avsatta för särskilda ändamål i den mening som avses i artikel 21.5 i förordning (EU, Euratom) 2024/2509.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Kommissionen ska anta delegerade akter i enlighet med artikel 84 för att komplettera denna förordning genom att fastställa den metod och de närmare arrangemang som krävs för tillämpningen av denna artikel, inbegripet beräkningen av realiserad avkastning och överskjutande avkastning, behandlingen av olika former av unionsstöd och kategorier av stödmottagare, tillämpliga tröskelvärden och referensperioder, rapporterings- och revisionsskyldigheter samt villkoren för återbetalning till unionens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1927</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András Gyürk, Vilis Krištopans, Ewa Zajączkowska-Hernik, Afroditi Latinopoulou, Anna Bryłka, Jorge Buxadé Villalba,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Fonden ska säkerställa en balanserad geografisk fördelning av resurserna genom att införliva kriterier för”inkluderande spetskompetens”.</w:t>
            </w:r>
            <w:r>
              <w:t xml:space="preserve"> </w:t>
            </w:r>
            <w:r>
              <w:rPr>
                <w:b/>
                <w:i/>
              </w:rPr>
              <w:t>Minst 25 % av budgeten efter halva tiden ska avsättas för konsortier som inbegriper minst en partner från medlemsstater som klassificerats som länder med måttliga innovationsresultat eller som nya innovatörer i den senaste europeiska resultattavlan för innovation som avses i artikel 2.4a.</w:t>
            </w:r>
            <w:r>
              <w:t xml:space="preserve"> </w:t>
            </w:r>
            <w:r>
              <w:rPr>
                <w:b/>
                <w:i/>
              </w:rPr>
              <w:t>Utvärderingskriterierna ska belöna integrering av framväxande innovationsekosystem i europeiska strategiska värdekedjor.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13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Unionens institutioner, organ och byråer som är involverade i genomförandet av unionsbudgeten ska ha åtkomst till de uppgifter, inbegripet säkerhetsskyddsklassificerade uppgifter, som är nödvändiga för att utföra tilldelningsförfaranden, genomförandeåtgärder, inbegripet rapportering och utbetalningar, samt kontroller, granskningar, revisioner och utredningar.</w:t>
            </w:r>
          </w:p>
        </w:tc>
        <w:tc>
          <w:tcPr>
            <w:tcW w:w="4876" w:type="dxa"/>
            <w:tcBorders>
              <w:top w:val="nil"/>
              <w:left w:val="nil"/>
              <w:bottom w:val="nil"/>
              <w:right w:val="nil"/>
            </w:tcBorders>
          </w:tcPr>
          <w:p>
            <w:pPr>
              <w:pStyle w:val="Normal6a"/>
            </w:pPr>
            <w:r>
              <w:t>4.</w:t>
            </w:r>
            <w:r>
              <w:tab/>
            </w:r>
            <w:r>
              <w:t>Unionens institutioner, organ och byråer som är involverade i genomförandet av unionsbudgeten ska ha åtkomst till de uppgifter, inbegripet säkerhetsskyddsklassificerade uppgifter, som är nödvändiga för att utföra tilldelningsförfaranden, genomförandeåtgärder, inbegripet rapportering och utbetalningar, samt kontroller, granskningar, revisioner och utredningar</w:t>
            </w:r>
            <w:r>
              <w:rPr>
                <w:b/>
                <w:i/>
              </w:rPr>
              <w:t>, grundat på tydliga bestämmelser och åtkomstvillkor, inbegripet åtkomsttider</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1929</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13 – punkt 5</w:t>
      </w:r>
      <w:r>
        <w:rPr>
          <w:rStyle w:val="HideTWBExt"/>
        </w:rPr>
        <w:t>&lt;/Article&gt;</w:t>
      </w:r>
    </w:p>
    <w:p>
      <w:r>
        <w:rPr>
          <w:rStyle w:val="HideTWBExt"/>
        </w:rPr>
        <w:t>&lt;DocAmend2&gt;</w:t>
      </w:r>
      <w:r>
        <w:t>Förslag till förordning</w:t>
      </w:r>
      <w:r>
        <w:rPr>
          <w:rStyle w:val="HideTWBExt"/>
        </w:rPr>
        <w:t>&lt;/DocAmend2&gt;</w:t>
      </w:r>
    </w:p>
    <w:p>
      <w:r>
        <w:rPr>
          <w:rStyle w:val="HideTWBExt"/>
        </w:rPr>
        <w:t>&lt;Article2&gt;</w:t>
      </w:r>
      <w:r>
        <w:t>Artikel 13 – punkt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För att säkerställa efterlevande av kraven i förordning (EU, Euratom) 2024/2509, inbegripet principerna om öppenhet och likabehandling, i alla skeden av tilldelningsförfarandena där säkerhetsskyddsklassificerade uppgifter berörs, ska administrativa uppgifter som behövs för att utvärdera, tilldela och kontrollera unionsstödet, dock endast rättsliga, ekonomiska och processuella uppgifter, behandlas som känsliga icke-säkerhetsskyddsklassificerade uppgifter.</w:t>
            </w:r>
          </w:p>
        </w:tc>
        <w:tc>
          <w:tcPr>
            <w:tcW w:w="4876" w:type="dxa"/>
            <w:tcBorders>
              <w:top w:val="nil"/>
              <w:left w:val="nil"/>
              <w:bottom w:val="nil"/>
              <w:right w:val="nil"/>
            </w:tcBorders>
          </w:tcPr>
          <w:p>
            <w:pPr>
              <w:pStyle w:val="Normal6a"/>
            </w:pPr>
            <w:r>
              <w:t>5.</w:t>
            </w:r>
            <w:r>
              <w:tab/>
            </w:r>
            <w:r>
              <w:t>För att säkerställa efterlevande av kraven i förordning (EU, Euratom) 2024/2509, inbegripet principerna om öppenhet och likabehandling, i alla skeden av tilldelningsförfarandena där säkerhetsskyddsklassificerade uppgifter berörs, ska administrativa uppgifter som behövs för att utvärdera, tilldela och kontrollera unionsstödet, dock endast rättsliga, ekonomiska och processuella uppgifter, behandlas som känsliga icke-säkerhetsskyddsklassificerade uppgifter</w:t>
            </w:r>
            <w:r>
              <w:rPr>
                <w:b/>
                <w:i/>
              </w:rPr>
              <w:t>, såvida inte en annan behandling krävs av försvars- och säkerhetsrelaterade hänsyn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1930</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13 – 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Kommissionen är skyldig att fastställa tydliga och heltäckande riktlinjer för förvaltning och hantering av konfidentiella, känsliga och sekretessbelagda uppgifter.</w:t>
            </w:r>
            <w:r>
              <w:t xml:space="preserve"> </w:t>
            </w:r>
            <w:r>
              <w:rPr>
                <w:b/>
                <w:i/>
              </w:rPr>
              <w:t>Den ska säkerställa att vägledningar för säkerhetsskyddsklassificering utarbetas med vederbörlig hänsyn till den operativa kapaciteten hos enheter av alla storlekar, inbegripet forskningsverksamma organisationer och deltagare från den offentliga sektorn, för att genomföra sådana krav i praktiken inom deras specifika verksamhetsmiljöer.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Tvetydighet i informationsklassificeringen skapar betydande hinder för deltagande i strategiska sektorer.</w:t>
      </w:r>
      <w:r>
        <w:t xml:space="preserve"> </w:t>
      </w:r>
      <w:r>
        <w:t>Denna bestämmelse föreskriver tydlig vägledning som är underbyggd av berörda parter för att säkerställa operativ säkerhet och genomförbarhet från och med starten av EKF och 10:e ramprogrammet för forskning, vilket förebygger administrativa svårigheter för alla stödmottagare.</w:t>
      </w:r>
    </w:p>
    <w:p>
      <w:r>
        <w:rPr>
          <w:rStyle w:val="HideTWBExt"/>
        </w:rPr>
        <w:t>&lt;/Amend&gt;</w:t>
      </w:r>
    </w:p>
    <w:p>
      <w:pPr>
        <w:pStyle w:val="AmNumberTabs"/>
      </w:pPr>
      <w:r>
        <w:rPr>
          <w:rStyle w:val="HideTWBExt"/>
        </w:rPr>
        <w:t>&lt;Amend&gt;</w:t>
      </w:r>
      <w:r>
        <w:t>Ändringsförslag</w:t>
      </w:r>
      <w:r>
        <w:tab/>
      </w:r>
      <w:r>
        <w:tab/>
      </w:r>
      <w:r>
        <w:rPr>
          <w:rStyle w:val="HideTWBExt"/>
        </w:rPr>
        <w:t>&lt;NumAm&gt;</w:t>
      </w:r>
      <w:r>
        <w:t>1931</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rubriken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Styrande och rådgivande nämnder</w:t>
            </w:r>
          </w:p>
        </w:tc>
        <w:tc>
          <w:tcPr>
            <w:tcW w:w="4876" w:type="dxa"/>
            <w:tcBorders>
              <w:top w:val="nil"/>
              <w:left w:val="nil"/>
              <w:bottom w:val="nil"/>
              <w:right w:val="nil"/>
            </w:tcBorders>
          </w:tcPr>
          <w:p>
            <w:pPr>
              <w:pStyle w:val="Normal6a"/>
            </w:pPr>
            <w:r>
              <w:rPr>
                <w:b/>
                <w:i/>
              </w:rPr>
              <w:t>Styrning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1932</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Härmed inrättas en nämnd för strategiska berörda parter.</w:t>
            </w:r>
          </w:p>
        </w:tc>
        <w:tc>
          <w:tcPr>
            <w:tcW w:w="4876" w:type="dxa"/>
            <w:tcBorders>
              <w:top w:val="nil"/>
              <w:left w:val="nil"/>
              <w:bottom w:val="nil"/>
              <w:right w:val="nil"/>
            </w:tcBorders>
          </w:tcPr>
          <w:p>
            <w:pPr>
              <w:pStyle w:val="Normal6a"/>
            </w:pPr>
            <w:r>
              <w:t>1.</w:t>
            </w:r>
            <w:r>
              <w:tab/>
            </w:r>
            <w:r>
              <w:t xml:space="preserve">Härmed inrättas </w:t>
            </w:r>
            <w:r>
              <w:rPr>
                <w:b/>
                <w:i/>
              </w:rPr>
              <w:t>en styrelse för medlemsstaterna och</w:t>
            </w:r>
            <w:r>
              <w:t xml:space="preserve"> en nämnd för strategiska berörda parter. </w:t>
            </w:r>
            <w:r>
              <w:rPr>
                <w:b/>
                <w:i/>
              </w:rPr>
              <w:t>Medlemsstaternas styrelse ska bestå av en företrädare per medlemsstat och ska, innan varje arbetsprogram antas, avge ett yttrande om dess strategiska riktlinjer, den vägledande fördelningen av resurser och användningen av undantag från konkurrensutsatta förfaranden.</w:t>
            </w:r>
            <w:r>
              <w:t xml:space="preserve"> </w:t>
            </w:r>
            <w:r>
              <w:rPr>
                <w:b/>
                <w:i/>
              </w:rPr>
              <w:t>Yttrandet från medlemsstaternas styrelse ska överlämnas till Europaparlamentet och 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1933</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Härmed inrättas en nämnd för</w:t>
            </w:r>
            <w:r>
              <w:t xml:space="preserve"> strategiska </w:t>
            </w:r>
            <w:r>
              <w:rPr>
                <w:b/>
                <w:i/>
              </w:rPr>
              <w:t>berörda parter</w:t>
            </w:r>
            <w:r>
              <w:t>.</w:t>
            </w:r>
          </w:p>
        </w:tc>
        <w:tc>
          <w:tcPr>
            <w:tcW w:w="4876" w:type="dxa"/>
            <w:tcBorders>
              <w:top w:val="nil"/>
              <w:left w:val="nil"/>
              <w:bottom w:val="nil"/>
              <w:right w:val="nil"/>
            </w:tcBorders>
          </w:tcPr>
          <w:p>
            <w:pPr>
              <w:pStyle w:val="Normal6a"/>
            </w:pPr>
            <w:r>
              <w:t>1.</w:t>
            </w:r>
            <w:r>
              <w:tab/>
            </w:r>
            <w:r>
              <w:rPr>
                <w:b/>
                <w:i/>
              </w:rPr>
              <w:t>Kommissionen ska inrätta en samordningsmekanism för konkurrenskraft som den övergripande styrningsramen för EKF för att stödja dess långsiktiga</w:t>
            </w:r>
            <w:r>
              <w:t xml:space="preserve"> strategiska </w:t>
            </w:r>
            <w:r>
              <w:rPr>
                <w:b/>
                <w:i/>
              </w:rPr>
              <w:t>inriktning och säkerställa anpassning mellan EKF och relevanta politiska åtgärder och finansieringsinstrument på unionsnivå och nationell nivå, bland annat genom effektivt deltagande av regionala och lokala myndigheter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Härmed inrättas</w:t>
            </w:r>
            <w:r>
              <w:t xml:space="preserve"> en nämnd för </w:t>
            </w:r>
            <w:r>
              <w:rPr>
                <w:b/>
                <w:i/>
              </w:rPr>
              <w:t>strategiska berörda parter</w:t>
            </w:r>
            <w:r>
              <w:t>.</w:t>
            </w:r>
          </w:p>
        </w:tc>
        <w:tc>
          <w:tcPr>
            <w:tcW w:w="4876" w:type="dxa"/>
            <w:tcBorders>
              <w:top w:val="nil"/>
              <w:left w:val="nil"/>
              <w:bottom w:val="nil"/>
              <w:right w:val="nil"/>
            </w:tcBorders>
          </w:tcPr>
          <w:p>
            <w:pPr>
              <w:pStyle w:val="Normal6a"/>
            </w:pPr>
            <w:r>
              <w:t>1.</w:t>
            </w:r>
            <w:r>
              <w:tab/>
            </w:r>
            <w:r>
              <w:t xml:space="preserve">En </w:t>
            </w:r>
            <w:r>
              <w:rPr>
                <w:b/>
                <w:i/>
              </w:rPr>
              <w:t>gemensam</w:t>
            </w:r>
            <w:r>
              <w:t xml:space="preserve"> nämnd för </w:t>
            </w:r>
            <w:r>
              <w:rPr>
                <w:b/>
                <w:i/>
              </w:rPr>
              <w:t>industriell framtid inrättas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Härmed inrättas en nämnd för </w:t>
            </w:r>
            <w:r>
              <w:rPr>
                <w:b/>
                <w:i/>
              </w:rPr>
              <w:t>strategiska</w:t>
            </w:r>
            <w:r>
              <w:t xml:space="preserve"> berörda parter.</w:t>
            </w:r>
          </w:p>
        </w:tc>
        <w:tc>
          <w:tcPr>
            <w:tcW w:w="4876" w:type="dxa"/>
            <w:tcBorders>
              <w:top w:val="nil"/>
              <w:left w:val="nil"/>
              <w:bottom w:val="nil"/>
              <w:right w:val="nil"/>
            </w:tcBorders>
          </w:tcPr>
          <w:p>
            <w:pPr>
              <w:pStyle w:val="Normal6a"/>
            </w:pPr>
            <w:r>
              <w:t>1.</w:t>
            </w:r>
            <w:r>
              <w:tab/>
            </w:r>
            <w:r>
              <w:t>Härmed inrättas en nämnd för berörda parter.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1936</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w:t>
            </w:r>
            <w:r>
              <w:rPr>
                <w:b/>
                <w:i/>
              </w:rPr>
              <w:t>, beroende på vad kommissionen finner lämpligast</w:t>
            </w:r>
            <w:r>
              <w: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och med beaktande av behovet av balans inom en sektor, typ av organisation, inbegripet privata investerare, och storlek, expertis, kön, ålder och geografisk fördelning. Ledamöternas mandattid ska vara fyra år och får förlängas en gång. </w:t>
            </w:r>
            <w:r>
              <w:rPr>
                <w:b/>
                <w:i/>
              </w:rPr>
              <w:t>Kommissionen ska organisera utnämningarna på ett sådant sätt att en stegvis förnyelse av nämnden säkerställs, så att som en allmän regel högst hälften och minst en tredjedel av ledamöterna ersätts i slutet av en viss mandatperiod, både för nämnden som helhet och, i den mån det är möjligt, inom varje policyinriktad konstellation.</w:t>
            </w:r>
            <w:r>
              <w:t xml:space="preserve"> Ledamöterna ska agera med integritet och redlighet </w:t>
            </w:r>
            <w:r>
              <w:rPr>
                <w:b/>
                <w:i/>
              </w:rPr>
              <w:t>och ska omfattas av strikta regler om oberoende och om förebyggande och hantering av intressekonflikter, inbegripet skyldigheten att lämna in och uppdatera en intresseförklaring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1937</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w:t>
            </w:r>
            <w:r>
              <w:rPr>
                <w:b/>
                <w:i/>
              </w:rPr>
              <w:t>och med beaktande av</w:t>
            </w:r>
            <w:r>
              <w:t xml:space="preserve"> behovet av </w:t>
            </w:r>
            <w:r>
              <w:rPr>
                <w:b/>
                <w:i/>
              </w:rPr>
              <w:t>balans inom en</w:t>
            </w:r>
            <w:r>
              <w:t xml:space="preserve"> sektor, typ av organisation</w:t>
            </w:r>
            <w:r>
              <w:rPr>
                <w:b/>
                <w:i/>
              </w:rPr>
              <w:t>, inbegripet privata investerare,</w:t>
            </w:r>
            <w:r>
              <w:t xml:space="preserv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w:t>
            </w:r>
            <w:r>
              <w:rPr>
                <w:b/>
                <w:i/>
              </w:rPr>
              <w:t>.</w:t>
            </w:r>
            <w:r>
              <w:t xml:space="preserve"> </w:t>
            </w:r>
            <w:r>
              <w:rPr>
                <w:b/>
                <w:i/>
              </w:rPr>
              <w:t>Ledamöterna ska utses på grundval av sin vetenskapliga</w:t>
            </w:r>
            <w:r>
              <w:t xml:space="preserve">, </w:t>
            </w:r>
            <w:r>
              <w:rPr>
                <w:b/>
                <w:i/>
              </w:rPr>
              <w:t>akademiska, finansiella eller yrkesmässiga expertis och erfarenhet inom de relevanta sektorerna eller investeringsmiljön.</w:t>
            </w:r>
            <w:r>
              <w:t xml:space="preserve"> </w:t>
            </w:r>
            <w:r>
              <w:rPr>
                <w:b/>
                <w:i/>
              </w:rPr>
              <w:t>Kommissionen ska också beakta</w:t>
            </w:r>
            <w:r>
              <w:t xml:space="preserve"> behovet av </w:t>
            </w:r>
            <w:r>
              <w:rPr>
                <w:b/>
                <w:i/>
              </w:rPr>
              <w:t>att säkerställa en balanserad representation i fråga om</w:t>
            </w:r>
            <w:r>
              <w:t xml:space="preserve"> sektor, typ av organisation och storlek, expertis, kön, ålder och geografisk fördelning</w:t>
            </w:r>
            <w:r>
              <w:rPr>
                <w:b/>
                <w:i/>
              </w:rPr>
              <w:t>.</w:t>
            </w:r>
            <w:r>
              <w:t xml:space="preserve"> </w:t>
            </w:r>
            <w:r>
              <w:rPr>
                <w:b/>
                <w:i/>
              </w:rPr>
              <w:t>Nämnden ska omfatta företrädare för berörda parter inom industrin och innovatörer, den akademiska världen och forskarsamhället, det civila samhället och den sociala ekonomin, regionala och lokala myndigheter, genomförandepartner samt privata och andra investerare</w:t>
            </w:r>
            <w:r>
              <w:t>.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This amendment clarifies the criteria for the appointment and composition of the ECF Strategic Stakeholders Board.</w:t>
      </w:r>
      <w:r>
        <w:t xml:space="preserve"> </w:t>
      </w:r>
      <w:r>
        <w:t>By emphasizing expertise and ensuring balanced representation across sectors, stakeholders and geographical areas, the amendment strengthens the Board’s capacity to provide high-quality strategic advice.</w:t>
      </w:r>
      <w:r>
        <w:t xml:space="preserve"> </w:t>
      </w:r>
      <w:r>
        <w:t>Including representatives from industry, academia, civil society, regional and local authorities and investors ensures that the Board reflects the diversity of actors involved in the Union’s competitiveness and investment ecosystem, thereby enhancing the legitimacy and effectiveness of its work.</w:t>
      </w:r>
    </w:p>
    <w:p>
      <w:r>
        <w:rPr>
          <w:rStyle w:val="HideTWBExt"/>
        </w:rPr>
        <w:t>&lt;/Amend&gt;</w:t>
      </w:r>
    </w:p>
    <w:p>
      <w:pPr>
        <w:pStyle w:val="AmNumberTabs"/>
      </w:pPr>
      <w:r>
        <w:rPr>
          <w:rStyle w:val="HideTWBExt"/>
        </w:rPr>
        <w:t>&lt;Amend&gt;</w:t>
      </w:r>
      <w:r>
        <w:t>Ändringsförslag</w:t>
      </w:r>
      <w:r>
        <w:tab/>
      </w:r>
      <w:r>
        <w:tab/>
      </w:r>
      <w:r>
        <w:rPr>
          <w:rStyle w:val="HideTWBExt"/>
        </w:rPr>
        <w:t>&lt;NumAm&gt;</w:t>
      </w:r>
      <w:r>
        <w:t>1938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Ledamöterna i </w:t>
            </w:r>
            <w:r>
              <w:rPr>
                <w:b/>
                <w:i/>
              </w:rPr>
              <w:t>EKF:s nämnd för strategiska berörda parter</w:t>
            </w:r>
            <w:r>
              <w:t xml:space="preserve"> ska utses av kommissionen efter en öppen inbjudan att lämna förslag till kandidater eller att anmäla intresse, eller bägge</w:t>
            </w:r>
            <w:r>
              <w:rPr>
                <w:b/>
                <w:i/>
              </w:rPr>
              <w:t>, beroende på vad kommissionen finner lämpligast, och</w:t>
            </w:r>
            <w:r>
              <w:t xml:space="preserve"> med beaktande av behovet av balans inom en sektor, </w:t>
            </w:r>
            <w:r>
              <w:rPr>
                <w:b/>
                <w:i/>
              </w:rPr>
              <w:t>typ av organisation, inbegripet privata investerare, och storlek,</w:t>
            </w:r>
            <w:r>
              <w:t xml:space="preserve">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w:t>
            </w:r>
            <w:r>
              <w:rPr>
                <w:b/>
                <w:i/>
              </w:rPr>
              <w:t>nämnden</w:t>
            </w:r>
            <w:r>
              <w:t xml:space="preserve"> ska utses av kommissionen </w:t>
            </w:r>
            <w:r>
              <w:rPr>
                <w:b/>
                <w:i/>
              </w:rPr>
              <w:t>i samråd med parlamentet och medlemsstaterna</w:t>
            </w:r>
            <w:r>
              <w:t xml:space="preserve"> efter en öppen inbjudan att lämna förslag till kandidater eller att anmäla intresse, eller bägge</w:t>
            </w:r>
            <w:r>
              <w:rPr>
                <w:b/>
                <w:i/>
              </w:rPr>
              <w:t>.</w:t>
            </w:r>
            <w:r>
              <w:t xml:space="preserve"> </w:t>
            </w:r>
            <w:r>
              <w:rPr>
                <w:b/>
                <w:i/>
              </w:rPr>
              <w:t>Nämnden ska bestå av företrädare för nationella/regionala regeringar, strategiska sektorer, fackföreningar, offentliga forskningsorganisationer och allmänheten, en välavvägd andel, även</w:t>
            </w:r>
            <w:r>
              <w:t xml:space="preserve"> med beaktande av behovet av balans inom en sektor, expertis, kön, ålder och geografisk fördelning</w:t>
            </w:r>
            <w:r>
              <w:rPr>
                <w:b/>
                <w:i/>
              </w:rPr>
              <w:t>.</w:t>
            </w:r>
            <w:r>
              <w:t xml:space="preserve"> </w:t>
            </w:r>
            <w:r>
              <w:rPr>
                <w:b/>
                <w:i/>
              </w:rPr>
              <w:t>Ingen sektor ska inneha majoritet</w:t>
            </w:r>
            <w:r>
              <w:t xml:space="preserve">. Ledamöternas mandattid ska vara fyra år och får förlängas en gång. Ledamöterna </w:t>
            </w:r>
            <w:r>
              <w:rPr>
                <w:b/>
                <w:i/>
              </w:rPr>
              <w:t>får inte ha några intressekonflikter och</w:t>
            </w:r>
            <w:r>
              <w:t xml:space="preserve"> ska agera med integritet och redlighet. </w:t>
            </w:r>
            <w:r>
              <w:rPr>
                <w:b/>
                <w:i/>
              </w:rPr>
              <w:t>Europaparlamentet ska utse ytterligare två företrädare.</w:t>
            </w:r>
            <w:r>
              <w:t xml:space="preserve"> </w:t>
            </w:r>
            <w:r>
              <w:rPr>
                <w:b/>
                <w:i/>
              </w:rPr>
              <w:t>Kommissionen ska vara ordförande i nämnden.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w:t>
            </w:r>
            <w:r>
              <w:rPr>
                <w:b/>
                <w:i/>
              </w:rPr>
              <w:t>, och med beaktande av</w:t>
            </w:r>
            <w:r>
              <w:t xml:space="preserve"> behovet av balans inom </w:t>
            </w:r>
            <w:r>
              <w:rPr>
                <w:b/>
                <w:i/>
              </w:rPr>
              <w:t>en sektor</w:t>
            </w:r>
            <w:r>
              <w:t>, typ av organisation</w:t>
            </w:r>
            <w:r>
              <w:rPr>
                <w:b/>
                <w:i/>
              </w:rPr>
              <w:t>, inbegripet privata investerare,</w:t>
            </w:r>
            <w:r>
              <w:t xml:space="preserv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w:t>
            </w:r>
            <w:r>
              <w:rPr>
                <w:b/>
                <w:i/>
              </w:rPr>
              <w:t>, rättvis och transparent</w:t>
            </w:r>
            <w:r>
              <w:t xml:space="preserve"> inbjudan att lämna förslag till kandidater eller att anmäla intresse, eller bägge, beroende på vad kommissionen finner lämpligast</w:t>
            </w:r>
            <w:r>
              <w:rPr>
                <w:b/>
                <w:i/>
              </w:rPr>
              <w:t>.</w:t>
            </w:r>
            <w:r>
              <w:t xml:space="preserve"> </w:t>
            </w:r>
            <w:r>
              <w:rPr>
                <w:b/>
                <w:i/>
              </w:rPr>
              <w:t>Ledamöterna ska i första hand utses på grundval av sin vetenskapliga eller praktiska expertis inom sektorerna och investeringsmiljön.</w:t>
            </w:r>
            <w:r>
              <w:t xml:space="preserve"> </w:t>
            </w:r>
            <w:r>
              <w:rPr>
                <w:b/>
                <w:i/>
              </w:rPr>
              <w:t>Kommissionen ska dessutom beakta</w:t>
            </w:r>
            <w:r>
              <w:t xml:space="preserve"> behovet av balans inom </w:t>
            </w:r>
            <w:r>
              <w:rPr>
                <w:b/>
                <w:i/>
              </w:rPr>
              <w:t>de sektorer och ämnesområden som företräds samt mellan ledamöter inom den privata sektorn och ledamöter som agerar i allmänhetens intresse</w:t>
            </w:r>
            <w:r>
              <w:t>, typ av organisation och storlek, expertis, kön, ålder och geografisk fördelning.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1940</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w:t>
            </w:r>
            <w:r>
              <w:rPr>
                <w:b/>
                <w:i/>
              </w:rPr>
              <w:t>En lämplig och balanserad representation av mikroföretag samt små och medelstora företag, även genom de organisationer som företräder dem, ska säkerställas.</w:t>
            </w:r>
            <w:r>
              <w:t xml:space="preserve"> </w:t>
            </w:r>
            <w:r>
              <w:rPr>
                <w:b/>
                <w:i/>
              </w:rPr>
              <w:t>Kommissionen ska garantera en permanent plats för en företrädare för mikroföretag samt små och medelstora företag i nämnden.</w:t>
            </w:r>
            <w:r>
              <w:t xml:space="preserve">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Regionala och lokala offentliga myndigheter bör vara företrädda i EKF:s nämnd för strategiska berörda parter eftersom de har förstahandskunskap om territoriella industriella ekosystem.</w:t>
      </w:r>
      <w:r>
        <w:t xml:space="preserve"> </w:t>
      </w:r>
      <w:r>
        <w:t>Organisationer som företräder mikroföretag samt små och medelstora företag måste ha en garanterad permanent plats för att säkerställa att fondens prioriteringar återspeglar behoven hos de allra flesta europeiska företag.</w:t>
      </w:r>
    </w:p>
    <w:p>
      <w:r>
        <w:rPr>
          <w:rStyle w:val="HideTWBExt"/>
        </w:rPr>
        <w:t>&lt;/Amend&gt;</w:t>
      </w:r>
    </w:p>
    <w:p>
      <w:pPr>
        <w:pStyle w:val="AmNumberTabs"/>
      </w:pPr>
      <w:r>
        <w:rPr>
          <w:rStyle w:val="HideTWBExt"/>
        </w:rPr>
        <w:t>&lt;Amend&gt;</w:t>
      </w:r>
      <w:r>
        <w:t>Ändringsförslag</w:t>
      </w:r>
      <w:r>
        <w:tab/>
      </w:r>
      <w:r>
        <w:tab/>
      </w:r>
      <w:r>
        <w:rPr>
          <w:rStyle w:val="HideTWBExt"/>
        </w:rPr>
        <w:t>&lt;NumAm&gt;</w:t>
      </w:r>
      <w:r>
        <w:t>1941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w:t>
            </w:r>
            <w:r>
              <w:rPr>
                <w:b/>
                <w:i/>
              </w:rPr>
              <w:t>och med beaktande av behovet av balans inom en sektor, typ av organisation, inbegripet</w:t>
            </w:r>
            <w:r>
              <w:t xml:space="preserve"> privata investerare</w:t>
            </w:r>
            <w:r>
              <w:rPr>
                <w:b/>
                <w:i/>
              </w:rPr>
              <w:t>, och storlek</w:t>
            </w:r>
            <w:r>
              <w:t>,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w:t>
            </w:r>
            <w:r>
              <w:rPr>
                <w:b/>
                <w:i/>
              </w:rPr>
              <w:t>utifrån tydliga urvalskriterier</w:t>
            </w:r>
            <w:r>
              <w:t xml:space="preserve"> efter en öppen inbjudan att lämna förslag till kandidater eller att anmäla intresse, eller bägge, beroende på vad kommissionen finner lämpligast</w:t>
            </w:r>
            <w:r>
              <w:rPr>
                <w:b/>
                <w:i/>
              </w:rPr>
              <w:t>.</w:t>
            </w:r>
            <w:r>
              <w:t xml:space="preserve"> </w:t>
            </w:r>
            <w:r>
              <w:rPr>
                <w:b/>
                <w:i/>
              </w:rPr>
              <w:t>För att anpassa EKF till marknadsförhållandena</w:t>
            </w:r>
            <w:r>
              <w:t xml:space="preserve">, </w:t>
            </w:r>
            <w:r>
              <w:rPr>
                <w:b/>
                <w:i/>
              </w:rPr>
              <w:t>stödja förutsägbara fleråriga investeringsplaner och attrahera privata investeringar bör deltagande av experter från europeisk och nationell industri av alla storlekar, företrädare för forskning och innovation och</w:t>
            </w:r>
            <w:r>
              <w:t xml:space="preserve"> privata investerare </w:t>
            </w:r>
            <w:r>
              <w:rPr>
                <w:b/>
                <w:i/>
              </w:rPr>
              <w:t>säkerställas, vilket garanterar en verkligt balanserad sammansättning</w:t>
            </w:r>
            <w:r>
              <w:t xml:space="preserve">, </w:t>
            </w:r>
            <w:r>
              <w:rPr>
                <w:b/>
                <w:i/>
              </w:rPr>
              <w:t>med beaktande av</w:t>
            </w:r>
            <w:r>
              <w:t xml:space="preserve"> expertis, kön, ålder och geografisk fördelning.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1942</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p>
      <w:r>
        <w:rPr>
          <w:rStyle w:val="HideTWBExt"/>
        </w:rPr>
        <w:t>&lt;DocAmend2&gt;</w:t>
      </w:r>
      <w:r>
        <w:t>Förslag till förordning</w:t>
      </w:r>
      <w:r>
        <w:rPr>
          <w:rStyle w:val="HideTWBExt"/>
        </w:rPr>
        <w:t>&lt;/DocAmend2&gt;</w:t>
      </w:r>
    </w:p>
    <w:p>
      <w:r>
        <w:rPr>
          <w:rStyle w:val="HideTWBExt"/>
        </w:rPr>
        <w:t>&lt;Article2&gt;</w:t>
      </w:r>
      <w:r>
        <w:t>Artikel 14 – punkt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w:t>
            </w:r>
            <w:r>
              <w:rPr>
                <w:b/>
                <w:i/>
              </w:rPr>
              <w:t>universitet och forskningsinstitut,</w:t>
            </w:r>
            <w:r>
              <w:t xml:space="preserve"> och storlek, expertis, kön, ålder och geografisk fördelning</w:t>
            </w:r>
            <w:r>
              <w:rPr>
                <w:b/>
                <w:i/>
              </w:rPr>
              <w:t>.</w:t>
            </w:r>
            <w:r>
              <w:t xml:space="preserve"> </w:t>
            </w:r>
            <w:r>
              <w:rPr>
                <w:b/>
                <w:i/>
              </w:rPr>
              <w:t>Nämnden för strategiska berörda parter ska bestå av minst en kandidat från varje medlemsstat för att säkerställa att alla medlemsstater har en röst när det gäller EKF:s strategiska inriktning</w:t>
            </w:r>
            <w:r>
              <w:t>.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1943</w:t>
      </w:r>
      <w:r>
        <w:rPr>
          <w:rStyle w:val="HideTWBExt"/>
        </w:rPr>
        <w:t>&lt;/NumAm&gt;</w:t>
      </w:r>
    </w:p>
    <w:p>
      <w:pPr>
        <w:pStyle w:val="NormalBold"/>
      </w:pPr>
      <w:r>
        <w:rPr>
          <w:rStyle w:val="HideTWBExt"/>
          <w:b w:val="0"/>
        </w:rPr>
        <w:t>&lt;RepeatBlock-By&gt;</w:t>
      </w:r>
      <w:r>
        <w:rPr>
          <w:rStyle w:val="HideTWBExt"/>
          <w:b w:val="0"/>
        </w:rPr>
        <w:t>&lt;Members&gt;</w:t>
      </w:r>
      <w:r>
        <w:t>Jaroslava Pokorná Jermanová, 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w:t>
            </w:r>
            <w:r>
              <w:rPr>
                <w:b/>
                <w:i/>
              </w:rPr>
              <w:t>universitet och forskningsinstitut,</w:t>
            </w:r>
            <w:r>
              <w:t xml:space="preserve"> och storlek, expertis, kön, ålder och geografisk fördelning</w:t>
            </w:r>
            <w:r>
              <w:rPr>
                <w:b/>
                <w:i/>
              </w:rPr>
              <w:t>.</w:t>
            </w:r>
            <w:r>
              <w:t xml:space="preserve"> </w:t>
            </w:r>
            <w:r>
              <w:rPr>
                <w:b/>
                <w:i/>
              </w:rPr>
              <w:t>Nämnden för strategiska berörda parter ska bestå av minst en kandidat från varje medlemsstat för att säkerställa att alla medlemsstater har en röst när det gäller EKF:s strategiska inriktning</w:t>
            </w:r>
            <w:r>
              <w:t>.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1944</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w:t>
            </w:r>
            <w:r>
              <w:rPr>
                <w:b/>
                <w:i/>
              </w:rPr>
              <w:t>och med beaktande av</w:t>
            </w:r>
            <w:r>
              <w:t xml:space="preserve">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w:t>
            </w:r>
            <w:r>
              <w:rPr>
                <w:b/>
                <w:i/>
              </w:rPr>
              <w:t>och transparent</w:t>
            </w:r>
            <w:r>
              <w:t xml:space="preserve"> inbjudan att lämna förslag till kandidater eller att anmäla intresse, eller bägge, beroende på vad kommissionen finner lämpligast</w:t>
            </w:r>
            <w:r>
              <w:rPr>
                <w:b/>
                <w:i/>
              </w:rPr>
              <w:t>.</w:t>
            </w:r>
            <w:r>
              <w:t xml:space="preserve"> </w:t>
            </w:r>
            <w:r>
              <w:rPr>
                <w:b/>
                <w:i/>
              </w:rPr>
              <w:t>Ledamöterna ska i första hand utses på grundval av sin vetenskapliga</w:t>
            </w:r>
            <w:r>
              <w:t xml:space="preserve">, </w:t>
            </w:r>
            <w:r>
              <w:rPr>
                <w:b/>
                <w:i/>
              </w:rPr>
              <w:t>tekniska eller praktiska expertis inom sektorerna och investeringsmiljön.</w:t>
            </w:r>
            <w:r>
              <w:t xml:space="preserve"> </w:t>
            </w:r>
            <w:r>
              <w:rPr>
                <w:b/>
                <w:i/>
              </w:rPr>
              <w:t>Överlag ska kommissionen beakta</w:t>
            </w:r>
            <w:r>
              <w:t xml:space="preserve"> behovet av balans inom en sektor, typ av organisation, inbegripet privata investerare, och storlek, </w:t>
            </w:r>
            <w:r>
              <w:rPr>
                <w:b/>
                <w:i/>
              </w:rPr>
              <w:t>vetenskaplig</w:t>
            </w:r>
            <w:r>
              <w:t xml:space="preserve"> expertis</w:t>
            </w:r>
            <w:r>
              <w:rPr>
                <w:b/>
                <w:i/>
              </w:rPr>
              <w:t>, deltagande av det civila samhället</w:t>
            </w:r>
            <w:r>
              <w:t>, kön, ålder och geografisk fördelning.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1945</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w:t>
            </w:r>
            <w:r>
              <w:rPr>
                <w:b/>
                <w:i/>
              </w:rPr>
              <w:t>beaktande av behovet av balans inom en sektor, typ av organisation, inbegripet</w:t>
            </w:r>
            <w:r>
              <w:t xml:space="preserve"> privata investerare, </w:t>
            </w:r>
            <w:r>
              <w:rPr>
                <w:b/>
                <w:i/>
              </w:rPr>
              <w:t>och storlek, expertis, kön, ålder och geografisk fördelning</w:t>
            </w:r>
            <w:r>
              <w:t>.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w:t>
            </w:r>
            <w:r>
              <w:rPr>
                <w:b/>
                <w:i/>
              </w:rPr>
              <w:t>ett transparent förfarande som bygger på tydliga urvalskriterier och</w:t>
            </w:r>
            <w:r>
              <w:t xml:space="preserve"> en öppen inbjudan att lämna förslag till kandidater eller att anmäla intresse, eller bägge, beroende på vad kommissionen finner lämpligast, och med </w:t>
            </w:r>
            <w:r>
              <w:rPr>
                <w:b/>
                <w:i/>
              </w:rPr>
              <w:t>experter från europeisk och nationell industri och organisationer som företräder forskning och innovation och</w:t>
            </w:r>
            <w:r>
              <w:t xml:space="preserve"> privata investerare, </w:t>
            </w:r>
            <w:r>
              <w:rPr>
                <w:b/>
                <w:i/>
              </w:rPr>
              <w:t>i syfte att säkerställa en verkligt balanserad sammansättning.</w:t>
            </w:r>
            <w:r>
              <w:t xml:space="preserve"> </w:t>
            </w:r>
            <w:r>
              <w:rPr>
                <w:b/>
                <w:i/>
              </w:rPr>
              <w:t>Ett meningsfullt deltagande av industrin kommer att anses vara avgörande för att anpassa EKF till marknadsförhållandena, stödja förutsägbara fleråriga investeringsplaner och attrahera privata investeringar</w:t>
            </w:r>
            <w:r>
              <w:t>.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1946</w:t>
      </w:r>
      <w:r>
        <w:rPr>
          <w:rStyle w:val="HideTWBExt"/>
        </w:rPr>
        <w:t>&lt;/NumAm&gt;</w:t>
      </w:r>
    </w:p>
    <w:p>
      <w:pPr>
        <w:pStyle w:val="NormalBold"/>
      </w:pPr>
      <w:r>
        <w:rPr>
          <w:rStyle w:val="HideTWBExt"/>
          <w:b w:val="0"/>
        </w:rPr>
        <w:t>&lt;RepeatBlock-By&gt;</w:t>
      </w:r>
      <w:r>
        <w:rPr>
          <w:rStyle w:val="HideTWBExt"/>
          <w:b w:val="0"/>
        </w:rPr>
        <w:t>&lt;Members&gt;</w:t>
      </w:r>
      <w:r>
        <w:t>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w:t>
            </w:r>
            <w:r>
              <w:rPr>
                <w:b/>
                <w:i/>
              </w:rPr>
              <w:t>En balanserad representation av arbetsmarknadens parter i nämnden för strategiska intressenter måste uppnås.</w:t>
            </w:r>
            <w:r>
              <w:t xml:space="preserve"> Ledamöternas mandattid ska vara fyra år och får förlängas en gång. Ledamöterna ska agera med integritet och redlighet. </w:t>
            </w:r>
            <w:r>
              <w:rPr>
                <w:b/>
                <w:i/>
              </w:rPr>
              <w:t>Nämnden för strategiska berörda parter antar årliga yttranden som måste beaktas när de årliga arbetsprogrammen utarbetas.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1947</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w:t>
            </w:r>
            <w:r>
              <w:rPr>
                <w:b/>
                <w:i/>
              </w:rPr>
              <w:t>mandattid</w:t>
            </w:r>
            <w:r>
              <w:t xml:space="preserve">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w:t>
            </w:r>
            <w:r>
              <w:rPr>
                <w:b/>
                <w:i/>
              </w:rPr>
              <w:t>samt regionala och lokala myndigheter</w:t>
            </w:r>
            <w:r>
              <w:t xml:space="preserve">, och storlek, expertis, kön, ålder och geografisk fördelning. </w:t>
            </w:r>
            <w:r>
              <w:rPr>
                <w:b/>
                <w:i/>
              </w:rPr>
              <w:t>Utöver den strategiska rådgivande nämnden bör regionala och lokala myndigheter inkluderas i de olika officiella styrningsstrukturer som utvecklas enligt denna förordning.</w:t>
            </w:r>
            <w:r>
              <w:t xml:space="preserve"> Ledamöternas </w:t>
            </w:r>
            <w:r>
              <w:rPr>
                <w:b/>
                <w:i/>
              </w:rPr>
              <w:t>mandatperiod</w:t>
            </w:r>
            <w:r>
              <w:t xml:space="preserve">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1948</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w:t>
            </w:r>
            <w:r>
              <w:rPr>
                <w:b/>
                <w:i/>
              </w:rPr>
              <w:t>och regionala myndigheter</w:t>
            </w:r>
            <w:r>
              <w:t xml:space="preserve">, och storlek, expertis, kön, ålder och geografisk fördelning. Ledamöternas mandattid ska vara fyra år och får förlängas en gång. Ledamöterna ska agera med integritet och redlighet. </w:t>
            </w:r>
            <w:r>
              <w:rPr>
                <w:b/>
                <w:i/>
              </w:rPr>
              <w:t>Utöver den strategiska rådgivande nämnden bör regionala och lokala myndigheter inkluderas i de olika officiella styrningsstrukturer som utvecklas enligt denna förordning.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Regioner, särskilt de med betydande innovationsverksamhet, bör vara företrädda på ett strukturerat sätt i Europeiska konkurrenskraftsfondens strategiska nämnd.</w:t>
      </w:r>
      <w:r>
        <w:t xml:space="preserve"> </w:t>
      </w:r>
      <w:r>
        <w:t>Som viktiga aktörer och nav där arbetstillfällen, företag och investeringar är koncentrerade har regionerna förstahandskunskap om investeringsbehov, marknadsbrister och politiska prioriteringar, och spelar en avgörande roll för att skapa attraktiva villkor för företag och investerare, utöver att vara offentliga upphandlare, vilket stärker ekonomins övergripande konkurrenskraft.</w:t>
      </w:r>
    </w:p>
    <w:p>
      <w:r>
        <w:rPr>
          <w:rStyle w:val="HideTWBExt"/>
        </w:rPr>
        <w:t>&lt;/Amend&gt;</w:t>
      </w:r>
    </w:p>
    <w:p>
      <w:pPr>
        <w:pStyle w:val="AmNumberTabs"/>
      </w:pPr>
      <w:r>
        <w:rPr>
          <w:rStyle w:val="HideTWBExt"/>
        </w:rPr>
        <w:t>&lt;Amend&gt;</w:t>
      </w:r>
      <w:r>
        <w:t>Ändringsförslag</w:t>
      </w:r>
      <w:r>
        <w:tab/>
      </w:r>
      <w:r>
        <w:tab/>
      </w:r>
      <w:r>
        <w:rPr>
          <w:rStyle w:val="HideTWBExt"/>
        </w:rPr>
        <w:t>&lt;NumAm&gt;</w:t>
      </w:r>
      <w:r>
        <w:t>1949</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w:t>
            </w:r>
            <w:r>
              <w:rPr>
                <w:b/>
                <w:i/>
              </w:rPr>
              <w:t>Ledamöterna i nämnden ska företräda enheter som är etablerade i unionen och som inte kontrolleras av ett tredjeland eller en enhet i ett tredjeland.</w:t>
            </w:r>
            <w:r>
              <w:t xml:space="preserve">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1950</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w:t>
            </w:r>
            <w:r>
              <w:rPr>
                <w:b/>
                <w:i/>
              </w:rPr>
              <w:t>Ledamöterna i nämnden ska endast vara EU-enheter.</w:t>
            </w:r>
            <w:r>
              <w:t xml:space="preserve"> </w:t>
            </w:r>
            <w:r>
              <w:rPr>
                <w:b/>
                <w:i/>
              </w:rPr>
              <w:t>EU-baserade enheter av utländskt ursprung ska inte vara berättigade till stöd.</w:t>
            </w:r>
            <w:r>
              <w:t xml:space="preserve">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1951</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w:t>
            </w:r>
            <w:r>
              <w:rPr>
                <w:b/>
                <w:i/>
              </w:rPr>
              <w:t>, inbegripet representation från de yttersta randområdena såsom de definieras i en särskild artikel i EUF-fördraget</w:t>
            </w:r>
            <w:r>
              <w:t>.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1952</w:t>
      </w:r>
      <w:r>
        <w:rPr>
          <w:rStyle w:val="HideTWBExt"/>
        </w:rPr>
        <w:t>&lt;/NumAm&gt;</w:t>
      </w:r>
    </w:p>
    <w:p>
      <w:pPr>
        <w:pStyle w:val="NormalBold"/>
      </w:pPr>
      <w:r>
        <w:rPr>
          <w:rStyle w:val="HideTWBExt"/>
          <w:b w:val="0"/>
        </w:rPr>
        <w:t>&lt;RepeatBlock-By&gt;</w:t>
      </w:r>
      <w:r>
        <w:rPr>
          <w:rStyle w:val="HideTWBExt"/>
          <w:b w:val="0"/>
        </w:rPr>
        <w:t>&lt;Members&gt;</w:t>
      </w:r>
      <w:r>
        <w:t>Jens Gieseke, 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w:t>
            </w:r>
            <w:r>
              <w:rPr>
                <w:b/>
                <w:i/>
              </w:rPr>
              <w:t>och som säkerställer att de strategiska sektorerna företräds</w:t>
            </w:r>
            <w:r>
              <w: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1953</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Ledamöterna i EKF:s nämnd för </w:t>
            </w:r>
            <w:r>
              <w:rPr>
                <w:b/>
                <w:i/>
              </w:rPr>
              <w:t>strategiska</w:t>
            </w:r>
            <w:r>
              <w:t xml:space="preserve">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 </w:t>
            </w:r>
            <w:r>
              <w:rPr>
                <w:b/>
                <w:i/>
              </w:rPr>
              <w:t>och</w:t>
            </w:r>
            <w:r>
              <w:t xml:space="preserve"> redlighet.</w:t>
            </w:r>
          </w:p>
        </w:tc>
        <w:tc>
          <w:tcPr>
            <w:tcW w:w="4876" w:type="dxa"/>
            <w:tcBorders>
              <w:top w:val="nil"/>
              <w:left w:val="nil"/>
              <w:bottom w:val="nil"/>
              <w:right w:val="nil"/>
            </w:tcBorders>
          </w:tcPr>
          <w:p>
            <w:pPr>
              <w:pStyle w:val="Normal6a"/>
            </w:pPr>
            <w:r>
              <w:t>2.</w:t>
            </w:r>
            <w:r>
              <w:tab/>
            </w:r>
            <w:r>
              <w:t>Ledamöterna i EKF:s nämnd för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w:t>
            </w:r>
            <w:r>
              <w:rPr>
                <w:b/>
                <w:i/>
              </w:rPr>
              <w:t>,</w:t>
            </w:r>
            <w:r>
              <w:t xml:space="preserve"> redlighet </w:t>
            </w:r>
            <w:r>
              <w:rPr>
                <w:b/>
                <w:i/>
              </w:rPr>
              <w:t>och fullständigt oberoende av politiska instruktioner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1954</w:t>
      </w:r>
      <w:r>
        <w:rPr>
          <w:rStyle w:val="HideTWBExt"/>
        </w:rPr>
        <w:t>&lt;/NumAm&gt;</w:t>
      </w:r>
    </w:p>
    <w:p>
      <w:pPr>
        <w:pStyle w:val="NormalBold"/>
      </w:pPr>
      <w:r>
        <w:rPr>
          <w:rStyle w:val="HideTWBExt"/>
          <w:b w:val="0"/>
        </w:rPr>
        <w:t>&lt;RepeatBlock-By&gt;</w:t>
      </w:r>
      <w:r>
        <w:rPr>
          <w:rStyle w:val="HideTWBExt"/>
          <w:b w:val="0"/>
        </w:rPr>
        <w:t>&lt;Members&gt;</w:t>
      </w:r>
      <w:r>
        <w:t>Elisabetta Gualmini, Grégory Allione, Bart Groothuis, Morten Løkkegaard, Yvan Verougstraete,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och storlek, expertis, kön, ålder och geografisk fördelning. Ledamöternas mandattid ska vara fyra år och får förlängas en gång. 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privata investerare </w:t>
            </w:r>
            <w:r>
              <w:rPr>
                <w:b/>
                <w:i/>
              </w:rPr>
              <w:t>samt regionala och lokala myndigheter</w:t>
            </w:r>
            <w:r>
              <w:t>, och storlek, expertis, kön, ålder och geografisk fördelning. Ledamöternas mandattid ska vara fyra år och får förlängas en gång. Ledamöterna ska agera med integritet och redlighet.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1955</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w:t>
            </w:r>
            <w:r>
              <w:rPr>
                <w:b/>
                <w:i/>
              </w:rPr>
              <w:t>privata investerare</w:t>
            </w:r>
            <w:r>
              <w:t xml:space="preserve">, </w:t>
            </w:r>
            <w:r>
              <w:rPr>
                <w:b/>
                <w:i/>
              </w:rPr>
              <w:t>och storlek</w:t>
            </w:r>
            <w:r>
              <w:t>, expertis</w:t>
            </w:r>
            <w:r>
              <w:rPr>
                <w:b/>
                <w:i/>
              </w:rPr>
              <w:t>, kön, ålder</w:t>
            </w:r>
            <w:r>
              <w:t xml:space="preserve"> och geografisk fördelning. </w:t>
            </w:r>
            <w:r>
              <w:rPr>
                <w:b/>
                <w:i/>
              </w:rPr>
              <w:t>Ledamöternas mandattid ska vara fyra år och får förlängas en gång.</w:t>
            </w:r>
            <w:r>
              <w:t xml:space="preserve"> </w:t>
            </w:r>
            <w:r>
              <w:rPr>
                <w:b/>
                <w:i/>
              </w:rPr>
              <w:t>Ledamöterna ska agera med integritet och redlighet.</w:t>
            </w:r>
          </w:p>
        </w:tc>
        <w:tc>
          <w:tcPr>
            <w:tcW w:w="4876" w:type="dxa"/>
            <w:tcBorders>
              <w:top w:val="nil"/>
              <w:left w:val="nil"/>
              <w:bottom w:val="nil"/>
              <w:right w:val="nil"/>
            </w:tcBorders>
          </w:tcPr>
          <w:p>
            <w:pPr>
              <w:pStyle w:val="Normal6a"/>
            </w:pPr>
            <w:r>
              <w:t>2.</w:t>
            </w:r>
            <w:r>
              <w:tab/>
            </w:r>
            <w:r>
              <w:t xml:space="preserve">Ledamöterna i EKF:s nämnd för strategiska berörda parter ska utses av kommissionen efter en öppen inbjudan att lämna förslag till kandidater eller att anmäla intresse, eller bägge, beroende på vad kommissionen finner lämpligast, och med beaktande av behovet av balans inom en sektor, typ av organisation, inbegripet </w:t>
            </w:r>
            <w:r>
              <w:rPr>
                <w:b/>
                <w:i/>
              </w:rPr>
              <w:t>företrädare för europeiska industriföretag</w:t>
            </w:r>
            <w:r>
              <w:t xml:space="preserve">, </w:t>
            </w:r>
            <w:r>
              <w:rPr>
                <w:b/>
                <w:i/>
              </w:rPr>
              <w:t>midcap-företag, riskkapitalinvesterare och aktiefondsinvesterare, institutionsinvesterare, pensionsfonder och hanterare av alternativa investeringsfonder</w:t>
            </w:r>
            <w:r>
              <w:t>, expertis och geografisk fördelning.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1956</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Barry Andrews, Emma Wiesner, Laurence Farreng,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Ledamöterna i EKF:s nämnd för strategiska berörda parter ska utses av kommissionen efter en öppen inbjudan att lämna förslag till kandidater eller att anmäla intresse, eller bägge, beroende på vad kommissionen finner lämpligast</w:t>
            </w:r>
            <w:r>
              <w:t xml:space="preserve">, </w:t>
            </w:r>
            <w:r>
              <w:rPr>
                <w:b/>
                <w:i/>
              </w:rPr>
              <w:t>och med beaktande av behovet av balans inom en sektor, typ av organisation</w:t>
            </w:r>
            <w:r>
              <w:t xml:space="preserve">, inbegripet </w:t>
            </w:r>
            <w:r>
              <w:rPr>
                <w:b/>
                <w:i/>
              </w:rPr>
              <w:t>privata investerare, och storlek, expertis, kön, ålder och geografisk fördelning</w:t>
            </w:r>
            <w:r>
              <w:t xml:space="preserve">. </w:t>
            </w:r>
            <w:r>
              <w:rPr>
                <w:b/>
                <w:i/>
              </w:rPr>
              <w:t>Ledamöternas mandattid ska vara fyra år och får förlängas en gång.</w:t>
            </w:r>
            <w:r>
              <w:t xml:space="preserve"> </w:t>
            </w:r>
            <w:r>
              <w:rPr>
                <w:b/>
                <w:i/>
              </w:rPr>
              <w:t>Ledamöterna ska agera med integritet och redlighet.</w:t>
            </w:r>
          </w:p>
        </w:tc>
        <w:tc>
          <w:tcPr>
            <w:tcW w:w="4876" w:type="dxa"/>
            <w:tcBorders>
              <w:top w:val="nil"/>
              <w:left w:val="nil"/>
              <w:bottom w:val="nil"/>
              <w:right w:val="nil"/>
            </w:tcBorders>
          </w:tcPr>
          <w:p>
            <w:pPr>
              <w:pStyle w:val="Normal6a"/>
            </w:pPr>
            <w:r>
              <w:t>2.</w:t>
            </w:r>
            <w:r>
              <w:tab/>
            </w:r>
            <w:r>
              <w:rPr>
                <w:b/>
                <w:i/>
              </w:rPr>
              <w:t>Samordningsmekanismen för konkurrenskraft ska särskilt säkerställa synergi och ett konsekvent genomförande när det gäller unionens fonder, särskilt Horisont Europa, innovationsfonden, Fonden för ett sammanlänkat Europa och</w:t>
            </w:r>
            <w:r>
              <w:t xml:space="preserve">, </w:t>
            </w:r>
            <w:r>
              <w:rPr>
                <w:b/>
                <w:i/>
              </w:rPr>
              <w:t>i förekommande fall, Europa i världen, Erasmus +, EU-faciliteten, de nationella och regionala partnerskapsplanerna, de nationella planerna för återhämtning och resiliens och de regionala strategierna för smart specialisering.</w:t>
            </w:r>
            <w:r>
              <w:t xml:space="preserve"> </w:t>
            </w:r>
            <w:r>
              <w:rPr>
                <w:b/>
                <w:i/>
              </w:rPr>
              <w:t>Mekanismen kan också identifiera hinder för synergier och samordning med annan EU-finansiering</w:t>
            </w:r>
            <w:r>
              <w:t xml:space="preserve">, inbegripet </w:t>
            </w:r>
            <w:r>
              <w:rPr>
                <w:b/>
                <w:i/>
              </w:rPr>
              <w:t>inkonsekvenser när det gäller stödberättigande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stycke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Nämnden för strategiska berörda parter ska bestå av 30 ledamöter:</w:t>
            </w:r>
            <w:r>
              <w:tab/>
            </w:r>
            <w:r>
              <w:rPr>
                <w:b/>
                <w:i/>
              </w:rPr>
              <w:t>Nämnden för berörda parter ska vara sammansatt av 30 ledamöter: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10 ledamöter som företräder, och är jämnt fördelade mellan, företag som är verksamma i unionen, inbegripet uppstartsföretag och expanderande företag, små och medelstora företag, små midcapföretag samt stora företag från olika sektorer av ekonomin, inbegripet social ekonomi,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10 ledamöter som företräder arbetsmarknadens parter, organisationer i det civila samhället, ungdomsorganisationer och andra berörda parter som är verksamma i unionen,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5 ledamöter som är oberoende högnivåexperter från den akademiska världen, forskningsorganisationer eller innovationsekosystem med erkänd sakkunskap som är relevant för EKF:s mål och verksamhet,</w:t>
            </w:r>
            <w:r>
              <w:rPr>
                <w:b/>
                <w:i/>
              </w:rPr>
              <w:t>och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5 ledamöter som företräder lokala och regionala myndigheter och regionala innovationsekosystem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1958</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Oihane Agirregoitia Martínez, Bart Groothuis,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Kommissionen ska fastställa närmare regler om urval och sammansättning, ersättning, arbetsordning, intressekonflikter och sekretess för EKF:s nämnd</w:t>
            </w:r>
            <w:r>
              <w:t xml:space="preserve"> för berörda parter. </w:t>
            </w:r>
            <w:r>
              <w:rPr>
                <w:b/>
                <w:i/>
              </w:rPr>
              <w:t>Ledamöterna ska vara skyldiga att följa dessa regler</w:t>
            </w:r>
            <w:r>
              <w:t>.</w:t>
            </w:r>
          </w:p>
        </w:tc>
        <w:tc>
          <w:tcPr>
            <w:tcW w:w="4876" w:type="dxa"/>
            <w:tcBorders>
              <w:top w:val="nil"/>
              <w:left w:val="nil"/>
              <w:bottom w:val="nil"/>
              <w:right w:val="nil"/>
            </w:tcBorders>
          </w:tcPr>
          <w:p>
            <w:pPr>
              <w:pStyle w:val="Normal6a"/>
            </w:pPr>
            <w:r>
              <w:t>3.</w:t>
            </w:r>
            <w:r>
              <w:tab/>
            </w:r>
            <w:r>
              <w:rPr>
                <w:b/>
                <w:i/>
              </w:rPr>
              <w:t>Den ska också beakta synpunkter från relevanta rapporter, inbegripet den europeiska planeringsterminen, de nationella energi- och klimatplanerna, årsrapporten om den inre marknaden och konkurrenskraften samt synpunkter från observationsorgan för framväxande teknik och nämnden</w:t>
            </w:r>
            <w:r>
              <w:t xml:space="preserve"> för berörda parter. </w:t>
            </w:r>
            <w:r>
              <w:rPr>
                <w:b/>
                <w:i/>
              </w:rPr>
              <w:t>Den ska också säkerställa en samstämmig tillämpning när det gäller befintliga och framtida unionsinitiativ, inbegripet den europeiska plattformen för strategisk teknik, förordningen om nettonollindustri och förordningen om kritiska råvaror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Kommissionen ska fastställa närmare regler om urval och sammansättning, ersättning, arbetsordning, intressekonflikter och sekretess för EKF:s nämnd för berörda parter. Ledamöterna ska vara skyldiga att följa dessa regler.</w:t>
            </w:r>
          </w:p>
        </w:tc>
        <w:tc>
          <w:tcPr>
            <w:tcW w:w="4876" w:type="dxa"/>
            <w:tcBorders>
              <w:top w:val="nil"/>
              <w:left w:val="nil"/>
              <w:bottom w:val="nil"/>
              <w:right w:val="nil"/>
            </w:tcBorders>
          </w:tcPr>
          <w:p>
            <w:pPr>
              <w:pStyle w:val="Normal6a"/>
            </w:pPr>
            <w:r>
              <w:t>3.</w:t>
            </w:r>
            <w:r>
              <w:tab/>
            </w:r>
            <w:r>
              <w:t>Kommissionen ska fastställa närmare regler om urval och sammansättning, ersättning, arbetsordning, intressekonflikter och sekretess för EKF:s nämnd för berörda parter. Ledamöterna ska vara skyldiga att följa dessa regler</w:t>
            </w:r>
            <w:r>
              <w:rPr>
                <w:b/>
                <w:i/>
              </w:rPr>
              <w:t>, eller i annat fall bära konsekvenserna i enlighet med gällande rättsliga bestämmelser</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Kommissionen ska fastställa närmare regler om urval och sammansättning, ersättning, arbetsordning, intressekonflikter och sekretess för EKF:s nämnd för berörda parter. Ledamöterna ska vara skyldiga att följa </w:t>
            </w:r>
            <w:r>
              <w:rPr>
                <w:b/>
                <w:i/>
              </w:rPr>
              <w:t>dessa</w:t>
            </w:r>
            <w:r>
              <w:t xml:space="preserve"> regler</w:t>
            </w:r>
            <w:r>
              <w:rPr>
                <w:b/>
                <w:i/>
              </w:rPr>
              <w:t>.</w:t>
            </w:r>
          </w:p>
        </w:tc>
        <w:tc>
          <w:tcPr>
            <w:tcW w:w="4876" w:type="dxa"/>
            <w:tcBorders>
              <w:top w:val="nil"/>
              <w:left w:val="nil"/>
              <w:bottom w:val="nil"/>
              <w:right w:val="nil"/>
            </w:tcBorders>
          </w:tcPr>
          <w:p>
            <w:pPr>
              <w:pStyle w:val="Normal6a"/>
            </w:pPr>
            <w:r>
              <w:t>3.</w:t>
            </w:r>
            <w:r>
              <w:tab/>
            </w:r>
            <w:r>
              <w:t xml:space="preserve">Kommissionen ska fastställa närmare regler om urval och sammansättning, ersättning, arbetsordning, intressekonflikter och sekretess för EKF:s nämnd för berörda parter. Ledamöterna ska vara skyldiga att följa </w:t>
            </w:r>
            <w:r>
              <w:rPr>
                <w:b/>
                <w:i/>
              </w:rPr>
              <w:t>de</w:t>
            </w:r>
            <w:r>
              <w:t xml:space="preserve"> regler </w:t>
            </w:r>
            <w:r>
              <w:rPr>
                <w:b/>
                <w:i/>
              </w:rPr>
              <w:t>som fastställts av kommissionen samt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3 – led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Ingen ersättning ska utgå för verksamhet som utförs för att utföra en tjänst i nämnden, med undantag för ersättning för kostnader som är strikt kopplade till mandatet.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1962</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3 – led 2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Varje ledamot i nämnden ska omfattas av en ”karensperiod”.</w:t>
            </w:r>
            <w:r>
              <w:t xml:space="preserve"> </w:t>
            </w:r>
            <w:r>
              <w:rPr>
                <w:b/>
                <w:i/>
              </w:rPr>
              <w:t>Detta innebär att ledamöterna inte får inneha en befattning i ett företag eller en annan vinstdrivande organisation där EKF-stöd direkt eller indirekt gynnar dem, eller ha några ekonomiska intressen i sådana organisationer till följd av ägande av tillgångar, under minst fem år efter det att deras befattning som ledamot i nämnden har upphört.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1963</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3 – led 3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Nämnden ska på ett adekvat sätt företräda unionens fullständiga mångfald, inbegripet geografisk, etnisk och könsmässig mångfald,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1964</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för ECR-gruppen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EKF:s nämnd för strategiska berörda parter ska, med underlag från ett observationsorgan för framväxande teknik, ge råd om EKF:s övergripande inriktning, om långsiktiga konkurrenskraftstendenser, områden med marknadsmisslyckanden och suboptimala investeringssituationer som kan åtgärdas vid genomförandet av EKF samt om fastställande av strategiska portföljer av projekt inom och mellan EKF:s verksamheter, varvid nämnden får agera i olika sammansättningar beroende på politikområde.</w:t>
            </w:r>
          </w:p>
        </w:tc>
        <w:tc>
          <w:tcPr>
            <w:tcW w:w="4876" w:type="dxa"/>
            <w:tcBorders>
              <w:top w:val="nil"/>
              <w:left w:val="nil"/>
              <w:bottom w:val="nil"/>
              <w:right w:val="nil"/>
            </w:tcBorders>
          </w:tcPr>
          <w:p>
            <w:pPr>
              <w:pStyle w:val="Normal6a"/>
            </w:pPr>
            <w:r>
              <w:t>4.</w:t>
            </w:r>
            <w:r>
              <w:tab/>
            </w:r>
            <w:r>
              <w:t xml:space="preserve">EKF:s nämnd för strategiska berörda parter ska, med underlag från ett observationsorgan för framväxande teknik, ge råd om EKF:s övergripande inriktning, om långsiktiga konkurrenskraftstendenser, områden med marknadsmisslyckanden och suboptimala investeringssituationer som kan åtgärdas vid genomförandet av EKF samt om fastställande av strategiska portföljer av projekt inom och mellan EKF:s verksamheter, varvid nämnden får agera i olika sammansättningar beroende på politikområde. </w:t>
            </w:r>
            <w:r>
              <w:rPr>
                <w:b/>
                <w:i/>
              </w:rPr>
              <w:t>Nämnden ska inte få ha någon roll i fastställandet av prioriteringar, anslag eller projekturval, och inte heller när det gäller resiliens- och säkerhetssektorerna, försvarsindustrin och rymdsektorn eller den verksamhet för dessa sektorer som finansieras inom ramen för EKF.</w:t>
            </w:r>
            <w:r>
              <w:t xml:space="preserve"> </w:t>
            </w:r>
            <w:r>
              <w:rPr>
                <w:b/>
                <w:i/>
              </w:rPr>
              <w:t>Strategiska prioriteringar, fleråriga vägledande anslag per politikområde och per komponent som avses i artikel 4.2 och de kriterier för europeiska försvarsprojekt av gemensamt intresse som avses i artikel 45 ska fastställas i nära samarbete med medlemsstaterna, i enlighet med deras respektive befogenheter enligt fördragen, och ska granskas av Europaparlamentet.</w:t>
            </w:r>
            <w:r>
              <w:t xml:space="preserve"> </w:t>
            </w:r>
            <w:r>
              <w:rPr>
                <w:b/>
                <w:i/>
              </w:rPr>
              <w:t>Nationell säkerhet och nationellt försvar ska förbli medlemsstaternas behörighet i den mening som avses i artikel 4.2 i EU-fördraget.</w:t>
            </w:r>
            <w:r>
              <w:t xml:space="preserve"> </w:t>
            </w:r>
            <w:r>
              <w:rPr>
                <w:b/>
                <w:i/>
              </w:rPr>
              <w:t>Arbetsprogram som genomför de specifika mål som avses i artikel 3.2 d får inte leda till att beslut om nationell säkerhet och nationellt försvar överförs till kommissionen.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The Strategic Stakeholder Board, composed in part of private investors and sectoral interests, cannot have a role in the determination of priorities, allocations or project selection without giving rise to a structural risk of incumbent capture.</w:t>
      </w:r>
      <w:r>
        <w:t xml:space="preserve"> </w:t>
      </w:r>
      <w:r>
        <w:t>The amendment confirms the strictly advisory nature of the Board, excludes it from the resilience, security, defence and space sectors, and reaffirms Member State competence over national security and defence pursuant to Article 4(2) TEU.</w:t>
      </w:r>
      <w:r>
        <w:t xml:space="preserve"> </w:t>
      </w:r>
      <w:r>
        <w:t>Strategic decisions affecting indicative envelopes per window, the criteria of European Defence Projects of Common Interest, and matters connected to national security must be taken in cooperation with the Member States and remain subject to scrutiny by the European Parliament.</w:t>
      </w:r>
    </w:p>
    <w:p>
      <w:r>
        <w:rPr>
          <w:rStyle w:val="HideTWBExt"/>
        </w:rPr>
        <w:t>&lt;/Amend&gt;</w:t>
      </w:r>
    </w:p>
    <w:p>
      <w:pPr>
        <w:pStyle w:val="AmNumberTabs"/>
      </w:pPr>
      <w:r>
        <w:rPr>
          <w:rStyle w:val="HideTWBExt"/>
        </w:rPr>
        <w:t>&lt;Amend&gt;</w:t>
      </w:r>
      <w:r>
        <w:t>Ändringsförslag</w:t>
      </w:r>
      <w:r>
        <w:tab/>
      </w:r>
      <w:r>
        <w:tab/>
      </w:r>
      <w:r>
        <w:rPr>
          <w:rStyle w:val="HideTWBExt"/>
        </w:rPr>
        <w:t>&lt;NumAm&gt;</w:t>
      </w:r>
      <w:r>
        <w:t>1965</w:t>
      </w:r>
      <w:r>
        <w:rPr>
          <w:rStyle w:val="HideTWBExt"/>
        </w:rPr>
        <w:t>&lt;/NumAm&gt;</w:t>
      </w:r>
    </w:p>
    <w:p>
      <w:pPr>
        <w:pStyle w:val="NormalBold"/>
      </w:pPr>
      <w:r>
        <w:rPr>
          <w:rStyle w:val="HideTWBExt"/>
          <w:b w:val="0"/>
        </w:rPr>
        <w:t>&lt;RepeatBlock-By&gt;</w:t>
      </w:r>
      <w:r>
        <w:rPr>
          <w:rStyle w:val="HideTWBExt"/>
          <w:b w:val="0"/>
        </w:rPr>
        <w:t>&lt;Members&gt;</w:t>
      </w:r>
      <w:r>
        <w:t>Yvan Verougstraete,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EKF:s nämnd för strategiska berörda parter ska, med underlag från ett observationsorgan för framväxande teknik, ge råd om EKF:s övergripande inriktning, om långsiktiga konkurrenskraftstendenser, områden med marknadsmisslyckanden och suboptimala investeringssituationer som kan åtgärdas vid genomförandet av EKF samt om fastställande av strategiska portföljer av projekt inom och mellan EKF</w:t>
            </w:r>
            <w:r>
              <w:t>:</w:t>
            </w:r>
            <w:r>
              <w:rPr>
                <w:b/>
                <w:i/>
              </w:rPr>
              <w:t>s verksamheter, varvid nämnden får agera i olika sammansättningar beroende på politikområde.</w:t>
            </w:r>
          </w:p>
        </w:tc>
        <w:tc>
          <w:tcPr>
            <w:tcW w:w="4876" w:type="dxa"/>
            <w:tcBorders>
              <w:top w:val="nil"/>
              <w:left w:val="nil"/>
              <w:bottom w:val="nil"/>
              <w:right w:val="nil"/>
            </w:tcBorders>
          </w:tcPr>
          <w:p>
            <w:pPr>
              <w:pStyle w:val="Normal6a"/>
            </w:pPr>
            <w:r>
              <w:t>4.</w:t>
            </w:r>
            <w:r>
              <w:tab/>
            </w:r>
            <w:r>
              <w:rPr>
                <w:b/>
                <w:i/>
              </w:rPr>
              <w:t>Samordningsmekanismen för konkurrenskraft ska göra det möjligt för kommissionen att fastställa investeringsprioriteringar för EKF i linje med de mål som anges i artikel 3 i enlighet med följande kriterier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Åtgärden tar itu med ett marknadsmisslyckande eller ett investeringsgap.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Stöd till åtgärden genom EKF är det lämpligaste sättet att säkerställa framgång.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Åtgärden ger ett mervärde på unionsnivå och skulle inte uppnås bättre om den genomfördes på nationell, regional eller lokal nivå.</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Åtgärden stöder utvecklingen av en internationell konkurrensfördel för unionen.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Åtgärden kommer sannolikt att ge nätverkseffekter som samtidigt främjar flera strategiska 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1966</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EKF:s nämnd för strategiska berörda parter ska, med underlag från ett observationsorgan för framväxande teknik, ge råd om EKF:s övergripande inriktning, om långsiktiga konkurrenskraftstendenser, områden med marknadsmisslyckanden och suboptimala investeringssituationer som kan åtgärdas vid genomförandet av EKF samt om fastställande av strategiska portföljer av projekt inom och mellan EKF:s verksamheter, varvid nämnden får agera i olika sammansättningar beroende på politikområde.</w:t>
            </w:r>
          </w:p>
        </w:tc>
        <w:tc>
          <w:tcPr>
            <w:tcW w:w="4876" w:type="dxa"/>
            <w:tcBorders>
              <w:top w:val="nil"/>
              <w:left w:val="nil"/>
              <w:bottom w:val="nil"/>
              <w:right w:val="nil"/>
            </w:tcBorders>
          </w:tcPr>
          <w:p>
            <w:pPr>
              <w:pStyle w:val="Normal6a"/>
            </w:pPr>
            <w:r>
              <w:t>4.</w:t>
            </w:r>
            <w:r>
              <w:tab/>
            </w:r>
            <w:r>
              <w:t xml:space="preserve">EKF:s nämnd för strategiska berörda parter ska, med underlag från ett observationsorgan för framväxande teknik, ge råd om EKF:s övergripande inriktning, om långsiktiga konkurrenskraftstendenser, områden med marknadsmisslyckanden och suboptimala investeringssituationer som kan åtgärdas vid genomförandet av EKF samt om fastställande av strategiska portföljer av projekt inom och mellan EKF:s verksamheter, varvid nämnden får agera i olika sammansättningar beroende på politikområde. </w:t>
            </w:r>
            <w:r>
              <w:rPr>
                <w:b/>
                <w:i/>
              </w:rPr>
              <w:t>EKF:s nämnd för strategiska berörda parter ska också bidra till finansieringsbeslut och säkerställa att dess synpunkter återspeglas i arbetsprogrammens mål och prioriteringar och att politikområdena svarar mot verkliga tekniska behov och marknadsbehov.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1967</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EKF:s nämnd för </w:t>
            </w:r>
            <w:r>
              <w:rPr>
                <w:b/>
                <w:i/>
              </w:rPr>
              <w:t>strategiska</w:t>
            </w:r>
            <w:r>
              <w:t xml:space="preserve"> berörda parter ska, med underlag från ett observationsorgan för framväxande teknik, ge råd om EKF:s övergripande inriktning, om långsiktiga konkurrenskraftstendenser, områden med marknadsmisslyckanden och suboptimala investeringssituationer som kan åtgärdas vid genomförandet av EKF </w:t>
            </w:r>
            <w:r>
              <w:rPr>
                <w:b/>
                <w:i/>
              </w:rPr>
              <w:t>samt om fastställande av strategiska portföljer av projekt inom och mellan EKF:s verksamheter, varvid</w:t>
            </w:r>
            <w:r>
              <w:t xml:space="preserve"> nämnden får </w:t>
            </w:r>
            <w:r>
              <w:rPr>
                <w:b/>
                <w:i/>
              </w:rPr>
              <w:t>agera</w:t>
            </w:r>
            <w:r>
              <w:t xml:space="preserve"> i olika sammansättningar beroende på politikområde.</w:t>
            </w:r>
          </w:p>
        </w:tc>
        <w:tc>
          <w:tcPr>
            <w:tcW w:w="4876" w:type="dxa"/>
            <w:tcBorders>
              <w:top w:val="nil"/>
              <w:left w:val="nil"/>
              <w:bottom w:val="nil"/>
              <w:right w:val="nil"/>
            </w:tcBorders>
          </w:tcPr>
          <w:p>
            <w:pPr>
              <w:pStyle w:val="Normal6a"/>
            </w:pPr>
            <w:r>
              <w:t>4.</w:t>
            </w:r>
            <w:r>
              <w:tab/>
            </w:r>
            <w:r>
              <w:t xml:space="preserve">EKF:s nämnd för berörda parter ska, med underlag från ett observationsorgan för framväxande teknik </w:t>
            </w:r>
            <w:r>
              <w:rPr>
                <w:b/>
                <w:i/>
              </w:rPr>
              <w:t>och marknadsutveckling</w:t>
            </w:r>
            <w:r>
              <w:t>, ge råd om EKF:s övergripande inriktning, om långsiktiga konkurrenskraftstendenser, områden med marknadsmisslyckanden och suboptimala investeringssituationer som kan åtgärdas vid genomförandet av EKF</w:t>
            </w:r>
            <w:r>
              <w:rPr>
                <w:b/>
                <w:i/>
              </w:rPr>
              <w:t>.</w:t>
            </w:r>
            <w:r>
              <w:t xml:space="preserve"> </w:t>
            </w:r>
            <w:r>
              <w:rPr>
                <w:b/>
                <w:i/>
              </w:rPr>
              <w:t>Rådgivningen ska uteslutande inriktas på övergripande ramvillkor för forskningskvalitet, innovationskapacitet och europeiska företags globala konkurrenskraft och ska inte omfatta ett vertikalt urval av specifika sektorer, specifik teknik eller specifika företag som ”vinnare”.</w:t>
            </w:r>
            <w:r>
              <w:t xml:space="preserve"> Nämnden får </w:t>
            </w:r>
            <w:r>
              <w:rPr>
                <w:b/>
                <w:i/>
              </w:rPr>
              <w:t>sammanträda</w:t>
            </w:r>
            <w:r>
              <w:t xml:space="preserve"> i olika sammansättningar beroende på politikområde</w:t>
            </w:r>
            <w:r>
              <w:rPr>
                <w:b/>
                <w:i/>
              </w:rPr>
              <w:t>, men ska alltid ha ett övergripande, nedifrån och upp-orienterat och marknadsdrivet perspektiv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EKF:s nämnd för strategiska berörda parter ska, med underlag från ett observationsorgan för framväxande teknik, ge råd om EKF:s övergripande inriktning, om långsiktiga </w:t>
            </w:r>
            <w:r>
              <w:rPr>
                <w:b/>
                <w:i/>
              </w:rPr>
              <w:t>konkurrenskraftstendenser</w:t>
            </w:r>
            <w:r>
              <w:t xml:space="preserve">, områden med marknadsmisslyckanden och suboptimala investeringssituationer som kan åtgärdas vid genomförandet av EKF </w:t>
            </w:r>
            <w:r>
              <w:rPr>
                <w:b/>
                <w:i/>
              </w:rPr>
              <w:t>samt</w:t>
            </w:r>
            <w:r>
              <w:t xml:space="preserve"> om fastställande av strategiska portföljer av projekt inom och mellan EKF:s verksamheter, varvid nämnden får agera i olika sammansättningar beroende på politikområde.</w:t>
            </w:r>
          </w:p>
        </w:tc>
        <w:tc>
          <w:tcPr>
            <w:tcW w:w="4876" w:type="dxa"/>
            <w:tcBorders>
              <w:top w:val="nil"/>
              <w:left w:val="nil"/>
              <w:bottom w:val="nil"/>
              <w:right w:val="nil"/>
            </w:tcBorders>
          </w:tcPr>
          <w:p>
            <w:pPr>
              <w:pStyle w:val="Normal6a"/>
            </w:pPr>
            <w:r>
              <w:t>4.</w:t>
            </w:r>
            <w:r>
              <w:tab/>
            </w:r>
            <w:r>
              <w:t xml:space="preserve">EKF:s nämnd för strategiska berörda parter ska, med underlag från ett observationsorgan för framväxande teknik </w:t>
            </w:r>
            <w:r>
              <w:rPr>
                <w:b/>
                <w:i/>
              </w:rPr>
              <w:t>och dess miljöpåverkan</w:t>
            </w:r>
            <w:r>
              <w:t xml:space="preserve">, ge råd om EKF:s övergripande inriktning, </w:t>
            </w:r>
            <w:r>
              <w:rPr>
                <w:b/>
                <w:i/>
              </w:rPr>
              <w:t>ge råd</w:t>
            </w:r>
            <w:r>
              <w:t xml:space="preserve"> om långsiktiga </w:t>
            </w:r>
            <w:r>
              <w:rPr>
                <w:b/>
                <w:i/>
              </w:rPr>
              <w:t>ekonomiska</w:t>
            </w:r>
            <w:r>
              <w:t xml:space="preserve">, </w:t>
            </w:r>
            <w:r>
              <w:rPr>
                <w:b/>
                <w:i/>
              </w:rPr>
              <w:t>miljömässiga och sociala trender som påverkar den europeiska konkurrenskraften, ge råd om</w:t>
            </w:r>
            <w:r>
              <w:t xml:space="preserve"> områden med marknadsmisslyckanden</w:t>
            </w:r>
            <w:r>
              <w:rPr>
                <w:b/>
                <w:i/>
              </w:rPr>
              <w:t>, miljörisker och sociala risker och möjligheter</w:t>
            </w:r>
            <w:r>
              <w:t xml:space="preserve"> och suboptimala investeringssituationer som kan åtgärdas vid genomförandet av EKF</w:t>
            </w:r>
            <w:r>
              <w:rPr>
                <w:b/>
                <w:i/>
              </w:rPr>
              <w:t>, ge råd om kompetensutveckling inom nya framväxande sektorer och industrier under omställning samt råd</w:t>
            </w:r>
            <w:r>
              <w:t xml:space="preserve"> om fastställande av strategiska portföljer av projekt inom och mellan EKF:s verksamheter, varvid nämnden får agera i olika sammansättningar beroende på politikområde.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1969</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EKF:s nämnd för strategiska berörda parter ska, med underlag från ett observationsorgan för framväxande teknik, ge råd om EKF:s övergripande inriktning, om långsiktiga konkurrenskraftstendenser, områden med marknadsmisslyckanden och suboptimala investeringssituationer som kan åtgärdas vid genomförandet av EKF samt om fastställande av strategiska portföljer av projekt inom och mellan EKF:s verksamheter, varvid nämnden får agera i olika sammansättningar beroende på politikområde.</w:t>
            </w:r>
          </w:p>
        </w:tc>
        <w:tc>
          <w:tcPr>
            <w:tcW w:w="4876" w:type="dxa"/>
            <w:tcBorders>
              <w:top w:val="nil"/>
              <w:left w:val="nil"/>
              <w:bottom w:val="nil"/>
              <w:right w:val="nil"/>
            </w:tcBorders>
          </w:tcPr>
          <w:p>
            <w:pPr>
              <w:pStyle w:val="Normal6a"/>
            </w:pPr>
            <w:r>
              <w:t>4.</w:t>
            </w:r>
            <w:r>
              <w:tab/>
            </w:r>
            <w:r>
              <w:t xml:space="preserve">EKF:s nämnd för strategiska berörda parter ska, med underlag från ett observationsorgan för framväxande teknik, ge råd om EKF:s övergripande inriktning, om långsiktiga konkurrenskraftstendenser, områden med marknadsmisslyckanden och suboptimala investeringssituationer som kan åtgärdas vid genomförandet av EKF samt om fastställande av strategiska portföljer av projekt inom och mellan EKF:s verksamheter, varvid nämnden får agera i olika sammansättningar beroende på politikområde. </w:t>
            </w:r>
            <w:r>
              <w:rPr>
                <w:b/>
                <w:i/>
              </w:rPr>
              <w:t>EKF:s nämnd för strategiska berörda parter får också framföra sina synpunkter om finansieringsbeslut och säkerställa att dess synpunkter återspeglas i arbetsprogrammens mål och prioriteringar och att politikområdena svarar mot verkliga tekniska behov och marknadsbehov.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1970</w:t>
      </w:r>
      <w:r>
        <w:rPr>
          <w:rStyle w:val="HideTWBExt"/>
        </w:rPr>
        <w:t>&lt;/NumAm&gt;</w:t>
      </w:r>
    </w:p>
    <w:p>
      <w:pPr>
        <w:pStyle w:val="NormalBold"/>
      </w:pPr>
      <w:r>
        <w:rPr>
          <w:rStyle w:val="HideTWBExt"/>
          <w:b w:val="0"/>
        </w:rPr>
        <w:t>&lt;RepeatBlock-By&gt;</w:t>
      </w:r>
      <w:r>
        <w:rPr>
          <w:rStyle w:val="HideTWBExt"/>
          <w:b w:val="0"/>
        </w:rPr>
        <w:t>&lt;Members&gt;</w:t>
      </w:r>
      <w:r>
        <w:t>Yvan Verougstraete, Pascal Canfin, Brigitte van den Berg, Grégory Allione,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stycke 4a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 samordning med den övervakning som föreskrivs i prestationsförordningen ska kommissionen utveckla ett robust övervaknings- och utvärderingssystem för att spåra finansiering från EKF med fokus på följande: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Konkurrenskraft och fördelning av medel mellan medlemsstaterna.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Små och medelstora företags deltagande i ansökningsomgångar.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Den budget som avsatts för kompetensåtgärder.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Klimatutgifter.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Utvärderingen ska bedöma om kommissionens åtgärder på ett ändamålsenligt sätt har bidragit till att uppnå de mål som anges i artikel 3 med beaktande av dessa indikatorer som offentliggörs i en årsrapport.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Om utvärderingen visar att åtgärderna inte gav förväntat resultat ska rapporten innehålla rekommendationer om olika investeringsprioriteringar och metoder för framtida arbetsprogram och ansökningsomgångar.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Utöver prestationsförordningen kan man inte säkerställa en effektiv användning av budgeten utan att aktivt fastställa och övervaka mål som bidrar till förordningens mål.</w:t>
      </w:r>
    </w:p>
    <w:p>
      <w:r>
        <w:rPr>
          <w:rStyle w:val="HideTWBExt"/>
        </w:rPr>
        <w:t>&lt;/Amend&gt;</w:t>
      </w:r>
    </w:p>
    <w:p>
      <w:pPr>
        <w:pStyle w:val="AmNumberTabs"/>
      </w:pPr>
      <w:r>
        <w:rPr>
          <w:rStyle w:val="HideTWBExt"/>
        </w:rPr>
        <w:t>&lt;Amend&gt;</w:t>
      </w:r>
      <w:r>
        <w:t>Ändringsförslag</w:t>
      </w:r>
      <w:r>
        <w:tab/>
      </w:r>
      <w:r>
        <w:tab/>
      </w:r>
      <w:r>
        <w:rPr>
          <w:rStyle w:val="HideTWBExt"/>
        </w:rPr>
        <w:t>&lt;NumAm&gt;</w:t>
      </w:r>
      <w:r>
        <w:t>1971</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stycke 4a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 samordning med den övervakning som föreskrivs i prestationsförordningen och för att uppnå de relevanta utgiftsmålen ska kommissionen utveckla ett robust övervaknings- och utvärderingssystem för att spåra EKF-finansiering med fokus på utgifter för klimat och biologisk mångfald och på integrering.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1972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Härmed inrättas en oberoende investeringskommitté inom EKF:s InvestEU-instrument (investeringskommittén).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separat artikel om InvestEU:s investeringskommitté, som bygger på den nuvarande strukturen, införs.</w:t>
      </w:r>
    </w:p>
    <w:p>
      <w:r>
        <w:rPr>
          <w:rStyle w:val="HideTWBExt"/>
        </w:rPr>
        <w:t>&lt;/Amend&gt;</w:t>
      </w:r>
    </w:p>
    <w:p>
      <w:pPr>
        <w:pStyle w:val="AmNumberTabs"/>
      </w:pPr>
      <w:r>
        <w:rPr>
          <w:rStyle w:val="HideTWBExt"/>
        </w:rPr>
        <w:t>&lt;Amend&gt;</w:t>
      </w:r>
      <w:r>
        <w:t>Ändringsförslag</w:t>
      </w:r>
      <w:r>
        <w:tab/>
      </w:r>
      <w:r>
        <w:tab/>
      </w:r>
      <w:r>
        <w:rPr>
          <w:rStyle w:val="HideTWBExt"/>
        </w:rPr>
        <w:t>&lt;NumAm&gt;</w:t>
      </w:r>
      <w:r>
        <w:t>1973</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Härmed inrättas en oberoende investeringskommitté inom EKF:s InvestEU-instrument (investeringskommittén).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Införlivas i den nya artikeln 14b.</w:t>
      </w:r>
    </w:p>
    <w:p>
      <w:r>
        <w:rPr>
          <w:rStyle w:val="HideTWBExt"/>
        </w:rPr>
        <w:t>&lt;/Amend&gt;</w:t>
      </w:r>
    </w:p>
    <w:p>
      <w:pPr>
        <w:pStyle w:val="AmNumberTabs"/>
      </w:pPr>
      <w:r>
        <w:rPr>
          <w:rStyle w:val="HideTWBExt"/>
        </w:rPr>
        <w:t>&lt;Amend&gt;</w:t>
      </w:r>
      <w:r>
        <w:t>Ändringsförslag</w:t>
      </w:r>
      <w:r>
        <w:tab/>
      </w:r>
      <w:r>
        <w:tab/>
      </w:r>
      <w:r>
        <w:rPr>
          <w:rStyle w:val="HideTWBExt"/>
        </w:rPr>
        <w:t>&lt;NumAm&gt;</w:t>
      </w:r>
      <w:r>
        <w:t>1974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Investeringskommitténs sammansättning ska säkerställa att den har breda kunskaper om de sektorer som EKF omfattar och breda kunskaper om de geografiska marknaderna i unionen, och ska säkerställa att investeringskommittén som helhet har balanserad könsfördelning.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separat artikel om InvestEU:s investeringskommitté, som bygger på den nuvarande strukturen, införs.</w:t>
      </w:r>
    </w:p>
    <w:p>
      <w:r>
        <w:rPr>
          <w:rStyle w:val="HideTWBExt"/>
        </w:rPr>
        <w:t>&lt;/Amend&gt;</w:t>
      </w:r>
    </w:p>
    <w:p>
      <w:pPr>
        <w:pStyle w:val="AmNumberTabs"/>
      </w:pPr>
      <w:r>
        <w:rPr>
          <w:rStyle w:val="HideTWBExt"/>
        </w:rPr>
        <w:t>&lt;Amend&gt;</w:t>
      </w:r>
      <w:r>
        <w:t>Ändringsförslag</w:t>
      </w:r>
      <w:r>
        <w:tab/>
      </w:r>
      <w:r>
        <w:tab/>
      </w:r>
      <w:r>
        <w:rPr>
          <w:rStyle w:val="HideTWBExt"/>
        </w:rPr>
        <w:t>&lt;NumAm&gt;</w:t>
      </w:r>
      <w:r>
        <w:t>1975</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Investeringskommitténs sammansättning ska säkerställa att den har breda kunskaper om de sektorer som EKF omfattar och breda kunskaper om de geografiska marknaderna i unionen, och ska säkerställa att investeringskommittén som helhet har balanserad könsfördelning.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1976</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Investeringskommitténs sammansättning ska säkerställa att den har breda kunskaper om de sektorer som EKF omfattar och breda kunskaper om de geografiska marknaderna i unionen, och ska säkerställa att investeringskommittén som helhet </w:t>
            </w:r>
            <w:r>
              <w:rPr>
                <w:b/>
                <w:i/>
              </w:rPr>
              <w:t>har</w:t>
            </w:r>
            <w:r>
              <w:t xml:space="preserve"> balanserad </w:t>
            </w:r>
            <w:r>
              <w:rPr>
                <w:b/>
                <w:i/>
              </w:rPr>
              <w:t>könsfördelning</w:t>
            </w:r>
            <w:r>
              <w:t>.</w:t>
            </w:r>
          </w:p>
        </w:tc>
        <w:tc>
          <w:tcPr>
            <w:tcW w:w="4876" w:type="dxa"/>
            <w:tcBorders>
              <w:top w:val="nil"/>
              <w:left w:val="nil"/>
              <w:bottom w:val="nil"/>
              <w:right w:val="nil"/>
            </w:tcBorders>
          </w:tcPr>
          <w:p>
            <w:pPr>
              <w:pStyle w:val="Normal6a"/>
            </w:pPr>
            <w:r>
              <w:t>6.</w:t>
            </w:r>
            <w:r>
              <w:tab/>
            </w:r>
            <w:r>
              <w:t xml:space="preserve">Investeringskommitténs sammansättning ska säkerställa att den har breda kunskaper om de sektorer som EKF omfattar och breda kunskaper om de geografiska marknaderna i unionen, och ska säkerställa att investeringskommittén som helhet </w:t>
            </w:r>
            <w:r>
              <w:rPr>
                <w:b/>
                <w:i/>
              </w:rPr>
              <w:t>är geografiskt och könsmässigt balanserad. Investeringskommitténs ledamöter ska väljas utifrån deras kompetens, yrkeserfarenhet och oberoende, och ska agera i hela unionens intresse.</w:t>
            </w:r>
            <w:r>
              <w:t xml:space="preserve"> </w:t>
            </w:r>
            <w:r>
              <w:rPr>
                <w:b/>
                <w:i/>
              </w:rPr>
              <w:t>De ska omfattas av strikta regler om förebyggande och hantering av intressekonflikter, inbegripet skyldigheten att lämna in och uppdatera en intresseförklaring och att avstå från överläggningar och beslut i händelse av sådana konflikter.</w:t>
            </w:r>
            <w:r>
              <w:t xml:space="preserve"> </w:t>
            </w:r>
            <w:r>
              <w:rPr>
                <w:b/>
                <w:i/>
              </w:rPr>
              <w:t>Investeringskommitténs sammansättning ska i största möjliga utsträckning återspegla en</w:t>
            </w:r>
            <w:r>
              <w:t xml:space="preserve"> balanserad </w:t>
            </w:r>
            <w:r>
              <w:rPr>
                <w:b/>
                <w:i/>
              </w:rPr>
              <w:t>representation av olika medlemsstater och regioner och av olika typer av expertis, inbegripet offentliga och privata investeringar, finansinstitut och realekonomiska sektorer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1977</w:t>
      </w:r>
      <w:r>
        <w:rPr>
          <w:rStyle w:val="HideTWBExt"/>
        </w:rPr>
        <w:t>&lt;/NumAm&gt;</w:t>
      </w:r>
    </w:p>
    <w:p>
      <w:pPr>
        <w:pStyle w:val="NormalBold"/>
      </w:pPr>
      <w:r>
        <w:rPr>
          <w:rStyle w:val="HideTWBExt"/>
          <w:b w:val="0"/>
        </w:rPr>
        <w:t>&lt;RepeatBlock-By&gt;</w:t>
      </w:r>
      <w:r>
        <w:rPr>
          <w:rStyle w:val="HideTWBExt"/>
          <w:b w:val="0"/>
        </w:rPr>
        <w:t>&lt;Members&gt;</w:t>
      </w:r>
      <w:r>
        <w:t>Christophe Grudler, Yvan Verougstraete, 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Investeringskommitténs sammansättning ska säkerställa att den har breda kunskaper om de sektorer som EKF omfattar och breda kunskaper om de geografiska marknaderna i unionen, och ska säkerställa att investeringskommittén som helhet har balanserad könsfördelning.</w:t>
            </w:r>
          </w:p>
        </w:tc>
        <w:tc>
          <w:tcPr>
            <w:tcW w:w="4876" w:type="dxa"/>
            <w:tcBorders>
              <w:top w:val="nil"/>
              <w:left w:val="nil"/>
              <w:bottom w:val="nil"/>
              <w:right w:val="nil"/>
            </w:tcBorders>
          </w:tcPr>
          <w:p>
            <w:pPr>
              <w:pStyle w:val="Normal6a"/>
            </w:pPr>
            <w:r>
              <w:t>6.</w:t>
            </w:r>
            <w:r>
              <w:tab/>
            </w:r>
            <w:r>
              <w:t xml:space="preserve">Investeringskommitténs sammansättning ska säkerställa att den har breda kunskaper om de sektorer som EKF omfattar och breda kunskaper om de geografiska marknaderna i unionen, och ska säkerställa att investeringskommittén som helhet har balanserad könsfördelning. </w:t>
            </w:r>
            <w:r>
              <w:rPr>
                <w:b/>
                <w:i/>
              </w:rPr>
              <w:t>Ledamöterna i investeringskommittén ska företräda enheter som är etablerade i unionen och som inte kontrolleras av ett tredjeland eller en enhet i ett tredjeland.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1978</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Investeringskommitténs sammansättning ska säkerställa att den har breda kunskaper om de sektorer som EKF omfattar och breda kunskaper om de geografiska marknaderna i unionen, och ska </w:t>
            </w:r>
            <w:r>
              <w:rPr>
                <w:b/>
                <w:i/>
              </w:rPr>
              <w:t>säkerställa att investeringskommittén som helhet har balanserad könsfördelning</w:t>
            </w:r>
            <w:r>
              <w:t>.</w:t>
            </w:r>
          </w:p>
        </w:tc>
        <w:tc>
          <w:tcPr>
            <w:tcW w:w="4876" w:type="dxa"/>
            <w:tcBorders>
              <w:top w:val="nil"/>
              <w:left w:val="nil"/>
              <w:bottom w:val="nil"/>
              <w:right w:val="nil"/>
            </w:tcBorders>
          </w:tcPr>
          <w:p>
            <w:pPr>
              <w:pStyle w:val="Normal6a"/>
            </w:pPr>
            <w:r>
              <w:t>6.</w:t>
            </w:r>
            <w:r>
              <w:tab/>
            </w:r>
            <w:r>
              <w:t xml:space="preserve">Investeringskommitténs sammansättning ska säkerställa att den har breda kunskaper om de sektorer som EKF omfattar och breda kunskaper om de geografiska marknaderna i unionen, och ska </w:t>
            </w:r>
            <w:r>
              <w:rPr>
                <w:b/>
                <w:i/>
              </w:rPr>
              <w:t>omfatta minst en ledamot med styrkt yrkeserfarenhet när det gäller riskkapital eller tillväxtkapital och en ledamot med styrkt erfarenhet av förvaltning av institutionella investeringar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1979</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Ewa Zajączkowska-Hernik,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Investeringskommitténs sammansättning ska säkerställa att den har breda kunskaper om de sektorer som EKF omfattar och breda kunskaper om de geografiska marknaderna i unionen, och ska säkerställa att investeringskommittén som helhet har balanserad könsfördelning.</w:t>
            </w:r>
          </w:p>
        </w:tc>
        <w:tc>
          <w:tcPr>
            <w:tcW w:w="4876" w:type="dxa"/>
            <w:tcBorders>
              <w:top w:val="nil"/>
              <w:left w:val="nil"/>
              <w:bottom w:val="nil"/>
              <w:right w:val="nil"/>
            </w:tcBorders>
          </w:tcPr>
          <w:p>
            <w:pPr>
              <w:pStyle w:val="Normal6a"/>
            </w:pPr>
            <w:r>
              <w:t>6.</w:t>
            </w:r>
            <w:r>
              <w:tab/>
            </w:r>
            <w:r>
              <w:t xml:space="preserve">Investeringskommitténs sammansättning ska säkerställa att den har breda kunskaper om de sektorer som EKF omfattar och breda kunskaper om de geografiska marknaderna i unionen, och ska säkerställa att investeringskommittén som helhet har balanserad könsfördelning </w:t>
            </w:r>
            <w:r>
              <w:rPr>
                <w:b/>
                <w:i/>
              </w:rPr>
              <w:t>och geografisk fördelning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1980</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Eva Maydell,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Investeringskommitténs sammansättning ska säkerställa att den har breda kunskaper om de sektorer som EKF omfattar och breda kunskaper om de geografiska marknaderna i unionen, och ska säkerställa att investeringskommittén som helhet har balanserad könsfördelning.</w:t>
            </w:r>
          </w:p>
        </w:tc>
        <w:tc>
          <w:tcPr>
            <w:tcW w:w="4876" w:type="dxa"/>
            <w:tcBorders>
              <w:top w:val="nil"/>
              <w:left w:val="nil"/>
              <w:bottom w:val="nil"/>
              <w:right w:val="nil"/>
            </w:tcBorders>
          </w:tcPr>
          <w:p>
            <w:pPr>
              <w:pStyle w:val="Normal6a"/>
            </w:pPr>
            <w:r>
              <w:t>6.</w:t>
            </w:r>
            <w:r>
              <w:tab/>
            </w:r>
            <w:r>
              <w:t xml:space="preserve">Investeringskommitténs sammansättning ska säkerställa att den har breda kunskaper om de sektorer som EKF omfattar och breda kunskaper om de geografiska marknaderna i unionen, och ska säkerställa att investeringskommittén som helhet har balanserad könsfördelning </w:t>
            </w:r>
            <w:r>
              <w:rPr>
                <w:b/>
                <w:i/>
              </w:rPr>
              <w:t>och geografisk fördelning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1981</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Investeringskommitténs sammansättning ska säkerställa att den har breda kunskaper om de sektorer som EKF omfattar och breda kunskaper om de geografiska marknaderna i unionen, och ska säkerställa att investeringskommittén som helhet har </w:t>
            </w:r>
            <w:r>
              <w:rPr>
                <w:b/>
                <w:i/>
              </w:rPr>
              <w:t>balanserad</w:t>
            </w:r>
            <w:r>
              <w:t xml:space="preserve"> könsfördelning.</w:t>
            </w:r>
          </w:p>
        </w:tc>
        <w:tc>
          <w:tcPr>
            <w:tcW w:w="4876" w:type="dxa"/>
            <w:tcBorders>
              <w:top w:val="nil"/>
              <w:left w:val="nil"/>
              <w:bottom w:val="nil"/>
              <w:right w:val="nil"/>
            </w:tcBorders>
          </w:tcPr>
          <w:p>
            <w:pPr>
              <w:pStyle w:val="Normal6a"/>
            </w:pPr>
            <w:r>
              <w:t>6.</w:t>
            </w:r>
            <w:r>
              <w:tab/>
            </w:r>
            <w:r>
              <w:t xml:space="preserve">Investeringskommitténs sammansättning ska säkerställa att den har breda kunskaper om de sektorer som EKF omfattar och breda kunskaper om de geografiska marknaderna i unionen, och ska säkerställa att investeringskommittén som helhet har </w:t>
            </w:r>
            <w:r>
              <w:rPr>
                <w:b/>
                <w:i/>
              </w:rPr>
              <w:t>en jämn</w:t>
            </w:r>
            <w:r>
              <w:t xml:space="preserve"> könsfördelning </w:t>
            </w:r>
            <w:r>
              <w:rPr>
                <w:b/>
                <w:i/>
              </w:rPr>
              <w:t>och en jämn geografisk fördelning</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1982</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p>
      <w:r>
        <w:rPr>
          <w:rStyle w:val="HideTWBExt"/>
        </w:rPr>
        <w:t>&lt;DocAmend2&gt;</w:t>
      </w:r>
      <w:r>
        <w:t>Förslag till förordning</w:t>
      </w:r>
      <w:r>
        <w:rPr>
          <w:rStyle w:val="HideTWBExt"/>
        </w:rPr>
        <w:t>&lt;/DocAmend2&gt;</w:t>
      </w:r>
    </w:p>
    <w:p>
      <w:r>
        <w:rPr>
          <w:rStyle w:val="HideTWBExt"/>
        </w:rPr>
        <w:t>&lt;Article2&gt;</w:t>
      </w:r>
      <w:r>
        <w:t>Artikel 14 – punkt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Investeringskommitténs sammansättning ska säkerställa att den har breda kunskaper om de sektorer som EKF omfattar och breda kunskaper om de geografiska marknaderna i unionen, och ska säkerställa att investeringskommittén som helhet har balanserad </w:t>
            </w:r>
            <w:r>
              <w:rPr>
                <w:b/>
                <w:i/>
              </w:rPr>
              <w:t>könsfördelning</w:t>
            </w:r>
            <w:r>
              <w:t>.</w:t>
            </w:r>
          </w:p>
        </w:tc>
        <w:tc>
          <w:tcPr>
            <w:tcW w:w="4876" w:type="dxa"/>
            <w:tcBorders>
              <w:top w:val="nil"/>
              <w:left w:val="nil"/>
              <w:bottom w:val="nil"/>
              <w:right w:val="nil"/>
            </w:tcBorders>
          </w:tcPr>
          <w:p>
            <w:pPr>
              <w:pStyle w:val="Normal6a"/>
            </w:pPr>
            <w:r>
              <w:t>6.</w:t>
            </w:r>
            <w:r>
              <w:tab/>
            </w:r>
            <w:r>
              <w:t xml:space="preserve">Investeringskommitténs sammansättning ska säkerställa att den har breda kunskaper om de sektorer som EKF omfattar och breda kunskaper om de geografiska marknaderna i unionen, och ska säkerställa att investeringskommittén som helhet har balanserad </w:t>
            </w:r>
            <w:r>
              <w:rPr>
                <w:b/>
                <w:i/>
              </w:rPr>
              <w:t>geografisk fördelning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Investeringskommittén ska granska de förslag till finansierings- eller investeringstransaktioner som lämnas in av genomförandepartnerna för täckning av unionsgarantin och kontrollera att de följer de tillämpliga reglerna för förslag som ska finansieras av EKF:s InvestEU-instrument.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separat artikel om InvestEU:s investeringskommitté införs, vilken bygger på den nuvarande strukturen.</w:t>
      </w:r>
    </w:p>
    <w:p>
      <w:r>
        <w:rPr>
          <w:rStyle w:val="HideTWBExt"/>
        </w:rPr>
        <w:t>&lt;/Amend&gt;</w:t>
      </w:r>
    </w:p>
    <w:p>
      <w:pPr>
        <w:pStyle w:val="AmNumberTabs"/>
      </w:pPr>
      <w:r>
        <w:rPr>
          <w:rStyle w:val="HideTWBExt"/>
        </w:rPr>
        <w:t>&lt;Amend&gt;</w:t>
      </w:r>
      <w:r>
        <w:t>Ändringsförslag</w:t>
      </w:r>
      <w:r>
        <w:tab/>
      </w:r>
      <w:r>
        <w:tab/>
      </w:r>
      <w:r>
        <w:rPr>
          <w:rStyle w:val="HideTWBExt"/>
        </w:rPr>
        <w:t>&lt;NumAm&gt;</w:t>
      </w:r>
      <w:r>
        <w:t>1984</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Investeringskommittén ska granska de förslag till finansierings- eller investeringstransaktioner som lämnas in av genomförandepartnerna för täckning av unionsgarantin och kontrollera att de följer de tillämpliga reglerna för förslag som ska finansieras av EKF:s InvestEU-instrument.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Investeringskommittén ska granska de förslag till finansierings- eller investeringstransaktioner som lämnas in av genomförandepartnerna för täckning av unionsgarantin och kontrollera att de följer de tillämpliga reglerna för förslag som ska finansieras av EKF:s InvestEU-instrument.</w:t>
            </w:r>
          </w:p>
        </w:tc>
        <w:tc>
          <w:tcPr>
            <w:tcW w:w="4876" w:type="dxa"/>
            <w:tcBorders>
              <w:top w:val="nil"/>
              <w:left w:val="nil"/>
              <w:bottom w:val="nil"/>
              <w:right w:val="nil"/>
            </w:tcBorders>
          </w:tcPr>
          <w:p>
            <w:pPr>
              <w:pStyle w:val="Normal6a"/>
            </w:pPr>
            <w:r>
              <w:rPr>
                <w:b/>
                <w:i/>
              </w:rPr>
              <w:t>7.</w:t>
            </w:r>
            <w:r>
              <w:tab/>
            </w:r>
            <w:r>
              <w:t>7. Investeringskommittén ska granska de förslag till finansierings- eller investeringstransaktioner</w:t>
            </w:r>
            <w:r>
              <w:rPr>
                <w:b/>
                <w:i/>
              </w:rPr>
              <w:t>, vilka kan vara i form av ramtransaktioner,</w:t>
            </w:r>
            <w:r>
              <w:t xml:space="preserve"> som lämnas in av genomförandepartnerna för täckning av unionsgarantin och kontrollera att de följer de tillämpliga reglerna för förslag som ska finansieras av EKF:s InvestEU-instrument.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InvestEU-förordningen ger investeringskommittén flexibilitet att godkänna program eller strukturer som har underliggande delprojekt utan att behöva godkänna sådana delprojekt enskilt.</w:t>
      </w:r>
      <w:r>
        <w:t xml:space="preserve"> </w:t>
      </w:r>
      <w:r>
        <w:t>Investeringskommittén har alltid rätt att godkänna delprojekten (utom om de är mindre än tre miljoner EUR).</w:t>
      </w:r>
      <w:r>
        <w:t xml:space="preserve"> </w:t>
      </w:r>
      <w:r>
        <w:t>En sådan bestämmelse (artikel 14.6 i den nuvarande InvestEU-förordningen) har varit ytterst värdefull för att säkerställa bättre tid för marknaden och effektivare styrning.</w:t>
      </w:r>
    </w:p>
    <w:p>
      <w:r>
        <w:rPr>
          <w:rStyle w:val="HideTWBExt"/>
        </w:rPr>
        <w:t>&lt;/Amend&gt;</w:t>
      </w:r>
    </w:p>
    <w:p>
      <w:pPr>
        <w:pStyle w:val="AmNumberTabs"/>
      </w:pPr>
      <w:r>
        <w:rPr>
          <w:rStyle w:val="HideTWBExt"/>
        </w:rPr>
        <w:t>&lt;Amend&gt;</w:t>
      </w:r>
      <w:r>
        <w:t>Ändringsförslag</w:t>
      </w:r>
      <w:r>
        <w:tab/>
      </w:r>
      <w:r>
        <w:tab/>
      </w:r>
      <w:r>
        <w:rPr>
          <w:rStyle w:val="HideTWBExt"/>
        </w:rPr>
        <w:t>&lt;NumAm&gt;</w:t>
      </w:r>
      <w:r>
        <w:t>1986</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stycke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Investeringskommittén ska se över deltagandet av de saminvesteringspartner som avses i artikel 25a i insatser som får stöd och kontrollera att de följer de tillämpliga investeringsriktlinjer och strategiska skyddsåtgärder som fastställs i denna förordning, inbegripet krav som rör unionens långsiktiga konkurrenskraft och strategiska oberoende, anpassning av investeringsstrategier till unionens strategiska intressen, sund och ansvarsfull investeringspraxis samt villkor för utträde, överföring eller återförsäljning av tillgångar och strategisk kapacitet som får stöd.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1987</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stycke 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Investeringskommittén ska också se över medinvesteringspartnernas deltagande i insatser som får stöd och kontrollera att de följer de tillämpliga investeringsriktlinjer och strategiska skyddsåtgärder som fastställs i denna förordning, inbegripet krav som rör unionens långsiktiga konkurrenskraft och strategiska oberoende, anpassningen av investeringsstrategier till unionens strategiska intressen, sund och ansvarsfull investeringspraxis samt villkor för utträde, överföring eller återförsäljning av tillgångar och strategisk kapacitet som får stöd.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1988</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Den rådgivande nämnden för EKF:s InvestEU-instrument ska bestå av en företrädare för varje genomförandepartner och en företrädare för varje medlemsstat.</w:t>
            </w:r>
            <w:r>
              <w:t xml:space="preserve"> </w:t>
            </w:r>
            <w:r>
              <w:rPr>
                <w:b/>
                <w:i/>
              </w:rPr>
              <w:t>Den rådgivande nämnden för EKF:s InvestEU-instrument ska ge råd om utformningen av finansiella produkter och den strategiska och operativa inriktningen inom sitt behörighetsområde.</w:t>
            </w:r>
            <w:r>
              <w:t xml:space="preserve"> </w:t>
            </w:r>
            <w:r>
              <w:rPr>
                <w:b/>
                <w:i/>
              </w:rPr>
              <w:t>Den ska också ge råd om samordningen med Europeiska innovationsrådet för att säkerställa komplementariteten med annan unionsfinansiering eller privata investeringar.</w:t>
            </w:r>
            <w:r>
              <w:t xml:space="preserve"> </w:t>
            </w:r>
            <w:r>
              <w:rPr>
                <w:b/>
                <w:i/>
              </w:rPr>
              <w:t>En företrädare för kommissionen ska vara ordförande för den rådgivande nämnden.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Den rådgivande nämnden för EKF:s InvestEU-instrument ska bestå av en företrädare för varje genomförandepartner och en företrädare för varje medlemsstat.</w:t>
            </w:r>
            <w:r>
              <w:t xml:space="preserve"> </w:t>
            </w:r>
            <w:r>
              <w:rPr>
                <w:b/>
                <w:i/>
              </w:rPr>
              <w:t>Den rådgivande nämnden för EKF:s InvestEU-instrument ska ge råd om utformningen av finansiella produkter och den strategiska och operativa inriktningen inom sitt behörighetsområde.</w:t>
            </w:r>
            <w:r>
              <w:t xml:space="preserve"> </w:t>
            </w:r>
            <w:r>
              <w:rPr>
                <w:b/>
                <w:i/>
              </w:rPr>
              <w:t>Den ska också ge råd om samordningen med Europeiska innovationsrådet för att säkerställa komplementariteten med annan unionsfinansiering eller privata investeringar.</w:t>
            </w:r>
            <w:r>
              <w:t xml:space="preserve"> </w:t>
            </w:r>
            <w:r>
              <w:rPr>
                <w:b/>
                <w:i/>
              </w:rPr>
              <w:t>En företrädare för kommissionen ska vara ordförande för den rådgivande nämnden.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separat artikel om InvestEU:s rådgivande nämnd införs, vilken bygger på den befintliga InvestEU-strukturen.</w:t>
      </w:r>
    </w:p>
    <w:p>
      <w:r>
        <w:rPr>
          <w:rStyle w:val="HideTWBExt"/>
        </w:rPr>
        <w:t>&lt;/Amend&gt;</w:t>
      </w:r>
    </w:p>
    <w:p>
      <w:pPr>
        <w:pStyle w:val="AmNumberTabs"/>
      </w:pPr>
      <w:r>
        <w:rPr>
          <w:rStyle w:val="HideTWBExt"/>
        </w:rPr>
        <w:t>&lt;Amend&gt;</w:t>
      </w:r>
      <w:r>
        <w:t>Ändringsförslag</w:t>
      </w:r>
      <w:r>
        <w:tab/>
      </w:r>
      <w:r>
        <w:tab/>
      </w:r>
      <w:r>
        <w:rPr>
          <w:rStyle w:val="HideTWBExt"/>
        </w:rPr>
        <w:t>&lt;NumAm&gt;</w:t>
      </w:r>
      <w:r>
        <w:t>1990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Den rådgivande nämnden för EKF:s InvestEU-instrument ska </w:t>
            </w:r>
            <w:r>
              <w:rPr>
                <w:b/>
                <w:i/>
              </w:rPr>
              <w:t>bestå av en företrädare för varje genomförandepartner och en företrädare för varje medlemsstat</w:t>
            </w:r>
            <w:r>
              <w:t xml:space="preserve">. Den rådgivande nämnden </w:t>
            </w:r>
            <w:r>
              <w:rPr>
                <w:b/>
                <w:i/>
              </w:rPr>
              <w:t>för EKF:s InvestEU-instrument ska ge råd om utformningen av finansiella produkter och den strategiska och operativa inriktningen inom sitt behörighetsområde.</w:t>
            </w:r>
            <w:r>
              <w:t xml:space="preserve"> </w:t>
            </w:r>
            <w:r>
              <w:rPr>
                <w:b/>
                <w:i/>
              </w:rPr>
              <w:t>Den ska också ge råd om samordningen med Europeiska innovationsrådet för att säkerställa komplementariteten med annan unionsfinansiering eller privata investeringar</w:t>
            </w:r>
            <w:r>
              <w:t>. En företrädare för kommissionen ska vara ordförande för den rådgivande nämnden.</w:t>
            </w:r>
          </w:p>
        </w:tc>
        <w:tc>
          <w:tcPr>
            <w:tcW w:w="4876" w:type="dxa"/>
            <w:tcBorders>
              <w:top w:val="nil"/>
              <w:left w:val="nil"/>
              <w:bottom w:val="nil"/>
              <w:right w:val="nil"/>
            </w:tcBorders>
          </w:tcPr>
          <w:p>
            <w:pPr>
              <w:pStyle w:val="Normal6a"/>
            </w:pPr>
            <w:r>
              <w:t>8.</w:t>
            </w:r>
            <w:r>
              <w:tab/>
            </w:r>
            <w:r>
              <w:t xml:space="preserve">Den rådgivande nämnden för EKF:s InvestEU-instrument ska </w:t>
            </w:r>
            <w:r>
              <w:rPr>
                <w:b/>
                <w:i/>
              </w:rPr>
              <w:t>utses av kommissionen i samråd med Europaparlamentet och medlemsstaterna</w:t>
            </w:r>
            <w:r>
              <w:t xml:space="preserve">. Den rådgivande nämnden </w:t>
            </w:r>
            <w:r>
              <w:rPr>
                <w:b/>
                <w:i/>
              </w:rPr>
              <w:t>ska omfatta företrädare för nationella och regionala regeringar, fackföreningar och det civila samhället, tillsammans med företrädare för offentliga finansinstitut i välavvägd proportion och med beaktande av behovet av balans när det gäller sektor, expertis, kön, ålder och geografisk fördelning. Ingen enskild sektor ska inneha majoritet.</w:t>
            </w:r>
            <w:r>
              <w:t xml:space="preserve"> </w:t>
            </w:r>
            <w:r>
              <w:rPr>
                <w:b/>
                <w:i/>
              </w:rPr>
              <w:t>Europaparlamentet ska utse ytterligare två företrädare</w:t>
            </w:r>
            <w:r>
              <w:t>. En företrädare för kommissionen ska vara ordförande för den rådgivande nämnden.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stycke 8a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Den rådgivande nämnden ska offentliggöra sina dagordningar, protokoll och rapporter om sin årliga verksamhet.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Kommissionen ska fastställa närmare regler om urval och sammansättning, ersättning, arbetsordning, intressekonflikter och sekretess för investeringskommittén och den rådgivande nämnden för EKF:s InvestEU-instrument.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Separata artiklar om InvestEU:s investeringskommitté och rådgivande nämnd införs, vilka bygger på den befintliga InvestEU-strukturen.</w:t>
      </w:r>
    </w:p>
    <w:p>
      <w:r>
        <w:rPr>
          <w:rStyle w:val="HideTWBExt"/>
        </w:rPr>
        <w:t>&lt;/Amend&gt;</w:t>
      </w:r>
    </w:p>
    <w:p>
      <w:pPr>
        <w:pStyle w:val="AmNumberTabs"/>
      </w:pPr>
      <w:r>
        <w:rPr>
          <w:rStyle w:val="HideTWBExt"/>
        </w:rPr>
        <w:t>&lt;Amend&gt;</w:t>
      </w:r>
      <w:r>
        <w:t>Ändringsförslag</w:t>
      </w:r>
      <w:r>
        <w:tab/>
      </w:r>
      <w:r>
        <w:tab/>
      </w:r>
      <w:r>
        <w:rPr>
          <w:rStyle w:val="HideTWBExt"/>
        </w:rPr>
        <w:t>&lt;NumAm&gt;</w:t>
      </w:r>
      <w:r>
        <w:t>1993</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Kommissionen ska fastställa närmare regler om urval och sammansättning, ersättning, arbetsordning, intressekonflikter och sekretess för investeringskommittén och den rådgivande nämnden för EKF:s InvestEU-instrument.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Kommissionen ska fastställa närmare regler om urval och sammansättning, ersättning, arbetsordning, intressekonflikter och sekretess för investeringskommittén och den rådgivande nämnden för EKF:s InvestEU-instrument.</w:t>
            </w:r>
          </w:p>
        </w:tc>
        <w:tc>
          <w:tcPr>
            <w:tcW w:w="4876" w:type="dxa"/>
            <w:tcBorders>
              <w:top w:val="nil"/>
              <w:left w:val="nil"/>
              <w:bottom w:val="nil"/>
              <w:right w:val="nil"/>
            </w:tcBorders>
          </w:tcPr>
          <w:p>
            <w:pPr>
              <w:pStyle w:val="Normal6a"/>
            </w:pPr>
            <w:r>
              <w:t>9.</w:t>
            </w:r>
            <w:r>
              <w:tab/>
            </w:r>
            <w:r>
              <w:t xml:space="preserve">Kommissionen ska fastställa närmare regler om urval och sammansättning, ersättning, arbetsordning, intressekonflikter och sekretess för investeringskommittén och den rådgivande nämnden för EKF:s InvestEU-instrument. </w:t>
            </w:r>
            <w:r>
              <w:rPr>
                <w:b/>
                <w:i/>
              </w:rPr>
              <w:t>Ledamöterna ska följa de regler som fastställts av kommissionen och efterleva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1995</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9 – led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Ingen ersättning ska utgå för verksamhet som utförs för att utföra en tjänst i den rådgivande nämnden, med undantag för ersättning för kostnader som är strikt kopplade till mandatet.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9 – led 2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Varje ledamot i den rådgivande nämnden ska omfattas av en ”karensperiod”.</w:t>
            </w:r>
            <w:r>
              <w:t xml:space="preserve"> </w:t>
            </w:r>
            <w:r>
              <w:rPr>
                <w:b/>
                <w:i/>
              </w:rPr>
              <w:t>Detta innebär att ledamöterna inte får inneha en befattning i ett företag eller en annan vinstdrivande organisation där EKF-stöd direkt eller indirekt gynnar dem, eller ha några ekonomiska intressen i sådana organisationer till följd av ägande av tillgångar, under minst fem år efter det att deras befattning som ledamot i nämnden har upphört.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9 – led 3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Den rådgivande nämnden ska på ett adekvat sätt företräda unionens fullständiga mångfald, inbegripet geografisk, etnisk och könsmässig mångfald,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stycke 9a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Kommissionen ska vartannat år överlämna en rapport om tillämpningen av denna förordning till Europaparlamentet och rådet.</w:t>
            </w:r>
            <w:r>
              <w:t xml:space="preserve"> </w:t>
            </w:r>
            <w:r>
              <w:rPr>
                <w:b/>
                <w:i/>
              </w:rPr>
              <w:t>Rapporten ska särskilt ange hur råden och rekommendationerna från EKF:s nämnd för strategiska berörda parter, investeringskommittén och den rådgivande nämnden för EKF:s InvestEU-instrument har beaktats vid utformningen och genomförandet av fonden.</w:t>
            </w:r>
            <w:r>
              <w:t xml:space="preserve"> </w:t>
            </w:r>
            <w:r>
              <w:rPr>
                <w:b/>
                <w:i/>
              </w:rPr>
              <w:t>Rapporten ska innehålla en beskrivning av hur de samråd med berörda parter och tematiska plattformar som avses i punkt 11 fungerar, inbegripet deras sammansättning, mötesfrekvens och huvudsakliga slutsatser, och en förklaring av hur dessa bidrag har återspeglats i arbetsprogrammen, de finansiella produkterna och de strategiska projektportföljerna.</w:t>
            </w:r>
            <w:r>
              <w:t xml:space="preserve"> </w:t>
            </w:r>
            <w:r>
              <w:rPr>
                <w:b/>
                <w:i/>
              </w:rPr>
              <w:t>Om kommissionen beslutar att helt eller delvis inte följa de råd eller rekommendationer som avses i punkterna 1 och 2 ska rapporten innehålla en välgrundad motivering.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1999</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Kommissionen och genomförandepartnerna ska hålla regelbundna politiska dialoger för att diskutera framstegen med genomförandet av de finansiella produkterna och utbyta åsikter om relevant politisk utveckling.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2000</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Kommissionen ska säkerställa att de berörda parterna rådfrågas när arbetsprogrammen utarbetas, med hjälp av en eller flera tematiska plattformar per politikområde.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Kommissionen ska säkerställa att de berörda parterna rådfrågas när arbetsprogrammen utarbetas, med hjälp av en eller flera tematiska plattformar per politikområde.</w:t>
            </w:r>
          </w:p>
        </w:tc>
        <w:tc>
          <w:tcPr>
            <w:tcW w:w="4876" w:type="dxa"/>
            <w:tcBorders>
              <w:top w:val="nil"/>
              <w:left w:val="nil"/>
              <w:bottom w:val="nil"/>
              <w:right w:val="nil"/>
            </w:tcBorders>
          </w:tcPr>
          <w:p>
            <w:pPr>
              <w:pStyle w:val="Normal6a"/>
            </w:pPr>
            <w:r>
              <w:t>11.</w:t>
            </w:r>
            <w:r>
              <w:tab/>
            </w:r>
            <w:r>
              <w:t xml:space="preserve">Kommissionen ska säkerställa att de berörda parterna rådfrågas när arbetsprogrammen utarbetas, med hjälp av en eller flera tematiska plattformar per politikområde. </w:t>
            </w:r>
            <w:r>
              <w:rPr>
                <w:b/>
                <w:i/>
              </w:rPr>
              <w:t>Kommissionen ska säkerställa att de berörda parterna på alla förvaltningsnivåer, inbegripet regionala innovationsorgan, kluster och utvecklingsorgan, samt företrädare för mikroföretag och små och medelstora företag rådfrågas när arbetsprogrammen utarbetas med hjälp av en eller flera tematiska plattformar per politikområde.</w:t>
            </w:r>
            <w:r>
              <w:t xml:space="preserve"> </w:t>
            </w:r>
            <w:r>
              <w:rPr>
                <w:b/>
                <w:i/>
              </w:rPr>
              <w:t>Varje tematisk plattform ska omfatta ett strukturerat samråd med relevanta berörda parter som garanterar deltagande av en företrädare för mikroföretag och små och medelstora företag.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Kommissionen ska </w:t>
            </w:r>
            <w:r>
              <w:rPr>
                <w:b/>
                <w:i/>
              </w:rPr>
              <w:t>säkerställa att de</w:t>
            </w:r>
            <w:r>
              <w:t xml:space="preserve"> berörda </w:t>
            </w:r>
            <w:r>
              <w:rPr>
                <w:b/>
                <w:i/>
              </w:rPr>
              <w:t>parterna rådfrågas när arbetsprogrammen utarbetas</w:t>
            </w:r>
            <w:r>
              <w:t xml:space="preserve">, med hjälp av </w:t>
            </w:r>
            <w:r>
              <w:rPr>
                <w:b/>
                <w:i/>
              </w:rPr>
              <w:t>en eller</w:t>
            </w:r>
            <w:r>
              <w:t xml:space="preserve"> flera tematiska plattformar per politikområde.</w:t>
            </w:r>
          </w:p>
        </w:tc>
        <w:tc>
          <w:tcPr>
            <w:tcW w:w="4876" w:type="dxa"/>
            <w:tcBorders>
              <w:top w:val="nil"/>
              <w:left w:val="nil"/>
              <w:bottom w:val="nil"/>
              <w:right w:val="nil"/>
            </w:tcBorders>
          </w:tcPr>
          <w:p>
            <w:pPr>
              <w:pStyle w:val="Normal6a"/>
            </w:pPr>
            <w:r>
              <w:t>11.</w:t>
            </w:r>
            <w:r>
              <w:tab/>
            </w:r>
            <w:r>
              <w:t xml:space="preserve">Kommissionen ska </w:t>
            </w:r>
            <w:r>
              <w:rPr>
                <w:b/>
                <w:i/>
              </w:rPr>
              <w:t>genomföra breda, inkluderande och lägliga samråd med</w:t>
            </w:r>
            <w:r>
              <w:t xml:space="preserve"> berörda </w:t>
            </w:r>
            <w:r>
              <w:rPr>
                <w:b/>
                <w:i/>
              </w:rPr>
              <w:t>parter under arbetsprogrammens olika utvecklingsstadier</w:t>
            </w:r>
            <w:r>
              <w:t xml:space="preserve">, </w:t>
            </w:r>
            <w:r>
              <w:rPr>
                <w:b/>
                <w:i/>
              </w:rPr>
              <w:t>bland annat</w:t>
            </w:r>
            <w:r>
              <w:t xml:space="preserve"> med hjälp av flera tematiska plattformar per politikområde </w:t>
            </w:r>
            <w:r>
              <w:rPr>
                <w:b/>
                <w:i/>
              </w:rPr>
              <w:t>i enlighet med den ram för strategiska prioriteringar som avses i artikel 6a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Kommissionen ska också samråda med den relevanta programkommitté som inrättats inom ramprogrammet för forskning och 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2003</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Kommissionen ska säkerställa att de berörda parterna rådfrågas när arbetsprogrammen utarbetas, med hjälp av en eller flera tematiska plattformar per politikområde.</w:t>
            </w:r>
          </w:p>
        </w:tc>
        <w:tc>
          <w:tcPr>
            <w:tcW w:w="4876" w:type="dxa"/>
            <w:tcBorders>
              <w:top w:val="nil"/>
              <w:left w:val="nil"/>
              <w:bottom w:val="nil"/>
              <w:right w:val="nil"/>
            </w:tcBorders>
          </w:tcPr>
          <w:p>
            <w:pPr>
              <w:pStyle w:val="Normal6a"/>
            </w:pPr>
            <w:r>
              <w:t>11.</w:t>
            </w:r>
            <w:r>
              <w:tab/>
            </w:r>
            <w:r>
              <w:t xml:space="preserve">Kommissionen ska säkerställa att de berörda parterna rådfrågas när arbetsprogrammen utarbetas, med hjälp av en eller flera tematiska plattformar per politikområde. </w:t>
            </w:r>
            <w:r>
              <w:rPr>
                <w:b/>
                <w:i/>
              </w:rPr>
              <w:t>De tematiska plattformarna ska omfatta en balanserad representation av europeiska industriföretag, midcap-företag, institutionella investerare, riskkapitalfonder och privata investeringsfonder.</w:t>
            </w:r>
            <w:r>
              <w:t xml:space="preserve"> </w:t>
            </w:r>
            <w:r>
              <w:rPr>
                <w:b/>
                <w:i/>
              </w:rPr>
              <w:t>Protokoll från plattformens möten ska göras tillgängliga för allmänheten.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2004</w:t>
      </w:r>
      <w:r>
        <w:rPr>
          <w:rStyle w:val="HideTWBExt"/>
        </w:rPr>
        <w:t>&lt;/NumAm&gt;</w:t>
      </w:r>
    </w:p>
    <w:p>
      <w:pPr>
        <w:pStyle w:val="NormalBold"/>
      </w:pPr>
      <w:r>
        <w:rPr>
          <w:rStyle w:val="HideTWBExt"/>
          <w:b w:val="0"/>
        </w:rPr>
        <w:t>&lt;RepeatBlock-By&gt;</w:t>
      </w:r>
      <w:r>
        <w:rPr>
          <w:rStyle w:val="HideTWBExt"/>
          <w:b w:val="0"/>
        </w:rPr>
        <w:t>&lt;Members&gt;</w:t>
      </w:r>
      <w:r>
        <w:t>Jaroslava Pokorná Jermanová, 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Kommissionen ska säkerställa att de berörda parterna rådfrågas när arbetsprogrammen utarbetas, med hjälp av en eller flera tematiska plattformar per politikområde.</w:t>
            </w:r>
          </w:p>
        </w:tc>
        <w:tc>
          <w:tcPr>
            <w:tcW w:w="4876" w:type="dxa"/>
            <w:tcBorders>
              <w:top w:val="nil"/>
              <w:left w:val="nil"/>
              <w:bottom w:val="nil"/>
              <w:right w:val="nil"/>
            </w:tcBorders>
          </w:tcPr>
          <w:p>
            <w:pPr>
              <w:pStyle w:val="Normal6a"/>
            </w:pPr>
            <w:r>
              <w:t>11.</w:t>
            </w:r>
            <w:r>
              <w:tab/>
            </w:r>
            <w:r>
              <w:t xml:space="preserve">Kommissionen ska säkerställa att de berörda parterna rådfrågas när arbetsprogrammen utarbetas, med hjälp av en eller flera tematiska plattformar per politikområde. </w:t>
            </w:r>
            <w:r>
              <w:rPr>
                <w:b/>
                <w:i/>
              </w:rPr>
              <w:t>Ansökningsomgångarna ska utformas med beaktande av alla medlemsstaters särdrag och territoriella potential, i syfte att säkerställa att de verksamheter som får stöd motsvarar de faktiska behoven hos företag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2005</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11</w:t>
      </w:r>
      <w:r>
        <w:rPr>
          <w:rStyle w:val="HideTWBExt"/>
        </w:rPr>
        <w:t>&lt;/Article&gt;</w:t>
      </w:r>
    </w:p>
    <w:p>
      <w:r>
        <w:rPr>
          <w:rStyle w:val="HideTWBExt"/>
        </w:rPr>
        <w:t>&lt;DocAmend2&gt;</w:t>
      </w:r>
      <w:r>
        <w:t>Förslag till förordning</w:t>
      </w:r>
      <w:r>
        <w:rPr>
          <w:rStyle w:val="HideTWBExt"/>
        </w:rPr>
        <w:t>&lt;/DocAmend2&gt;</w:t>
      </w:r>
    </w:p>
    <w:p>
      <w:r>
        <w:rPr>
          <w:rStyle w:val="HideTWBExt"/>
        </w:rPr>
        <w:t>&lt;Article2&gt;</w:t>
      </w:r>
      <w:r>
        <w:t>Artikel 14 – punkt 11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Kommissionen ska säkerställa att de berörda parterna rådfrågas när arbetsprogrammen utarbetas, med hjälp av en eller flera tematiska plattformar per politikområde.</w:t>
            </w:r>
          </w:p>
        </w:tc>
        <w:tc>
          <w:tcPr>
            <w:tcW w:w="4876" w:type="dxa"/>
            <w:tcBorders>
              <w:top w:val="nil"/>
              <w:left w:val="nil"/>
              <w:bottom w:val="nil"/>
              <w:right w:val="nil"/>
            </w:tcBorders>
          </w:tcPr>
          <w:p>
            <w:pPr>
              <w:pStyle w:val="Normal6a"/>
            </w:pPr>
            <w:r>
              <w:t>11.</w:t>
            </w:r>
            <w:r>
              <w:tab/>
            </w:r>
            <w:r>
              <w:t xml:space="preserve">Kommissionen ska säkerställa att de berörda parterna rådfrågas när arbetsprogrammen utarbetas, med hjälp av en eller flera tematiska plattformar per politikområde. </w:t>
            </w:r>
            <w:r>
              <w:rPr>
                <w:b/>
                <w:i/>
              </w:rPr>
              <w:t>Ansökningsomgångarna ska utformas med beaktande av alla medlemsstaters särdrag och territoriella potential, i syfte att säkerställa att de verksamheter som får stöd motsvarar de faktiska behoven hos företag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2006</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Kommissionen ska säkerställa att </w:t>
            </w:r>
            <w:r>
              <w:rPr>
                <w:b/>
                <w:i/>
              </w:rPr>
              <w:t>de</w:t>
            </w:r>
            <w:r>
              <w:t xml:space="preserve"> berörda </w:t>
            </w:r>
            <w:r>
              <w:rPr>
                <w:b/>
                <w:i/>
              </w:rPr>
              <w:t>parterna</w:t>
            </w:r>
            <w:r>
              <w:t xml:space="preserve"> rådfrågas när arbetsprogrammen utarbetas, med hjälp av en eller flera tematiska plattformar per politikområde.</w:t>
            </w:r>
          </w:p>
        </w:tc>
        <w:tc>
          <w:tcPr>
            <w:tcW w:w="4876" w:type="dxa"/>
            <w:tcBorders>
              <w:top w:val="nil"/>
              <w:left w:val="nil"/>
              <w:bottom w:val="nil"/>
              <w:right w:val="nil"/>
            </w:tcBorders>
          </w:tcPr>
          <w:p>
            <w:pPr>
              <w:pStyle w:val="Normal6a"/>
            </w:pPr>
            <w:r>
              <w:t>11.</w:t>
            </w:r>
            <w:r>
              <w:tab/>
            </w:r>
            <w:r>
              <w:t xml:space="preserve">Kommissionen ska säkerställa att berörda </w:t>
            </w:r>
            <w:r>
              <w:rPr>
                <w:b/>
                <w:i/>
              </w:rPr>
              <w:t>parter</w:t>
            </w:r>
            <w:r>
              <w:t xml:space="preserve"> rådfrågas när arbetsprogrammen utarbetas, med hjälp av en eller flera tematiska plattformar per politikområde</w:t>
            </w:r>
            <w:r>
              <w:rPr>
                <w:b/>
                <w:i/>
              </w:rPr>
              <w:t>, inbegripet en om hållbar och smart mobilitet, när så är möjligt, med en sammansättning som liknar företrädarna för EKF:s nämnd för strategiska berörda parter</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Denna ändring ingick i de kompromissändringar som förhandlades fram i samband med yttrandet från TRAN-utskottet.</w:t>
      </w:r>
    </w:p>
    <w:p>
      <w:r>
        <w:rPr>
          <w:rStyle w:val="HideTWBExt"/>
        </w:rPr>
        <w:t>&lt;/Amend&gt;</w:t>
      </w:r>
    </w:p>
    <w:p>
      <w:pPr>
        <w:pStyle w:val="AmNumberTabs"/>
      </w:pPr>
      <w:r>
        <w:rPr>
          <w:rStyle w:val="HideTWBExt"/>
        </w:rPr>
        <w:t>&lt;Amend&gt;</w:t>
      </w:r>
      <w:r>
        <w:t>Ändringsförslag</w:t>
      </w:r>
      <w:r>
        <w:tab/>
      </w:r>
      <w:r>
        <w:tab/>
      </w:r>
      <w:r>
        <w:rPr>
          <w:rStyle w:val="HideTWBExt"/>
        </w:rPr>
        <w:t>&lt;NumAm&gt;</w:t>
      </w:r>
      <w:r>
        <w:t>2007</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Kommissionen ska säkerställa att de berörda parterna rådfrågas när arbetsprogrammen utarbetas, med hjälp av en eller flera tematiska plattformar per politikområde.</w:t>
            </w:r>
          </w:p>
        </w:tc>
        <w:tc>
          <w:tcPr>
            <w:tcW w:w="4876" w:type="dxa"/>
            <w:tcBorders>
              <w:top w:val="nil"/>
              <w:left w:val="nil"/>
              <w:bottom w:val="nil"/>
              <w:right w:val="nil"/>
            </w:tcBorders>
          </w:tcPr>
          <w:p>
            <w:pPr>
              <w:pStyle w:val="Normal6a"/>
            </w:pPr>
            <w:r>
              <w:t>11.</w:t>
            </w:r>
            <w:r>
              <w:tab/>
            </w:r>
            <w:r>
              <w:t>Kommissionen ska säkerställa att de berörda parterna</w:t>
            </w:r>
            <w:r>
              <w:rPr>
                <w:b/>
                <w:i/>
              </w:rPr>
              <w:t>, inbegripet mikroföretag samt små och medelstora företag,</w:t>
            </w:r>
            <w:r>
              <w:t xml:space="preserve"> rådfrågas när arbetsprogrammen utarbetas, med hjälp av en eller flera tematiska plattformar per politikområde.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2008</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stycke 11a (nytt)</w:t>
      </w:r>
      <w:r>
        <w:rPr>
          <w:rStyle w:val="HideTWBExt"/>
        </w:rPr>
        <w:t>&lt;/Article&gt;</w:t>
      </w:r>
    </w:p>
    <w:p>
      <w:r>
        <w:rPr>
          <w:rStyle w:val="HideTWBExt"/>
        </w:rPr>
        <w:t>&lt;DocAmend2&gt;</w:t>
      </w:r>
      <w:r>
        <w:t>Förslag till förordning</w:t>
      </w:r>
      <w:r>
        <w:rPr>
          <w:rStyle w:val="HideTWBExt"/>
        </w:rPr>
        <w:t>&lt;/DocAmend2&gt;</w:t>
      </w:r>
    </w:p>
    <w:p>
      <w:r>
        <w:rPr>
          <w:rStyle w:val="HideTWBExt"/>
        </w:rPr>
        <w:t>&lt;Article2&gt;</w:t>
      </w:r>
      <w:r>
        <w:t>Artikel 14 – stycke 11a (nytt)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EKF ska ge särskild projektrådgivning för att stödja sökande från alla medlemsstater och ägna särskild uppmärksamhet åt nyare medlemsstater och mindre representerade regioner.</w:t>
            </w:r>
            <w:r>
              <w:t xml:space="preserve"> </w:t>
            </w:r>
            <w:r>
              <w:rPr>
                <w:b/>
                <w:i/>
              </w:rPr>
              <w:t>För att korrigera den nuvarande geografiska obalansen i tillgången till rådgivning ska kommissionen säkerställa en garanterad miniminivå av rådgivningstjänster för sökande från underrepresenterade medlemsstater, bland annat genom tilldelning av ett minsta antal rådgivningstimmar per medlemsstat och år.</w:t>
            </w:r>
            <w:r>
              <w:t xml:space="preserve"> </w:t>
            </w:r>
            <w:r>
              <w:rPr>
                <w:b/>
                <w:i/>
              </w:rPr>
              <w:t>Kommissionen ska årligen rapportera om medlemsstaternas utnyttjande av rådgivningstjänster.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2009</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stycke 11a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Innan varje arbetsprogram träder i kraft ska kommissionen offentliggöra en konsekvensbedömning av lagstiftningen som kvantifierar den kumulativa administrativa börda som fondens rapporteringsskyldigheter medför för stödmottagarna.</w:t>
            </w:r>
            <w:r>
              <w:t xml:space="preserve"> </w:t>
            </w:r>
            <w:r>
              <w:rPr>
                <w:b/>
                <w:i/>
              </w:rPr>
              <w:t>Om den sammanlagda bördan överstiger 3 % av värdet av tilldelningarna ska kommissionen föreslå korrigerande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2010</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 – stycke 11a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Med tanke på den aktualiserade betydelsen av InvestEU bör Europeiska investeringsbankens råd vidta lämpliga åtgärder för att säkra efterlevnaden av högsta standarder för extern tillsyn, samtidigt som man beaktar nödvändiga anpassningar till följd av EIB:s unika affärsmodell.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2011</w:t>
      </w:r>
      <w:r>
        <w:rPr>
          <w:rStyle w:val="HideTWBExt"/>
        </w:rPr>
        <w:t>&lt;/NumAm&gt;</w:t>
      </w:r>
    </w:p>
    <w:p>
      <w:pPr>
        <w:pStyle w:val="NormalBold"/>
      </w:pPr>
      <w:r>
        <w:rPr>
          <w:rStyle w:val="HideTWBExt"/>
          <w:b w:val="0"/>
        </w:rPr>
        <w:t>&lt;RepeatBlock-By&gt;</w:t>
      </w:r>
      <w:r>
        <w:rPr>
          <w:rStyle w:val="HideTWBExt"/>
          <w:b w:val="0"/>
        </w:rPr>
        <w:t>&lt;Members&gt;</w:t>
      </w:r>
      <w:r>
        <w:t>Borys Budka, Eva Maydell,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Eszter Lakos, Nikolina Brnjac, Davor Ivo Stier, Danuše Nerudová,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Ekonomisk och teknisk rådgivande nämnd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En ekonomisk och teknisk rådgivande nämnd (den rådgivande nämnden) inrättas.</w:t>
            </w:r>
            <w:r>
              <w:t xml:space="preserve"> </w:t>
            </w:r>
            <w:r>
              <w:rPr>
                <w:b/>
                <w:i/>
              </w:rPr>
              <w:t>2.</w:t>
            </w:r>
            <w:r>
              <w:t xml:space="preserve"> </w:t>
            </w:r>
            <w:r>
              <w:rPr>
                <w:b/>
                <w:i/>
              </w:rPr>
              <w:t>Den rådgivande nämndens ledamöter ska utses av kommissionen efter en öppen inbjudan att lämna nomineringar och en öppen inbjudan att anmäla intresset.</w:t>
            </w:r>
            <w:r>
              <w:t xml:space="preserve"> </w:t>
            </w:r>
            <w:r>
              <w:rPr>
                <w:b/>
                <w:i/>
              </w:rPr>
              <w:t>Mandattiden för ledamöterna i den rådgivande nämnden ska vara fyra år och får förlängas en gång.</w:t>
            </w:r>
            <w:r>
              <w:t xml:space="preserve"> </w:t>
            </w:r>
            <w:r>
              <w:rPr>
                <w:b/>
                <w:i/>
              </w:rPr>
              <w:t>Den rådgivande nämndens ledamöter ska agera med integritet och redlighet.</w:t>
            </w:r>
            <w:r>
              <w:t xml:space="preserve"> </w:t>
            </w:r>
            <w:r>
              <w:rPr>
                <w:b/>
                <w:i/>
              </w:rPr>
              <w:t>Det ska när som helst finnas högst 15 ledamöter.</w:t>
            </w:r>
            <w:r>
              <w:t xml:space="preserve"> </w:t>
            </w:r>
            <w:r>
              <w:rPr>
                <w:b/>
                <w:i/>
              </w:rPr>
              <w:t>Valet av ledamöter bör följa principen om geografisk mångfald inom unionen.</w:t>
            </w:r>
            <w:r>
              <w:t xml:space="preserve"> </w:t>
            </w:r>
            <w:r>
              <w:rPr>
                <w:b/>
                <w:i/>
              </w:rPr>
              <w:t>3.</w:t>
            </w:r>
            <w:r>
              <w:t xml:space="preserve"> </w:t>
            </w:r>
            <w:r>
              <w:rPr>
                <w:b/>
                <w:i/>
              </w:rPr>
              <w:t>Ledamöter i den rådgivande nämnden ska väljas på grundval av sina sakkunskaper inom ekonomi, innovation och teknikutveckling, särskilt i sektorer som omfattas av EKF.</w:t>
            </w:r>
            <w:r>
              <w:t xml:space="preserve"> </w:t>
            </w:r>
            <w:r>
              <w:rPr>
                <w:b/>
                <w:i/>
              </w:rPr>
              <w:t>Experterna bör ha olika yrkesbakgrund och institutionell bakgrund inom den akademiska världen och den privata sektorn.</w:t>
            </w:r>
            <w:r>
              <w:t xml:space="preserve"> </w:t>
            </w:r>
            <w:r>
              <w:rPr>
                <w:b/>
                <w:i/>
              </w:rPr>
              <w:t>4.</w:t>
            </w:r>
            <w:r>
              <w:t xml:space="preserve"> </w:t>
            </w:r>
            <w:r>
              <w:rPr>
                <w:b/>
                <w:i/>
              </w:rPr>
              <w:t>Den rådgivande nämnden ska ha följande uppgifter: a) ge kommissionen råd om den ekonomiska utvecklingen i unionen, inbegripet tillståndet för innovationskonvergens i alla medlemsstater, b) ge kommissionen råd om marknadsmisslyckanden och suboptimala investeringssituationer som kan bemötas vid genomförandet av EKF och d) ge kommissionen råd om fastställandet av strategiska portföljer i alla sektorer som EKF omfattar.</w:t>
            </w:r>
            <w:r>
              <w:t xml:space="preserve"> </w:t>
            </w:r>
            <w:r>
              <w:rPr>
                <w:b/>
                <w:i/>
              </w:rPr>
              <w:t>Den rådgivande nämnden ska inte ha någon roll när det gäller sektorerna för säkerhet och försvar, och inte heller för de verksamheter för dessa sektorer som finansieras inom ramen för EKF.</w:t>
            </w:r>
            <w:r>
              <w:t xml:space="preserve"> </w:t>
            </w:r>
            <w:r>
              <w:rPr>
                <w:b/>
                <w:i/>
              </w:rPr>
              <w:t>5.</w:t>
            </w:r>
            <w:r>
              <w:t xml:space="preserve"> </w:t>
            </w:r>
            <w:r>
              <w:rPr>
                <w:b/>
                <w:i/>
              </w:rPr>
              <w:t>Den rådgivande nämnden ska varje år i september offentliggöra en årsrapport som innehåller en utsikt över den europeiska ekonomin för de följande åren. Rapporten ska innehålla rekommendationer till kommissionen för genomförandet av EKF med avseende på den rådgivande nämndens uppgifter i enlighet med punkt 4 samt den underliggande analysen.</w:t>
            </w:r>
            <w:r>
              <w:t xml:space="preserve"> </w:t>
            </w:r>
            <w:r>
              <w:rPr>
                <w:b/>
                <w:i/>
              </w:rPr>
              <w:t>6.</w:t>
            </w:r>
            <w:r>
              <w:t xml:space="preserve"> </w:t>
            </w:r>
            <w:r>
              <w:rPr>
                <w:b/>
                <w:i/>
              </w:rPr>
              <w:t>Kommissionen ska, under genomförandet av denna förordning, vägledas av och ta vederbörlig hänsyn till rekommendationerna och analysen från den årsrapport som avses i punkt 4.</w:t>
            </w:r>
            <w:r>
              <w:t xml:space="preserve"> </w:t>
            </w:r>
            <w:r>
              <w:rPr>
                <w:b/>
                <w:i/>
              </w:rPr>
              <w:t>7.</w:t>
            </w:r>
            <w:r>
              <w:t xml:space="preserve"> </w:t>
            </w:r>
            <w:r>
              <w:rPr>
                <w:b/>
                <w:i/>
              </w:rPr>
              <w:t>Den rådgivande nämnden ska agera oberoende av kommissionen.</w:t>
            </w:r>
            <w:r>
              <w:t xml:space="preserve"> </w:t>
            </w:r>
            <w:r>
              <w:rPr>
                <w:b/>
                <w:i/>
              </w:rPr>
              <w:t>När ledamöterna i den rådgivande nämnden utför sina uppgifter ska de varken begära eller ta emot instruktioner från unionens institutioner eller organ, eller från någon annan fysisk eller juridisk person.</w:t>
            </w:r>
            <w:r>
              <w:t xml:space="preserve"> </w:t>
            </w:r>
            <w:r>
              <w:rPr>
                <w:b/>
                <w:i/>
              </w:rPr>
              <w:t>8.</w:t>
            </w:r>
            <w:r>
              <w:t xml:space="preserve"> </w:t>
            </w:r>
            <w:r>
              <w:rPr>
                <w:b/>
                <w:i/>
              </w:rPr>
              <w:t>Kommissionen ska förse den rådgivande nämnden med tillräckliga resurser och tillräcklig personal för att den ska kunna utföra sina uppgifter i enlighet med denna förordning.</w:t>
            </w:r>
            <w:r>
              <w:t xml:space="preserve"> </w:t>
            </w:r>
            <w:r>
              <w:rPr>
                <w:b/>
                <w:i/>
              </w:rPr>
              <w:t>Den personal som tilldelas till den rådgivande nämnden ska endast ta emot instruktioner från den rådgivande nämnden.</w:t>
            </w:r>
            <w:r>
              <w:t xml:space="preserve"> </w:t>
            </w:r>
            <w:r>
              <w:rPr>
                <w:b/>
                <w:i/>
              </w:rPr>
              <w:t>Den rådgivande nämnden ska ges tillgång till relevanta interna sakkunskaper inom kommissionen.</w:t>
            </w:r>
            <w:r>
              <w:t xml:space="preserve"> </w:t>
            </w:r>
            <w:r>
              <w:rPr>
                <w:b/>
                <w:i/>
              </w:rPr>
              <w:t>9.</w:t>
            </w:r>
            <w:r>
              <w:t xml:space="preserve"> </w:t>
            </w:r>
            <w:r>
              <w:rPr>
                <w:b/>
                <w:i/>
              </w:rPr>
              <w:t>Den rådgivande nämnden ska, på grundval av ett förslag från kommissionen, fastställa de detaljerade reglerna om arbetsordning, intressekonflikter och konfidentialitet för den rådgivande nämnden.</w:t>
            </w:r>
            <w:r>
              <w:t xml:space="preserve"> </w:t>
            </w:r>
            <w:r>
              <w:rPr>
                <w:b/>
                <w:i/>
              </w:rPr>
              <w:t>Den rådgivande nämndens ledamöter ska vara skyldiga att följa dessa regler.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Ändringsförslaget till Ehler-Nica-betänkandet har utökats.</w:t>
      </w:r>
    </w:p>
    <w:p>
      <w:r>
        <w:rPr>
          <w:rStyle w:val="HideTWBExt"/>
        </w:rPr>
        <w:t>&lt;/Amend&gt;</w:t>
      </w:r>
    </w:p>
    <w:p>
      <w:pPr>
        <w:pStyle w:val="AmNumberTabs"/>
      </w:pPr>
      <w:r>
        <w:rPr>
          <w:rStyle w:val="HideTWBExt"/>
        </w:rPr>
        <w:t>&lt;Amend&gt;</w:t>
      </w:r>
      <w:r>
        <w:t>Ändringsförslag</w:t>
      </w:r>
      <w:r>
        <w:tab/>
      </w:r>
      <w:r>
        <w:tab/>
      </w:r>
      <w:r>
        <w:rPr>
          <w:rStyle w:val="HideTWBExt"/>
        </w:rPr>
        <w:t>&lt;NumAm&gt;</w:t>
      </w:r>
      <w:r>
        <w:t>2012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Investeringskommitté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En helt oberoende investeringskommitté ska inrättas inom EKF:s InvestEU-instrument (investeringskommittén).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Investeringskommittén ska sammanträda i fem olika sammansättningar, motsvarande det övergripande genomförandet av målen i artikel 3 och de fyra politikområden som avses i artikel 1.2.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I varje konstellation ska investeringskommittén bestå av sex avlönade externa experter.</w:t>
            </w:r>
            <w:r>
              <w:t xml:space="preserve"> </w:t>
            </w:r>
            <w:r>
              <w:rPr>
                <w:b/>
                <w:i/>
              </w:rPr>
              <w:t>Experterna ska väljas ut efter en öppen inbjudan att lämna förslag eller anmäla intresse, eller bådadera, beroende på vad kommissionen finner lämpligt, och utses av kommissionen.</w:t>
            </w:r>
            <w:r>
              <w:t xml:space="preserve"> </w:t>
            </w:r>
            <w:r>
              <w:rPr>
                <w:b/>
                <w:i/>
              </w:rPr>
              <w:t>Experterna ska utses för en mandatperiod på högst tre och ett halvt år, som får förlängas en gång.</w:t>
            </w:r>
            <w:r>
              <w:t xml:space="preserve"> </w:t>
            </w:r>
            <w:r>
              <w:rPr>
                <w:b/>
                <w:i/>
              </w:rPr>
              <w:t>Ledamöterna ska agera med integritet och redlighet, utföra sina uppgifter opartiskt och endast i EKF:s intresse och får inte begära eller ta emot instruktioner från något offentligt eller privat organ.</w:t>
            </w:r>
            <w:r>
              <w:t xml:space="preserve"> </w:t>
            </w:r>
            <w:r>
              <w:rPr>
                <w:b/>
                <w:i/>
              </w:rPr>
              <w:t>De ska avlönas av unionen.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Sammansättningen av investeringskommittén ska säkerställa att den har omfattande kunskaper om de politikområden som anges i artikel 1.2, inklusive marknadserfarenhet av strukturering och finansiering av projekt eller finansiering av små och medelstora företag eller bolag samt omfattande kunskaper om unionens geografiska marknader, och att kommittén som helhet har en jämn könsfördelning.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Fyra ledamöter i investeringskommittén ska vara ständiga ledamöter i var och en av investeringskommitténs fem konstellationer.</w:t>
            </w:r>
            <w:r>
              <w:t xml:space="preserve"> </w:t>
            </w:r>
            <w:r>
              <w:rPr>
                <w:b/>
                <w:i/>
              </w:rPr>
              <w:t>Investeringskommittén ska välja en ordförande bland sina ständiga ledamöter, och den ska bistås av ett sekretariat som har administrativt säte inom kommissionen.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Investeringskommittén ska granska de förslag till finansierings- eller investeringstransaktioner som lämnas in av genomförandepartnerna för täckning av unionsgarantin och kontrollera att de följer de tillämpliga reglerna för förslag som ska finansieras av EKF:s InvestEU-instrument.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Investeringskommitténs slutsatser ska antas med enkel majoritet av alla ledamöter, förutsatt att denna enkla majoritet omfattar minst en av de icke-permanenta ledamöterna i konstellationen för det politikområde inom vilket förslaget läggs fram.</w:t>
            </w:r>
            <w:r>
              <w:t xml:space="preserve"> </w:t>
            </w:r>
            <w:r>
              <w:rPr>
                <w:b/>
                <w:i/>
              </w:rPr>
              <w:t>Vid lika röstetal ska ordföranden i investeringskommittén ha utslagsröst.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Kommissionen ska fastställa närmare regler om urval och sammansättning, ersättning, arbetsordning, intressekonflikter och sekretess för investeringskommittén.</w:t>
            </w:r>
            <w:r>
              <w:t xml:space="preserve"> </w:t>
            </w:r>
            <w:r>
              <w:rPr>
                <w:b/>
                <w:i/>
              </w:rPr>
              <w:t>Kommitténs ledamöter ska vara skyldiga att följa dessa regler.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Europaparlamentet ska regelbundet informeras av kommissionen om kommitténs verksamhet och i god tid få ta del av alla slutsatser som utarbetats av kommittén.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2013</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Främjande av innovativa och platsbaserade industriella ekosystem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EKF ska främja och utnyttja potentialen i innovativa och platsbaserade industriella ekosystem genom att dra lärdom av den lokala dynamiken, anpassa europeiska investeringar till gemensamma prioriteringar och bredda potentialen för produktivitetstillväxt, och därigenom säkerställa bättre utbyggnad och skalning.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Detta ska uppnås genom att anpassa styrningsstrukturerna på EU-nivå och på nationell och regional nivå till de viktigaste prioriteringarna, vilket därmed skapar en grund för ett aktivt engagemang från territoriella ekosystem i fondens specifika mål.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Följande åtgärder ska planeras: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Främja effektiva synergier genom att kombinera EU-stöd för innovativa och platsbaserade industriella ekosystem via förnyade strategier för smart specialisering i Europas regioner som är anpassade till EU:s långsiktiga mål för hållbarhet och inkludering.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Främja effektiva synergier genom att kombinera lokalt, regionalt och nationellt stöd från förnyade strategier för smart specialisering med EU:s prioriteringar för konkurrenskraft och innovation.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Upphöja innovativa och platsbaserade industriella ekosystem genom kapacitetsuppbyggande åtgärder som främjar transformativa innovationsstrategier.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Möjliggöra samskapande och ömsesidigt lärande över policyområden, gränser och styrningsnivåer för att säkerställa horisontell och vertikal samstämmighet genom att stödja nätverkande av innovationsekosystem, särskilt längs europeiska värdekedjor.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Tillhandahålla resurser för att utveckla nya metoder för att främja innovation och testa dem på lokal/regional nivå genom särskilda platser för lärande om regelverk.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Stödja åtgärder för att främja partnerskap och flernivåstyre för politik och åtgärder för att stödja platsbaserad innovationsdriven omvandling på ett samordnat och konsekvent sätt.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Varje finansieringsmål för EKF bör ta hänsyn till behovet av att nå ut till de platsbaserade innovationssystemen när deras politik genomförs.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Dessa åtgärder bör också stödja deltagande av företag, särskilt små och medelstora företag, uppstartsföretag, expanderande företag och midcap-företag, i europeiska värdekedjor, underlätta företagsexpansion och marknadslansering och säkerställa att regionala ekosystem kan fungera som territoriella aktivatorer och kvalificerade operativa gränssnitt för genomförandet av EKF-åtgärder.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2014</w:t>
      </w:r>
      <w:r>
        <w:rPr>
          <w:rStyle w:val="HideTWBExt"/>
        </w:rPr>
        <w:t>&lt;/NumAm&gt;</w:t>
      </w:r>
    </w:p>
    <w:p>
      <w:pPr>
        <w:pStyle w:val="NormalBold"/>
      </w:pPr>
      <w:r>
        <w:rPr>
          <w:rStyle w:val="HideTWBExt"/>
          <w:b w:val="0"/>
        </w:rPr>
        <w:t>&lt;RepeatBlock-By&gt;</w:t>
      </w:r>
      <w:r>
        <w:rPr>
          <w:rStyle w:val="HideTWBExt"/>
          <w:b w:val="0"/>
        </w:rPr>
        <w:t>&lt;Members&gt;</w:t>
      </w:r>
      <w:r>
        <w:t>Yvan Verougstraete, Stine Bosse, Michal Wiezik,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Rådgivande organ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Härmed inrättas en nämnd för berörda parter.</w:t>
            </w:r>
            <w:r>
              <w:t xml:space="preserve"> </w:t>
            </w:r>
            <w:r>
              <w:rPr>
                <w:b/>
                <w:i/>
              </w:rPr>
              <w:t>Nämnden för berörda parter ska informera kommissionen om relevanta långsiktiga konkurrenskraftstrender, ge råd om områden med marknadsmisslyckanden och suboptimala investeringssituationer och stödja arbetet inom samordningsmekanismen för konkurrenskraft genom att utarbeta rekommendationer.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Nämnden för berörda parter kan sammanträda i mindre konstellationer som är relevanta för politikområdena eller delområdena.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Ledamöterna i nämnden för berörda parter ska utses av kommissionen efter en öppen inbjudan att anmäla nomineringar eller intresse, eller båda, beroende på vad kommissionen anser lämpligast, och ska utses främst på grundval av deras vetenskapliga, tekniska eller praktiska sakkunskap om sektorerna och investeringsklimatet, även med beaktande av behovet av balans i sektorn, organisationstypen, inbegripet det civila samhället, aktörer inom den sociala ekonomin och privata investerare, samt storlek, sakkunskap, kön, ålder och geografisk fördelning.</w:t>
            </w:r>
            <w:r>
              <w:t xml:space="preserve"> </w:t>
            </w:r>
            <w:r>
              <w:rPr>
                <w:b/>
                <w:i/>
              </w:rPr>
              <w:t>Ledamöternas mandattid ska vara fyra år och får förlängas en gång.</w:t>
            </w:r>
            <w:r>
              <w:t xml:space="preserve"> </w:t>
            </w:r>
            <w:r>
              <w:rPr>
                <w:b/>
                <w:i/>
              </w:rPr>
              <w:t>Ledamöterna ska agera med integritet och redlighet.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Kommissionen ska fastställa närmare regler om urval och sammansättning, ersättning, arbetsordning, insyn, intressekonflikter och sekretess för EKF:s nämnd för berörda parter.</w:t>
            </w:r>
            <w:r>
              <w:t xml:space="preserve"> </w:t>
            </w:r>
            <w:r>
              <w:rPr>
                <w:b/>
                <w:i/>
              </w:rPr>
              <w:t>Ledamöterna ska vara skyldiga att följa dessa regler.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En observationsgrupp för ny teknik inrättas.</w:t>
            </w:r>
            <w:r>
              <w:t xml:space="preserve"> </w:t>
            </w:r>
            <w:r>
              <w:rPr>
                <w:b/>
                <w:i/>
              </w:rPr>
              <w:t>Den kommer att ge ett transparent, evidensbaserat och akademiskt bidrag till kommissionen om relevanta långsiktiga konkurrenskraftstrender och industriell och teknisk utveckling och stödja arbetet inom samordningsmekanismen för konkurrenskraft.</w:t>
            </w:r>
            <w:r>
              <w:t xml:space="preserve"> </w:t>
            </w:r>
            <w:r>
              <w:rPr>
                <w:b/>
                <w:i/>
              </w:rPr>
              <w:t>Observationsgruppen ska regelbundet utarbeta en rapport med en översikt över dessa trender för de kommande åren.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Observationsgruppen kan sammanträda i mindre konstellationer som är relevanta för politikområdena eller delområdena.</w:t>
            </w:r>
            <w:r>
              <w:t xml:space="preserve"> </w:t>
            </w:r>
            <w:r>
              <w:rPr>
                <w:b/>
                <w:i/>
              </w:rPr>
              <w:t>Om relevant expertis redan finns, såsom EU:s observationsgrupp för kritisk teknik och Europeiska innovationscentrumet för industriell omvandling och industriutsläpp (INCITE), ska den använda dessa formationer i stället för att upprepa 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 enlighet med sina befogenheter som budgetmyndighet och ansvarsfrihetsbeviljande myndighet enligt fördragen och budgetförordningen ska Europaparlamentet utöva fullständig tillsyn över genomförandet av Europeiska konkurrenskraftsfonden (EKF).</w:t>
            </w:r>
            <w:r>
              <w:t xml:space="preserve"> </w:t>
            </w:r>
            <w:r>
              <w:rPr>
                <w:b/>
                <w:i/>
              </w:rPr>
              <w:t>Kommissionen ska inhämta Europaparlamentets godkännande för beviljande av ansvarsfrihet för EKF:s budgetförvaltning, i linje med det årliga förfarandet för beviljande av ansvarsfrihet.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Kommissionen, nämnden för berörda parter och investeringskommittén ska gemensamt utarbeta och lägga fram en årlig rapport för Europaparlamentet och rådet om långsiktiga konkurrenskraftstendenser, områden med marknadsmisslyckanden och suboptimala investeringssituationer som kan åtgärdas vid genomförandet av EKF.</w:t>
            </w:r>
            <w:r>
              <w:t xml:space="preserve"> </w:t>
            </w:r>
            <w:r>
              <w:rPr>
                <w:b/>
                <w:i/>
              </w:rPr>
              <w:t>Rapporten ska uteslutande inriktas på övergripande ramvillkor för forskningskvalitet, innovationskapacitet och europeiska företags globala konkurrenskraft, och ska inte omfatta ett vertikalt urval av specifika sektorer, tekniker eller företag som ”vinnare”.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En mekanism för permanent dialog inrättas mellan Europaparlamentet (genom dess behöriga utskott, särskilt ITRE, ECON och BUDG), kommissionen, nämnden för berörda parter och investeringskommittén.</w:t>
            </w:r>
            <w:r>
              <w:t xml:space="preserve"> </w:t>
            </w:r>
            <w:r>
              <w:rPr>
                <w:b/>
                <w:i/>
              </w:rPr>
              <w:t>Denna mekanism ska säkerställa regelbundna utbyten om EKF:s allmänna inriktning, genomförandet av dess prioriteringar, råd och riktlinjer från nämnden för berörda parter och investeringskommittén samt nya konkurrensmässiga utmaningar och den senaste marknadsutvecklingen.</w:t>
            </w:r>
            <w:r>
              <w:t xml:space="preserve"> </w:t>
            </w:r>
            <w:r>
              <w:rPr>
                <w:b/>
                <w:i/>
              </w:rPr>
              <w:t>Det kan handla om särskilda utfrågningar, gemensamma möten och strukturerade samråd som äger rum minst två gånger per 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Kommissionen ska samråda med Europaparlamentets behöriga utskott om slutlistan över kandidater till nämnden för berörda parter före den slutliga utnämningen, så att utskotten kan lämna icke-bindande synpunkter för att säkerställa balans i fråga om sektor, typ av organisation, expertis, geografisk fördelning, kön, ålder och andra relevanta kriterier.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2016</w:t>
      </w:r>
      <w:r>
        <w:rPr>
          <w:rStyle w:val="HideTWBExt"/>
        </w:rPr>
        <w:t>&lt;/NumAm&gt;</w:t>
      </w:r>
    </w:p>
    <w:p>
      <w:pPr>
        <w:pStyle w:val="NormalBold"/>
      </w:pPr>
      <w:r>
        <w:rPr>
          <w:rStyle w:val="HideTWBExt"/>
          <w:b w:val="0"/>
        </w:rPr>
        <w:t>&lt;RepeatBlock-By&gt;</w:t>
      </w:r>
      <w:r>
        <w:rPr>
          <w:rStyle w:val="HideTWBExt"/>
          <w:b w:val="0"/>
        </w:rPr>
        <w:t>&lt;Members&gt;</w:t>
      </w:r>
      <w:r>
        <w:t>Morten Løkkegaard, Andreas Glück,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Programmet för övergången till Horisont Europa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För att påskynda tillvaratagandet av forskningsresultat från projekt som redan finansieras inom ramen för Horisont Europa eller något av de föregående europeiska ramprogrammen ska ett övergångssystem för Horisont inrättas.</w:t>
            </w:r>
            <w:r>
              <w:t xml:space="preserve"> </w:t>
            </w:r>
            <w:r>
              <w:rPr>
                <w:b/>
                <w:i/>
              </w:rPr>
              <w:t>Systemet ska utgöra en förenklad övergångsmekanism för redan utvärderade projekt inom ramprogrammet, inte en ansökningsomgång inom ramen för EKF.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Systemet ska ge stöd till utveckling, kommersialisering, expansion, licensiering, standardisering, validering, demonstration, regleringsmässig beredskap, kunskapsutnyttjande eller andra former av omsättning i verklig användning av resultat från projekt som finansieras inom ramen för Horisont Europa eller något av de föregående europeiska ramprogram som bidrar till uppnåendet av ett eller flera av de mål som fastställs i denna förordning.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Identifieringen av stödberättigande projekt ska baseras på resultat, utvärderingsresultat och rapportering av information från projekt som finansieras inom ramen för Horisont Europa eller något av de föregående europeiska ramprogrammen, samtidigt som eventuella krav på en ny fullständig förslagsprocess enligt denna förordning undviks.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Stöd inom ramen för Horisont Europas övergångsordning ska beviljas genom en förenklad begäran om övergång som lämnas in av en eller flera stödmottagare i ett projekt som finansieras inom ramen för Horisont Europa-förordningen eller något av de föregående europeiska ramprogrammen.</w:t>
            </w:r>
            <w:r>
              <w:t xml:space="preserve"> </w:t>
            </w:r>
            <w:r>
              <w:rPr>
                <w:b/>
                <w:i/>
              </w:rPr>
              <w:t>Begäran ska innehålla en beskrivning av den föreslagna vägen till verklig användning och, i när så är lämpligt, en uppdaterad sammansättning av konsortiet.</w:t>
            </w:r>
            <w:r>
              <w:t xml:space="preserve"> </w:t>
            </w:r>
            <w:r>
              <w:rPr>
                <w:b/>
                <w:i/>
              </w:rPr>
              <w:t>Kommissionen får inte kräva information som redan lämnats in, utvärderats eller rapporterats inom ramprogrammet, utom när det är nödvändigt för att kontrollera stödberättigande, mervärde för unionen, efterlevnad av denna förordning eller behovet av stöd från EKF.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Horisont-övergångssystemet ska vara kontinuerligt öppet för ansökningar.</w:t>
            </w:r>
            <w:r>
              <w:t xml:space="preserve"> </w:t>
            </w:r>
            <w:r>
              <w:rPr>
                <w:b/>
                <w:i/>
              </w:rPr>
              <w:t>Kommissionen ska bedöma begäran om övergång minst fyra gånger per 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Systemet syftar till att stödja tillvaratagandet av resultat från Horisontfinansierade projekt genom att möjliggöra ett förenklat ansökningsförfarande som tar hänsyn till de bedömningar som redan har gjorts innan Horisontmedel beviljas.</w:t>
      </w:r>
      <w:r>
        <w:t xml:space="preserve"> </w:t>
      </w:r>
      <w:r>
        <w:t>För att projekt enkelt ska kunna övergå från Horisontfinansiering till finansiering inom ramen för EKF, med tanke på de nuvarande utmaningarna med att få ut innovation på marknaden i Europa, bör systemet drivas kontinuerligt snarare än vara ansökningsbaserat samtidigt som det fortfarande är anpassat till EKF:s mål.</w:t>
      </w:r>
    </w:p>
    <w:p>
      <w:r>
        <w:rPr>
          <w:rStyle w:val="HideTWBExt"/>
        </w:rPr>
        <w:t>&lt;/Amend&gt;</w:t>
      </w:r>
    </w:p>
    <w:p>
      <w:pPr>
        <w:pStyle w:val="AmNumberTabs"/>
      </w:pPr>
      <w:r>
        <w:rPr>
          <w:rStyle w:val="HideTWBExt"/>
        </w:rPr>
        <w:t>&lt;Amend&gt;</w:t>
      </w:r>
      <w:r>
        <w:t>Ändringsförslag</w:t>
      </w:r>
      <w:r>
        <w:tab/>
      </w:r>
      <w:r>
        <w:tab/>
      </w:r>
      <w:r>
        <w:rPr>
          <w:rStyle w:val="HideTWBExt"/>
        </w:rPr>
        <w:t>&lt;NumAm&gt;</w:t>
      </w:r>
      <w:r>
        <w:t>2017</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Wouter Beke, Radan Kanev, Susana Solís Pérez,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[14d - Genomförandeåtgärder för Horisont Europa-resultat]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förekommande fall ska gemensamma möten mellan EKF:s programkommittéer och [hänvisning till programkommittén för Horisont Europa] sammankallas för att säkerställa anpassning till europeiska prioriteringar.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En ny punkt läggs till artikel 14d som fastställs i förslaget till betänkande.</w:t>
      </w:r>
    </w:p>
    <w:p>
      <w:r>
        <w:rPr>
          <w:rStyle w:val="HideTWBExt"/>
        </w:rPr>
        <w:t>&lt;/Amend&gt;</w:t>
      </w:r>
    </w:p>
    <w:p>
      <w:pPr>
        <w:pStyle w:val="AmNumberTabs"/>
      </w:pPr>
      <w:r>
        <w:rPr>
          <w:rStyle w:val="HideTWBExt"/>
        </w:rPr>
        <w:t>&lt;Amend&gt;</w:t>
      </w:r>
      <w:r>
        <w:t>Ändringsförslag</w:t>
      </w:r>
      <w:r>
        <w:tab/>
      </w:r>
      <w:r>
        <w:tab/>
      </w:r>
      <w:r>
        <w:rPr>
          <w:rStyle w:val="HideTWBExt"/>
        </w:rPr>
        <w:t>&lt;NumAm&gt;</w:t>
      </w:r>
      <w:r>
        <w:t>2018</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14d - Genomförandeåtgärder för Horisont Europa-resultat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förekommande fall ska gemensamma möten mellan EKF:s programkommittéer och [hänvisning till programkommittén för Horisont Europa] sammankallas för att säkerställa anpassning till europeiska prioriteringar.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2019</w:t>
      </w:r>
      <w:r>
        <w:rPr>
          <w:rStyle w:val="HideTWBExt"/>
        </w:rPr>
        <w:t>&lt;/NumAm&gt;</w:t>
      </w:r>
    </w:p>
    <w:p>
      <w:pPr>
        <w:pStyle w:val="NormalBold"/>
      </w:pPr>
      <w:r>
        <w:rPr>
          <w:rStyle w:val="HideTWBExt"/>
          <w:b w:val="0"/>
        </w:rPr>
        <w:t>&lt;RepeatBlock-By&gt;</w:t>
      </w:r>
      <w:r>
        <w:rPr>
          <w:rStyle w:val="HideTWBExt"/>
          <w:b w:val="0"/>
        </w:rPr>
        <w:t>&lt;Members&gt;</w:t>
      </w:r>
      <w:r>
        <w:t>Yvan Verougstraete, Stine Bosse,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Förvaltning av EKF:s InvestEU-instrument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En helt oberoende investeringskommitté ska inrättas inom EKF:s InvestEU-instrument (investeringskommittén).</w:t>
            </w:r>
            <w:r>
              <w:t xml:space="preserve"> </w:t>
            </w:r>
            <w:r>
              <w:rPr>
                <w:b/>
                <w:i/>
              </w:rPr>
              <w:t>Investeringskommittén ska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granska de förslag till finansierings- och investeringstransaktioner som genomförandepartner har lämnat in för att de ska täckas av EU-garantin,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kontrollera att de förslag som avses i led a är förenliga med tillämpliga regler och med de investeringsriktlinjer som avses i artikel 21.5 och godkänna eller förkasta dem.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Kommissionen ska välja ut ledamöterna i investeringskommittén och utse dem för en mandatperiod på upp till fyra år, som kan förlängas en gång.</w:t>
            </w:r>
            <w:r>
              <w:t xml:space="preserve"> </w:t>
            </w:r>
            <w:r>
              <w:rPr>
                <w:b/>
                <w:i/>
              </w:rPr>
              <w:t>De ska avlönas av unionen.</w:t>
            </w:r>
            <w:r>
              <w:t xml:space="preserve"> </w:t>
            </w:r>
            <w:r>
              <w:rPr>
                <w:b/>
                <w:i/>
              </w:rPr>
              <w:t>Ledamöterna i investeringskommittén ska ha mycket god relevant marknadserfarenhet av strukturering och finansiering av projekt eller finansiering av små och medelstora företag eller bolag.</w:t>
            </w:r>
            <w:r>
              <w:t xml:space="preserve"> </w:t>
            </w:r>
            <w:r>
              <w:rPr>
                <w:b/>
                <w:i/>
              </w:rPr>
              <w:t>Investeringskommitténs sammansättning ska säkerställa att kommittén har breda kunskaper om de sektorer som EKF omfattar och breda kunskaper om de geografiska marknaderna i unionen, och ska säkerställa att investeringskommittén som helhet har en jämn könsfördelning.</w:t>
            </w:r>
            <w:r>
              <w:t xml:space="preserve"> </w:t>
            </w:r>
            <w:r>
              <w:rPr>
                <w:b/>
                <w:i/>
              </w:rPr>
              <w:t>Urvalet ska göras öppet och motiveras på objektiva grunder.</w:t>
            </w:r>
            <w:r>
              <w:t xml:space="preserve"> </w:t>
            </w:r>
            <w:r>
              <w:rPr>
                <w:b/>
                <w:i/>
              </w:rPr>
              <w:t>Investeringskommittén ska välja en ordförande bland sina ledamöter.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Investeringskommitténs ledamöter ska agera opartiskt och uteslutande i Europeiska konkurrenskraftsfondens intresse.</w:t>
            </w:r>
            <w:r>
              <w:t xml:space="preserve"> </w:t>
            </w:r>
            <w:r>
              <w:rPr>
                <w:b/>
                <w:i/>
              </w:rPr>
              <w:t>De får inte begära eller ta emot instruktioner från genomförandepartnerna, unionens institutioner, medlemsstaterna eller något annat offentligt eller privat organ.</w:t>
            </w:r>
            <w:r>
              <w:t xml:space="preserve"> </w:t>
            </w:r>
            <w:r>
              <w:rPr>
                <w:b/>
                <w:i/>
              </w:rPr>
              <w:t>Meritförteckningar och intresseförklaringar för varje ledamot i investeringskommittén ska offentliggöras och hållas uppdaterade.</w:t>
            </w:r>
            <w:r>
              <w:t xml:space="preserve"> </w:t>
            </w:r>
            <w:r>
              <w:rPr>
                <w:b/>
                <w:i/>
              </w:rPr>
              <w:t>Varje medlem i investeringskommittén ska utan dröjsmål meddela kommissionen alla uppgifter och all dokumentation som den behöver för att fortlöpande bekräfta att det inte föreligger några intressekonflikter.</w:t>
            </w:r>
            <w:r>
              <w:t xml:space="preserve"> </w:t>
            </w:r>
            <w:r>
              <w:rPr>
                <w:b/>
                <w:i/>
              </w:rPr>
              <w:t>Kommissionen får entlediga en ledamot från dennes uppdrag om ledamoten inte respekterar kraven i denna punkt eller när det finns andra vederbörligen motiverade skäl.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Investeringskommittén ska anta de beslut som avses i punkt 1 b med enkel majoritet av alla ledamöter.</w:t>
            </w:r>
            <w:r>
              <w:t xml:space="preserve"> </w:t>
            </w:r>
            <w:r>
              <w:rPr>
                <w:b/>
                <w:i/>
              </w:rPr>
              <w:t>Vid lika röstetal ska ordföranden i investeringskommittén ha utslagsröst.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Investeringskommitténs beslut om godkännande av täckning från EU-garantin för en finansierings- eller investeringstransaktion ska vara allmänt tillgängliga och innehålla en motivering för godkännandet samt information om transaktionen, särskilt en beskrivning av den, de projektansvarigas eller de finansiella intermediärernas identitet och transaktionens mål.</w:t>
            </w:r>
            <w:r>
              <w:t xml:space="preserve"> </w:t>
            </w:r>
            <w:r>
              <w:rPr>
                <w:b/>
                <w:i/>
              </w:rPr>
              <w:t>Den information som ska göras allmänt tillgänglig enligt det första stycket ska inte innehålla kommersiellt känsliga uppgifter eller personuppgifter som inte får lämnas ut enligt unionens bestämmelser om dataskydd.</w:t>
            </w:r>
            <w:r>
              <w:t xml:space="preserve"> </w:t>
            </w:r>
            <w:r>
              <w:rPr>
                <w:b/>
                <w:i/>
              </w:rPr>
              <w:t>Kommissionen ska på begäran och i enlighet med strikta sekretesskrav överlämna kommersiellt känsliga uppgifter i investeringskommitténs slutsatser till Europaparlamentet och rådet.</w:t>
            </w:r>
            <w:r>
              <w:t xml:space="preserve"> </w:t>
            </w:r>
            <w:r>
              <w:rPr>
                <w:b/>
                <w:i/>
              </w:rPr>
              <w:t>Två gånger om året ska investeringskommittén förelägga Europaparlamentet och rådet en förteckning över investeringskommitténs beslut från de föregående sex månaderna att avslå användningen av EU-garantin i enlighet med punkt 1 b.</w:t>
            </w:r>
            <w:r>
              <w:t xml:space="preserve"> </w:t>
            </w:r>
            <w:r>
              <w:rPr>
                <w:b/>
                <w:i/>
              </w:rPr>
              <w:t>Detta föreläggande ska ske med förbehåll för strikta sekretesskrav.</w:t>
            </w:r>
            <w:r>
              <w:t xml:space="preserve"> </w:t>
            </w:r>
            <w:r>
              <w:rPr>
                <w:b/>
                <w:i/>
              </w:rPr>
              <w:t>Investeringskommitténs beslut enligt punkt 1 b ska i god tid göras tillgängliga för den berörda genomförandepartnern.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Om det begärs att investeringskommittén ska godkänna användningen av EU-garantin för en finansierings- eller investeringstransaktion som är en facilitet, ett program eller en struktur med underliggande delprojekt, ska godkännandet omfatta de underliggande delprojekten, såvida inte investeringskommittén beslutar att förbehålla sig rätten att godkänna dem separat.</w:t>
            </w:r>
            <w:r>
              <w:t xml:space="preserve"> </w:t>
            </w:r>
            <w:r>
              <w:rPr>
                <w:b/>
                <w:i/>
              </w:rPr>
              <w:t>Investeringskommittén ska inte ha rätt att separat godkänna delprojekt vars storlek understiger 3 000 000 EUR.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Den rådgivande nämnden för EKF:s InvestEU-instrument ska bestå av två företrädare för EIB-gruppen, en företrädare för varje genomförandepartner och en företrädare för varje medlemsstat.</w:t>
            </w:r>
            <w:r>
              <w:t xml:space="preserve"> </w:t>
            </w:r>
            <w:r>
              <w:rPr>
                <w:b/>
                <w:i/>
              </w:rPr>
              <w:t>Den rådgivande nämnden för EKF:s InvestEU-instrument ska ge råd om utformningen av finansiella produkter och om den strategiska och operativa inriktningen inom sitt behörighetsområde.</w:t>
            </w:r>
            <w:r>
              <w:t xml:space="preserve"> </w:t>
            </w:r>
            <w:r>
              <w:rPr>
                <w:b/>
                <w:i/>
              </w:rPr>
              <w:t>Den ska också ge råd om samordningen med Europeiska innovationsrådet för att säkerställa komplementariteten med annan unionsfinansiering eller privata investeringar.</w:t>
            </w:r>
            <w:r>
              <w:t xml:space="preserve"> </w:t>
            </w:r>
            <w:r>
              <w:rPr>
                <w:b/>
                <w:i/>
              </w:rPr>
              <w:t>En företrädare för kommissionen ska vara ordförande för den rådgivande nämnden.</w:t>
            </w:r>
            <w:r>
              <w:t xml:space="preserve"> </w:t>
            </w:r>
            <w:r>
              <w:rPr>
                <w:b/>
                <w:i/>
              </w:rPr>
              <w:t>En av företrädarna för EIB-gruppen ska vara vice ordförande.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Kommissionen ska fastställa närmare regler om urval och sammansättning, ersättning, arbetsordning, intressekonflikter och sekretess för investeringskommittén och den rådgivande nämnden för EKF:s InvestEU-instrument.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w:t>
            </w:r>
            <w:r>
              <w:t xml:space="preserve"> </w:t>
            </w:r>
            <w:r>
              <w:rPr>
                <w:b/>
                <w:i/>
              </w:rPr>
              <w:t>Kommissionen och genomförandepartnerna ska hålla regelbundna politiska dialoger för att diskutera framstegen med genomförandet av de finansiella produkterna och utbyta åsikter om relevant politisk utveckling.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2020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Rådgivande nämnd för EKF:s InvestEU-instrument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Kommissionen och investeringskommittén ska bistås av en rådgivande nämnd (den rådgivande nämnden).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Den rådgivande nämnden ska sträva efter att säkerställa en jämn könsfördelning och ska bestå av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en företrädare för varje genomförandepartner,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en företrädare för varje medlemsstat,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en företrädare för Europaparlamentet som observatör,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en företrädare för Europeiska ekonomiska och sociala kommittén,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en företrädare för Regionkommittén,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en företrädare för EIB.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En företrädare för kommissionen ska vara ordförande för den rådgivande nämnden.</w:t>
            </w:r>
            <w:r>
              <w:t xml:space="preserve"> </w:t>
            </w:r>
            <w:r>
              <w:rPr>
                <w:b/>
                <w:i/>
              </w:rPr>
              <w:t>Företrädaren för EIB-gruppen ska vara vice ordförande.</w:t>
            </w:r>
            <w:r>
              <w:t xml:space="preserve"> </w:t>
            </w:r>
            <w:r>
              <w:rPr>
                <w:b/>
                <w:i/>
              </w:rPr>
              <w:t>Den rådgivande nämnden ska sammanträda regelbundet, minst två gånger om året på begäran av ordföranden.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Den rådgivande nämnden ska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 kommissionen och investeringskommittén råd om utformningen av finansiella produkter som ska användas inom ramen för denna förordning, i syfte att säkerställa finansiell effektivitet,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 kommissionen och investeringskommittén råd om marknadsutveckling, marknadsförhållanden, marknadsmisslyckanden och suboptimala investeringssituationer,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diskutera marknadsutvecklingen och utbyta bästa praxis,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rådgivning om samordningen med EIC för att säkerställa komplementaritet med annan unionsfinansiering eller privata investeringar, med fokus på innovativa uppstartsföretag och innovativa expanderande företag och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rådgivning om utformningen av specifika finansiella produkter enligt artikel [21a (ny)]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Detaljerade protokoll från den rådgivande nämndens möten ska offentliggöras så snart som möjligt efter det att de har godkänts av den rådgivande nämnden.</w:t>
            </w:r>
            <w:r>
              <w:t xml:space="preserve"> </w:t>
            </w:r>
            <w:r>
              <w:rPr>
                <w:b/>
                <w:i/>
              </w:rPr>
              <w:t>Kommissionen ska fastställa den rådgivande nämndens arbetssätt och förfaranden och den ska leda den rådgivande nämndens sekretariat.</w:t>
            </w:r>
            <w:r>
              <w:t xml:space="preserve"> </w:t>
            </w:r>
            <w:r>
              <w:rPr>
                <w:b/>
                <w:i/>
              </w:rPr>
              <w:t>All relevant dokumentation och information ska göras tillgänglig för den rådgivande nämnden så att den kan utföra sina 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2021</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Radan Kanev, Susana Solís Pérez,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Genomförande av förordningen om prestationsramen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Genom undantag från artikel 1.2 i [förordningen om prestationsramen] ska tillämpningen av principerna om att inte orsaka betydande skada och jämställdhet som avses i artikel 33.2 d och 33.2 f i förordning (EU, Euratom) 2024/2509 samt de andra övergripande principerna fastställas i den här artikeln för att säkerställa att det är genomförbart och lämpligt för målen för detta program.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Som bidrag till det övergripande utgiftsmål som anges i artikel 4.2 i [förordning en om prestationsramen] ska detta program syfta till att avsätta 15 % av sin budget, exklusive budgetar som används för att genomföra försvars- och säkerhetsåtgärder (inklusive delar av civila projekt med dubbla användningsområden), till klimatåtgärder och miljömål.</w:t>
            </w:r>
            <w:r>
              <w:t xml:space="preserve"> </w:t>
            </w:r>
            <w:r>
              <w:rPr>
                <w:b/>
                <w:i/>
              </w:rPr>
              <w:t>Varje verksamhet som bidrar till målet i artikel 3.2 a ska anses bidra med 100 % till klimat- och miljömålen.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Verksamhet som finansieras inom programmet ska anses vara förenlig med principen om att inte orsaka betydande skada.</w:t>
            </w:r>
            <w:r>
              <w:t xml:space="preserve"> </w:t>
            </w:r>
            <w:r>
              <w:rPr>
                <w:b/>
                <w:i/>
              </w:rPr>
              <w:t>Sökande ska inte behöva bevisa att de följer principen i något skede av ansöknings- eller finansieringsförfarandet.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Mot bakgrund av den särskilda karaktären hos enheter som kan erhålla finansiering inom ramen för detta program ska verksamhet inom ramen för detta program anses uppfylla kraven i artikel 33.2.3 i förordning (EU, Euratom) 2024/2509.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Verksamhet som finansieras inom programmet ska anses vara förenlig med principen om jämställdhet mellan könen.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Vid tillämpning av artikel 6.2 i förordning [XXXX/XXXX] ska tillämplig lagstiftning och tillämpliga kollektivavtal respekteras vid genomförandet av verksamheten när det gäller arbets- och anställningsvillkor.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2022</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Genomförande av förordningen om prestationsramen 1.</w:t>
            </w:r>
            <w:r>
              <w:t xml:space="preserve"> </w:t>
            </w:r>
            <w:r>
              <w:rPr>
                <w:b/>
                <w:i/>
              </w:rPr>
              <w:t>Genom undantag från artikel 1.2 i [förordningen om prestationsramen] ska tillämpningen av principerna om att inte orsaka betydande skada och jämställdhet som avses i artikel 33.2 d och 33.2 f i förordning (EU, Euratom) 2024/2509 samt de andra övergripande principerna fastställas i den här artikeln för att säkerställa att det är genomförbart och lämpligt för målen för detta program.</w:t>
            </w:r>
            <w:r>
              <w:t xml:space="preserve"> </w:t>
            </w:r>
            <w:r>
              <w:rPr>
                <w:b/>
                <w:i/>
              </w:rPr>
              <w:t>2.</w:t>
            </w:r>
            <w:r>
              <w:t xml:space="preserve"> </w:t>
            </w:r>
            <w:r>
              <w:rPr>
                <w:b/>
                <w:i/>
              </w:rPr>
              <w:t>Som bidrag till det övergripande utgiftsmål som anges i artikel 4.2 i [förordningen om prestationsramen] ska detta program syfta till att avsätta 15 % av sin budget, exklusive budgetar som används för att genomföra försvars- och säkerhetsåtgärder (inklusive delar av civila projekt med dubbla användningsområden), till klimatåtgärder och miljömål.</w:t>
            </w:r>
            <w:r>
              <w:t xml:space="preserve"> </w:t>
            </w:r>
            <w:r>
              <w:rPr>
                <w:b/>
                <w:i/>
              </w:rPr>
              <w:t>Varje verksamhet som bidrar till målet i artikel 3.2 a ska anses bidra med 100 % till klimat- och miljömålen.</w:t>
            </w:r>
            <w:r>
              <w:t xml:space="preserve"> </w:t>
            </w:r>
            <w:r>
              <w:rPr>
                <w:b/>
                <w:i/>
              </w:rPr>
              <w:t>3. Verksamhet som finansieras inom programmet ska anses vara förenlig med principen om att inte orsaka betydande skada.</w:t>
            </w:r>
            <w:r>
              <w:t xml:space="preserve"> </w:t>
            </w:r>
            <w:r>
              <w:rPr>
                <w:b/>
                <w:i/>
              </w:rPr>
              <w:t>Sökande ska inte behöva bevisa att de följer principen i något skede av ansöknings- eller finansieringsförfarandet.</w:t>
            </w:r>
            <w:r>
              <w:t xml:space="preserve"> </w:t>
            </w:r>
            <w:r>
              <w:rPr>
                <w:b/>
                <w:i/>
              </w:rPr>
              <w:t>4.</w:t>
            </w:r>
            <w:r>
              <w:t xml:space="preserve"> </w:t>
            </w:r>
            <w:r>
              <w:rPr>
                <w:b/>
                <w:i/>
              </w:rPr>
              <w:t>Mot bakgrund av den särskilda karaktären hos enheter som kan erhålla finansiering inom ramen för detta program ska verksamhet inom ramen för detta program anses uppfylla kraven i artikel 33.2.3 i förordning (EU, Euratom) 2024/2509.</w:t>
            </w:r>
            <w:r>
              <w:t xml:space="preserve"> </w:t>
            </w:r>
            <w:r>
              <w:rPr>
                <w:b/>
                <w:i/>
              </w:rPr>
              <w:t>5.</w:t>
            </w:r>
            <w:r>
              <w:t xml:space="preserve"> </w:t>
            </w:r>
            <w:r>
              <w:rPr>
                <w:b/>
                <w:i/>
              </w:rPr>
              <w:t>Verksamhet som finansieras inom programmet ska anses vara förenlig med principen om jämställdhet mellan könen.</w:t>
            </w:r>
            <w:r>
              <w:t xml:space="preserve"> </w:t>
            </w:r>
            <w:r>
              <w:rPr>
                <w:b/>
                <w:i/>
              </w:rPr>
              <w:t>6.</w:t>
            </w:r>
            <w:r>
              <w:t xml:space="preserve"> </w:t>
            </w:r>
            <w:r>
              <w:rPr>
                <w:b/>
                <w:i/>
              </w:rPr>
              <w:t>Vid tillämpning av artikel 6.2 i förordning [XXXX/XXXX] ska tillämplig lagstiftning och tillämpliga kollektivavtal respekteras vid genomförandet av verksamheten när det gäller arbets- och anställningsvillkor.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2023</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Jan Farský, Rasa Juknevičienė, Andrey Kovatchev, Andrey Novakov, Eva Maydell,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14b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Intressentgrupp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En intressentgrupp ska inrättas.</w:t>
            </w:r>
            <w:r>
              <w:t xml:space="preserve"> </w:t>
            </w:r>
            <w:r>
              <w:rPr>
                <w:b/>
                <w:i/>
              </w:rPr>
              <w:t>2.</w:t>
            </w:r>
            <w:r>
              <w:t xml:space="preserve"> </w:t>
            </w:r>
            <w:r>
              <w:rPr>
                <w:b/>
                <w:i/>
              </w:rPr>
              <w:t>Intressentgruppens uppgift ska vara att stödja kommissionen med att förbereda och utarbeta ansökningsomgångar i enlighet med denna förordning.</w:t>
            </w:r>
            <w:r>
              <w:t xml:space="preserve"> </w:t>
            </w:r>
            <w:r>
              <w:rPr>
                <w:b/>
                <w:i/>
              </w:rPr>
              <w:t>Den ska ge icke-bindande råd till kommissionen på ett tidigt stadium när ansökningsomgångar förbereds, i syfte att säkerställa att villkoren för finansiering, kraven på stödberättigande, utvärderingskriterierna och de administrativa förfarandena är proportionerliga, tydliga och anpassade efter verkligheten på marknaden.</w:t>
            </w:r>
            <w:r>
              <w:t xml:space="preserve"> </w:t>
            </w:r>
            <w:r>
              <w:rPr>
                <w:b/>
                <w:i/>
              </w:rPr>
              <w:t>3.</w:t>
            </w:r>
            <w:r>
              <w:t xml:space="preserve"> </w:t>
            </w:r>
            <w:r>
              <w:rPr>
                <w:b/>
                <w:i/>
              </w:rPr>
              <w:t>Intressentgruppen ska utgöras av företrädare för relevanta industrisektorer, små och medelstora företag, finansinstitut, investerare, forsknings- och teknikorganisationer, arbetsmarknadens parter, företrädare för regionala och lokala myndigheter och andra relevanta marknadsaktörer, utvalda på grundval av sakkunskaper, geografisk balans och transparens.</w:t>
            </w:r>
            <w:r>
              <w:t xml:space="preserve"> </w:t>
            </w:r>
            <w:r>
              <w:rPr>
                <w:b/>
                <w:i/>
              </w:rPr>
              <w:t>4.</w:t>
            </w:r>
            <w:r>
              <w:t xml:space="preserve"> </w:t>
            </w:r>
            <w:r>
              <w:rPr>
                <w:b/>
                <w:i/>
              </w:rPr>
              <w:t>Kommissionen ska säkerställa att samrådet med intressentgruppen bidrar till att förenkla deltagandet i, förbättra näringslivets upptagning av och stärka påverkan och effektiviteten hos de åtgärder som får stöd enligt denna förordning.</w:t>
            </w:r>
            <w:r>
              <w:t xml:space="preserve"> </w:t>
            </w:r>
            <w:r>
              <w:rPr>
                <w:b/>
                <w:i/>
              </w:rPr>
              <w:t>5.</w:t>
            </w:r>
            <w:r>
              <w:t xml:space="preserve"> </w:t>
            </w:r>
            <w:r>
              <w:rPr>
                <w:b/>
                <w:i/>
              </w:rPr>
              <w:t>Intressentgruppen kan sammanträda i mindre konstellationer som är relevanta för politikområdena.</w:t>
            </w:r>
            <w:r>
              <w:t xml:space="preserve"> </w:t>
            </w:r>
            <w:r>
              <w:rPr>
                <w:b/>
                <w:i/>
              </w:rPr>
              <w:t>6.</w:t>
            </w:r>
            <w:r>
              <w:t xml:space="preserve"> </w:t>
            </w:r>
            <w:r>
              <w:rPr>
                <w:b/>
                <w:i/>
              </w:rPr>
              <w:t>För denna förordning gäller att rådet för europeisk konkurrenskraftsforskning, inrättat genom förordningen om Horisont Europa, ska anses vara en mindre konstellation till intressentgruppen.</w:t>
            </w:r>
            <w:r>
              <w:t xml:space="preserve"> </w:t>
            </w:r>
            <w:r>
              <w:rPr>
                <w:b/>
                <w:i/>
              </w:rPr>
              <w:t>Den ska ge råd till kommissionen om de ansökningsomgångar som är kopplade till genomförandeåtgärder för Horisont Europa-resultat.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Ändringsförslaget till Ehler-Nica-betänkandet har utökats.</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788.897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118</w:t>
    </w:r>
    <w:r>
      <w:fldChar w:fldCharType="end"/>
    </w:r>
    <w:r>
      <w:t>/</w:t>
    </w:r>
    <w:r>
      <w:fldChar w:fldCharType="begin"/>
    </w:r>
    <w:r>
      <w:instrText xml:space="preserve"> NUMPAGES </w:instrText>
    </w:r>
    <w:r>
      <w:fldChar w:fldCharType="separate"/>
    </w:r>
    <w:r>
      <w:t>118</w:t>
    </w:r>
    <w:r>
      <w:fldChar w:fldCharType="end"/>
    </w:r>
    <w:r>
      <w:tab/>
    </w:r>
    <w:r>
      <w:rPr>
        <w:rStyle w:val="HideTWBExt"/>
      </w:rPr>
      <w:t>&lt;PathFdR&gt;</w:t>
    </w:r>
    <w:r>
      <w:t>AM\1344027SV.docx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AM\1344027SV.docx</w:t>
    </w:r>
    <w:r>
      <w:rPr>
        <w:rStyle w:val="HideTWBExt"/>
      </w:rPr>
      <w:t>&lt;/PathFdR&gt;</w:t>
    </w:r>
    <w:r>
      <w:tab/>
    </w:r>
    <w:r>
      <w:fldChar w:fldCharType="begin"/>
    </w:r>
    <w:r>
      <w:instrText xml:space="preserve"> PAGE </w:instrText>
    </w:r>
    <w:r>
      <w:fldChar w:fldCharType="separate"/>
    </w:r>
    <w:r>
      <w:t>117</w:t>
    </w:r>
    <w:r>
      <w:fldChar w:fldCharType="end"/>
    </w:r>
    <w:r>
      <w:t>/</w:t>
    </w:r>
    <w:r>
      <w:fldChar w:fldCharType="begin"/>
    </w:r>
    <w:r>
      <w:instrText xml:space="preserve"> NUMPAGES </w:instrText>
    </w:r>
    <w:r>
      <w:fldChar w:fldCharType="separate"/>
    </w:r>
    <w:r>
      <w:t>118</w:t>
    </w:r>
    <w:r>
      <w:fldChar w:fldCharType="end"/>
    </w:r>
    <w:r>
      <w:tab/>
    </w:r>
    <w:r>
      <w:t>PE</w:t>
    </w:r>
    <w:r>
      <w:rPr>
        <w:rStyle w:val="HideTWBExt"/>
      </w:rPr>
      <w:t>&lt;NoPE&gt;</w:t>
    </w:r>
    <w:r>
      <w:t>788.897</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AM\1344027SV.docx</w:t>
    </w:r>
    <w:r>
      <w:rPr>
        <w:rStyle w:val="HideTWBExt"/>
      </w:rPr>
      <w:t>&lt;/PathFdR&gt;</w:t>
    </w:r>
    <w:r>
      <w:tab/>
    </w:r>
    <w:r>
      <w:tab/>
    </w:r>
    <w:r>
      <w:t>PE</w:t>
    </w:r>
    <w:r>
      <w:rPr>
        <w:rStyle w:val="HideTWBExt"/>
      </w:rPr>
      <w:t>&lt;NoPE&gt;</w:t>
    </w:r>
    <w:r>
      <w:t>788.897</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118</Pages>
  <Words>24228</Words>
  <Characters>158744</Characters>
  <Application>Microsoft Office Word</Application>
  <DocSecurity>0</DocSecurity>
  <Lines>1</Lines>
  <Paragraphs>1799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1344027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546994</vt:lpwstr>
  </property>
  <property fmtid="{D5CDD505-2E9C-101B-9397-08002B2CF9AE}" pid="7" name="dmxml.render.traceId">
    <vt:lpwstr>6a3d3a865949a31ca7bedf9eb84f4457</vt:lpwstr>
  </property>
  <property fmtid="{D5CDD505-2E9C-101B-9397-08002B2CF9AE}" pid="8" name="FooterPath">
    <vt:lpwstr>AM\1344027SV.docx</vt:lpwstr>
  </property>
  <property fmtid="{D5CDD505-2E9C-101B-9397-08002B2CF9AE}" pid="9" name="PE Number">
    <vt:lpwstr>788.897</vt:lpwstr>
  </property>
  <property fmtid="{D5CDD505-2E9C-101B-9397-08002B2CF9AE}" pid="10" name="UID">
    <vt:lpwstr>eu.europa.europarl-DIN1-2026-0000140161_02.00-sv-01.00_text-xml</vt:lpwstr>
  </property>
</Properties>
</file>