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Ipari, Kutatási és Energiaügyi Bizottság</w:t>
      </w:r>
      <w:r>
        <w:rPr>
          <w:rStyle w:val="HideTWBExt"/>
        </w:rPr>
        <w:t>&lt;/Commission&gt;</w:t>
      </w:r>
    </w:p>
    <w:p>
      <w:pPr>
        <w:pStyle w:val="LineBottom"/>
      </w:pPr>
      <w:r>
        <w:t xml:space="preserve"> </w:t>
      </w:r>
    </w:p>
    <w:p>
      <w:pPr>
        <w:pStyle w:val="CoverReference"/>
      </w:pPr>
      <w:r>
        <w:rPr>
          <w:rStyle w:val="HideTWBExt"/>
        </w:rPr>
        <w:t>&lt;RefProc&gt;</w:t>
      </w:r>
      <w:r>
        <w:t>2025/0555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{19/05/2026}</w:t>
      </w:r>
      <w:r>
        <w:t>19.5.2026</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3324</w:t>
      </w:r>
      <w:r>
        <w:t xml:space="preserve"> - </w:t>
      </w:r>
      <w:r>
        <w:t>3637</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Christian Ehler, Dan Nica</w:t>
      </w:r>
      <w:r>
        <w:rPr>
          <w:rStyle w:val="HideTWBExt"/>
        </w:rPr>
        <w:t>&lt;/Rapporteur&gt;</w:t>
      </w:r>
    </w:p>
    <w:p>
      <w:pPr>
        <w:pStyle w:val="CoverNormal24a"/>
      </w:pPr>
      <w:r>
        <w:rPr>
          <w:rStyle w:val="HideTWBExt"/>
        </w:rPr>
        <w:t>&lt;DocRefPE&gt;</w:t>
      </w:r>
      <w:r>
        <w:t>(PE784.506v01-00)</w:t>
      </w:r>
      <w:r>
        <w:rPr>
          <w:rStyle w:val="HideTWBExt"/>
        </w:rPr>
        <w:t>&lt;/DocRefPE&gt;</w:t>
      </w:r>
    </w:p>
    <w:p>
      <w:pPr>
        <w:pStyle w:val="CoverNormal24a"/>
      </w:pPr>
      <w:r>
        <w:rPr>
          <w:rStyle w:val="HideTWBExt"/>
        </w:rPr>
        <w:t>&lt;Titre&gt;</w:t>
      </w:r>
      <w:r>
        <w:t>Az Európai Versenyképességi Alap létrehozása, beleértve a védelmi kutatási és innovációs tevékenységekre vonatkozó egyedi programot</w:t>
      </w:r>
      <w:r>
        <w:rPr>
          <w:rStyle w:val="HideTWBExt"/>
        </w:rPr>
        <w:t>&lt;/Titre&gt;</w:t>
      </w:r>
    </w:p>
    <w:p>
      <w:pPr>
        <w:pStyle w:val="CoverNormal"/>
      </w:pPr>
      <w:r>
        <w:rPr>
          <w:rStyle w:val="HideTWBExt"/>
        </w:rPr>
        <w:t>&lt;DocAmend&gt;</w:t>
      </w:r>
      <w:r>
        <w:t>Rendeletre irányuló javaslat</w:t>
      </w:r>
      <w:r>
        <w:rPr>
          <w:rStyle w:val="HideTWBExt"/>
        </w:rPr>
        <w:t>&lt;/DocAmend&gt;</w:t>
      </w:r>
    </w:p>
    <w:p>
      <w:pPr>
        <w:pStyle w:val="CoverNormal24a"/>
      </w:pPr>
      <w:r>
        <w:rPr>
          <w:rStyle w:val="HideTWBExt"/>
        </w:rPr>
        <w:t>&lt;DocRef&gt;</w:t>
      </w:r>
      <w:r>
        <w:t>(COM(2025)0555 – 2025/0555(COD))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3324</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VII fejezet – 3 szakasz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ŰRRENDSZEREK ÉS AZ ŰRPOLITIKA VÉGREHAJTÁSA</w:t>
            </w:r>
          </w:p>
        </w:tc>
        <w:tc>
          <w:tcPr>
            <w:tcW w:w="4876" w:type="dxa"/>
            <w:tcBorders>
              <w:top w:val="nil"/>
              <w:left w:val="nil"/>
              <w:bottom w:val="nil"/>
              <w:right w:val="nil"/>
            </w:tcBorders>
          </w:tcPr>
          <w:p>
            <w:pPr>
              <w:pStyle w:val="Normal6a"/>
            </w:pPr>
            <w:r>
              <w:t>3</w:t>
            </w:r>
            <w:r>
              <w:tab/>
            </w:r>
            <w:r>
              <w:rPr>
                <w:b/>
                <w:i/>
              </w:rPr>
              <w:t>AZ UNIÓS ŰRPROGRAM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javítja a jogi egyértelműséget és a következetességet azáltal, hogy kifejezetten hivatkozik az uniós űrprogramra.</w:t>
      </w:r>
    </w:p>
    <w:p>
      <w:r>
        <w:rPr>
          <w:rStyle w:val="HideTWBExt"/>
        </w:rPr>
        <w:t>&lt;/Amend&gt;</w:t>
      </w:r>
    </w:p>
    <w:p>
      <w:pPr>
        <w:pStyle w:val="AmNumberTabs"/>
      </w:pPr>
      <w:r>
        <w:rPr>
          <w:rStyle w:val="HideTWBExt"/>
        </w:rPr>
        <w:t>&lt;Amend&gt;</w:t>
      </w:r>
      <w:r>
        <w:t>Módosítás</w:t>
      </w:r>
      <w:r>
        <w:tab/>
      </w:r>
      <w:r>
        <w:tab/>
      </w:r>
      <w:r>
        <w:rPr>
          <w:rStyle w:val="HideTWBExt"/>
        </w:rPr>
        <w:t>&lt;NumAm&gt;</w:t>
      </w:r>
      <w:r>
        <w:t>3325</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Oihane Agirregoitia Martínez, Bart Groothuis,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VII fejezet – 3 szakasz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ŰRRENDSZEREK ÉS AZ ŰRPOLITIKA VÉGREHAJTÁSA</w:t>
            </w:r>
          </w:p>
        </w:tc>
        <w:tc>
          <w:tcPr>
            <w:tcW w:w="4876" w:type="dxa"/>
            <w:tcBorders>
              <w:top w:val="nil"/>
              <w:left w:val="nil"/>
              <w:bottom w:val="nil"/>
              <w:right w:val="nil"/>
            </w:tcBorders>
          </w:tcPr>
          <w:p>
            <w:pPr>
              <w:pStyle w:val="Normal6a"/>
            </w:pPr>
            <w:r>
              <w:t>3</w:t>
            </w:r>
            <w:r>
              <w:tab/>
            </w:r>
            <w:r>
              <w:rPr>
                <w:b/>
                <w:i/>
              </w:rPr>
              <w:t>AZ UNIÓS ŰRPROGRAM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3326</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57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Szükség esetén előirányzatok vihetők be a 2034 utáni uniós költségvetésbe egyrészt az e szakaszban kijelölt célkitűzések teljesítéséhez szükséges kiadások fedezése, a program végéig be nem fejezett tevékenységek igazgatásának lehetővé tétele, valamint a kritikus működési tevékenységekre és szolgáltatásnyújtásra vonatkozó kiadások fedezése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űrinfrastruktúrák a többéves pénzügyi keret egyetlen ciklusán túlmutató, hosszú távú működési folytonosságot igényelnek. Ez a módosítás biztosítja a kritikus szolgáltatások és műveletek folytonosságát.</w:t>
      </w:r>
    </w:p>
    <w:p>
      <w:r>
        <w:rPr>
          <w:rStyle w:val="HideTWBExt"/>
        </w:rPr>
        <w:t>&lt;/Amend&gt;</w:t>
      </w:r>
    </w:p>
    <w:p>
      <w:pPr>
        <w:pStyle w:val="AmNumberTabs"/>
      </w:pPr>
      <w:r>
        <w:rPr>
          <w:rStyle w:val="HideTWBExt"/>
        </w:rPr>
        <w:t>&lt;Amend&gt;</w:t>
      </w:r>
      <w:r>
        <w:t>Módosítás</w:t>
      </w:r>
      <w:r>
        <w:tab/>
      </w:r>
      <w:r>
        <w:tab/>
      </w:r>
      <w:r>
        <w:rPr>
          <w:rStyle w:val="HideTWBExt"/>
        </w:rPr>
        <w:t>&lt;NumAm&gt;</w:t>
      </w:r>
      <w:r>
        <w:t>3327</w:t>
      </w:r>
      <w:r>
        <w:rPr>
          <w:rStyle w:val="HideTWBExt"/>
        </w:rPr>
        <w:t>&lt;/NumAm&gt;</w:t>
      </w:r>
    </w:p>
    <w:p>
      <w:pPr>
        <w:pStyle w:val="NormalBold"/>
      </w:pPr>
      <w:r>
        <w:rPr>
          <w:rStyle w:val="HideTWBExt"/>
          <w:b w:val="0"/>
        </w:rPr>
        <w:t>&lt;RepeatBlock-By&gt;</w:t>
      </w:r>
      <w:r>
        <w:rPr>
          <w:rStyle w:val="HideTWBExt"/>
          <w:b w:val="0"/>
        </w:rPr>
        <w:t>&lt;Members&gt;</w:t>
      </w:r>
      <w:r>
        <w:t>Yvan Verougstraete, Brigitte van den Berg, Morten Løkkegaard, Christophe Grudler, Oihane Agirregoitia Martínez,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57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Szükség esetén előirányzatok vihetők be a 2034 utáni uniós költségvetésbe egyrészt az e szakaszban kijelölt célkitűzések teljesítéséhez szükséges kiadások fedezése, a program végéig be nem fejezett tevékenységek igazgatásának lehetővé tétele, valamint a kritikus működési tevékenységekre és szolgáltatásnyújtásra vonatkozó kiadások fedezése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3328</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Oihane Agirregoitia Martínez, Bart Groothuis,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Komponensek</w:t>
            </w:r>
          </w:p>
        </w:tc>
        <w:tc>
          <w:tcPr>
            <w:tcW w:w="4876" w:type="dxa"/>
            <w:tcBorders>
              <w:top w:val="nil"/>
              <w:left w:val="nil"/>
              <w:bottom w:val="nil"/>
              <w:right w:val="nil"/>
            </w:tcBorders>
          </w:tcPr>
          <w:p>
            <w:pPr>
              <w:pStyle w:val="Normal6a"/>
            </w:pPr>
            <w:r>
              <w:rPr>
                <w:b/>
                <w:i/>
              </w:rPr>
              <w:t>Az uniós űrprogram komponensei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3329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Komponensek</w:t>
            </w:r>
          </w:p>
        </w:tc>
        <w:tc>
          <w:tcPr>
            <w:tcW w:w="4876" w:type="dxa"/>
            <w:tcBorders>
              <w:top w:val="nil"/>
              <w:left w:val="nil"/>
              <w:bottom w:val="nil"/>
              <w:right w:val="nil"/>
            </w:tcBorders>
          </w:tcPr>
          <w:p>
            <w:pPr>
              <w:pStyle w:val="Normal6a"/>
            </w:pPr>
            <w:r>
              <w:rPr>
                <w:b/>
                <w:i/>
              </w:rPr>
              <w:t>Konkrét tevékenységek és</w:t>
            </w:r>
            <w:r>
              <w:t xml:space="preserve"> komponensek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3330</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Komponensek</w:t>
            </w:r>
          </w:p>
        </w:tc>
        <w:tc>
          <w:tcPr>
            <w:tcW w:w="4876" w:type="dxa"/>
            <w:tcBorders>
              <w:top w:val="nil"/>
              <w:left w:val="nil"/>
              <w:bottom w:val="nil"/>
              <w:right w:val="nil"/>
            </w:tcBorders>
          </w:tcPr>
          <w:p>
            <w:pPr>
              <w:pStyle w:val="Normal6a"/>
            </w:pPr>
            <w:r>
              <w:rPr>
                <w:b/>
                <w:i/>
              </w:rPr>
              <w:t>Konkrét tevékenységek és</w:t>
            </w:r>
            <w:r>
              <w:t xml:space="preserve"> komponensek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szolgáltatásokra vonatkozó megközelítés előnyben részesítése érdekében, hogy az megfeleljen a világűr egészére vonatkozó költségvetési alsó határ megközelítésének és/vagy i. a kormányzati szolgáltatásokra és ii. a nem kormányzati szolgáltatásokra vonatkozó költségvetésnek (azaz a legmagasabb szinteken annak biztosítása, hogy a program ne rendszer-/programkomponens, hanem űrszolgáltatás szerint épüljön fel), az 58. cikk „Integrált uniós űrszolgáltatás/Szolgáltatásorientált megközelítés” és „Cselekvési terv az űradatok és -szolgáltatások valamennyi uniós szakpolitikában történő szinergikus felhasználásának támogatására” című új pontjai szerint.</w:t>
      </w:r>
    </w:p>
    <w:p>
      <w:r>
        <w:rPr>
          <w:rStyle w:val="HideTWBExt"/>
        </w:rPr>
        <w:t>&lt;/Amend&gt;</w:t>
      </w:r>
    </w:p>
    <w:p>
      <w:pPr>
        <w:pStyle w:val="AmNumberTabs"/>
      </w:pPr>
      <w:r>
        <w:rPr>
          <w:rStyle w:val="HideTWBExt"/>
        </w:rPr>
        <w:t>&lt;Amend&gt;</w:t>
      </w:r>
      <w:r>
        <w:t>Módosítás</w:t>
      </w:r>
      <w:r>
        <w:tab/>
      </w:r>
      <w:r>
        <w:tab/>
      </w:r>
      <w:r>
        <w:rPr>
          <w:rStyle w:val="HideTWBExt"/>
        </w:rPr>
        <w:t>&lt;NumAm&gt;</w:t>
      </w:r>
      <w:r>
        <w:t>3331</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Komponensek</w:t>
            </w:r>
          </w:p>
        </w:tc>
        <w:tc>
          <w:tcPr>
            <w:tcW w:w="4876" w:type="dxa"/>
            <w:tcBorders>
              <w:top w:val="nil"/>
              <w:left w:val="nil"/>
              <w:bottom w:val="nil"/>
              <w:right w:val="nil"/>
            </w:tcBorders>
          </w:tcPr>
          <w:p>
            <w:pPr>
              <w:pStyle w:val="Normal6a"/>
            </w:pPr>
            <w:r>
              <w:rPr>
                <w:b/>
                <w:i/>
              </w:rPr>
              <w:t>Konkrét tevékenységek és</w:t>
            </w:r>
            <w:r>
              <w:t xml:space="preserve"> komponensek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3332</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-1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Az e szakasz alapján támogatott tevékenységeknek szolgáltatásorientált megközelítést kell követniük, amelynek célja integrált uniós űrszolgáltatások nyújtása a végfelhasználók számára.</w:t>
            </w:r>
            <w:r>
              <w:rPr>
                <w:b/>
                <w:i/>
              </w:rPr>
              <w:t>A szolgáltatásokat adott esetben a következők számára fejlesztik ki és nyújtják: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kormányzati felhasználók, beleértve az uniós intézményeket, szerveket, hivatalokat és ügynökségeket, a tagállamok közigazgatási szerveit és az adott tagállam által meghatározott közfeladatokkal megbízott szervezeteket;</w:t>
            </w:r>
            <w:r>
              <w:rPr>
                <w:b/>
                <w:i/>
              </w:rPr>
              <w:t>továbbá</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nem kormányzati felhasználók, beleértve a gazdasági szereplőket és a kutatási szervezeteket.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ilyen szolgáltatásoknak szükség szerint biztosítaniuk kell a különböző uniós űrkomponensek kombinációját, beleértve a helymeghatározást, a navigációt és az időmeghatározást (PNT), a Föld-megfigyelést (EO), a biztonságos konnektivitást és a világűr-megfigyelést, a végfelhasználó igényeinek megfelelő, koherens, szuverén és interoperábilis űralapú megoldások biztosítása érdekében.</w:t>
            </w:r>
            <w:r>
              <w:t xml:space="preserve"> </w:t>
            </w:r>
            <w:r>
              <w:rPr>
                <w:b/>
                <w:i/>
              </w:rPr>
              <w:t>A szolgáltatásokat olyan felhasználói interfészeken, szolgáltatási platformokon és terminálokon keresztül kell nyújtani, amelyek interoperábilisak, és lehetővé tették az uniós űrképességekhez való zökkenőmentes hozzáférést.</w:t>
            </w:r>
            <w:r>
              <w:t xml:space="preserve"> </w:t>
            </w:r>
            <w:r>
              <w:rPr>
                <w:b/>
                <w:i/>
              </w:rPr>
              <w:t>Az uniós támogatás adott esetben előnyben részesítheti a kormányzati felhasználók igényeit kielégítő szolgáltatásnyújtási képességeket, miközben biztosítja a szolgáltatások hozzáférhetőségét és elterjedését a nem kormányzati felhasználók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3333</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-1a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Cselekvési terv az űradatok és -szolgáltatások valamennyi uniós szakpolitikában történő szinergikus felhasználásának támogatására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Bizottság az Ügynökség segítségével támogatja különösen az uniós űradatok és -szolgáltatások együttes használatát, és előmozdítja a kormányzati és nem kormányzati felhasználók számára nyújtott integrált uniós űrszolgáltatások elterjedését azzal a céllal, hogy a jelenlegi többéves pénzügyi keret (2028–2034) végéig fokozatosan megerősítse a stratégiai ellátási láncok európai dimenzióját, beleértve a földi és űralapú infrastruktúra és a kritikus technológiák szempontjából releváns ellátási láncokat is, az Unió stratégiai autonómiájának, rezilienciájának és biztonságának fokozása érdekében.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célból a Bizottság cselekvési tervet dolgoz ki, amely támogatja az űradatok és -szolgáltatások valamennyi uniós szakpolitikában történő szinergikus felhasználását, beleértve a biztonsággal, a védelemmel, az életbiztonsággal és a kereskedelmi alkalmazásokkal kapcsolatos szakpolitikákat 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kormányzati felhasználók esetében különös figyelmet kell fordítani a biztonsági és reziliencia-képességek megerősítésére, többek között fejlett integrált szolgáltatások uniós szintű bevezetése révén.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nem kormányzati felhasználók esetében a cselekvési tervnek ösztönöznie kell az űralapú megoldások elterjedését a köz- és magánszféra érdekelt felei körében, és támogatnia kell az integrált űralapú alkalmazások, termékek és szolgáltatások fejlesztését, ezáltal erősítve a 66. cikkben említett uniós downstream űripar versenyképességét.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3334</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Oihane Agirregoitia Martínez, Bart Groothuis,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 1 albekezdés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Az uniós </w:t>
            </w:r>
            <w:r>
              <w:rPr>
                <w:b/>
                <w:i/>
              </w:rPr>
              <w:t>űrrendszereket és űrpolitikát különösen</w:t>
            </w:r>
            <w:r>
              <w:t xml:space="preserve"> a következő komponenseken keresztül kell végrehajtani:</w:t>
            </w:r>
          </w:p>
        </w:tc>
        <w:tc>
          <w:tcPr>
            <w:tcW w:w="4876" w:type="dxa"/>
            <w:tcBorders>
              <w:top w:val="nil"/>
              <w:left w:val="nil"/>
              <w:bottom w:val="nil"/>
              <w:right w:val="nil"/>
            </w:tcBorders>
          </w:tcPr>
          <w:p>
            <w:pPr>
              <w:pStyle w:val="Normal6a"/>
            </w:pPr>
            <w:r>
              <w:t xml:space="preserve">Az uniós </w:t>
            </w:r>
            <w:r>
              <w:rPr>
                <w:b/>
                <w:i/>
              </w:rPr>
              <w:t>űrprogram képezi az uniós űrpolitika végrehajtásának fő keretét.</w:t>
            </w:r>
            <w:r>
              <w:t xml:space="preserve"> </w:t>
            </w:r>
            <w:r>
              <w:rPr>
                <w:b/>
                <w:i/>
              </w:rPr>
              <w:t>Biztosítja az autonóm uniós űrrendszerek, -infrastruktúrák, -adatok, -termékek és -szolgáltatások folytonosságát, fejlesztését, üzemeltetését és fejlődését az uniós szakpolitikák és operatív igények támogatása érdekében, miközben hozzájárul az Unió űrpolitikai célkitűzéseinek meghatározásához, koordinálásához és végrehajtásához.</w:t>
            </w:r>
            <w:r>
              <w:t xml:space="preserve"> </w:t>
            </w:r>
            <w:r>
              <w:rPr>
                <w:b/>
                <w:i/>
              </w:rPr>
              <w:t>A programot</w:t>
            </w:r>
            <w:r>
              <w:t xml:space="preserve"> a következő komponenseken keresztül kell végrehajtani: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3335</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 1 albekezdés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helymeghatározás, navigáció és időmeghatározás, beleértve a Galileo és az EGNOS alkomponenseket;</w:t>
            </w:r>
          </w:p>
        </w:tc>
        <w:tc>
          <w:tcPr>
            <w:tcW w:w="4876" w:type="dxa"/>
            <w:tcBorders>
              <w:top w:val="nil"/>
              <w:left w:val="nil"/>
              <w:bottom w:val="nil"/>
              <w:right w:val="nil"/>
            </w:tcBorders>
          </w:tcPr>
          <w:p>
            <w:pPr>
              <w:pStyle w:val="Normal6a"/>
            </w:pPr>
            <w:r>
              <w:t>a)</w:t>
            </w:r>
            <w:r>
              <w:tab/>
            </w:r>
            <w:r>
              <w:t xml:space="preserve">helymeghatározás, navigáció és időmeghatározás, beleértve a Galileo és az EGNOS alkomponenseket; </w:t>
            </w:r>
            <w:r>
              <w:rPr>
                <w:b/>
                <w:i/>
              </w:rPr>
              <w:t>valamint a kapcsolódó interferenciaészlelési és -mérséklési képességek, beleértve a rádiófrekvenciás interferenciát (RFI) figyelő szolgáltatásokat;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3336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 1 albekezdés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helymeghatározás, navigáció és időmeghatározás, beleértve a Galileo és az EGNOS alkomponenseket;</w:t>
            </w:r>
          </w:p>
        </w:tc>
        <w:tc>
          <w:tcPr>
            <w:tcW w:w="4876" w:type="dxa"/>
            <w:tcBorders>
              <w:top w:val="nil"/>
              <w:left w:val="nil"/>
              <w:bottom w:val="nil"/>
              <w:right w:val="nil"/>
            </w:tcBorders>
          </w:tcPr>
          <w:p>
            <w:pPr>
              <w:pStyle w:val="Normal6a"/>
            </w:pPr>
            <w:r>
              <w:t>a)</w:t>
            </w:r>
            <w:r>
              <w:tab/>
            </w:r>
            <w:r>
              <w:t>helymeghatározás, navigáció és időmeghatározás, beleértve a Galileo és az EGNOS alkomponenseket</w:t>
            </w:r>
            <w:r>
              <w:rPr>
                <w:b/>
                <w:i/>
              </w:rPr>
              <w:t>, valamint a kapcsolódó interferenciaészlelési és -mérséklési képességek, beleértve a rádiófrekvenciás interferenciát (RFI) figyelő szolgáltatásokat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3337</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 1 albekezdés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helymeghatározás, navigáció és időmeghatározás, beleértve a Galileo és az EGNOS alkomponenseket;</w:t>
            </w:r>
          </w:p>
        </w:tc>
        <w:tc>
          <w:tcPr>
            <w:tcW w:w="4876" w:type="dxa"/>
            <w:tcBorders>
              <w:top w:val="nil"/>
              <w:left w:val="nil"/>
              <w:bottom w:val="nil"/>
              <w:right w:val="nil"/>
            </w:tcBorders>
          </w:tcPr>
          <w:p>
            <w:pPr>
              <w:pStyle w:val="Normal6a"/>
            </w:pPr>
            <w:r>
              <w:t>a)</w:t>
            </w:r>
            <w:r>
              <w:tab/>
            </w:r>
            <w:r>
              <w:t xml:space="preserve">helymeghatározás, navigáció és időmeghatározás, beleértve a Galileo és az EGNOS alkomponenseket; </w:t>
            </w:r>
            <w:r>
              <w:rPr>
                <w:b/>
                <w:i/>
              </w:rPr>
              <w:t>valamint a kapcsolódó interferenciaészlelési és -mérséklési képességek, beleértve a rádiófrekvenciás interferenciát (RFI) figyelő szolgáltatásokat;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3338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 1 albekezdés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helymeghatározás, navigáció és időmeghatározás, beleértve a Galileo és az EGNOS alkomponenseket;</w:t>
            </w:r>
          </w:p>
        </w:tc>
        <w:tc>
          <w:tcPr>
            <w:tcW w:w="4876" w:type="dxa"/>
            <w:tcBorders>
              <w:top w:val="nil"/>
              <w:left w:val="nil"/>
              <w:bottom w:val="nil"/>
              <w:right w:val="nil"/>
            </w:tcBorders>
          </w:tcPr>
          <w:p>
            <w:pPr>
              <w:pStyle w:val="Normal6a"/>
            </w:pPr>
            <w:r>
              <w:t>a)</w:t>
            </w:r>
            <w:r>
              <w:tab/>
            </w:r>
            <w:r>
              <w:t xml:space="preserve">helymeghatározás, navigáció és időmeghatározás, beleértve a Galileo és az </w:t>
            </w:r>
            <w:r>
              <w:rPr>
                <w:b/>
                <w:i/>
              </w:rPr>
              <w:t>európai geostacionárius navigációs lefedési szolgáltatás (</w:t>
            </w:r>
            <w:r>
              <w:t>EGNOS</w:t>
            </w:r>
            <w:r>
              <w:rPr>
                <w:b/>
                <w:i/>
              </w:rPr>
              <w:t>)</w:t>
            </w:r>
            <w:r>
              <w:t xml:space="preserve"> alkomponenseket;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3339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 1 albekezdés – g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technológiai szuverenitás, kutatás és innováció.</w:t>
            </w:r>
          </w:p>
        </w:tc>
        <w:tc>
          <w:tcPr>
            <w:tcW w:w="4876" w:type="dxa"/>
            <w:tcBorders>
              <w:top w:val="nil"/>
              <w:left w:val="nil"/>
              <w:bottom w:val="nil"/>
              <w:right w:val="nil"/>
            </w:tcBorders>
          </w:tcPr>
          <w:p>
            <w:pPr>
              <w:pStyle w:val="Normal6a"/>
            </w:pPr>
            <w:r>
              <w:t>g)</w:t>
            </w:r>
            <w:r>
              <w:tab/>
            </w:r>
            <w:r>
              <w:t>technológiai szuverenitás, kutatás és innováció</w:t>
            </w:r>
            <w:r>
              <w:rPr>
                <w:b/>
                <w:i/>
              </w:rPr>
              <w:t>, többek között az űrtevékenységekre, köztük a védelmi készültségre vonatkozó védelmi vonatkozású követelményekkel szinergiában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e rendelet szabályaival összhangban az e szakasz alapján elfogadott munkaprogramoknak egy külön erre kijelölt részben kell magukban foglalniuk az (EU) [XXX] rendelet [Horizont Európa keretprogram] szerint támogatott versenyképességi és társadalmi tevékenységeket, és biztosítaniuk kell az azokkal való koherenciát, valamint figyelembe kell venniük az e szakasz szerinti egyedi szabályokat.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Bizottság végrehajtási jogi aktusok útján fogad el munkaprogramokat.</w:t>
            </w:r>
            <w:r>
              <w:t xml:space="preserve"> </w:t>
            </w:r>
            <w:r>
              <w:rPr>
                <w:b/>
                <w:i/>
              </w:rPr>
              <w:t>Az említett végrehajtási jogi aktusokat a vizsgálóbizottsági eljárásnak megfelelően fogadják 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3340</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 1 albekezdés – g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technológiai szuverenitás, kutatás és innováció.</w:t>
            </w:r>
          </w:p>
        </w:tc>
        <w:tc>
          <w:tcPr>
            <w:tcW w:w="4876" w:type="dxa"/>
            <w:tcBorders>
              <w:top w:val="nil"/>
              <w:left w:val="nil"/>
              <w:bottom w:val="nil"/>
              <w:right w:val="nil"/>
            </w:tcBorders>
          </w:tcPr>
          <w:p>
            <w:pPr>
              <w:pStyle w:val="Normal6a"/>
            </w:pPr>
            <w:r>
              <w:t>g)</w:t>
            </w:r>
            <w:r>
              <w:tab/>
            </w:r>
            <w:r>
              <w:t>technológiai szuverenitás, kutatás és innováció</w:t>
            </w:r>
            <w:r>
              <w:rPr>
                <w:b/>
                <w:i/>
              </w:rPr>
              <w:t>, többek között az űrtevékenységekre, köztük a védelmi készültségre vonatkozó védelmi vonatkozású követelményekkel szinergiában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3341</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 1 albekezdés – g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technológiai szuverenitás, kutatás és innováció.</w:t>
            </w:r>
          </w:p>
        </w:tc>
        <w:tc>
          <w:tcPr>
            <w:tcW w:w="4876" w:type="dxa"/>
            <w:tcBorders>
              <w:top w:val="nil"/>
              <w:left w:val="nil"/>
              <w:bottom w:val="nil"/>
              <w:right w:val="nil"/>
            </w:tcBorders>
          </w:tcPr>
          <w:p>
            <w:pPr>
              <w:pStyle w:val="Normal6a"/>
            </w:pPr>
            <w:r>
              <w:t>g)</w:t>
            </w:r>
            <w:r>
              <w:tab/>
            </w:r>
            <w:r>
              <w:t xml:space="preserve">technológiai szuverenitás, kutatás és innováció </w:t>
            </w:r>
            <w:r>
              <w:rPr>
                <w:b/>
                <w:i/>
              </w:rPr>
              <w:t>az űrtevékenységek terén, beleértve a védelmi készültséget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3342</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Az e rendelet szabályaival összhangban az e szakasz alapján elfogadott munkaprogramoknak egy külön erre kijelölt részben kell magukban foglalniuk az (EU) [XXX] rendelet [Horizont Európa keretprogram] szerint támogatott versenyképességi és társadalmi tevékenységeket, és biztosítaniuk kell az azokkal való koherenciát, valamint figyelembe kell venniük az e szakasz szerinti egyedi szabályokat.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3343</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Az e rendelet szabályaival összhangban az e szakasz alapján elfogadott munkaprogramoknak egy külön erre kijelölt részben kell magukban foglalniuk az (EU) [XXX] rendelet [Horizont Európa keretprogram] szerint támogatott versenyképességi és társadalmi tevékenységeket, és biztosítaniuk kell az azokkal való koherenciát, valamint figyelembe kell venniük az e szakasz szerinti egyedi szabályokat.</w:t>
            </w:r>
          </w:p>
        </w:tc>
        <w:tc>
          <w:tcPr>
            <w:tcW w:w="4876" w:type="dxa"/>
            <w:tcBorders>
              <w:top w:val="nil"/>
              <w:left w:val="nil"/>
              <w:bottom w:val="nil"/>
              <w:right w:val="nil"/>
            </w:tcBorders>
          </w:tcPr>
          <w:p>
            <w:pPr>
              <w:pStyle w:val="Normal6a"/>
            </w:pPr>
            <w:r>
              <w:t>Az e rendelet szabályaival összhangban az e szakasz alapján elfogadott munkaprogramoknak egy külön erre kijelölt részben kell magukban foglalniuk az (EU) [XXX] rendelet [Horizont Európa keretprogram] szerint támogatott versenyképességi és társadalmi tevékenységeket, és biztosítaniuk kell az azokkal való koherenciát, valamint figyelembe kell venniük az e szakasz szerinti egyedi szabályokat.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Bizottság végrehajtási jogi aktusok útján fogad el munkaprogramokat.</w:t>
            </w:r>
            <w:r>
              <w:t xml:space="preserve"> </w:t>
            </w:r>
            <w:r>
              <w:rPr>
                <w:b/>
                <w:i/>
              </w:rPr>
              <w:t>Az említett végrehajtási jogi aktusokat a vizsgálóbizottsági eljárásnak megfelelően fogadják 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3344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Az e rendelet szabályaival összhangban az e szakasz alapján elfogadott munkaprogramoknak </w:t>
            </w:r>
            <w:r>
              <w:rPr>
                <w:b/>
                <w:i/>
              </w:rPr>
              <w:t>egy külön erre kijelölt részben kell magukban foglalniuk</w:t>
            </w:r>
            <w:r>
              <w:t xml:space="preserve"> az (EU) [XXX] </w:t>
            </w:r>
            <w:r>
              <w:rPr>
                <w:b/>
                <w:i/>
              </w:rPr>
              <w:t>rendelet</w:t>
            </w:r>
            <w:r>
              <w:t xml:space="preserve"> [Horizont Európa keretprogram] </w:t>
            </w:r>
            <w:r>
              <w:rPr>
                <w:b/>
                <w:i/>
              </w:rPr>
              <w:t>szerint támogatott versenyképességi és társadalmi tevékenységeket, és biztosítaniuk kell az azokkal</w:t>
            </w:r>
            <w:r>
              <w:t xml:space="preserve"> való koherenciát, valamint figyelembe kell venniük az e szakasz szerinti egyedi szabályokat.</w:t>
            </w:r>
          </w:p>
        </w:tc>
        <w:tc>
          <w:tcPr>
            <w:tcW w:w="4876" w:type="dxa"/>
            <w:tcBorders>
              <w:top w:val="nil"/>
              <w:left w:val="nil"/>
              <w:bottom w:val="nil"/>
              <w:right w:val="nil"/>
            </w:tcBorders>
          </w:tcPr>
          <w:p>
            <w:pPr>
              <w:pStyle w:val="Normal6a"/>
            </w:pPr>
            <w:r>
              <w:t xml:space="preserve">Az e rendelet szabályaival összhangban az e szakasz alapján elfogadott munkaprogramoknak </w:t>
            </w:r>
            <w:r>
              <w:rPr>
                <w:b/>
                <w:i/>
              </w:rPr>
              <w:t>biztosítaniuk kell</w:t>
            </w:r>
            <w:r>
              <w:t xml:space="preserve"> az (EU) [XXX] </w:t>
            </w:r>
            <w:r>
              <w:rPr>
                <w:b/>
                <w:i/>
              </w:rPr>
              <w:t>rendelettel</w:t>
            </w:r>
            <w:r>
              <w:t xml:space="preserve"> [Horizont Európa keretprogram] való koherenciát, valamint figyelembe kell venniük az e szakasz szerinti egyedi szabályokat.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3345</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Az uniós űrszolgáltatásokra irányuló integrált megközelítés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e szakasz alapján támogatott tevékenységeknek szolgáltatásorientált megközelítést kell követniük, amelynek célja integrált uniós űrszolgáltatások nyújtása a végfelhasználók számára.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szolgáltatásokat adott esetben a következők számára fejlesztik ki és nyújtják: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kormányzati felhasználók, beleértve az uniós intézményeket, szerveket, hivatalokat és ügynökségeket, a tagállamok közigazgatási szerveit és az adott tagállam által meghatározott közfeladatokkal megbízott szervezeteket;</w:t>
            </w:r>
            <w:r>
              <w:rPr>
                <w:b/>
                <w:i/>
              </w:rPr>
              <w:t>továbbá</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nem kormányzati felhasználók, beleértve a gazdasági szereplőket és a kutatási szervezeteket.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ilyen szolgáltatásoknak szükség szerint biztosítaniuk kell a különböző uniós űrkomponensek kombinációját, beleértve a helymeghatározást, a navigációt és az időmeghatározást (PNT), a Föld-megfigyelést (EO), a biztonságos konnektivitást és a világűr-megfigyelést, a végfelhasználó igényeinek megfelelő, koherens, szuverén és interoperábilis űralapú megoldások biztosítása érdekében.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szolgáltatásokat olyan felhasználói interfészeken, szolgáltatási platformokon és terminálokon keresztül kell nyújtani, amelyek interoperábilisak, és lehetővé tették az uniós űrképességekhez való zökkenőmentes hozzáférést.</w:t>
            </w:r>
            <w:r>
              <w:t xml:space="preserve"> </w:t>
            </w:r>
            <w:r>
              <w:rPr>
                <w:b/>
                <w:i/>
              </w:rPr>
              <w:t>Az uniós támogatás adott esetben előnyben részesítheti a kormányzati felhasználók igényeit kielégítő szolgáltatásnyújtási képességeket, miközben biztosítja a szolgáltatások hozzáférhetőségét és elterjedését a nem kormányzati felhasználók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3346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(-1a)</w:t>
            </w:r>
            <w:r>
              <w:rPr>
                <w:b/>
                <w:i/>
              </w:rPr>
              <w:t>Az uniós űrszolgáltatásokra irányuló integrált megközelítés:</w:t>
            </w:r>
            <w:r>
              <w:rPr>
                <w:b/>
                <w:i/>
              </w:rPr>
              <w:t>Az e szakasz alapján támogatott tevékenységeknek szolgáltatásorientált megközelítést kell követniük, amelynek célja integrált uniós űrszolgáltatások nyújtása a végfelhasználók számára.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szolgáltatásokat adott esetben a következők számára fejlesztik ki és nyújtják: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kormányzati felhasználók, beleértve az uniós intézményeket, szerveket, hivatalokat és ügynökségeket, a tagállamok közigazgatási szerveit és az adott tagállam által meghatározott közfeladatokkal megbízott szervezeteket;</w:t>
            </w:r>
            <w:r>
              <w:rPr>
                <w:b/>
                <w:i/>
              </w:rPr>
              <w:t>továbbá</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nem kormányzati felhasználók, beleértve a gazdasági szereplőket és a kutatási szervezeteket.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ilyen szolgáltatásoknak szükség szerint biztosítaniuk kell a különböző uniós űrkomponensek kombinációját, beleértve a helymeghatározást, a navigációt és az időmeghatározást (PNT), a Föld-megfigyelést (EO), a biztonságos konnektivitást és a világűr-megfigyelést, a végfelhasználó igényeinek megfelelő, koherens, szuverén és interoperábilis űralapú megoldások biztosítása érdekében.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szolgáltatásokat olyan felhasználói interfészeken, szolgáltatási platformokon és terminálokon keresztül kell nyújtani, amelyek interoperábilisak, és lehetővé tették az uniós űrképességekhez való zökkenőmentes hozzáférést.</w:t>
            </w:r>
            <w:r>
              <w:t xml:space="preserve"> </w:t>
            </w:r>
            <w:r>
              <w:rPr>
                <w:b/>
                <w:i/>
              </w:rPr>
              <w:t>Az uniós támogatás adott esetben előnyben részesítheti a kormányzati felhasználók igényeit kielégítő szolgáltatásnyújtási képességeket, miközben biztosítja a szolgáltatások hozzáférhetőségét és elterjedését a nem kormányzati felhasználók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3347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(-1b) Cselekvési terv az űradatok és -szolgáltatások valamennyi uniós szakpolitikában történő szinergikus felhasználásának támogatására.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Bizottság az Ügynökség segítségével támogatja különösen az uniós űradatok és -szolgáltatások együttes használatát, és előmozdítja a kormányzati és nem kormányzati felhasználók számára nyújtott integrált uniós űrszolgáltatások elterjedését azzal a céllal, hogy a jelenlegi többéves pénzügyi keret (2028–2034) végéig fokozatosan megerősítse a stratégiai ellátási láncok európai dimenzióját, beleértve a földi és űralapú infrastruktúra és a kritikus technológiák szempontjából releváns ellátási láncokat is, az Unió stratégiai autonómiájának, rezilienciájának és biztonságának fokozása érdekében.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célból a Bizottság cselekvési tervet dolgoz ki, amely támogatja az űradatok és -szolgáltatások valamennyi uniós szakpolitikában történő szinergikus felhasználását, beleértve a biztonsággal, a védelemmel, az életbiztonsággal és a kereskedelmi alkalmazásokkal kapcsolatos szakpolitikákat 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kormányzati felhasználók esetében különös figyelmet kell fordítani a biztonsági és reziliencia-képességek megerősítésére, többek között fejlett integrált szolgáltatások uniós szintű bevezetése révén.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nem kormányzati felhasználók esetében a cselekvési tervnek ösztönöznie kell az űralapú megoldások elterjedését a köz- és magánszféra érdekelt felei körében, és támogatnia kell az integrált űralapú alkalmazások, termékek és szolgáltatások fejlesztését, ezáltal erősítve a 66. cikkben említett uniós downstream űripar versenyképességét.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3348</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cikk – 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Cselekvési terv az űradatok és -szolgáltatások valamennyi uniós szakpolitikában történő szinergikus felhasználásának támogatására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Bizottság az Ügynökség segítségével támogatja különösen az uniós űradatok és -szolgáltatások együttes használatát, és előmozdítja a kormányzati és nem kormányzati felhasználók számára nyújtott integrált uniós űrszolgáltatások elterjedését azzal a céllal, hogy a jelenlegi többéves pénzügyi keret (2028–2034) végéig fokozatosan megerősítse a stratégiai ellátási láncok európai dimenzióját, beleértve a földi és űralapú infrastruktúra és a kritikus technológiák szempontjából releváns ellátási láncokat is, az Unió stratégiai autonómiájának, rezilienciájának és biztonságának fokozása érdekében.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célból a Bizottság cselekvési tervet dolgoz ki, amely támogatja az űradatok és -szolgáltatások valamennyi uniós szakpolitikában történő szinergikus felhasználását, beleértve a biztonsággal, a védelemmel, az életbiztonsággal és a kereskedelmi alkalmazásokkal kapcsolatos szakpolitikákat 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kormányzati felhasználók esetében különös figyelmet kell fordítani a biztonsági és reziliencia-képességek megerősítésére, többek között fejlett integrált szolgáltatások uniós szintű bevezetése révén.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nem kormányzati felhasználók esetében a cselekvési tervnek ösztönöznie kell az űralapú megoldások elterjedését a köz- és magánszféra érdekelt felei körében, és támogatnia kell az integrált űralapú alkalmazások, termékek és szolgáltatások fejlesztését, ezáltal erősítve a 66. cikkben említett uniós downstream űripar versenyképességét.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3349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Az e szakasz alapján támogatott helymeghatározás, navigáció és időmeghatározás komponensnek (Galileo és EGNOS alkomponensek) hosszú távú, korszerű és biztonságos helymeghatározási, navigációs és időmeghatározási szolgáltatásokat kell nyújtania megszakítás nélkül, még kedvezőtlen körülmények között is, és lehetőség szerint globális szinten, és képesnek kell lennie az Unió politikai prioritásainak támogatására.</w:t>
            </w:r>
          </w:p>
        </w:tc>
        <w:tc>
          <w:tcPr>
            <w:tcW w:w="4876" w:type="dxa"/>
            <w:tcBorders>
              <w:top w:val="nil"/>
              <w:left w:val="nil"/>
              <w:bottom w:val="nil"/>
              <w:right w:val="nil"/>
            </w:tcBorders>
          </w:tcPr>
          <w:p>
            <w:pPr>
              <w:pStyle w:val="Normal6a"/>
            </w:pPr>
            <w:r>
              <w:t>(1)</w:t>
            </w:r>
            <w:r>
              <w:tab/>
            </w:r>
            <w:r>
              <w:t>Az e szakasz alapján támogatott helymeghatározás, navigáció és időmeghatározás komponensnek (Galileo és EGNOS alkomponensek) hosszú távú, korszerű és biztonságos helymeghatározási, navigációs és időmeghatározási szolgáltatásokat kell nyújtania megszakítás nélkül, még kedvezőtlen körülmények között is, és lehetőség szerint globális szinten, és képesnek kell lennie az Unió politikai prioritásainak támogatására.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helymeghatározási, navigációs és időmeghatározási szolgáltatásoknak támogatniuk kell mind a nem kormányzati, mind a kormányzati felhasználókat, és elő kell mozdítaniuk a szinergiákat más uniós űrkomponensekkel, lehetővé téve a helymeghatározási, Föld-megfigyelési és biztonságos kommunikációs képességek együttes használatán alapuló integrált űralapú alkalmazások és termékek fejlesztését.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3350</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Az e szakasz alapján támogatott helymeghatározás, navigáció és időmeghatározás komponensnek (Galileo és EGNOS alkomponensek) hosszú távú, korszerű és biztonságos helymeghatározási, navigációs és időmeghatározási szolgáltatásokat kell nyújtania megszakítás nélkül, még kedvezőtlen körülmények között is, és lehetőség szerint globális szinten, és képesnek kell lennie az Unió politikai prioritásainak támogatására.</w:t>
            </w:r>
          </w:p>
        </w:tc>
        <w:tc>
          <w:tcPr>
            <w:tcW w:w="4876" w:type="dxa"/>
            <w:tcBorders>
              <w:top w:val="nil"/>
              <w:left w:val="nil"/>
              <w:bottom w:val="nil"/>
              <w:right w:val="nil"/>
            </w:tcBorders>
          </w:tcPr>
          <w:p>
            <w:pPr>
              <w:pStyle w:val="Normal6a"/>
            </w:pPr>
            <w:r>
              <w:t>(1)</w:t>
            </w:r>
            <w:r>
              <w:tab/>
            </w:r>
            <w:r>
              <w:t>Az e szakasz alapján támogatott helymeghatározás, navigáció és időmeghatározás komponensnek (Galileo és EGNOS alkomponensek) hosszú távú, korszerű és biztonságos helymeghatározási, navigációs és időmeghatározási szolgáltatásokat kell nyújtania megszakítás nélkül, még kedvezőtlen körülmények között is, és lehetőség szerint globális szinten, és képesnek kell lennie az Unió politikai prioritásainak támogatására.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helymeghatározási, navigációs és időmeghatározási szolgáltatásoknak támogatniuk kell mind a nem kormányzati, mind a kormányzati felhasználókat, és elő kell mozdítaniuk a szinergiákat más uniós űrkomponensekkel, lehetővé téve a helymeghatározási, Föld-megfigyelési és biztonságos kommunikációs képességek együttes használatán alapuló integrált űralapú alkalmazások és termékek fejlesztését.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3351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e szakasz alapján támogatott helymeghatározás, navigáció és időmeghatározás komponensnek </w:t>
            </w:r>
            <w:r>
              <w:rPr>
                <w:b/>
                <w:i/>
              </w:rPr>
              <w:t>(</w:t>
            </w:r>
            <w:r>
              <w:t>Galileo és EGNOS alkomponensek</w:t>
            </w:r>
            <w:r>
              <w:rPr>
                <w:b/>
                <w:i/>
              </w:rPr>
              <w:t>)</w:t>
            </w:r>
            <w:r>
              <w:t xml:space="preserve"> hosszú távú, korszerű és biztonságos helymeghatározási, navigációs és időmeghatározási szolgáltatásokat kell nyújtania megszakítás nélkül, még kedvezőtlen körülmények között is, és lehetőség szerint globális szinten, és képesnek kell lennie az Unió politikai prioritásainak támogatására.</w:t>
            </w:r>
          </w:p>
        </w:tc>
        <w:tc>
          <w:tcPr>
            <w:tcW w:w="4876" w:type="dxa"/>
            <w:tcBorders>
              <w:top w:val="nil"/>
              <w:left w:val="nil"/>
              <w:bottom w:val="nil"/>
              <w:right w:val="nil"/>
            </w:tcBorders>
          </w:tcPr>
          <w:p>
            <w:pPr>
              <w:pStyle w:val="Normal6a"/>
            </w:pPr>
            <w:r>
              <w:t>(1)</w:t>
            </w:r>
            <w:r>
              <w:tab/>
            </w:r>
            <w:r>
              <w:t>Az e szakasz alapján támogatott helymeghatározás, navigáció és időmeghatározás komponensnek</w:t>
            </w:r>
            <w:r>
              <w:rPr>
                <w:b/>
                <w:i/>
              </w:rPr>
              <w:t>, köztük a</w:t>
            </w:r>
            <w:r>
              <w:t xml:space="preserve"> Galileo és EGNOS alkomponensek hosszú távú, korszerű és biztonságos helymeghatározási, navigációs és időmeghatározási szolgáltatásokat kell nyújtania megszakítás nélkül, még kedvezőtlen körülmények között is, és lehetőség szerint globális szinten, és képesnek kell lennie az Unió politikai prioritásainak támogatására.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3352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e szakasz alapján támogatott helymeghatározás, navigáció és időmeghatározás komponensnek (Galileo és EGNOS alkomponensek) hosszú távú, korszerű és biztonságos helymeghatározási, navigációs és időmeghatározási szolgáltatásokat kell nyújtania megszakítás nélkül, </w:t>
            </w:r>
            <w:r>
              <w:rPr>
                <w:b/>
                <w:i/>
              </w:rPr>
              <w:t>még kedvezőtlen körülmények között is,</w:t>
            </w:r>
            <w:r>
              <w:t xml:space="preserve"> és lehetőség szerint globális szinten, és képesnek kell lennie az Unió politikai prioritásainak támogatására.</w:t>
            </w:r>
          </w:p>
        </w:tc>
        <w:tc>
          <w:tcPr>
            <w:tcW w:w="4876" w:type="dxa"/>
            <w:tcBorders>
              <w:top w:val="nil"/>
              <w:left w:val="nil"/>
              <w:bottom w:val="nil"/>
              <w:right w:val="nil"/>
            </w:tcBorders>
          </w:tcPr>
          <w:p>
            <w:pPr>
              <w:pStyle w:val="Normal6a"/>
            </w:pPr>
            <w:r>
              <w:t>(1)</w:t>
            </w:r>
            <w:r>
              <w:tab/>
            </w:r>
            <w:r>
              <w:t>Az e szakasz alapján támogatott helymeghatározás, navigáció és időmeghatározás komponensnek (Galileo és EGNOS alkomponensek) hosszú távú, korszerű és biztonságos helymeghatározási, navigációs és időmeghatározási szolgáltatásokat kell nyújtania megszakítás nélkül, és lehetőség szerint globális szinten, és képesnek kell lennie az Unió politikai prioritásainak támogatására.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 Galileo egy polgári irányítás alatt álló, önálló polgári globális navigációs műholdrendszer (GNSS), amely műholdakból, központokból és földi állomások globális hálózatából áll.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3354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Az EGNOS egy földi központokból és állomásokból, valamint geoszinkron műholdakon elhelyezett több jeladóból álló, polgári irányítás alatt álló polgári regionális navigációs műholdrendszer, amely pontosítja és korrigálja a GNSS-ek által kiadott nyílt jeleket.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3355</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2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legalább</w:t>
            </w:r>
            <w:r>
              <w:t xml:space="preserve"> az űr- és a földi infrastruktúra és a nyújtott szolgáltatások kezelése, üzemeltetése, karbantartása, </w:t>
            </w:r>
            <w:r>
              <w:rPr>
                <w:b/>
                <w:i/>
              </w:rPr>
              <w:t>folyamatos</w:t>
            </w:r>
            <w:r>
              <w:t xml:space="preserve"> fejlesztése és védelme;</w:t>
            </w:r>
          </w:p>
        </w:tc>
        <w:tc>
          <w:tcPr>
            <w:tcW w:w="4876" w:type="dxa"/>
            <w:tcBorders>
              <w:top w:val="nil"/>
              <w:left w:val="nil"/>
              <w:bottom w:val="nil"/>
              <w:right w:val="nil"/>
            </w:tcBorders>
          </w:tcPr>
          <w:p>
            <w:pPr>
              <w:pStyle w:val="Normal6a"/>
            </w:pPr>
            <w:r>
              <w:t>a)</w:t>
            </w:r>
            <w:r>
              <w:tab/>
            </w:r>
            <w:r>
              <w:t>az űr- és a földi infrastruktúra és a nyújtott szolgáltatások kezelése, üzemeltetése, karbantartása, fejlesztése</w:t>
            </w:r>
            <w:r>
              <w:rPr>
                <w:b/>
                <w:i/>
              </w:rPr>
              <w:t>, folyamatos javítása</w:t>
            </w:r>
            <w:r>
              <w:t xml:space="preserve"> és védelme</w:t>
            </w:r>
            <w:r>
              <w:rPr>
                <w:b/>
                <w:i/>
              </w:rPr>
              <w:t>, beleértve azok ellenálló képességeit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3356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2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legalább</w:t>
            </w:r>
            <w:r>
              <w:t xml:space="preserve"> az űr- és a földi infrastruktúra és a nyújtott szolgáltatások kezelése, üzemeltetése, karbantartása, </w:t>
            </w:r>
            <w:r>
              <w:rPr>
                <w:b/>
                <w:i/>
              </w:rPr>
              <w:t>folyamatos</w:t>
            </w:r>
            <w:r>
              <w:t xml:space="preserve"> fejlesztése és védelme;</w:t>
            </w:r>
          </w:p>
        </w:tc>
        <w:tc>
          <w:tcPr>
            <w:tcW w:w="4876" w:type="dxa"/>
            <w:tcBorders>
              <w:top w:val="nil"/>
              <w:left w:val="nil"/>
              <w:bottom w:val="nil"/>
              <w:right w:val="nil"/>
            </w:tcBorders>
          </w:tcPr>
          <w:p>
            <w:pPr>
              <w:pStyle w:val="Normal6a"/>
            </w:pPr>
            <w:r>
              <w:t>a)</w:t>
            </w:r>
            <w:r>
              <w:tab/>
            </w:r>
            <w:r>
              <w:t>az űr- és a földi infrastruktúra és a nyújtott szolgáltatások kezelése, üzemeltetése, karbantartása, fejlesztése</w:t>
            </w:r>
            <w:r>
              <w:rPr>
                <w:b/>
                <w:i/>
              </w:rPr>
              <w:t>, folyamatos javítása</w:t>
            </w:r>
            <w:r>
              <w:t> és védelme</w:t>
            </w:r>
            <w:r>
              <w:rPr>
                <w:b/>
                <w:i/>
              </w:rPr>
              <w:t>, beleértve azok ellenálló képességeit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3357</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2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legalább</w:t>
            </w:r>
            <w:r>
              <w:t xml:space="preserve"> az űr- és a földi infrastruktúra és a nyújtott szolgáltatások kezelése, üzemeltetése, karbantartása, </w:t>
            </w:r>
            <w:r>
              <w:rPr>
                <w:b/>
                <w:i/>
              </w:rPr>
              <w:t>folyamatos</w:t>
            </w:r>
            <w:r>
              <w:t xml:space="preserve"> fejlesztése és védelme;</w:t>
            </w:r>
          </w:p>
        </w:tc>
        <w:tc>
          <w:tcPr>
            <w:tcW w:w="4876" w:type="dxa"/>
            <w:tcBorders>
              <w:top w:val="nil"/>
              <w:left w:val="nil"/>
              <w:bottom w:val="nil"/>
              <w:right w:val="nil"/>
            </w:tcBorders>
          </w:tcPr>
          <w:p>
            <w:pPr>
              <w:pStyle w:val="Normal6a"/>
            </w:pPr>
            <w:r>
              <w:t>a)</w:t>
            </w:r>
            <w:r>
              <w:tab/>
            </w:r>
            <w:r>
              <w:t>az űr- és a földi infrastruktúra és a nyújtott szolgáltatások kezelése, üzemeltetése, karbantartása, fejlesztése</w:t>
            </w:r>
            <w:r>
              <w:rPr>
                <w:b/>
                <w:i/>
              </w:rPr>
              <w:t>, folyamatos javítása</w:t>
            </w:r>
            <w:r>
              <w:t> és védelme</w:t>
            </w:r>
            <w:r>
              <w:rPr>
                <w:b/>
                <w:i/>
              </w:rPr>
              <w:t>, beleértve azok ellenálló képességeit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3358</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2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legalább az űr- és a földi infrastruktúra és a nyújtott szolgáltatások kezelése, üzemeltetése, karbantartása, </w:t>
            </w:r>
            <w:r>
              <w:rPr>
                <w:b/>
                <w:i/>
              </w:rPr>
              <w:t>folyamatos</w:t>
            </w:r>
            <w:r>
              <w:t xml:space="preserve"> fejlesztése és védelme;</w:t>
            </w:r>
          </w:p>
        </w:tc>
        <w:tc>
          <w:tcPr>
            <w:tcW w:w="4876" w:type="dxa"/>
            <w:tcBorders>
              <w:top w:val="nil"/>
              <w:left w:val="nil"/>
              <w:bottom w:val="nil"/>
              <w:right w:val="nil"/>
            </w:tcBorders>
          </w:tcPr>
          <w:p>
            <w:pPr>
              <w:pStyle w:val="Normal6a"/>
            </w:pPr>
            <w:r>
              <w:t>a)</w:t>
            </w:r>
            <w:r>
              <w:tab/>
            </w:r>
            <w:r>
              <w:t>legalább az űr- és a földi infrastruktúra és a nyújtott szolgáltatások kezelése, üzemeltetése, karbantartása, fejlesztése</w:t>
            </w:r>
            <w:r>
              <w:rPr>
                <w:b/>
                <w:i/>
              </w:rPr>
              <w:t>, elavulási kezelése, folyamatos javítása</w:t>
            </w:r>
            <w:r>
              <w:t xml:space="preserve"> és védelme;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életciklus-menedzsment és az elavulás kezelése elengedhetetlen az uniós űrinfrastruktúrák hosszú távú folytonosságának, rezilienciájának és fenntarthatóságának biztosításához.</w:t>
      </w:r>
    </w:p>
    <w:p>
      <w:r>
        <w:rPr>
          <w:rStyle w:val="HideTWBExt"/>
        </w:rPr>
        <w:t>&lt;/Amend&gt;</w:t>
      </w:r>
    </w:p>
    <w:p>
      <w:pPr>
        <w:pStyle w:val="AmNumberTabs"/>
      </w:pPr>
      <w:r>
        <w:rPr>
          <w:rStyle w:val="HideTWBExt"/>
        </w:rPr>
        <w:t>&lt;Amend&gt;</w:t>
      </w:r>
      <w:r>
        <w:t>Módosítás</w:t>
      </w:r>
      <w:r>
        <w:tab/>
      </w:r>
      <w:r>
        <w:tab/>
      </w:r>
      <w:r>
        <w:rPr>
          <w:rStyle w:val="HideTWBExt"/>
        </w:rPr>
        <w:t>&lt;NumAm&gt;</w:t>
      </w:r>
      <w:r>
        <w:t>3359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2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helymeghatározási, navigációs és időmeghatározási szolgáltatások továbbfejlesztése, valamint a rendszerek jövőbeli generációinak fejlesztése és telepítése, az alacsony Föld körüli </w:t>
            </w:r>
            <w:r>
              <w:rPr>
                <w:b/>
                <w:i/>
              </w:rPr>
              <w:t>pályák esetében</w:t>
            </w:r>
            <w:r>
              <w:t xml:space="preserve"> is;</w:t>
            </w:r>
          </w:p>
        </w:tc>
        <w:tc>
          <w:tcPr>
            <w:tcW w:w="4876" w:type="dxa"/>
            <w:tcBorders>
              <w:top w:val="nil"/>
              <w:left w:val="nil"/>
              <w:bottom w:val="nil"/>
              <w:right w:val="nil"/>
            </w:tcBorders>
          </w:tcPr>
          <w:p>
            <w:pPr>
              <w:pStyle w:val="Normal6a"/>
            </w:pPr>
            <w:r>
              <w:t>b)</w:t>
            </w:r>
            <w:r>
              <w:tab/>
            </w:r>
            <w:r>
              <w:t xml:space="preserve">a helymeghatározási, navigációs és időmeghatározási szolgáltatások továbbfejlesztése, valamint a rendszerek </w:t>
            </w:r>
            <w:r>
              <w:rPr>
                <w:b/>
                <w:i/>
              </w:rPr>
              <w:t>és tevékenységek</w:t>
            </w:r>
            <w:r>
              <w:t xml:space="preserve"> jövőbeli generációinak fejlesztése és telepítése, az alacsony Föld körüli </w:t>
            </w:r>
            <w:r>
              <w:rPr>
                <w:b/>
                <w:i/>
              </w:rPr>
              <w:t>pályákon</w:t>
            </w:r>
            <w:r>
              <w:t xml:space="preserve">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3360</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2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az európai technológiákat, például a Galileót és az EGNOS-t alkalmazó szoftverek fejlesztése, telepítése és skálázása a közlekedési, mobilitási, biztonsági és egyéb stratégiai ágazatokban.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módosítás a TRAN bizottság véleményével összefüggésben megtárgyalt megegyezéses módosítások részét képezte.</w:t>
      </w:r>
    </w:p>
    <w:p>
      <w:r>
        <w:rPr>
          <w:rStyle w:val="HideTWBExt"/>
        </w:rPr>
        <w:t>&lt;/Amend&gt;</w:t>
      </w:r>
    </w:p>
    <w:p>
      <w:pPr>
        <w:pStyle w:val="AmNumberTabs"/>
      </w:pPr>
      <w:r>
        <w:rPr>
          <w:rStyle w:val="HideTWBExt"/>
        </w:rPr>
        <w:t>&lt;Amend&gt;</w:t>
      </w:r>
      <w:r>
        <w:t>Módosítás</w:t>
      </w:r>
      <w:r>
        <w:tab/>
      </w:r>
      <w:r>
        <w:tab/>
      </w:r>
      <w:r>
        <w:rPr>
          <w:rStyle w:val="HideTWBExt"/>
        </w:rPr>
        <w:t>&lt;NumAm&gt;</w:t>
      </w:r>
      <w:r>
        <w:t>3361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együttműködés más regionális vagy globális műholdas navigációs rendszerekkel, többek között a kompatibilitás és az interoperabilitás elősegítése, az Unió mint az űrágazat globális szereplője szerepének előmozdítása, a nemzetközi együttműködés ösztönzése és az európai űrdiplomácia támogatása érdekében.</w:t>
            </w:r>
          </w:p>
        </w:tc>
        <w:tc>
          <w:tcPr>
            <w:tcW w:w="4876" w:type="dxa"/>
            <w:tcBorders>
              <w:top w:val="nil"/>
              <w:left w:val="nil"/>
              <w:bottom w:val="nil"/>
              <w:right w:val="nil"/>
            </w:tcBorders>
          </w:tcPr>
          <w:p>
            <w:pPr>
              <w:pStyle w:val="Normal6a"/>
            </w:pPr>
            <w:r>
              <w:t>d)</w:t>
            </w:r>
            <w:r>
              <w:tab/>
            </w:r>
            <w:r>
              <w:t xml:space="preserve">együttműködés más regionális vagy globális műholdas navigációs rendszerekkel, többek között a kompatibilitás és az interoperabilitás elősegítése </w:t>
            </w:r>
            <w:r>
              <w:rPr>
                <w:b/>
                <w:i/>
              </w:rPr>
              <w:t>érdekében</w:t>
            </w:r>
            <w:r>
              <w:t xml:space="preserve">, </w:t>
            </w:r>
            <w:r>
              <w:rPr>
                <w:b/>
                <w:i/>
              </w:rPr>
              <w:t>megerősítve ugyanakkor az Unió szuverenitását és stratégiai autonómiáját meglévő űr- és földi infrastruktúrájának teljes körű kihasználása és fejlesztése révén, valamint</w:t>
            </w:r>
            <w:r>
              <w:t xml:space="preserve"> az Unió mint az űrágazat globális szereplője szerepének előmozdítása, a nemzetközi együttműködés ösztönzése</w:t>
            </w:r>
            <w:r>
              <w:rPr>
                <w:b/>
                <w:i/>
              </w:rPr>
              <w:t>, valamennyi szolgáltatás és a kapcsolódó infrastruktúra exportja</w:t>
            </w:r>
            <w:r>
              <w:t xml:space="preserve"> és az európai űrdiplomácia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3362</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együttműködés más regionális vagy globális műholdas navigációs rendszerekkel, többek között a kompatibilitás és az interoperabilitás elősegítése, az Unió mint az űrágazat globális szereplője szerepének előmozdítása, a nemzetközi együttműködés ösztönzése és az európai űrdiplomácia támogatása érdekében.</w:t>
            </w:r>
          </w:p>
        </w:tc>
        <w:tc>
          <w:tcPr>
            <w:tcW w:w="4876" w:type="dxa"/>
            <w:tcBorders>
              <w:top w:val="nil"/>
              <w:left w:val="nil"/>
              <w:bottom w:val="nil"/>
              <w:right w:val="nil"/>
            </w:tcBorders>
          </w:tcPr>
          <w:p>
            <w:pPr>
              <w:pStyle w:val="Normal6a"/>
            </w:pPr>
            <w:r>
              <w:t>d)</w:t>
            </w:r>
            <w:r>
              <w:tab/>
            </w:r>
            <w:r>
              <w:t xml:space="preserve">együttműködés más regionális vagy globális műholdas navigációs rendszerekkel, többek között a kompatibilitás és az interoperabilitás elősegítése </w:t>
            </w:r>
            <w:r>
              <w:rPr>
                <w:b/>
                <w:i/>
              </w:rPr>
              <w:t>érdekében</w:t>
            </w:r>
            <w:r>
              <w:t xml:space="preserve">, </w:t>
            </w:r>
            <w:r>
              <w:rPr>
                <w:b/>
                <w:i/>
              </w:rPr>
              <w:t>megerősítve ugyanakkor az Unió szuverenitását és stratégiai autonómiáját meglévő űr- és földi infrastruktúrájának teljes körű kihasználása és fejlesztése révén, valamint</w:t>
            </w:r>
            <w:r>
              <w:t xml:space="preserve"> az Unió mint az űrágazat globális szereplője szerepének előmozdítása, a nemzetközi együttműködés ösztönzése</w:t>
            </w:r>
            <w:r>
              <w:rPr>
                <w:b/>
                <w:i/>
              </w:rPr>
              <w:t>, valamennyi szolgáltatás és a kapcsolódó infrastruktúra exportja</w:t>
            </w:r>
            <w:r>
              <w:t xml:space="preserve"> és az európai űrdiplomácia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3363</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együttműködés más regionális vagy globális műholdas navigációs rendszerekkel, többek között a kompatibilitás és az interoperabilitás elősegítése, az Unió mint az űrágazat globális szereplője szerepének előmozdítása, a nemzetközi együttműködés ösztönzése és az európai űrdiplomácia támogatása érdekében.</w:t>
            </w:r>
          </w:p>
        </w:tc>
        <w:tc>
          <w:tcPr>
            <w:tcW w:w="4876" w:type="dxa"/>
            <w:tcBorders>
              <w:top w:val="nil"/>
              <w:left w:val="nil"/>
              <w:bottom w:val="nil"/>
              <w:right w:val="nil"/>
            </w:tcBorders>
          </w:tcPr>
          <w:p>
            <w:pPr>
              <w:pStyle w:val="Normal6a"/>
            </w:pPr>
            <w:r>
              <w:t>d)</w:t>
            </w:r>
            <w:r>
              <w:tab/>
            </w:r>
            <w:r>
              <w:t xml:space="preserve">együttműködés más regionális vagy globális műholdas navigációs rendszerekkel, többek között a kompatibilitás és az interoperabilitás elősegítése </w:t>
            </w:r>
            <w:r>
              <w:rPr>
                <w:b/>
                <w:i/>
              </w:rPr>
              <w:t>érdekében</w:t>
            </w:r>
            <w:r>
              <w:t xml:space="preserve">, </w:t>
            </w:r>
            <w:r>
              <w:rPr>
                <w:b/>
                <w:i/>
              </w:rPr>
              <w:t>megerősítve ugyanakkor az Unió szuverenitását és stratégiai autonómiáját meglévő űr- és földi infrastruktúrájának teljes körű kihasználása és fejlesztése révén, valamint</w:t>
            </w:r>
            <w:r>
              <w:t xml:space="preserve"> az Unió mint az űrágazat globális szereplője szerepének előmozdítása, a nemzetközi együttműködés ösztönzése és az európai űrdiplomácia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3364</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együttműködés más regionális vagy globális műholdas navigációs rendszerekkel, többek között a kompatibilitás és az interoperabilitás elősegítése, az Unió mint az űrágazat globális </w:t>
            </w:r>
            <w:r>
              <w:rPr>
                <w:b/>
                <w:i/>
              </w:rPr>
              <w:t>szereplője szerepének előmozdítása</w:t>
            </w:r>
            <w:r>
              <w:t>, a nemzetközi együttműködés ösztönzése és az európai űrdiplomácia támogatása érdekében.</w:t>
            </w:r>
          </w:p>
        </w:tc>
        <w:tc>
          <w:tcPr>
            <w:tcW w:w="4876" w:type="dxa"/>
            <w:tcBorders>
              <w:top w:val="nil"/>
              <w:left w:val="nil"/>
              <w:bottom w:val="nil"/>
              <w:right w:val="nil"/>
            </w:tcBorders>
          </w:tcPr>
          <w:p>
            <w:pPr>
              <w:pStyle w:val="Normal6a"/>
            </w:pPr>
            <w:r>
              <w:t>d)</w:t>
            </w:r>
            <w:r>
              <w:tab/>
            </w:r>
            <w:r>
              <w:t xml:space="preserve">együttműködés más regionális vagy globális műholdas navigációs rendszerekkel, többek között a kompatibilitás és az interoperabilitás elősegítése, </w:t>
            </w:r>
            <w:r>
              <w:rPr>
                <w:b/>
                <w:i/>
              </w:rPr>
              <w:t>hozzájárulás</w:t>
            </w:r>
            <w:r>
              <w:t xml:space="preserve"> az Unió mint az űrágazat globális </w:t>
            </w:r>
            <w:r>
              <w:rPr>
                <w:b/>
                <w:i/>
              </w:rPr>
              <w:t>szereplőjének szerepéhez</w:t>
            </w:r>
            <w:r>
              <w:t>, a nemzetközi együttműködés ösztönzése és az európai űrdiplomácia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3365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3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nyilvános navigációsüzenet-hitelesítési szolgáltatás a nyilvános Galileo-szolgáltatás hitelesítésére;</w:t>
            </w:r>
          </w:p>
        </w:tc>
        <w:tc>
          <w:tcPr>
            <w:tcW w:w="4876" w:type="dxa"/>
            <w:tcBorders>
              <w:top w:val="nil"/>
              <w:left w:val="nil"/>
              <w:bottom w:val="nil"/>
              <w:right w:val="nil"/>
            </w:tcBorders>
          </w:tcPr>
          <w:p>
            <w:pPr>
              <w:pStyle w:val="Normal6a"/>
            </w:pPr>
            <w:r>
              <w:t>c)</w:t>
            </w:r>
            <w:r>
              <w:tab/>
            </w:r>
            <w:r>
              <w:rPr>
                <w:b/>
                <w:i/>
              </w:rPr>
              <w:t>a Galileo hitelesítési szolgáltatása –</w:t>
            </w:r>
            <w:r>
              <w:t xml:space="preserve"> nyilvános navigációsüzenet-hitelesítési szolgáltatás a nyilvános Galileo-szolgáltatás hitelesítésére;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3366</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3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nyilvános navigációsüzenet-hitelesítési szolgáltatás </w:t>
            </w:r>
            <w:r>
              <w:rPr>
                <w:b/>
                <w:i/>
              </w:rPr>
              <w:t>a nyilvános Galileo-szolgáltatás hitelesítésére</w:t>
            </w:r>
            <w:r>
              <w:t>;</w:t>
            </w:r>
          </w:p>
        </w:tc>
        <w:tc>
          <w:tcPr>
            <w:tcW w:w="4876" w:type="dxa"/>
            <w:tcBorders>
              <w:top w:val="nil"/>
              <w:left w:val="nil"/>
              <w:bottom w:val="nil"/>
              <w:right w:val="nil"/>
            </w:tcBorders>
          </w:tcPr>
          <w:p>
            <w:pPr>
              <w:pStyle w:val="Normal6a"/>
            </w:pPr>
            <w:r>
              <w:t>c)</w:t>
            </w:r>
            <w:r>
              <w:tab/>
            </w:r>
            <w:r>
              <w:rPr>
                <w:b/>
                <w:i/>
              </w:rPr>
              <w:t>a Galileo hitelesítési szolgáltatása –</w:t>
            </w:r>
            <w:r>
              <w:t xml:space="preserve"> nyilvános navigációsüzenet-hitelesítési szolgáltatás;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3367</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3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nyilvános navigációsüzenet-hitelesítési szolgáltatás </w:t>
            </w:r>
            <w:r>
              <w:rPr>
                <w:b/>
                <w:i/>
              </w:rPr>
              <w:t>a nyilvános Galileo-szolgáltatás hitelesítésére</w:t>
            </w:r>
            <w:r>
              <w:t>;</w:t>
            </w:r>
          </w:p>
        </w:tc>
        <w:tc>
          <w:tcPr>
            <w:tcW w:w="4876" w:type="dxa"/>
            <w:tcBorders>
              <w:top w:val="nil"/>
              <w:left w:val="nil"/>
              <w:bottom w:val="nil"/>
              <w:right w:val="nil"/>
            </w:tcBorders>
          </w:tcPr>
          <w:p>
            <w:pPr>
              <w:pStyle w:val="Normal6a"/>
            </w:pPr>
            <w:r>
              <w:t>c)</w:t>
            </w:r>
            <w:r>
              <w:tab/>
            </w:r>
            <w:r>
              <w:rPr>
                <w:b/>
                <w:i/>
              </w:rPr>
              <w:t>a Galileo hitelesítési szolgáltatása –</w:t>
            </w:r>
            <w:r>
              <w:t xml:space="preserve"> nyilvános navigációsüzenet-hitelesítési szolgáltatás;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3368</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3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globális önálló kutató-mentő szolgálat, többek között kormányzati felhasználók számára, amely a mentési műveletek támogatása érdekében rendelkezik kétirányú kommunikációra való képességekkel;</w:t>
            </w:r>
          </w:p>
        </w:tc>
        <w:tc>
          <w:tcPr>
            <w:tcW w:w="4876" w:type="dxa"/>
            <w:tcBorders>
              <w:top w:val="nil"/>
              <w:left w:val="nil"/>
              <w:bottom w:val="nil"/>
              <w:right w:val="nil"/>
            </w:tcBorders>
          </w:tcPr>
          <w:p>
            <w:pPr>
              <w:pStyle w:val="Normal6a"/>
            </w:pPr>
            <w:r>
              <w:t>h)</w:t>
            </w:r>
            <w:r>
              <w:tab/>
            </w:r>
            <w:r>
              <w:t>globális önálló kutató-mentő szolgálat, többek között kormányzati felhasználók számára, amely a mentési műveletek támogatása érdekében rendelkezik kétirányú kommunikációra való képességekkel</w:t>
            </w:r>
            <w:r>
              <w:rPr>
                <w:b/>
                <w:i/>
              </w:rPr>
              <w:t>, és hozzájárul a Nemzetközi Cospas-Sarsat-rendszerhez</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Cospas-Sarsatra való kifejezett hivatkozás biztosítja a meglévő nemzetközi kutatási-mentési együttműködési kerettel való folytonosságot, és megerősíti az Unió szerepét a globális tengerbiztonsági és repülésbiztonsági rendszerhez való hozzájárulásban.</w:t>
      </w:r>
    </w:p>
    <w:p>
      <w:r>
        <w:rPr>
          <w:rStyle w:val="HideTWBExt"/>
        </w:rPr>
        <w:t>&lt;/Amend&gt;</w:t>
      </w:r>
    </w:p>
    <w:p>
      <w:pPr>
        <w:pStyle w:val="AmNumberTabs"/>
      </w:pPr>
      <w:r>
        <w:rPr>
          <w:rStyle w:val="HideTWBExt"/>
        </w:rPr>
        <w:t>&lt;Amend&gt;</w:t>
      </w:r>
      <w:r>
        <w:t>Módosítás</w:t>
      </w:r>
      <w:r>
        <w:tab/>
      </w:r>
      <w:r>
        <w:tab/>
      </w:r>
      <w:r>
        <w:rPr>
          <w:rStyle w:val="HideTWBExt"/>
        </w:rPr>
        <w:t>&lt;NumAm&gt;</w:t>
      </w:r>
      <w:r>
        <w:t>3369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kormányzati ellenőrzésű </w:t>
            </w:r>
            <w:r>
              <w:rPr>
                <w:b/>
                <w:i/>
              </w:rPr>
              <w:t>szolgáltatásnak ingyenesnek kell lennie</w:t>
            </w:r>
            <w:r>
              <w:t xml:space="preserve"> a tagállamok, a Tanács, a Bizottság, az EKSZ és adott esetben a megfelelően felhatalmazott uniós ügynökségek számára. A helymeghatározás, navigáció és időmeghatározás komponens szolgáltatásait prioritásként kell nyújtani az összes tagállam és a helymeghatározás, navigáció és időmeghatározás alkomponenseiben részt vevő harmadik országok földrajzilag Európában található területein.</w:t>
            </w:r>
          </w:p>
        </w:tc>
        <w:tc>
          <w:tcPr>
            <w:tcW w:w="4876" w:type="dxa"/>
            <w:tcBorders>
              <w:top w:val="nil"/>
              <w:left w:val="nil"/>
              <w:bottom w:val="nil"/>
              <w:right w:val="nil"/>
            </w:tcBorders>
          </w:tcPr>
          <w:p>
            <w:pPr>
              <w:pStyle w:val="Normal6a"/>
            </w:pPr>
            <w:r>
              <w:t>(4)</w:t>
            </w:r>
            <w:r>
              <w:tab/>
            </w:r>
            <w:r>
              <w:rPr>
                <w:b/>
                <w:i/>
              </w:rPr>
              <w:t>A helymeghatározási, navigációs és időmeghatározási szolgáltatásokat ingyenesen kell nyújtani.</w:t>
            </w:r>
            <w:r>
              <w:t xml:space="preserve"> A kormányzati ellenőrzésű </w:t>
            </w:r>
            <w:r>
              <w:rPr>
                <w:b/>
                <w:i/>
              </w:rPr>
              <w:t>szolgáltatást ingyenesen kell nyújtani</w:t>
            </w:r>
            <w:r>
              <w:t xml:space="preserve"> a tagállamok, a Tanács, a Bizottság, az EKSZ és adott esetben a megfelelően felhatalmazott uniós ügynökségek számára. A helymeghatározás, navigáció és időmeghatározás komponens szolgáltatásait prioritásként kell nyújtani az összes tagállam és a helymeghatározás, navigáció és időmeghatározás alkomponenseiben részt vevő harmadik országok földrajzilag Európában található területein.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3370</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kormányzati ellenőrzésű szolgáltatásnak ingyenesnek kell lennie a tagállamok, a Tanács, a Bizottság, az EKSZ és </w:t>
            </w:r>
            <w:r>
              <w:rPr>
                <w:b/>
                <w:i/>
              </w:rPr>
              <w:t>adott esetben</w:t>
            </w:r>
            <w:r>
              <w:t xml:space="preserve"> a megfelelően felhatalmazott uniós ügynökségek számára. </w:t>
            </w:r>
            <w:r>
              <w:rPr>
                <w:b/>
                <w:i/>
              </w:rPr>
              <w:t>A helymeghatározás, navigáció és időmeghatározás</w:t>
            </w:r>
            <w:r>
              <w:t xml:space="preserve"> komponens szolgáltatásait prioritásként kell nyújtani az összes tagállam és a helymeghatározás, navigáció és időmeghatározás alkomponenseiben részt vevő harmadik országok földrajzilag Európában található területein.</w:t>
            </w:r>
          </w:p>
        </w:tc>
        <w:tc>
          <w:tcPr>
            <w:tcW w:w="4876" w:type="dxa"/>
            <w:tcBorders>
              <w:top w:val="nil"/>
              <w:left w:val="nil"/>
              <w:bottom w:val="nil"/>
              <w:right w:val="nil"/>
            </w:tcBorders>
          </w:tcPr>
          <w:p>
            <w:pPr>
              <w:pStyle w:val="Normal6a"/>
            </w:pPr>
            <w:r>
              <w:t>(4)</w:t>
            </w:r>
            <w:r>
              <w:tab/>
            </w:r>
            <w:r>
              <w:t xml:space="preserve">A kormányzati ellenőrzésű szolgáltatásnak ingyenesnek kell lennie a tagállamok, a Tanács, a Bizottság, az EKSZ és a megfelelően felhatalmazott uniós ügynökségek számára. </w:t>
            </w:r>
            <w:r>
              <w:rPr>
                <w:b/>
                <w:i/>
              </w:rPr>
              <w:t>Az EGNOS</w:t>
            </w:r>
            <w:r>
              <w:t xml:space="preserve"> komponens szolgáltatásait prioritásként kell nyújtani az összes tagállam</w:t>
            </w:r>
            <w:r>
              <w:rPr>
                <w:b/>
                <w:i/>
              </w:rPr>
              <w:t>, köztük a legkülső régiók</w:t>
            </w:r>
            <w:r>
              <w:t xml:space="preserve"> és a helymeghatározás, navigáció és időmeghatározás alkomponenseiben részt vevő harmadik országok földrajzilag Európában található területein.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egyértelművé teszi a Galileo globális lefedettségi logikája és az EGNOS regionális repülésorientált lefedettsége közötti különbségtételt.</w:t>
      </w:r>
    </w:p>
    <w:p>
      <w:r>
        <w:rPr>
          <w:rStyle w:val="HideTWBExt"/>
        </w:rPr>
        <w:t>&lt;/Amend&gt;</w:t>
      </w:r>
    </w:p>
    <w:p>
      <w:pPr>
        <w:pStyle w:val="AmNumberTabs"/>
      </w:pPr>
      <w:r>
        <w:rPr>
          <w:rStyle w:val="HideTWBExt"/>
        </w:rPr>
        <w:t>&lt;Amend&gt;</w:t>
      </w:r>
      <w:r>
        <w:t>Módosítás</w:t>
      </w:r>
      <w:r>
        <w:tab/>
      </w:r>
      <w:r>
        <w:tab/>
      </w:r>
      <w:r>
        <w:rPr>
          <w:rStyle w:val="HideTWBExt"/>
        </w:rPr>
        <w:t>&lt;NumAm&gt;</w:t>
      </w:r>
      <w:r>
        <w:t>3371</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59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kormányzati ellenőrzésű szolgáltatásnak ingyenesnek kell lennie a tagállamok, a Tanács, a Bizottság, az EKSZ és </w:t>
            </w:r>
            <w:r>
              <w:rPr>
                <w:b/>
                <w:i/>
              </w:rPr>
              <w:t>adott esetben</w:t>
            </w:r>
            <w:r>
              <w:t xml:space="preserve"> a megfelelően felhatalmazott uniós ügynökségek számára. A helymeghatározás, navigáció és időmeghatározás komponens szolgáltatásait prioritásként kell nyújtani az összes tagállam és a helymeghatározás, navigáció és időmeghatározás alkomponenseiben részt vevő harmadik országok földrajzilag Európában található területein.</w:t>
            </w:r>
          </w:p>
        </w:tc>
        <w:tc>
          <w:tcPr>
            <w:tcW w:w="4876" w:type="dxa"/>
            <w:tcBorders>
              <w:top w:val="nil"/>
              <w:left w:val="nil"/>
              <w:bottom w:val="nil"/>
              <w:right w:val="nil"/>
            </w:tcBorders>
          </w:tcPr>
          <w:p>
            <w:pPr>
              <w:pStyle w:val="Normal6a"/>
            </w:pPr>
            <w:r>
              <w:t>(4)</w:t>
            </w:r>
            <w:r>
              <w:tab/>
            </w:r>
            <w:r>
              <w:t>A kormányzati ellenőrzésű szolgáltatásnak ingyenesnek kell lennie a tagállamok, a Tanács, a Bizottság, az EKSZ és a megfelelően felhatalmazott uniós ügynökségek számára. A helymeghatározás, navigáció és időmeghatározás komponens szolgáltatásait prioritásként kell nyújtani az összes tagállam és a helymeghatározás, navigáció és időmeghatározás alkomponenseiben részt vevő harmadik országok földrajzilag Európában található területein.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3372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Föld-megfigyelési rendszer a Kopernikuszból és a Föld-megfigyelési kormányzati szolgáltatásból (EOGS) áll. </w:t>
            </w:r>
            <w:r>
              <w:rPr>
                <w:b/>
                <w:i/>
              </w:rPr>
              <w:t>A Kopernikusz a meglévő nemzeti és európai kapacitásokra épülő, polgári irányítás alatt álló, operatív, autonóm, felhasználó-központú, polgári Föld-megfigyelési rendszer.</w:t>
            </w:r>
            <w:r>
              <w:t xml:space="preserve"> </w:t>
            </w:r>
            <w:r>
              <w:rPr>
                <w:b/>
                <w:i/>
              </w:rPr>
              <w:t>Műholdak, földi infrastruktúra, adat- és információfeldolgozó létesítmények, valamint elosztási infrastruktúra segítségével olyan geoinformációs adatokat és szolgáltatásokat kínál, amelyek ingyenes, teljes körű és nyílt adatpolitikán alapulnak, és adott esetben integrálják a biztonsági igényeket és követelményeket.</w:t>
            </w:r>
          </w:p>
        </w:tc>
        <w:tc>
          <w:tcPr>
            <w:tcW w:w="4876" w:type="dxa"/>
            <w:tcBorders>
              <w:top w:val="nil"/>
              <w:left w:val="nil"/>
              <w:bottom w:val="nil"/>
              <w:right w:val="nil"/>
            </w:tcBorders>
          </w:tcPr>
          <w:p>
            <w:pPr>
              <w:pStyle w:val="Normal6a"/>
            </w:pPr>
            <w:r>
              <w:t>(1)</w:t>
            </w:r>
            <w:r>
              <w:tab/>
            </w:r>
            <w:r>
              <w:t>A Föld-megfigyelési rendszer a Kopernikuszból és a Föld-megfigyelési kormányzati szolgáltatásból (EOGS) áll.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3373</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Föld-megfigyelési rendszer a Kopernikuszból </w:t>
            </w:r>
            <w:r>
              <w:rPr>
                <w:b/>
                <w:i/>
              </w:rPr>
              <w:t>és a Föld-megfigyelési</w:t>
            </w:r>
            <w:r>
              <w:t xml:space="preserve"> kormányzati </w:t>
            </w:r>
            <w:r>
              <w:rPr>
                <w:b/>
                <w:i/>
              </w:rPr>
              <w:t>szolgáltatásból (EOGS) áll</w:t>
            </w:r>
            <w:r>
              <w:t xml:space="preserve">. A Kopernikusz a meglévő nemzeti és európai kapacitásokra épülő, polgári irányítás alatt álló, operatív, autonóm, felhasználó-központú, </w:t>
            </w:r>
            <w:r>
              <w:rPr>
                <w:b/>
                <w:i/>
              </w:rPr>
              <w:t>polgári</w:t>
            </w:r>
            <w:r>
              <w:t xml:space="preserve"> Föld-megfigyelési rendszer. Műholdak, földi infrastruktúra, adat- és információfeldolgozó létesítmények, valamint elosztási infrastruktúra segítségével olyan geoinformációs adatokat és szolgáltatásokat kínál, amelyek ingyenes, teljes körű és nyílt adatpolitikán alapulnak, </w:t>
            </w:r>
            <w:r>
              <w:rPr>
                <w:b/>
                <w:i/>
              </w:rPr>
              <w:t>és</w:t>
            </w:r>
            <w:r>
              <w:t xml:space="preserve"> adott esetben </w:t>
            </w:r>
            <w:r>
              <w:rPr>
                <w:b/>
                <w:i/>
              </w:rPr>
              <w:t>integrálják a biztonsági igényeket és követelményeket</w:t>
            </w:r>
            <w:r>
              <w:t>.</w:t>
            </w:r>
          </w:p>
        </w:tc>
        <w:tc>
          <w:tcPr>
            <w:tcW w:w="4876" w:type="dxa"/>
            <w:tcBorders>
              <w:top w:val="nil"/>
              <w:left w:val="nil"/>
              <w:bottom w:val="nil"/>
              <w:right w:val="nil"/>
            </w:tcBorders>
          </w:tcPr>
          <w:p>
            <w:pPr>
              <w:pStyle w:val="Normal6a"/>
            </w:pPr>
            <w:r>
              <w:t>(1)</w:t>
            </w:r>
            <w:r>
              <w:tab/>
            </w:r>
            <w:r>
              <w:t xml:space="preserve">A Föld-megfigyelési rendszer a Kopernikuszból </w:t>
            </w:r>
            <w:r>
              <w:rPr>
                <w:b/>
                <w:i/>
              </w:rPr>
              <w:t>áll.</w:t>
            </w:r>
            <w:r>
              <w:t xml:space="preserve"> </w:t>
            </w:r>
            <w:r>
              <w:rPr>
                <w:b/>
                <w:i/>
              </w:rPr>
              <w:t>A Kopernikusz magában foglalja a Kopernikusz-infrastruktúrát, a nyilvános Kopernikusz-szolgáltatásokat és a Kopernikusz</w:t>
            </w:r>
            <w:r>
              <w:t xml:space="preserve"> kormányzati </w:t>
            </w:r>
            <w:r>
              <w:rPr>
                <w:b/>
                <w:i/>
              </w:rPr>
              <w:t>szolgáltatásait</w:t>
            </w:r>
            <w:r>
              <w:t xml:space="preserve">. A Kopernikusz a meglévő nemzeti és európai kapacitásokra épülő, polgári irányítás alatt álló, operatív, autonóm, felhasználó-központú, </w:t>
            </w:r>
            <w:r>
              <w:rPr>
                <w:b/>
                <w:i/>
              </w:rPr>
              <w:t>kettős felhasználású</w:t>
            </w:r>
            <w:r>
              <w:t xml:space="preserve"> Föld-megfigyelési rendszer. Műholdak, földi infrastruktúra, adat- és információfeldolgozó létesítmények, valamint elosztási infrastruktúra segítségével olyan geoinformációs adatokat és szolgáltatásokat kínál </w:t>
            </w:r>
            <w:r>
              <w:rPr>
                <w:b/>
                <w:i/>
              </w:rPr>
              <w:t>a nyilvános Kopernikusz-szolgáltatásoknak</w:t>
            </w:r>
            <w:r>
              <w:t xml:space="preserve">, amelyek ingyenes, teljes körű és nyílt adatpolitikán alapulnak, adott esetben </w:t>
            </w:r>
            <w:r>
              <w:rPr>
                <w:b/>
                <w:i/>
              </w:rPr>
              <w:t>az Unió vagy tagállamai biztonságának védelmében szükséges korlátozásokkal.</w:t>
            </w:r>
            <w:r>
              <w:t xml:space="preserve"> </w:t>
            </w:r>
            <w:r>
              <w:rPr>
                <w:b/>
                <w:i/>
              </w:rPr>
              <w:t>A Kopernikusz kormányzati szolgáltatásaira külön korlátozott rendszer vonatkozik a kormányok által felhatalmazott felhasználók számára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a Föld-megfigyelést a nyilvános szolgáltatásokból és kormányzati szolgáltatásokból álló egyetlen Kopernikusz-rendszer köré szervezi át ahelyett, hogy külön EOGS-komponenst hozna létre.</w:t>
      </w:r>
      <w:r>
        <w:t xml:space="preserve"> </w:t>
      </w:r>
      <w:r>
        <w:t>Ez megőrzi a Kopernikusz koherenciáját, ugyanakkor lehetővé teszi egy célzott, biztonságos kormányzati réteg létrehozását.</w:t>
      </w:r>
      <w:r>
        <w:t xml:space="preserve"> </w:t>
      </w:r>
      <w:r>
        <w:t>Biztosítja továbbá, hogy a meglévő Kopernikusz-infrastruktúra és -adatok adott esetben támogathassák a kormányzati felhasználásokat.</w:t>
      </w:r>
    </w:p>
    <w:p>
      <w:r>
        <w:rPr>
          <w:rStyle w:val="HideTWBExt"/>
        </w:rPr>
        <w:t>&lt;/Amend&gt;</w:t>
      </w:r>
    </w:p>
    <w:p>
      <w:pPr>
        <w:pStyle w:val="AmNumberTabs"/>
      </w:pPr>
      <w:r>
        <w:rPr>
          <w:rStyle w:val="HideTWBExt"/>
        </w:rPr>
        <w:t>&lt;Amend&gt;</w:t>
      </w:r>
      <w:r>
        <w:t>Módosítás</w:t>
      </w:r>
      <w:r>
        <w:tab/>
      </w:r>
      <w:r>
        <w:tab/>
      </w:r>
      <w:r>
        <w:rPr>
          <w:rStyle w:val="HideTWBExt"/>
        </w:rPr>
        <w:t>&lt;NumAm&gt;</w:t>
      </w:r>
      <w:r>
        <w:t>3374</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Föld-megfigyelési rendszer a Kopernikuszból és a Föld-megfigyelési kormányzati szolgáltatásból (EOGS) áll. A Kopernikusz a meglévő nemzeti és európai kapacitásokra épülő, polgári irányítás alatt álló, operatív, autonóm, felhasználó-központú, polgári Föld-megfigyelési rendszer. Műholdak, földi infrastruktúra, adat- és információfeldolgozó létesítmények, valamint elosztási infrastruktúra segítségével olyan geoinformációs adatokat és szolgáltatásokat kínál, amelyek ingyenes, teljes körű és nyílt adatpolitikán alapulnak, és </w:t>
            </w:r>
            <w:r>
              <w:rPr>
                <w:b/>
                <w:i/>
              </w:rPr>
              <w:t>adott esetben</w:t>
            </w:r>
            <w:r>
              <w:t xml:space="preserve"> integrálják a </w:t>
            </w:r>
            <w:r>
              <w:rPr>
                <w:b/>
                <w:i/>
              </w:rPr>
              <w:t>biztonsági</w:t>
            </w:r>
            <w:r>
              <w:t xml:space="preserve"> igényeket és követelményeket.</w:t>
            </w:r>
          </w:p>
        </w:tc>
        <w:tc>
          <w:tcPr>
            <w:tcW w:w="4876" w:type="dxa"/>
            <w:tcBorders>
              <w:top w:val="nil"/>
              <w:left w:val="nil"/>
              <w:bottom w:val="nil"/>
              <w:right w:val="nil"/>
            </w:tcBorders>
          </w:tcPr>
          <w:p>
            <w:pPr>
              <w:pStyle w:val="Normal6a"/>
            </w:pPr>
            <w:r>
              <w:t>(1)</w:t>
            </w:r>
            <w:r>
              <w:tab/>
            </w:r>
            <w:r>
              <w:t xml:space="preserve">A Föld-megfigyelési rendszer a Kopernikuszból és a Föld-megfigyelési kormányzati szolgáltatásból (EOGS) áll. A Kopernikusz a meglévő nemzeti és európai kapacitásokra épülő, polgári irányítás alatt álló, operatív, autonóm, felhasználó-központú, polgári Föld-megfigyelési rendszer. Műholdak, földi infrastruktúra, adat- és információfeldolgozó létesítmények, valamint elosztási infrastruktúra segítségével olyan geoinformációs adatokat és szolgáltatásokat kínál, amelyek ingyenes, teljes körű és nyílt adatpolitikán alapulnak, és integrálják a </w:t>
            </w:r>
            <w:r>
              <w:rPr>
                <w:b/>
                <w:i/>
              </w:rPr>
              <w:t>reziliencia, biztonság és védelmi készültség iránti uniós</w:t>
            </w:r>
            <w:r>
              <w:t xml:space="preserve"> igényeket és követelményeket.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 Kopernikusz a meglévő nemzeti és európai kapacitásokra épülő, polgári irányítás alatt álló, operatív, autonóm, felhasználó-központú, polgári Föld-megfigyelési rendszer.</w:t>
            </w:r>
            <w:r>
              <w:t xml:space="preserve"> </w:t>
            </w:r>
            <w:r>
              <w:rPr>
                <w:b/>
                <w:i/>
              </w:rPr>
              <w:t>Műholdak, földi infrastruktúra, adat- és információfeldolgozó létesítmények, valamint elosztási infrastruktúra segítségével olyan geoinformációs adatokat és szolgáltatásokat kínál, amelyek ingyenes, teljes körű és nyílt adatpolitikán alapulnak, és adott esetben integrálják a biztonsági igényeket és követelményeket.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3376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Az EOGS egy polgári irányítás alatt álló Föld-megfigyelési rendszer, amely műholdakból, földi infrastruktúrából, adat- és információfeldolgozó létesítményekből és elosztási infrastruktúrából áll, és az Európai Unió Műholdközpontján keresztül biztosított meglévő képességekre épül, beleértve a tagállamok képességeit is, hogy fokozott helyzetismeretet biztosítson az Unió és a tagállamok felkészültségének, döntéshozatalának és fellépésének támogatása érdekében a biztonság és védelem terén.</w:t>
            </w:r>
            <w:r>
              <w:t xml:space="preserve"> </w:t>
            </w:r>
            <w:r>
              <w:rPr>
                <w:b/>
                <w:i/>
              </w:rPr>
              <w:t>Az EOGS kiegészítő információkat is nyújthat a Kopernikusz-szolgáltatásokhoz, különösen a polgári védelem és a biztonság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3377</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Kopernikusz program révén támogatni kell az Unió és tagállamai szakpolitikáinak kialakítását, végrehajtását és nyomon követését is, különösen a környezetvédelem, az éghajlatváltozás, a tengerek, a hajózás, az atmoszféra, a mezőgazdaság és a vidékfejlesztés, a kulturális örökség védelme, a polgári védelem, az infrastruktúra felügyelete, a biztonság és a védelem, valamint a digitális gazdaság területén, a „Digitális vezető szerep” ablak keretében, amelyet össze kell hangolni a Kopernikusz célkitűzésével.</w:t>
            </w:r>
          </w:p>
        </w:tc>
        <w:tc>
          <w:tcPr>
            <w:tcW w:w="4876" w:type="dxa"/>
            <w:tcBorders>
              <w:top w:val="nil"/>
              <w:left w:val="nil"/>
              <w:bottom w:val="nil"/>
              <w:right w:val="nil"/>
            </w:tcBorders>
          </w:tcPr>
          <w:p>
            <w:pPr>
              <w:pStyle w:val="Normal6a"/>
            </w:pPr>
            <w:r>
              <w:t>(2)</w:t>
            </w:r>
            <w:r>
              <w:tab/>
            </w:r>
            <w:r>
              <w:t>A Kopernikusz program révén támogatni kell az Unió és tagállamai szakpolitikáinak kialakítását, végrehajtását és nyomon követését is</w:t>
            </w:r>
            <w:r>
              <w:rPr>
                <w:b/>
                <w:i/>
              </w:rPr>
              <w:t>, és adott esetben a helyi és regionális önkormányzatokat</w:t>
            </w:r>
            <w:r>
              <w:t>, különösen a környezetvédelem, az éghajlatváltozás, a tengerek, a hajózás, az atmoszféra, a mezőgazdaság és a vidékfejlesztés, a kulturális örökség védelme, a polgári védelem, az infrastruktúra felügyelete, a biztonság és a védelem, valamint a digitális gazdaság területén, a „Digitális vezető szerep” ablak keretében, amelyet össze kell hangolni a Kopernikusz célkitűzésével.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helyi és regionális önkormányzatok a Kopernikusz-adatok kulcsfontosságú felhasználói a területrendezés, a környezetvédelmi ellenőrzés, a polgári védelem és az éghajlatváltozáshoz való alkalmazkodás terén.</w:t>
      </w:r>
      <w:r>
        <w:t xml:space="preserve"> </w:t>
      </w:r>
      <w:r>
        <w:t>Szerepük kifejezett elismerése biztosítja, hogy a Kopernikusz-szolgáltatásokat olyan módon fejlesszék és vezessék be, amely valamennyi kormányzati szinten hozzáférhető és releváns a közszféra felhasználóinak teljes köre számára.</w:t>
      </w:r>
    </w:p>
    <w:p>
      <w:r>
        <w:rPr>
          <w:rStyle w:val="HideTWBExt"/>
        </w:rPr>
        <w:t>&lt;/Amend&gt;</w:t>
      </w:r>
    </w:p>
    <w:p>
      <w:pPr>
        <w:pStyle w:val="AmNumberTabs"/>
      </w:pPr>
      <w:r>
        <w:rPr>
          <w:rStyle w:val="HideTWBExt"/>
        </w:rPr>
        <w:t>&lt;Amend&gt;</w:t>
      </w:r>
      <w:r>
        <w:t>Módosítás</w:t>
      </w:r>
      <w:r>
        <w:tab/>
      </w:r>
      <w:r>
        <w:tab/>
      </w:r>
      <w:r>
        <w:rPr>
          <w:rStyle w:val="HideTWBExt"/>
        </w:rPr>
        <w:t>&lt;NumAm&gt;</w:t>
      </w:r>
      <w:r>
        <w:t>3378</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Kopernikusz program révén támogatni kell az Unió és tagállamai szakpolitikáinak kialakítását, végrehajtását és nyomon követését is, különösen a környezetvédelem, az éghajlatváltozás, a tengerek, a hajózás, az atmoszféra, a mezőgazdaság és a vidékfejlesztés, a kulturális örökség védelme, a polgári védelem, az infrastruktúra felügyelete, a biztonság </w:t>
            </w:r>
            <w:r>
              <w:rPr>
                <w:b/>
                <w:i/>
              </w:rPr>
              <w:t>és</w:t>
            </w:r>
            <w:r>
              <w:t xml:space="preserve"> a védelem, valamint a digitális gazdaság területén, a „Digitális vezető szerep” ablak keretében, amelyet össze kell hangolni a Kopernikusz célkitűzésével.</w:t>
            </w:r>
          </w:p>
        </w:tc>
        <w:tc>
          <w:tcPr>
            <w:tcW w:w="4876" w:type="dxa"/>
            <w:tcBorders>
              <w:top w:val="nil"/>
              <w:left w:val="nil"/>
              <w:bottom w:val="nil"/>
              <w:right w:val="nil"/>
            </w:tcBorders>
          </w:tcPr>
          <w:p>
            <w:pPr>
              <w:pStyle w:val="Normal6a"/>
            </w:pPr>
            <w:r>
              <w:t>(2)</w:t>
            </w:r>
            <w:r>
              <w:tab/>
            </w:r>
            <w:r>
              <w:t>A Kopernikusz program révén támogatni kell az Unió és tagállamai szakpolitikáinak kialakítását, végrehajtását és nyomon követését is, különösen a környezetvédelem, az éghajlatváltozás, a tengerek, a hajózás, az atmoszféra, a mezőgazdaság és a vidékfejlesztés, a kulturális örökség védelme, a polgári védelem, az infrastruktúra felügyelete, a biztonság</w:t>
            </w:r>
            <w:r>
              <w:rPr>
                <w:b/>
                <w:i/>
              </w:rPr>
              <w:t>,</w:t>
            </w:r>
            <w:r>
              <w:t xml:space="preserve"> a védelem </w:t>
            </w:r>
            <w:r>
              <w:rPr>
                <w:b/>
                <w:i/>
              </w:rPr>
              <w:t>és védelmi készültség</w:t>
            </w:r>
            <w:r>
              <w:t>, valamint a digitális gazdaság területén, a „Digitális vezető szerep” ablak keretében, amelyet össze kell hangolni a Kopernikusz célkitűzésével.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3379</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„Kopernikusz-alapfelhasználók” az Unió azon intézményei és szervei és azon európai, nemzeti és regionális közjogi szervek az Unióban vagy a társult harmadik országokban, amelyek közszolgálati feladataik keretében polgári közpolitikák, például a környezetvédelmi politika, a polgári védelmi politika vagy a biztonságpolitika – beleértve az infrastruktúra-biztonságot – területén a szakpolitika meghatározásával, végrehajtásával, érvényesítésével vagy nyomon követésével vannak megbízva és amelyek élvezik a </w:t>
            </w:r>
            <w:r>
              <w:rPr>
                <w:b/>
                <w:i/>
              </w:rPr>
              <w:t>Kopernikusz-adatok és a Kopernikusz-információk</w:t>
            </w:r>
            <w:r>
              <w:t xml:space="preserve"> előnyeit, és emellett szerepet játszanak a </w:t>
            </w:r>
            <w:r>
              <w:rPr>
                <w:b/>
                <w:i/>
              </w:rPr>
              <w:t>Kopernikusz program</w:t>
            </w:r>
            <w:r>
              <w:t xml:space="preserve"> fejlődési irányának meghatározásában.</w:t>
            </w:r>
          </w:p>
        </w:tc>
        <w:tc>
          <w:tcPr>
            <w:tcW w:w="4876" w:type="dxa"/>
            <w:tcBorders>
              <w:top w:val="nil"/>
              <w:left w:val="nil"/>
              <w:bottom w:val="nil"/>
              <w:right w:val="nil"/>
            </w:tcBorders>
          </w:tcPr>
          <w:p>
            <w:pPr>
              <w:pStyle w:val="Normal6a"/>
            </w:pPr>
            <w:r>
              <w:t>(4)</w:t>
            </w:r>
            <w:r>
              <w:tab/>
            </w:r>
            <w:r>
              <w:t xml:space="preserve">A „Kopernikusz-alapfelhasználók” az Unió azon intézményei és szervei és azon európai, nemzeti és regionális közjogi szervek az Unióban vagy a társult harmadik országokban, amelyek közszolgálati feladataik keretében polgári közpolitikák, például a környezetvédelmi politika, a polgári védelmi politika vagy a biztonságpolitika – beleértve az infrastruktúra-biztonságot – területén a szakpolitika meghatározásával, végrehajtásával, érvényesítésével vagy nyomon követésével vannak megbízva és amelyek élvezik a </w:t>
            </w:r>
            <w:r>
              <w:rPr>
                <w:b/>
                <w:i/>
              </w:rPr>
              <w:t>nyilvános Kopernikusz-szolgáltatásokból származó adatok és információk</w:t>
            </w:r>
            <w:r>
              <w:t xml:space="preserve"> előnyeit, és emellett szerepet játszanak a </w:t>
            </w:r>
            <w:r>
              <w:rPr>
                <w:b/>
                <w:i/>
              </w:rPr>
              <w:t>nyilvános Kopernikusz-szolgáltatások</w:t>
            </w:r>
            <w:r>
              <w:t xml:space="preserve"> fejlődési irányának meghatározásában.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Kopernikusz alapfelhasználóinak meghatározását össze kell hangolni a nyilvános szolgáltatások és az állami szolgáltatások közötti új különbségtétellel.</w:t>
      </w:r>
    </w:p>
    <w:p>
      <w:r>
        <w:rPr>
          <w:rStyle w:val="HideTWBExt"/>
        </w:rPr>
        <w:t>&lt;/Amend&gt;</w:t>
      </w:r>
    </w:p>
    <w:p>
      <w:pPr>
        <w:pStyle w:val="AmNumberTabs"/>
      </w:pPr>
      <w:r>
        <w:rPr>
          <w:rStyle w:val="HideTWBExt"/>
        </w:rPr>
        <w:t>&lt;Amend&gt;</w:t>
      </w:r>
      <w:r>
        <w:t>Módosítás</w:t>
      </w:r>
      <w:r>
        <w:tab/>
      </w:r>
      <w:r>
        <w:tab/>
      </w:r>
      <w:r>
        <w:rPr>
          <w:rStyle w:val="HideTWBExt"/>
        </w:rPr>
        <w:t>&lt;NumAm&gt;</w:t>
      </w:r>
      <w:r>
        <w:t>3380</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Kopernikusz-infrastruktúra, beleértve a </w:t>
            </w:r>
            <w:r>
              <w:rPr>
                <w:b/>
                <w:i/>
              </w:rPr>
              <w:t>Kopernikusz-Sentinelek</w:t>
            </w:r>
            <w:r>
              <w:t xml:space="preserve"> fejlesztését, telepítését </w:t>
            </w:r>
            <w:r>
              <w:rPr>
                <w:b/>
                <w:i/>
              </w:rPr>
              <w:t>és</w:t>
            </w:r>
            <w:r>
              <w:t xml:space="preserve"> üzemeltetését, a harmadik felek űralapú Föld-megfigyelési adataihoz való hozzáférést</w:t>
            </w:r>
            <w:r>
              <w:rPr>
                <w:b/>
                <w:i/>
              </w:rPr>
              <w:t>, valamint</w:t>
            </w:r>
            <w:r>
              <w:t xml:space="preserve"> a lokális és egyéb kiegészítő adatokhoz való folyamatos hozzáférést, beleértve a nemzetközi lokális hálózatokhoz való lehetséges </w:t>
            </w:r>
            <w:r>
              <w:rPr>
                <w:b/>
                <w:i/>
              </w:rPr>
              <w:t>hozzájárulásokat is;</w:t>
            </w:r>
          </w:p>
        </w:tc>
        <w:tc>
          <w:tcPr>
            <w:tcW w:w="4876" w:type="dxa"/>
            <w:tcBorders>
              <w:top w:val="nil"/>
              <w:left w:val="nil"/>
              <w:bottom w:val="nil"/>
              <w:right w:val="nil"/>
            </w:tcBorders>
          </w:tcPr>
          <w:p>
            <w:pPr>
              <w:pStyle w:val="Normal6a"/>
            </w:pPr>
            <w:r>
              <w:t>a)</w:t>
            </w:r>
            <w:r>
              <w:tab/>
            </w:r>
            <w:r>
              <w:rPr>
                <w:b/>
                <w:i/>
              </w:rPr>
              <w:t>A nyilvános Kopernikusz-szolgáltatásait és a Kopernikusz kormányzati szolgáltatásait egyaránt kiszolgáló</w:t>
            </w:r>
            <w:r>
              <w:t xml:space="preserve"> Kopernikusz-infrastruktúra, beleértve a </w:t>
            </w:r>
            <w:r>
              <w:rPr>
                <w:b/>
                <w:i/>
              </w:rPr>
              <w:t>Kopernikusz űrinfrastruktúrájának és a kapcsolódó földi szegmensnek a</w:t>
            </w:r>
            <w:r>
              <w:t xml:space="preserve"> fejlesztését, telepítését</w:t>
            </w:r>
            <w:r>
              <w:rPr>
                <w:b/>
                <w:i/>
              </w:rPr>
              <w:t>,</w:t>
            </w:r>
            <w:r>
              <w:t xml:space="preserve"> üzemeltetését </w:t>
            </w:r>
            <w:r>
              <w:rPr>
                <w:b/>
                <w:i/>
              </w:rPr>
              <w:t>és fejlődését</w:t>
            </w:r>
            <w:r>
              <w:t xml:space="preserve">, </w:t>
            </w:r>
            <w:r>
              <w:rPr>
                <w:b/>
                <w:i/>
              </w:rPr>
              <w:t>a jövőbeli űrkapacitásokat és -missziókat, többek között 2030-ig olyan további uniós Föld-megfigyelési kapacitások fejlesztését és telepítését, amelyek képesek tartós, nagy felbontású, gyakori ismétlési idejű és közel valós idejű megfigyelési képességeket biztosítani, különösen a kormányzati szolgáltatások, a biztonság, a válságreagálás és az operatív döntéshozatal támogatása érdekében, valamint</w:t>
            </w:r>
            <w:r>
              <w:t xml:space="preserve"> a harmadik felek űralapú Föld-megfigyelési adataihoz való hozzáférést </w:t>
            </w:r>
            <w:r>
              <w:rPr>
                <w:b/>
                <w:i/>
              </w:rPr>
              <w:t>és</w:t>
            </w:r>
            <w:r>
              <w:t xml:space="preserve"> a lokális és egyéb kiegészítő adatokhoz való folyamatos hozzáférést, beleértve a </w:t>
            </w:r>
            <w:r>
              <w:rPr>
                <w:b/>
                <w:i/>
              </w:rPr>
              <w:t>nemzeti és európai forrásokból származó páneurópai szabályozási térinformatikai referenciaadatok, valamint a</w:t>
            </w:r>
            <w:r>
              <w:t xml:space="preserve"> nemzetközi lokális hálózatokhoz való lehetséges </w:t>
            </w:r>
            <w:r>
              <w:rPr>
                <w:b/>
                <w:i/>
              </w:rPr>
              <w:t>hozzájárulások harmonizálását.</w:t>
            </w:r>
            <w:r>
              <w:t xml:space="preserve"> </w:t>
            </w:r>
            <w:r>
              <w:rPr>
                <w:b/>
                <w:i/>
              </w:rPr>
              <w:t>A Kopernikusz-infrastruktúrába bevont szervezetekre a 69. cikkben említett jogosultsági és részvételi feltételek vonatkoznak.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Kopernikusznak operatívabb és stratégiaibb európai Föld-megfigyelési rendszerré kell fejlődnie, amely képes támogatni mind a nyílt polgári szolgáltatásokat, mind a biztonságos kormányzati felhasználásokat.</w:t>
      </w:r>
      <w:r>
        <w:t xml:space="preserve"> </w:t>
      </w:r>
      <w:r>
        <w:t>A közös uniós infrastruktúra, az új, gyakori ismétlési idejű képességek és a biztonságos operatív kapacitások megerősítése elengedhetetlen Európa stratégiai autonómiájának, válságreagálási és döntéshozatali képességeinek megerősítéséhez.</w:t>
      </w:r>
    </w:p>
    <w:p>
      <w:r>
        <w:rPr>
          <w:rStyle w:val="HideTWBExt"/>
        </w:rPr>
        <w:t>&lt;/Amend&gt;</w:t>
      </w:r>
    </w:p>
    <w:p>
      <w:pPr>
        <w:pStyle w:val="AmNumberTabs"/>
      </w:pPr>
      <w:r>
        <w:rPr>
          <w:rStyle w:val="HideTWBExt"/>
        </w:rPr>
        <w:t>&lt;Amend&gt;</w:t>
      </w:r>
      <w:r>
        <w:t>Módosítás</w:t>
      </w:r>
      <w:r>
        <w:tab/>
      </w:r>
      <w:r>
        <w:tab/>
      </w:r>
      <w:r>
        <w:rPr>
          <w:rStyle w:val="HideTWBExt"/>
        </w:rPr>
        <w:t>&lt;NumAm&gt;</w:t>
      </w:r>
      <w:r>
        <w:t>3381</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Kopernikusz-infrastruktúra, beleértve a Kopernikusz-Sentinelek fejlesztését, telepítését és üzemeltetését, a harmadik felek </w:t>
            </w:r>
            <w:r>
              <w:rPr>
                <w:b/>
                <w:i/>
              </w:rPr>
              <w:t>űralapú</w:t>
            </w:r>
            <w:r>
              <w:t xml:space="preserve"> Föld-megfigyelési adataihoz való hozzáférést, valamint a lokális és egyéb kiegészítő adatokhoz való folyamatos hozzáférést, beleértve a nemzetközi lokális hálózatokhoz való </w:t>
            </w:r>
            <w:r>
              <w:rPr>
                <w:b/>
                <w:i/>
              </w:rPr>
              <w:t>lehetséges</w:t>
            </w:r>
            <w:r>
              <w:t xml:space="preserve"> hozzájárulásokat is;</w:t>
            </w:r>
          </w:p>
        </w:tc>
        <w:tc>
          <w:tcPr>
            <w:tcW w:w="4876" w:type="dxa"/>
            <w:tcBorders>
              <w:top w:val="nil"/>
              <w:left w:val="nil"/>
              <w:bottom w:val="nil"/>
              <w:right w:val="nil"/>
            </w:tcBorders>
          </w:tcPr>
          <w:p>
            <w:pPr>
              <w:pStyle w:val="Normal6a"/>
            </w:pPr>
            <w:r>
              <w:t>a)</w:t>
            </w:r>
            <w:r>
              <w:tab/>
            </w:r>
            <w:r>
              <w:t xml:space="preserve">Kopernikusz-infrastruktúra, beleértve a Kopernikusz-Sentinelek fejlesztését, telepítését és üzemeltetését, a harmadik felek </w:t>
            </w:r>
            <w:r>
              <w:rPr>
                <w:b/>
                <w:i/>
              </w:rPr>
              <w:t>világűrbe telepített</w:t>
            </w:r>
            <w:r>
              <w:t xml:space="preserve"> Föld-megfigyelési adataihoz való hozzáférést, valamint a lokális és egyéb kiegészítő adatokhoz való folyamatos hozzáférést, beleértve a nemzetközi lokális hálózatokhoz való </w:t>
            </w:r>
            <w:r>
              <w:rPr>
                <w:b/>
                <w:i/>
              </w:rPr>
              <w:t>esetleges</w:t>
            </w:r>
            <w:r>
              <w:t xml:space="preserve"> hozzájárulásokat is</w:t>
            </w:r>
            <w:r>
              <w:rPr>
                <w:b/>
                <w:i/>
              </w:rPr>
              <w:t>, valamint a koherens uniós szintű biztonsági irányítási, üzembiztonsági nyomonkövetési és sebezhetőségkezelési mechanizmusok alkalmazását.</w:t>
            </w:r>
            <w:r>
              <w:t xml:space="preserve"> </w:t>
            </w:r>
            <w:r>
              <w:rPr>
                <w:b/>
                <w:i/>
              </w:rPr>
              <w:t>A Bizottság biztosítja az infrastrukturális és biztonsági funkciók átfogó koherenciáját és összehangolt irányítását a megbízott szervezetek között, a párhuzamosságok elkerülésének elvével összhangban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3382</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Kopernikusz-infrastruktúra, beleértve a Kopernikusz-Sentinelek fejlesztését, telepítését és üzemeltetését, a harmadik felek </w:t>
            </w:r>
            <w:r>
              <w:rPr>
                <w:b/>
                <w:i/>
              </w:rPr>
              <w:t>űralapú</w:t>
            </w:r>
            <w:r>
              <w:t xml:space="preserve"> Föld-megfigyelési adataihoz való hozzáférést, valamint a lokális és egyéb kiegészítő adatokhoz való folyamatos hozzáférést, beleértve a nemzetközi lokális hálózatokhoz való </w:t>
            </w:r>
            <w:r>
              <w:rPr>
                <w:b/>
                <w:i/>
              </w:rPr>
              <w:t>lehetséges</w:t>
            </w:r>
            <w:r>
              <w:t xml:space="preserve"> hozzájárulásokat is;</w:t>
            </w:r>
          </w:p>
        </w:tc>
        <w:tc>
          <w:tcPr>
            <w:tcW w:w="4876" w:type="dxa"/>
            <w:tcBorders>
              <w:top w:val="nil"/>
              <w:left w:val="nil"/>
              <w:bottom w:val="nil"/>
              <w:right w:val="nil"/>
            </w:tcBorders>
          </w:tcPr>
          <w:p>
            <w:pPr>
              <w:pStyle w:val="Normal6a"/>
            </w:pPr>
            <w:r>
              <w:t>a)</w:t>
            </w:r>
            <w:r>
              <w:tab/>
            </w:r>
            <w:r>
              <w:t xml:space="preserve">Kopernikusz-infrastruktúra, beleértve a Kopernikusz-Sentinelek fejlesztését, telepítését és üzemeltetését, a harmadik felek </w:t>
            </w:r>
            <w:r>
              <w:rPr>
                <w:b/>
                <w:i/>
              </w:rPr>
              <w:t>világűrbe telepített</w:t>
            </w:r>
            <w:r>
              <w:t xml:space="preserve"> Föld-megfigyelési adataihoz való hozzáférést, valamint a lokális és egyéb kiegészítő adatokhoz való folyamatos hozzáférést, beleértve a nemzetközi lokális hálózatokhoz való </w:t>
            </w:r>
            <w:r>
              <w:rPr>
                <w:b/>
                <w:i/>
              </w:rPr>
              <w:t>esetleges</w:t>
            </w:r>
            <w:r>
              <w:t xml:space="preserve"> hozzájárulásokat is</w:t>
            </w:r>
            <w:r>
              <w:rPr>
                <w:b/>
                <w:i/>
              </w:rPr>
              <w:t>, valamint a koherens uniós szintű biztonsági irányítási, üzembiztonsági nyomonkövetési és sebezhetőségkezelési mechanizmusok alkalmazását.</w:t>
            </w:r>
            <w:r>
              <w:t xml:space="preserve"> </w:t>
            </w:r>
            <w:r>
              <w:rPr>
                <w:b/>
                <w:i/>
              </w:rPr>
              <w:t>A Bizottság biztosítja az infrastrukturális és biztonsági funkciók átfogó koherenciáját és összehangolt irányítását a megbízott szervezetek között, a párhuzamosságok elkerülésének elvével összhangban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3383</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Kopernikusz-infrastruktúra, beleértve a Kopernikusz-Sentinelek fejlesztését, telepítését és üzemeltetését, a harmadik felek </w:t>
            </w:r>
            <w:r>
              <w:rPr>
                <w:b/>
                <w:i/>
              </w:rPr>
              <w:t>űralapú</w:t>
            </w:r>
            <w:r>
              <w:t xml:space="preserve"> Föld-megfigyelési adataihoz való hozzáférést, valamint a lokális és egyéb kiegészítő adatokhoz való folyamatos hozzáférést, beleértve a nemzetközi lokális hálózatokhoz való </w:t>
            </w:r>
            <w:r>
              <w:rPr>
                <w:b/>
                <w:i/>
              </w:rPr>
              <w:t>lehetséges</w:t>
            </w:r>
            <w:r>
              <w:t xml:space="preserve"> hozzájárulásokat is</w:t>
            </w:r>
            <w:r>
              <w:rPr>
                <w:b/>
                <w:i/>
              </w:rPr>
              <w:t>;</w:t>
            </w:r>
          </w:p>
        </w:tc>
        <w:tc>
          <w:tcPr>
            <w:tcW w:w="4876" w:type="dxa"/>
            <w:tcBorders>
              <w:top w:val="nil"/>
              <w:left w:val="nil"/>
              <w:bottom w:val="nil"/>
              <w:right w:val="nil"/>
            </w:tcBorders>
          </w:tcPr>
          <w:p>
            <w:pPr>
              <w:pStyle w:val="Normal6a"/>
            </w:pPr>
            <w:r>
              <w:t>a)</w:t>
            </w:r>
            <w:r>
              <w:tab/>
            </w:r>
            <w:r>
              <w:t xml:space="preserve">Kopernikusz-infrastruktúra, beleértve a Kopernikusz-Sentinelek fejlesztését, telepítését és üzemeltetését, a harmadik felek </w:t>
            </w:r>
            <w:r>
              <w:rPr>
                <w:b/>
                <w:i/>
              </w:rPr>
              <w:t>világűrbe telepített</w:t>
            </w:r>
            <w:r>
              <w:t xml:space="preserve"> Föld-megfigyelési adataihoz való hozzáférést, valamint a lokális és egyéb kiegészítő adatokhoz való folyamatos hozzáférést, beleértve a nemzetközi lokális hálózatokhoz való </w:t>
            </w:r>
            <w:r>
              <w:rPr>
                <w:b/>
                <w:i/>
              </w:rPr>
              <w:t>esetleges</w:t>
            </w:r>
            <w:r>
              <w:t xml:space="preserve"> hozzájárulásokat is</w:t>
            </w:r>
            <w:r>
              <w:rPr>
                <w:b/>
                <w:i/>
              </w:rPr>
              <w:t>, valamint a koherens uniós szintű biztonsági irányítási, üzembiztonsági nyomonkövetési és sebezhetőségkezelési mechanizmusok alkalmazását.</w:t>
            </w:r>
            <w:r>
              <w:t xml:space="preserve"> </w:t>
            </w:r>
            <w:r>
              <w:rPr>
                <w:b/>
                <w:i/>
              </w:rPr>
              <w:t>A Bizottság biztosítja az infrastrukturális és biztonsági funkciók átfogó koherenciáját és összehangolt irányítását a megbízott szervezetek között, a párhuzamosságok elkerülésének elvével összhangban.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3384</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Kopernikusz-infrastruktúra, beleértve a Kopernikusz-Sentinelek fejlesztését, telepítését és üzemeltetését, a harmadik felek űralapú Föld-megfigyelési adataihoz való hozzáférést, valamint a lokális és egyéb kiegészítő adatokhoz való folyamatos hozzáférést, beleértve a nemzetközi lokális hálózatokhoz való lehetséges hozzájárulásokat is;</w:t>
            </w:r>
          </w:p>
        </w:tc>
        <w:tc>
          <w:tcPr>
            <w:tcW w:w="4876" w:type="dxa"/>
            <w:tcBorders>
              <w:top w:val="nil"/>
              <w:left w:val="nil"/>
              <w:bottom w:val="nil"/>
              <w:right w:val="nil"/>
            </w:tcBorders>
          </w:tcPr>
          <w:p>
            <w:pPr>
              <w:pStyle w:val="Normal6a"/>
            </w:pPr>
            <w:r>
              <w:t>a)</w:t>
            </w:r>
            <w:r>
              <w:tab/>
            </w:r>
            <w:r>
              <w:t xml:space="preserve">Kopernikusz-infrastruktúra, beleértve a Kopernikusz-Sentinelek fejlesztését, telepítését és üzemeltetését, a harmadik felek űralapú Föld-megfigyelési adataihoz való hozzáférést, valamint a lokális és egyéb kiegészítő adatokhoz való folyamatos hozzáférést, beleértve a </w:t>
            </w:r>
            <w:r>
              <w:rPr>
                <w:b/>
                <w:i/>
              </w:rPr>
              <w:t>nemzeti forrásokból származó páneurópai szabályozási térinformatikai adatok harmonizációját, valamint a</w:t>
            </w:r>
            <w:r>
              <w:t xml:space="preserve"> nemzetközi lokális hálózatokhoz </w:t>
            </w:r>
            <w:r>
              <w:rPr>
                <w:b/>
                <w:i/>
              </w:rPr>
              <w:t>és az azokból való</w:t>
            </w:r>
            <w:r>
              <w:t xml:space="preserve"> való lehetséges hozzájárulásokat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módosítás a nemzeti forrásokon alapuló harmonizált páneurópai térinformatikai infrastruktúra révén megerősíti a Kopernikusz lokális adatait.</w:t>
      </w:r>
      <w:r>
        <w:t xml:space="preserve"> </w:t>
      </w:r>
      <w:r>
        <w:t>Támogatja azt a célkitűzést, hogy beruházzanak a közszolgáltatások és a stratégiai technológiák digitális infrastruktúrájába, miközben megerősíti az európai adatszuverenitást, versenyképességet és biztonságot.</w:t>
      </w:r>
    </w:p>
    <w:p>
      <w:r>
        <w:rPr>
          <w:rStyle w:val="HideTWBExt"/>
        </w:rPr>
        <w:t>&lt;/Amend&gt;</w:t>
      </w:r>
    </w:p>
    <w:p>
      <w:pPr>
        <w:pStyle w:val="AmNumberTabs"/>
      </w:pPr>
      <w:r>
        <w:rPr>
          <w:rStyle w:val="HideTWBExt"/>
        </w:rPr>
        <w:t>&lt;Amend&gt;</w:t>
      </w:r>
      <w:r>
        <w:t>Módosítás</w:t>
      </w:r>
      <w:r>
        <w:tab/>
      </w:r>
      <w:r>
        <w:tab/>
      </w:r>
      <w:r>
        <w:rPr>
          <w:rStyle w:val="HideTWBExt"/>
        </w:rPr>
        <w:t>&lt;NumAm&gt;</w:t>
      </w:r>
      <w:r>
        <w:t>3385</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Kopernikusz-infrastruktúra, beleértve a Kopernikusz-Sentinelek fejlesztését, telepítését és üzemeltetését, a harmadik felek űralapú Föld-megfigyelési adataihoz való hozzáférést, valamint a lokális és egyéb kiegészítő adatokhoz való folyamatos hozzáférést, beleértve a nemzetközi lokális hálózatokhoz való lehetséges hozzájárulásokat is;</w:t>
            </w:r>
          </w:p>
        </w:tc>
        <w:tc>
          <w:tcPr>
            <w:tcW w:w="4876" w:type="dxa"/>
            <w:tcBorders>
              <w:top w:val="nil"/>
              <w:left w:val="nil"/>
              <w:bottom w:val="nil"/>
              <w:right w:val="nil"/>
            </w:tcBorders>
          </w:tcPr>
          <w:p>
            <w:pPr>
              <w:pStyle w:val="Normal6a"/>
            </w:pPr>
            <w:r>
              <w:t>a)</w:t>
            </w:r>
            <w:r>
              <w:tab/>
            </w:r>
            <w:r>
              <w:t xml:space="preserve">Kopernikusz-infrastruktúra, beleértve a Kopernikusz-Sentinelek fejlesztését, telepítését és üzemeltetését, a harmadik felek űralapú Föld-megfigyelési adataihoz való hozzáférést, valamint a lokális és egyéb kiegészítő adatokhoz való folyamatos hozzáférést, beleértve a </w:t>
            </w:r>
            <w:r>
              <w:rPr>
                <w:b/>
                <w:i/>
              </w:rPr>
              <w:t>nemzeti forrásokból származó páneurópai szabályozási térinformatikai adatok harmonizációját, valamint a</w:t>
            </w:r>
            <w:r>
              <w:t xml:space="preserve"> nemzetközi lokális hálózatokhoz </w:t>
            </w:r>
            <w:r>
              <w:rPr>
                <w:b/>
                <w:i/>
              </w:rPr>
              <w:t>és az azokból való</w:t>
            </w:r>
            <w:r>
              <w:t xml:space="preserve"> való lehetséges hozzájárulásokat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3386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Kopernikusz-infrastruktúra, beleértve a Kopernikusz-Sentinelek fejlesztését, telepítését és üzemeltetését, a harmadik felek űralapú Föld-megfigyelési adataihoz való hozzáférést, valamint a lokális és egyéb kiegészítő adatokhoz való folyamatos hozzáférést, beleértve a nemzetközi lokális hálózatokhoz való lehetséges hozzájárulásokat is;</w:t>
            </w:r>
          </w:p>
        </w:tc>
        <w:tc>
          <w:tcPr>
            <w:tcW w:w="4876" w:type="dxa"/>
            <w:tcBorders>
              <w:top w:val="nil"/>
              <w:left w:val="nil"/>
              <w:bottom w:val="nil"/>
              <w:right w:val="nil"/>
            </w:tcBorders>
          </w:tcPr>
          <w:p>
            <w:pPr>
              <w:pStyle w:val="Normal6a"/>
            </w:pPr>
            <w:r>
              <w:t>a)</w:t>
            </w:r>
            <w:r>
              <w:tab/>
            </w:r>
            <w:r>
              <w:t xml:space="preserve">Kopernikusz-infrastruktúra, beleértve a Kopernikusz-Sentinelek fejlesztését, telepítését és üzemeltetését, a harmadik felek űralapú Föld-megfigyelési adataihoz való hozzáférést, valamint a lokális és egyéb kiegészítő adatokhoz való folyamatos hozzáférést, beleértve a </w:t>
            </w:r>
            <w:r>
              <w:rPr>
                <w:b/>
                <w:i/>
              </w:rPr>
              <w:t>nemzeti forrásokból származó páneurópai szabályozási térinformatikai adatok harmonizációját, valamint a</w:t>
            </w:r>
            <w:r>
              <w:t xml:space="preserve"> nemzetközi lokális hálózatokhoz </w:t>
            </w:r>
            <w:r>
              <w:rPr>
                <w:b/>
                <w:i/>
              </w:rPr>
              <w:t>és az azokból való</w:t>
            </w:r>
            <w:r>
              <w:t xml:space="preserve"> való lehetséges hozzájárulásokat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3387</w:t>
      </w:r>
      <w:r>
        <w:rPr>
          <w:rStyle w:val="HideTWBExt"/>
        </w:rPr>
        <w:t>&lt;/NumAm&gt;</w:t>
      </w:r>
    </w:p>
    <w:p>
      <w:pPr>
        <w:pStyle w:val="NormalBold"/>
      </w:pPr>
      <w:r>
        <w:rPr>
          <w:rStyle w:val="HideTWBExt"/>
          <w:b w:val="0"/>
        </w:rPr>
        <w:t>&lt;RepeatBlock-By&gt;</w:t>
      </w:r>
      <w:r>
        <w:rPr>
          <w:rStyle w:val="HideTWBExt"/>
          <w:b w:val="0"/>
        </w:rPr>
        <w:t>&lt;Members&gt;</w:t>
      </w:r>
      <w:r>
        <w:t>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Kopernikusz-infrastruktúra, beleértve a Kopernikusz-Sentinelek fejlesztését, telepítését és üzemeltetését, a harmadik felek űralapú Föld-megfigyelési adataihoz való hozzáférést, valamint a lokális és egyéb kiegészítő adatokhoz való folyamatos hozzáférést, beleértve a nemzetközi lokális hálózatokhoz való lehetséges hozzájárulásokat is;</w:t>
            </w:r>
          </w:p>
        </w:tc>
        <w:tc>
          <w:tcPr>
            <w:tcW w:w="4876" w:type="dxa"/>
            <w:tcBorders>
              <w:top w:val="nil"/>
              <w:left w:val="nil"/>
              <w:bottom w:val="nil"/>
              <w:right w:val="nil"/>
            </w:tcBorders>
          </w:tcPr>
          <w:p>
            <w:pPr>
              <w:pStyle w:val="Normal6a"/>
            </w:pPr>
            <w:r>
              <w:t>a)</w:t>
            </w:r>
            <w:r>
              <w:tab/>
            </w:r>
            <w:r>
              <w:t xml:space="preserve">Kopernikusz-infrastruktúra, beleértve a Kopernikusz-Sentinelek fejlesztését, telepítését és üzemeltetését, a harmadik felek űralapú Föld-megfigyelési adataihoz való hozzáférést, valamint a lokális és egyéb kiegészítő adatokhoz való folyamatos hozzáférést, beleértve a </w:t>
            </w:r>
            <w:r>
              <w:rPr>
                <w:b/>
                <w:i/>
              </w:rPr>
              <w:t>nemzeti forrásokból származó páneurópai szabályozási térinformatikai adatok harmonizációját, valamint a</w:t>
            </w:r>
            <w:r>
              <w:t xml:space="preserve"> nemzetközi lokális hálózatokhoz való </w:t>
            </w:r>
            <w:r>
              <w:rPr>
                <w:b/>
                <w:i/>
              </w:rPr>
              <w:t>való</w:t>
            </w:r>
            <w:r>
              <w:t xml:space="preserve"> lehetséges hozzájárulásokat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3388</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Kopernikusz-infrastruktúra, beleértve a Kopernikusz-Sentinelek fejlesztését, telepítését és üzemeltetését, a harmadik felek űralapú Föld-megfigyelési adataihoz való hozzáférést, valamint a lokális és egyéb kiegészítő adatokhoz való folyamatos hozzáférést, beleértve a nemzetközi lokális hálózatokhoz való lehetséges hozzájárulásokat is;</w:t>
            </w:r>
          </w:p>
        </w:tc>
        <w:tc>
          <w:tcPr>
            <w:tcW w:w="4876" w:type="dxa"/>
            <w:tcBorders>
              <w:top w:val="nil"/>
              <w:left w:val="nil"/>
              <w:bottom w:val="nil"/>
              <w:right w:val="nil"/>
            </w:tcBorders>
          </w:tcPr>
          <w:p>
            <w:pPr>
              <w:pStyle w:val="Normal6a"/>
            </w:pPr>
            <w:r>
              <w:t>a)</w:t>
            </w:r>
            <w:r>
              <w:tab/>
            </w:r>
            <w:r>
              <w:t xml:space="preserve">Kopernikusz-infrastruktúra, beleértve </w:t>
            </w:r>
            <w:r>
              <w:rPr>
                <w:b/>
                <w:i/>
              </w:rPr>
              <w:t>a nemzeti forrásokból származó páneurópai szabályozási térinformatikai adatok harmonizációját, valamint</w:t>
            </w:r>
            <w:r>
              <w:t> a Kopernikusz-Sentinelek fejlesztését, telepítését és üzemeltetését, a harmadik felek űralapú Föld-megfigyelési adataihoz való hozzáférést, valamint a lokális és egyéb kiegészítő adatokhoz való folyamatos hozzáférést, beleértve a nemzetközi lokális hálózatokhoz való lehetséges hozzájárulásokat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módosítás a nemzeti forrásokon alapuló harmonizált páneurópai térinformatikai infrastruktúra révén támogatni és erősíteni fogja a Kopernikusz lokális adatait.</w:t>
      </w:r>
    </w:p>
    <w:p>
      <w:r>
        <w:rPr>
          <w:rStyle w:val="HideTWBExt"/>
        </w:rPr>
        <w:t>&lt;/Amend&gt;</w:t>
      </w:r>
    </w:p>
    <w:p>
      <w:pPr>
        <w:pStyle w:val="AmNumberTabs"/>
      </w:pPr>
      <w:r>
        <w:rPr>
          <w:rStyle w:val="HideTWBExt"/>
        </w:rPr>
        <w:t>&lt;Amend&gt;</w:t>
      </w:r>
      <w:r>
        <w:t>Módosítás</w:t>
      </w:r>
      <w:r>
        <w:tab/>
      </w:r>
      <w:r>
        <w:tab/>
      </w:r>
      <w:r>
        <w:rPr>
          <w:rStyle w:val="HideTWBExt"/>
        </w:rPr>
        <w:t>&lt;NumAm&gt;</w:t>
      </w:r>
      <w:r>
        <w:t>3389</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Kopernikusz-infrastruktúra, beleértve a Kopernikusz-Sentinelek fejlesztését, telepítését és üzemeltetését, a harmadik felek űralapú Föld-megfigyelési adataihoz való hozzáférést, valamint a lokális és egyéb kiegészítő adatokhoz való folyamatos hozzáférést, beleértve a nemzetközi lokális hálózatokhoz való lehetséges hozzájárulásokat is;</w:t>
            </w:r>
          </w:p>
        </w:tc>
        <w:tc>
          <w:tcPr>
            <w:tcW w:w="4876" w:type="dxa"/>
            <w:tcBorders>
              <w:top w:val="nil"/>
              <w:left w:val="nil"/>
              <w:bottom w:val="nil"/>
              <w:right w:val="nil"/>
            </w:tcBorders>
          </w:tcPr>
          <w:p>
            <w:pPr>
              <w:pStyle w:val="Normal6a"/>
            </w:pPr>
            <w:r>
              <w:t>a)</w:t>
            </w:r>
            <w:r>
              <w:tab/>
            </w:r>
            <w:r>
              <w:t xml:space="preserve">Kopernikusz-infrastruktúra, beleértve a Kopernikusz-Sentinelek fejlesztését, telepítését és üzemeltetését, a harmadik felek űralapú Föld-megfigyelési adataihoz való hozzáférést, valamint a lokális és egyéb kiegészítő adatokhoz való folyamatos hozzáférést, beleértve a </w:t>
            </w:r>
            <w:r>
              <w:rPr>
                <w:b/>
                <w:i/>
              </w:rPr>
              <w:t>nemzeti forrásokból származó páneurópai szabályozási térinformatikai adatok harmonizációját, valamint a</w:t>
            </w:r>
            <w:r>
              <w:t xml:space="preserve"> nemzetközi lokális hálózatokhoz </w:t>
            </w:r>
            <w:r>
              <w:rPr>
                <w:b/>
                <w:i/>
              </w:rPr>
              <w:t>és az azokból való</w:t>
            </w:r>
            <w:r>
              <w:t xml:space="preserve"> való lehetséges hozzájárulásokat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módosítás a nemzeti forrásokon alapuló harmonizált páneurópai térinformatikai infrastruktúra révén támogatni és erősíteni fogja a Kopernikusz lokális adatait.</w:t>
      </w:r>
      <w:r>
        <w:t xml:space="preserve"> </w:t>
      </w:r>
      <w:r>
        <w:t>A harmonizált térinformatikai infrastruktúrába történő összehangolt uniós beruházások elengedhetetlenek az európai adatszuverenitáshoz, versenyképességhez és biztonsághoz.</w:t>
      </w:r>
    </w:p>
    <w:p>
      <w:r>
        <w:rPr>
          <w:rStyle w:val="HideTWBExt"/>
        </w:rPr>
        <w:t>&lt;/Amend&gt;</w:t>
      </w:r>
    </w:p>
    <w:p>
      <w:pPr>
        <w:pStyle w:val="AmNumberTabs"/>
      </w:pPr>
      <w:r>
        <w:rPr>
          <w:rStyle w:val="HideTWBExt"/>
        </w:rPr>
        <w:t>&lt;Amend&gt;</w:t>
      </w:r>
      <w:r>
        <w:t>Módosítás</w:t>
      </w:r>
      <w:r>
        <w:tab/>
      </w:r>
      <w:r>
        <w:tab/>
      </w:r>
      <w:r>
        <w:rPr>
          <w:rStyle w:val="HideTWBExt"/>
        </w:rPr>
        <w:t>&lt;NumAm&gt;</w:t>
      </w:r>
      <w:r>
        <w:t>3390</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Kopernikusz-szolgáltatások, beleértve a </w:t>
            </w:r>
            <w:r>
              <w:rPr>
                <w:b/>
                <w:i/>
              </w:rPr>
              <w:t>föld, az éghajlatváltozás, a légkör és a tengeri környezet globális szintű környezetvédelmi megfigyelését;</w:t>
            </w:r>
            <w:r>
              <w:t xml:space="preserve"> </w:t>
            </w:r>
            <w:r>
              <w:rPr>
                <w:b/>
                <w:i/>
              </w:rPr>
              <w:t>veszélyhelyzet-kezelési szolgáltatások;</w:t>
            </w:r>
            <w:r>
              <w:t xml:space="preserve"> </w:t>
            </w:r>
            <w:r>
              <w:rPr>
                <w:b/>
                <w:i/>
              </w:rPr>
              <w:t>megelőzési és felkészültségi szolgáltatások;</w:t>
            </w:r>
            <w:r>
              <w:t xml:space="preserve"> </w:t>
            </w:r>
            <w:r>
              <w:rPr>
                <w:b/>
                <w:i/>
              </w:rPr>
              <w:t>az Unión belüli biztonsági szolgáltatások;</w:t>
            </w:r>
            <w:r>
              <w:t xml:space="preserve"> </w:t>
            </w:r>
            <w:r>
              <w:rPr>
                <w:b/>
                <w:i/>
              </w:rPr>
              <w:t>beleértve a tengerfelügyeletet és a határőrizetet;</w:t>
            </w:r>
            <w:r>
              <w:t xml:space="preserve"> </w:t>
            </w:r>
            <w:r>
              <w:rPr>
                <w:b/>
                <w:i/>
              </w:rPr>
              <w:t>az Unió külső tevékenységének és a közös kül- és biztonságpolitikának a támogatása;</w:t>
            </w:r>
          </w:p>
        </w:tc>
        <w:tc>
          <w:tcPr>
            <w:tcW w:w="4876" w:type="dxa"/>
            <w:tcBorders>
              <w:top w:val="nil"/>
              <w:left w:val="nil"/>
              <w:bottom w:val="nil"/>
              <w:right w:val="nil"/>
            </w:tcBorders>
          </w:tcPr>
          <w:p>
            <w:pPr>
              <w:pStyle w:val="Normal6a"/>
            </w:pPr>
            <w:r>
              <w:t>b)</w:t>
            </w:r>
            <w:r>
              <w:tab/>
            </w:r>
            <w:r>
              <w:rPr>
                <w:b/>
                <w:i/>
              </w:rPr>
              <w:t>nyilvános</w:t>
            </w:r>
            <w:r>
              <w:t xml:space="preserve"> Kopernikusz-szolgáltatások, beleértve a </w:t>
            </w:r>
            <w:r>
              <w:rPr>
                <w:b/>
                <w:i/>
              </w:rPr>
              <w:t>következőket: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Kopernikusz-szolgáltatások részletei korlátozottak, különösen egy több milliárd eurós program esetében.</w:t>
      </w:r>
      <w:r>
        <w:t xml:space="preserve"> </w:t>
      </w:r>
      <w:r>
        <w:t>Itt további részleteket javasolunk, az előző űrprogramból merítve.</w:t>
      </w:r>
    </w:p>
    <w:p>
      <w:r>
        <w:rPr>
          <w:rStyle w:val="HideTWBExt"/>
        </w:rPr>
        <w:t>&lt;/Amend&gt;</w:t>
      </w:r>
    </w:p>
    <w:p>
      <w:pPr>
        <w:pStyle w:val="AmNumberTabs"/>
      </w:pPr>
      <w:r>
        <w:rPr>
          <w:rStyle w:val="HideTWBExt"/>
        </w:rPr>
        <w:t>&lt;Amend&gt;</w:t>
      </w:r>
      <w:r>
        <w:t>Módosítás</w:t>
      </w:r>
      <w:r>
        <w:tab/>
      </w:r>
      <w:r>
        <w:tab/>
      </w:r>
      <w:r>
        <w:rPr>
          <w:rStyle w:val="HideTWBExt"/>
        </w:rPr>
        <w:t>&lt;NumAm&gt;</w:t>
      </w:r>
      <w:r>
        <w:t>3391</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b pont – i alpont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légkörmonitoring szolgáltatás, amely időszerű adatokat, termékeket és információkat szolgáltat a levegőminőségről, a légkör összetételéről és állapotáról, az üvegházhatást okozó gázok emberi eredetű és természetes kibocsátásáról és eltávolításáról, a légköri szennyező anyagokról és a kapcsolódó jelenségekről helyi és globális szinten egyaránt, többek között a nyomon követés, a jelentéstétel, az ellenőrzés, a megfelelésbiztosítás, az előrejelzés és a vonatkozó uniós szakpolitikák végrehajtásának támogatása érdekében;</w:t>
            </w:r>
            <w:r>
              <w:t xml:space="preserve"> </w:t>
            </w:r>
            <w:r>
              <w:rPr>
                <w:b/>
                <w:i/>
              </w:rPr>
              <w:t>ez a szolgáltatás támogatja az emberi eredetű üvegházhatásúgáz-kibocsátások időben történő észlelésére, számszerűsítésére és hozzárendelésére szolgáló képességek fokozatos fejlesztését;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pontosabban meghatározzák a különböző nyilvános Kopernikusz-szolgáltatásokat, és összehangolják azokat az operatív igényekkel és az uniós szakpolitikákkal.</w:t>
      </w:r>
    </w:p>
    <w:p>
      <w:r>
        <w:rPr>
          <w:rStyle w:val="HideTWBExt"/>
        </w:rPr>
        <w:t>&lt;/Amend&gt;</w:t>
      </w:r>
    </w:p>
    <w:p>
      <w:pPr>
        <w:pStyle w:val="AmNumberTabs"/>
      </w:pPr>
      <w:r>
        <w:rPr>
          <w:rStyle w:val="HideTWBExt"/>
        </w:rPr>
        <w:t>&lt;Amend&gt;</w:t>
      </w:r>
      <w:r>
        <w:t>Módosítás</w:t>
      </w:r>
      <w:r>
        <w:tab/>
      </w:r>
      <w:r>
        <w:tab/>
      </w:r>
      <w:r>
        <w:rPr>
          <w:rStyle w:val="HideTWBExt"/>
        </w:rPr>
        <w:t>&lt;NumAm&gt;</w:t>
      </w:r>
      <w:r>
        <w:t>3392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b pont – ii alpont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w:t>
            </w:r>
            <w:r>
              <w:tab/>
            </w:r>
            <w:r>
              <w:rPr>
                <w:b/>
                <w:i/>
              </w:rPr>
              <w:t>tengerikörnyezet-monitoring szolgáltatás, amely adatokat, termékeket és információkat szolgáltat az óceáni, tengeri és part menti ökoszisztémák állapotáról, dinamikájáról és használatáról, a tengeri erőforrásokról, a tengeri környezeti feltételekről és a kapcsolódó kockázatokról, a tengerparttól a globális óceánszintig, többek között a környezetvédelem, az éghajlatváltozás hatásaival szembeni reziliencia, a tengeri helyzetismeret, a tengeri erőforrások fenntartható használata és a kritikus infrastruktúrák védelmének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pontosabban meghatározzák a különböző nyilvános Kopernikusz-szolgáltatásokat, és összehangolják azokat az operatív igényekkel és az uniós szakpolitikákkal.</w:t>
      </w:r>
    </w:p>
    <w:p>
      <w:r>
        <w:rPr>
          <w:rStyle w:val="HideTWBExt"/>
        </w:rPr>
        <w:t>&lt;/Amend&gt;</w:t>
      </w:r>
    </w:p>
    <w:p>
      <w:pPr>
        <w:pStyle w:val="AmNumberTabs"/>
      </w:pPr>
      <w:r>
        <w:rPr>
          <w:rStyle w:val="HideTWBExt"/>
        </w:rPr>
        <w:t>&lt;Amend&gt;</w:t>
      </w:r>
      <w:r>
        <w:t>Módosítás</w:t>
      </w:r>
      <w:r>
        <w:tab/>
      </w:r>
      <w:r>
        <w:tab/>
      </w:r>
      <w:r>
        <w:rPr>
          <w:rStyle w:val="HideTWBExt"/>
        </w:rPr>
        <w:t>&lt;NumAm&gt;</w:t>
      </w:r>
      <w:r>
        <w:t>3393</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b pont – iii alpont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w:t>
            </w:r>
            <w:r>
              <w:tab/>
            </w:r>
            <w:r>
              <w:rPr>
                <w:b/>
                <w:i/>
              </w:rPr>
              <w:t>szárazföld-monitoring szolgáltatás, amely adatokat, termékeket és információkat szolgáltat a felszínborításról, a földhasználatról és a földhasználat megváltoztatásáról, a földmozgásokról, a városi területekről, a kulturális örökség helyszíneiről, a szárazföldi vizekről, a talajról, az erdőkről, a mezőgazdaságról, a biológiai sokféleségről, a krioszféráról és egyéb szárazföldi természeti erőforrásokról és feltételekről, többek között a vízgazdálkodás rezilienciájának, a földgazdálkodásnak, az élelmiszerrendszereknek, az éghajlatváltozáshoz való alkalmazkodásnak és a rezilienciatervezésnek a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pontosabban meghatározzák a különböző nyilvános Kopernikusz-szolgáltatásokat, és összehangolják azokat az operatív igényekkel és az uniós szakpolitikákkal.</w:t>
      </w:r>
    </w:p>
    <w:p>
      <w:r>
        <w:rPr>
          <w:rStyle w:val="HideTWBExt"/>
        </w:rPr>
        <w:t>&lt;/Amend&gt;</w:t>
      </w:r>
    </w:p>
    <w:p>
      <w:pPr>
        <w:pStyle w:val="AmNumberTabs"/>
      </w:pPr>
      <w:r>
        <w:rPr>
          <w:rStyle w:val="HideTWBExt"/>
        </w:rPr>
        <w:t>&lt;Amend&gt;</w:t>
      </w:r>
      <w:r>
        <w:t>Módosítás</w:t>
      </w:r>
      <w:r>
        <w:tab/>
      </w:r>
      <w:r>
        <w:tab/>
      </w:r>
      <w:r>
        <w:rPr>
          <w:rStyle w:val="HideTWBExt"/>
        </w:rPr>
        <w:t>&lt;NumAm&gt;</w:t>
      </w:r>
      <w:r>
        <w:t>3394</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b pont – iv alpont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w:t>
            </w:r>
            <w:r>
              <w:tab/>
            </w:r>
            <w:r>
              <w:rPr>
                <w:b/>
                <w:i/>
              </w:rPr>
              <w:t>az éghajlatváltozás-monitoring szolgáltatás, amely adatokat, termékeket és információkat szolgáltat az alapvető éghajlati változókról, az ismételt éghajlati elemzésekről, a szezonális előrejelzésekről, az éghajlat-előrejelzésekről, a hozzárendelésről, a hosszú távú tendenciákról és az éghajlattal kapcsolatos kockázatokról, többek között a sarkköri területeken bekövetkező és a sarkvidéki változásokkal kapcsolatban, valamint támogatja az éghajlatváltozás mérséklését, az ahhoz való alkalmazkodást, a rezilienciatervezést, a felkészültséget és a kockázatértékelést;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pontosabban meghatározzák a különböző nyilvános Kopernikusz-szolgáltatásokat, és összehangolják azokat az operatív igényekkel és az uniós szakpolitikákkal.</w:t>
      </w:r>
    </w:p>
    <w:p>
      <w:r>
        <w:rPr>
          <w:rStyle w:val="HideTWBExt"/>
        </w:rPr>
        <w:t>&lt;/Amend&gt;</w:t>
      </w:r>
    </w:p>
    <w:p>
      <w:pPr>
        <w:pStyle w:val="AmNumberTabs"/>
      </w:pPr>
      <w:r>
        <w:rPr>
          <w:rStyle w:val="HideTWBExt"/>
        </w:rPr>
        <w:t>&lt;Amend&gt;</w:t>
      </w:r>
      <w:r>
        <w:t>Módosítás</w:t>
      </w:r>
      <w:r>
        <w:tab/>
      </w:r>
      <w:r>
        <w:tab/>
      </w:r>
      <w:r>
        <w:rPr>
          <w:rStyle w:val="HideTWBExt"/>
        </w:rPr>
        <w:t>&lt;NumAm&gt;</w:t>
      </w:r>
      <w:r>
        <w:t>3395</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b pont – v alpont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w:t>
            </w:r>
            <w:r>
              <w:tab/>
            </w:r>
            <w:r>
              <w:rPr>
                <w:b/>
                <w:i/>
              </w:rPr>
              <w:t>veszélyhelyzet-kezelési szolgáltatás, amely időszerű adatokat, termékeket és információkat szolgáltat a polgári védelemmel, a válságkezeléssel és a katasztrófakockázat-kezeléssel – többek között a korai előrejelzéssel, a helyzetismerettel, a gyors feltérképezéssel, a megelőzéssel, a felkészültséggel, a reagálással, a helyreállítással és a természeti vagy ember okozta katasztrófákkal kapcsolatos, több veszélyre kiterjedő kockázatelemzéssel – foglalkozó hatóságok támogatása érdekében és azokkal együttműködésben;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pontosabban meghatározzák a különböző nyilvános Kopernikusz-szolgáltatásokat, és összehangolják azokat az operatív igényekkel és az uniós szakpolitikákkal.</w:t>
      </w:r>
    </w:p>
    <w:p>
      <w:r>
        <w:rPr>
          <w:rStyle w:val="HideTWBExt"/>
        </w:rPr>
        <w:t>&lt;/Amend&gt;</w:t>
      </w:r>
    </w:p>
    <w:p>
      <w:pPr>
        <w:pStyle w:val="AmNumberTabs"/>
      </w:pPr>
      <w:r>
        <w:rPr>
          <w:rStyle w:val="HideTWBExt"/>
        </w:rPr>
        <w:t>&lt;Amend&gt;</w:t>
      </w:r>
      <w:r>
        <w:t>Módosítás</w:t>
      </w:r>
      <w:r>
        <w:tab/>
      </w:r>
      <w:r>
        <w:tab/>
      </w:r>
      <w:r>
        <w:rPr>
          <w:rStyle w:val="HideTWBExt"/>
        </w:rPr>
        <w:t>&lt;NumAm&gt;</w:t>
      </w:r>
      <w:r>
        <w:t>3396</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b pont – vi alpont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w:t>
            </w:r>
            <w:r>
              <w:tab/>
            </w:r>
            <w:r>
              <w:rPr>
                <w:b/>
                <w:i/>
              </w:rPr>
              <w:t>biztonsági szolgáltatás, amely időszerű, megbízható és biztonságos adatokat, termékeket és információkat szolgáltat az Unión belüli és az Unió külső határain történő megfigyelés, a tengerfelügyelet, a kritikus infrastruktúra védelme, az Unió külső tevékenysége, az Unió előtt álló biztonsági kihívásokra adott válaszok, valamint a közös kül- és biztonságpolitika célkitűzései és fellépései támogatása érdekében, többek között a helyzetismeretet szolgáló térinformatikai információk révén;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pontosabban meghatározzák a különböző nyilvános Kopernikusz-szolgáltatásokat, és összehangolják azokat az operatív igényekkel és az uniós szakpolitikákkal.</w:t>
      </w:r>
    </w:p>
    <w:p>
      <w:r>
        <w:rPr>
          <w:rStyle w:val="HideTWBExt"/>
        </w:rPr>
        <w:t>&lt;/Amend&gt;</w:t>
      </w:r>
    </w:p>
    <w:p>
      <w:pPr>
        <w:pStyle w:val="AmNumberTabs"/>
      </w:pPr>
      <w:r>
        <w:rPr>
          <w:rStyle w:val="HideTWBExt"/>
        </w:rPr>
        <w:t>&lt;Amend&gt;</w:t>
      </w:r>
      <w:r>
        <w:t>Módosítás</w:t>
      </w:r>
      <w:r>
        <w:tab/>
      </w:r>
      <w:r>
        <w:tab/>
      </w:r>
      <w:r>
        <w:rPr>
          <w:rStyle w:val="HideTWBExt"/>
        </w:rPr>
        <w:t>&lt;NumAm&gt;</w:t>
      </w:r>
      <w:r>
        <w:t>3397</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b pont – vii alpont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w:t>
            </w:r>
            <w:r>
              <w:tab/>
            </w:r>
            <w:r>
              <w:rPr>
                <w:b/>
                <w:i/>
              </w:rPr>
              <w:t>a nyilvános Kopernikusz-szolgáltatások felhasználók általi igénybevétele, beleértve a felhasználói igények azonosítását és elemzését, a Kopernikusz alapfelhasználóinak támogatását, a kapacitásépítést, a piacfejlesztést, valamint a downstream alkalmazások és szolgáltatások fejlesztését a Kopernikusz-adatokból, -termékekből és -információkból származó társadalmi-gazdasági, tudományos és közpolitikai előnyök maximalizálása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felhasználók általi igénybevétel és a downstream alkalmazások elengedhetetlenek a Kopernikusz által generált társadalmi-gazdasági, tudományos és szakpolitikai előnyök maximalizálásához.</w:t>
      </w:r>
    </w:p>
    <w:p>
      <w:r>
        <w:rPr>
          <w:rStyle w:val="HideTWBExt"/>
        </w:rPr>
        <w:t>&lt;/Amend&gt;</w:t>
      </w:r>
    </w:p>
    <w:p>
      <w:pPr>
        <w:pStyle w:val="AmNumberTabs"/>
      </w:pPr>
      <w:r>
        <w:rPr>
          <w:rStyle w:val="HideTWBExt"/>
        </w:rPr>
        <w:t>&lt;Amend&gt;</w:t>
      </w:r>
      <w:r>
        <w:t>Módosítás</w:t>
      </w:r>
      <w:r>
        <w:tab/>
      </w:r>
      <w:r>
        <w:tab/>
      </w:r>
      <w:r>
        <w:rPr>
          <w:rStyle w:val="HideTWBExt"/>
        </w:rPr>
        <w:t>&lt;NumAm&gt;</w:t>
      </w:r>
      <w:r>
        <w:t>3398</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 </w:t>
            </w:r>
            <w:r>
              <w:rPr>
                <w:b/>
                <w:i/>
              </w:rPr>
              <w:t>Kopernikusz-adatokhoz</w:t>
            </w:r>
            <w:r>
              <w:t xml:space="preserve"> való hozzáférés és azok terjesztése, beleértve a </w:t>
            </w:r>
            <w:r>
              <w:rPr>
                <w:b/>
                <w:i/>
              </w:rPr>
              <w:t>Kopernikusz-adatok és -</w:t>
            </w:r>
            <w:r>
              <w:t xml:space="preserve">információk felhasználóbarát módon történő felfedezését, megtekintését, hozzáférhetőségét, terjesztését </w:t>
            </w:r>
            <w:r>
              <w:rPr>
                <w:b/>
                <w:i/>
              </w:rPr>
              <w:t>és</w:t>
            </w:r>
            <w:r>
              <w:t xml:space="preserve"> hasznosítását</w:t>
            </w:r>
            <w:r>
              <w:rPr>
                <w:b/>
                <w:i/>
              </w:rPr>
              <w:t>, valamint</w:t>
            </w:r>
            <w:r>
              <w:t xml:space="preserve"> hosszú távú megőrzését, különösen </w:t>
            </w:r>
            <w:r>
              <w:rPr>
                <w:b/>
                <w:i/>
              </w:rPr>
              <w:t>a</w:t>
            </w:r>
            <w:r>
              <w:t xml:space="preserve"> más adatterekkel, például az európai zöldmegállapodás-adattérrel vagy a digitális ikermodellekkel </w:t>
            </w:r>
            <w:r>
              <w:rPr>
                <w:b/>
                <w:i/>
              </w:rPr>
              <w:t>való szinergiákat biztosító infrastruktúrát és szolgáltatásokat;  </w:t>
            </w:r>
          </w:p>
        </w:tc>
        <w:tc>
          <w:tcPr>
            <w:tcW w:w="4876" w:type="dxa"/>
            <w:tcBorders>
              <w:top w:val="nil"/>
              <w:left w:val="nil"/>
              <w:bottom w:val="nil"/>
              <w:right w:val="nil"/>
            </w:tcBorders>
          </w:tcPr>
          <w:p>
            <w:pPr>
              <w:pStyle w:val="Normal6a"/>
            </w:pPr>
            <w:r>
              <w:t>c)</w:t>
            </w:r>
            <w:r>
              <w:tab/>
            </w:r>
            <w:r>
              <w:t xml:space="preserve">a </w:t>
            </w:r>
            <w:r>
              <w:rPr>
                <w:b/>
                <w:i/>
              </w:rPr>
              <w:t>nyilvános Kopernikusz-szolgáltatásokhoz kapcsolódó adatokhoz</w:t>
            </w:r>
            <w:r>
              <w:t xml:space="preserve"> való hozzáférés és azok terjesztése, beleértve a </w:t>
            </w:r>
            <w:r>
              <w:rPr>
                <w:b/>
                <w:i/>
              </w:rPr>
              <w:t>nyilvános Kopernikusz-szolgáltatásokhoz kapcsolódó adatok, termékek és</w:t>
            </w:r>
            <w:r>
              <w:t xml:space="preserve"> információk felhasználóbarát módon</w:t>
            </w:r>
            <w:r>
              <w:rPr>
                <w:b/>
                <w:i/>
              </w:rPr>
              <w:t>, egyedi kapcsolattartó ponttal</w:t>
            </w:r>
            <w:r>
              <w:t xml:space="preserve"> történő felfedezését, megtekintését, hozzáférhetőségét, </w:t>
            </w:r>
            <w:r>
              <w:rPr>
                <w:b/>
                <w:i/>
              </w:rPr>
              <w:t>nyomonkövethetőségét,</w:t>
            </w:r>
            <w:r>
              <w:t xml:space="preserve"> terjesztését</w:t>
            </w:r>
            <w:r>
              <w:rPr>
                <w:b/>
                <w:i/>
              </w:rPr>
              <w:t>, interoperabilitását,</w:t>
            </w:r>
            <w:r>
              <w:t xml:space="preserve"> hasznosítását </w:t>
            </w:r>
            <w:r>
              <w:rPr>
                <w:b/>
                <w:i/>
              </w:rPr>
              <w:t>és</w:t>
            </w:r>
            <w:r>
              <w:t xml:space="preserve"> hosszú távú megőrzését </w:t>
            </w:r>
            <w:r>
              <w:rPr>
                <w:b/>
                <w:i/>
              </w:rPr>
              <w:t>biztosító infrastruktúrát és szolgáltatásokat, beleértve adott esetben a kiegészítő köz-, magán-, kereskedelmi és lokális adatforrások integrálását, valamint a folytonosság, a használhatóság, az operatív rendelkezésre állás és a tényleges hozzáférés biztosítását a Kopernikusz alapfelhasználói, a hatóságok, a kutatószervezetek és a vállalatok számára</w:t>
            </w:r>
            <w:r>
              <w:t xml:space="preserve">, különösen más adatterekkel, például az európai zöldmegállapodás-adattérrel vagy a digitális ikermodellekkel </w:t>
            </w:r>
            <w:r>
              <w:rPr>
                <w:b/>
                <w:i/>
              </w:rPr>
              <w:t>szinergiában.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adatokhoz való hozzáférés és az adatok terjesztése magában foglalja egy önálló európai térinformatikai referencia-infrastruktúra és a kapcsolódó feltérképezési szolgáltatások fejlesztését, karbantartását és folyamatos frissítését, integrálva a tagállamoktól, a Kopernikusz-adatokból és más uniós forrásokból származó hiteles térinformatikai és térképészeti adatokat az uniós közpolitikák támogatása és a térinformatikai információk autonómiájának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adatokhoz való hozzáférés pontosítása, valamint egy jelenleg hiányzó önálló európai térinformatikai hivatkozás létrehozása.</w:t>
      </w:r>
      <w:r>
        <w:t xml:space="preserve"> </w:t>
      </w:r>
      <w:r>
        <w:t>Európa továbbra is nagymértékben függ a kritikus digitális infrastruktúrák és operatív alkalmazások nem uniós térinformatikai és feltérképezési szolgáltatásaitól.</w:t>
      </w:r>
    </w:p>
    <w:p>
      <w:r>
        <w:rPr>
          <w:rStyle w:val="HideTWBExt"/>
        </w:rPr>
        <w:t>&lt;/Amend&gt;</w:t>
      </w:r>
    </w:p>
    <w:p>
      <w:pPr>
        <w:pStyle w:val="AmNumberTabs"/>
      </w:pPr>
      <w:r>
        <w:rPr>
          <w:rStyle w:val="HideTWBExt"/>
        </w:rPr>
        <w:t>&lt;Amend&gt;</w:t>
      </w:r>
      <w:r>
        <w:t>Módosítás</w:t>
      </w:r>
      <w:r>
        <w:tab/>
      </w:r>
      <w:r>
        <w:tab/>
      </w:r>
      <w:r>
        <w:rPr>
          <w:rStyle w:val="HideTWBExt"/>
        </w:rPr>
        <w:t>&lt;NumAm&gt;</w:t>
      </w:r>
      <w:r>
        <w:t>3399</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 Kopernikusz-adatokhoz való hozzáférés és azok terjesztése, beleértve a Kopernikusz-adatok és -információk felhasználóbarát módon történő felfedezését, megtekintését, hozzáférhetőségét, terjesztését és hasznosítását, valamint hosszú távú megőrzését, különösen a más adatterekkel, például az európai zöldmegállapodás-adattérrel vagy a digitális ikermodellekkel való szinergiákat biztosító infrastruktúrát és szolgáltatásokat;</w:t>
            </w:r>
            <w:r>
              <w:rPr>
                <w:b/>
                <w:i/>
              </w:rPr>
              <w:t xml:space="preserve">  </w:t>
            </w:r>
          </w:p>
        </w:tc>
        <w:tc>
          <w:tcPr>
            <w:tcW w:w="4876" w:type="dxa"/>
            <w:tcBorders>
              <w:top w:val="nil"/>
              <w:left w:val="nil"/>
              <w:bottom w:val="nil"/>
              <w:right w:val="nil"/>
            </w:tcBorders>
          </w:tcPr>
          <w:p>
            <w:pPr>
              <w:pStyle w:val="Normal6a"/>
            </w:pPr>
            <w:r>
              <w:t>c)</w:t>
            </w:r>
            <w:r>
              <w:tab/>
            </w:r>
            <w:r>
              <w:t>a Kopernikusz-adatokhoz való hozzáférés és azok terjesztése, beleértve a Kopernikusz-adatok és -információk felhasználóbarát módon történő felfedezését, megtekintését, hozzáférhetőségét, terjesztését és hasznosítását, valamint hosszú távú megőrzését, különösen a más adatterekkel, például az európai zöldmegállapodás-adattérrel vagy a digitális ikermodellekkel való szinergiákat biztosító infrastruktúrát és szolgáltatásokat</w:t>
            </w:r>
            <w:r>
              <w:rPr>
                <w:b/>
                <w:i/>
              </w:rPr>
              <w:t>, beleértve az adatok újrafelhasználását, interoperabilitását és átláthatóságát előmozdító biztonságos és tanúsított adatmegosztási mechanizmusokat az uniós fenntarthatósági célkitűzések támogatása érdekében.</w:t>
            </w:r>
            <w:r>
              <w:t xml:space="preserve"> </w:t>
            </w:r>
            <w:r>
              <w:rPr>
                <w:b/>
                <w:i/>
              </w:rPr>
              <w:t>Szükség esetén ezeknek a mechanizmusoknak biztosítaniuk kell a Kopernikusz-adatok védelmét, hitelesítését és integritását, és azokat egyedi kapcsolattartó ponton keresztül kell végrehajtani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3400</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 Kopernikusz-adatokhoz való hozzáférés és azok terjesztése, beleértve a Kopernikusz-adatok és -információk felhasználóbarát módon történő felfedezését, megtekintését, hozzáférhetőségét, terjesztését és hasznosítását, valamint hosszú távú megőrzését, különösen a más adatterekkel, például az európai zöldmegállapodás-adattérrel vagy a digitális ikermodellekkel való szinergiákat biztosító infrastruktúrát és szolgáltatásokat;</w:t>
            </w:r>
            <w:r>
              <w:rPr>
                <w:b/>
                <w:i/>
              </w:rPr>
              <w:t xml:space="preserve">  </w:t>
            </w:r>
          </w:p>
        </w:tc>
        <w:tc>
          <w:tcPr>
            <w:tcW w:w="4876" w:type="dxa"/>
            <w:tcBorders>
              <w:top w:val="nil"/>
              <w:left w:val="nil"/>
              <w:bottom w:val="nil"/>
              <w:right w:val="nil"/>
            </w:tcBorders>
          </w:tcPr>
          <w:p>
            <w:pPr>
              <w:pStyle w:val="Normal6a"/>
            </w:pPr>
            <w:r>
              <w:t>c)</w:t>
            </w:r>
            <w:r>
              <w:tab/>
            </w:r>
            <w:r>
              <w:t>a Kopernikusz-adatokhoz való hozzáférés és azok terjesztése, beleértve a Kopernikusz-adatok és -információk felhasználóbarát módon történő felfedezését, megtekintését, hozzáférhetőségét, terjesztését és hasznosítását, valamint hosszú távú megőrzését, különösen a más adatterekkel, például az európai zöldmegállapodás-adattérrel vagy a digitális ikermodellekkel való szinergiákat biztosító infrastruktúrát és szolgáltatásokat</w:t>
            </w:r>
            <w:r>
              <w:rPr>
                <w:b/>
                <w:i/>
              </w:rPr>
              <w:t>, beleértve az adatok újrafelhasználását, interoperabilitását és átláthatóságát előmozdító biztonságos és tanúsított adatmegosztási mechanizmusokat az uniós fenntarthatósági célkitűzések támogatása érdekében.</w:t>
            </w:r>
            <w:r>
              <w:t xml:space="preserve"> </w:t>
            </w:r>
            <w:r>
              <w:rPr>
                <w:b/>
                <w:i/>
              </w:rPr>
              <w:t>Szükség esetén ezeknek a mechanizmusoknak biztosítaniuk kell a Kopernikusz-adatok védelmét, hitelesítését és integritását, és azokat egyedi kapcsolattartó ponton keresztül kell végrehajtani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3401</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 Kopernikusz-adatokhoz való hozzáférés és azok terjesztése, beleértve a Kopernikusz-adatok és -információk felhasználóbarát módon történő felfedezését, megtekintését, hozzáférhetőségét, terjesztését és hasznosítását, valamint hosszú távú megőrzését, különösen a más adatterekkel, például az európai zöldmegállapodás-adattérrel vagy a digitális ikermodellekkel való szinergiákat biztosító infrastruktúrát és szolgáltatásokat;</w:t>
            </w:r>
            <w:r>
              <w:rPr>
                <w:b/>
                <w:i/>
              </w:rPr>
              <w:t xml:space="preserve">  </w:t>
            </w:r>
          </w:p>
        </w:tc>
        <w:tc>
          <w:tcPr>
            <w:tcW w:w="4876" w:type="dxa"/>
            <w:tcBorders>
              <w:top w:val="nil"/>
              <w:left w:val="nil"/>
              <w:bottom w:val="nil"/>
              <w:right w:val="nil"/>
            </w:tcBorders>
          </w:tcPr>
          <w:p>
            <w:pPr>
              <w:pStyle w:val="Normal6a"/>
            </w:pPr>
            <w:r>
              <w:t>c)</w:t>
            </w:r>
            <w:r>
              <w:tab/>
            </w:r>
            <w:r>
              <w:t>a Kopernikusz-adatokhoz való hozzáférés és azok terjesztése, beleértve a Kopernikusz-adatok és -információk felhasználóbarát módon történő felfedezését, megtekintését, hozzáférhetőségét, terjesztését és hasznosítását, valamint hosszú távú megőrzését, különösen a más adatterekkel, például az európai zöldmegállapodás-adattérrel vagy a digitális ikermodellekkel való szinergiákat biztosító infrastruktúrát és szolgáltatásokat</w:t>
            </w:r>
            <w:r>
              <w:rPr>
                <w:b/>
                <w:i/>
              </w:rPr>
              <w:t>, beleértve az adatok újrafelhasználását, interoperabilitását és átláthatóságát előmozdító biztonságos és tanúsított adatmegosztási mechanizmusokat az uniós fenntarthatósági célkitűzések támogatása érdekében.</w:t>
            </w:r>
            <w:r>
              <w:t xml:space="preserve"> </w:t>
            </w:r>
            <w:r>
              <w:rPr>
                <w:b/>
                <w:i/>
              </w:rPr>
              <w:t>Szükség esetén ezeknek a mechanizmusoknak biztosítaniuk kell a Kopernikusz-adatok védelmét, hitelesítését és integritását, és azokat egyedi kapcsolattartó ponton keresztül kell végrehajtani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3402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 nyilvános Kopernikusz.szolgáltatásoknak a felhasználói igényeknek és a technológiai fejlődésnek megfelelően kell fejlődniük, folyamatosan törekedve földrajzi lefedettségük, térbeli és időbeli felbontásuk, beszerzésük gyakorisága, időszerűségük, pontosságuk, megbízhatóságuk, folyamatosságuk és operatív használhatóságuk javítására.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nyilvános Kopernikusz-szolgáltatásoknak folyamatosan fejlődniük kell a technológiai fejlődéssel és az operatív felhasználói igényekkel összhangban.</w:t>
      </w:r>
    </w:p>
    <w:p>
      <w:r>
        <w:rPr>
          <w:rStyle w:val="HideTWBExt"/>
        </w:rPr>
        <w:t>&lt;/Amend&gt;</w:t>
      </w:r>
    </w:p>
    <w:p>
      <w:pPr>
        <w:pStyle w:val="AmNumberTabs"/>
      </w:pPr>
      <w:r>
        <w:rPr>
          <w:rStyle w:val="HideTWBExt"/>
        </w:rPr>
        <w:t>&lt;Amend&gt;</w:t>
      </w:r>
      <w:r>
        <w:t>Módosítás</w:t>
      </w:r>
      <w:r>
        <w:tab/>
      </w:r>
      <w:r>
        <w:tab/>
      </w:r>
      <w:r>
        <w:rPr>
          <w:rStyle w:val="HideTWBExt"/>
        </w:rPr>
        <w:t>&lt;NumAm&gt;</w:t>
      </w:r>
      <w:r>
        <w:t>3403</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 Bizottság a 84. cikknek megfelelően felhatalmazáson alapuló jogi aktusokat is </w:t>
            </w:r>
            <w:r>
              <w:rPr>
                <w:b/>
                <w:i/>
              </w:rPr>
              <w:t>elfogadhat</w:t>
            </w:r>
            <w:r>
              <w:t xml:space="preserve"> annak érdekében, hogy a biztonsági korlátozások, valamint a Kopernikusz-adatokhoz és a Kopernikusz-információkhoz való hozzáférésre és azok felhasználására vonatkozó előírások, feltételek és eljárások tekintetében kiegészítse a Kopernikusz-adatokra és -információkra vonatkozó szakpolitikát.</w:t>
            </w:r>
          </w:p>
        </w:tc>
        <w:tc>
          <w:tcPr>
            <w:tcW w:w="4876" w:type="dxa"/>
            <w:tcBorders>
              <w:top w:val="nil"/>
              <w:left w:val="nil"/>
              <w:bottom w:val="nil"/>
              <w:right w:val="nil"/>
            </w:tcBorders>
          </w:tcPr>
          <w:p>
            <w:pPr>
              <w:pStyle w:val="Normal6a"/>
            </w:pPr>
            <w:r>
              <w:t>(6)</w:t>
            </w:r>
            <w:r>
              <w:tab/>
            </w:r>
            <w:r>
              <w:t xml:space="preserve">A Bizottság a 84. cikknek megfelelően felhatalmazáson alapuló jogi aktusokat is </w:t>
            </w:r>
            <w:r>
              <w:rPr>
                <w:b/>
                <w:i/>
              </w:rPr>
              <w:t>fogad el</w:t>
            </w:r>
            <w:r>
              <w:t xml:space="preserve"> annak érdekében, hogy a biztonsági korlátozások, valamint a Kopernikusz-adatokhoz és a Kopernikusz-információkhoz való hozzáférésre és azok felhasználására vonatkozó előírások, feltételek és eljárások tekintetében kiegészítse a Kopernikusz-adatokra és -információkra vonatkozó szakpolitikát. </w:t>
            </w:r>
            <w:r>
              <w:rPr>
                <w:b/>
                <w:i/>
              </w:rPr>
              <w:t>Ezek a felhatalmazáson alapuló jogi aktusok meghatározzák a nyilvános Kopernikusz-szolgáltatásokra alkalmazandó korlátozásokat, amennyiben ez az érzékeny adatok, termékek vagy információk védelme érdekében szükséges, a Kopernikusz kormányzati szolgáltatására alkalmazandó konkrét hozzáférési, biztonsági, feldolgozási, osztályozási és terjesztési szabályok sérelme nélkül.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fenntartja a nyilvános Kopernikusz-szolgáltatásokhoz való ingyenes, teljes körű és nyílt hozzáférés elvét, ugyanakkor szükség esetén lehetővé teszi az érzékeny információk korlátozását.</w:t>
      </w:r>
      <w:r>
        <w:t xml:space="preserve"> </w:t>
      </w:r>
      <w:r>
        <w:t>Egyértelművé teszi továbbá, hogy az állami szolgáltatások továbbra is külön korlátozott rendszer hatálya alá tartoznak.</w:t>
      </w:r>
    </w:p>
    <w:p>
      <w:r>
        <w:rPr>
          <w:rStyle w:val="HideTWBExt"/>
        </w:rPr>
        <w:t>&lt;/Amend&gt;</w:t>
      </w:r>
    </w:p>
    <w:p>
      <w:pPr>
        <w:pStyle w:val="AmNumberTabs"/>
      </w:pPr>
      <w:r>
        <w:rPr>
          <w:rStyle w:val="HideTWBExt"/>
        </w:rPr>
        <w:t>&lt;Amend&gt;</w:t>
      </w:r>
      <w:r>
        <w:t>Módosítás</w:t>
      </w:r>
      <w:r>
        <w:tab/>
      </w:r>
      <w:r>
        <w:tab/>
      </w:r>
      <w:r>
        <w:rPr>
          <w:rStyle w:val="HideTWBExt"/>
        </w:rPr>
        <w:t>&lt;NumAm&gt;</w:t>
      </w:r>
      <w:r>
        <w:t>3404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EOGS fokozott helyzetismeretet biztosít az Unió és a tagállamok felkészültségének, döntéshozatalának és fellépésének támogatása érdekében a biztonság és védelem terén. Az EOGS különösen műholdakból, földi infrastruktúrából, adat- és információfeldolgozó létesítményekből, valamint elosztási infrastruktúrából áll. Biztonságos, megbízható, időszerű, tartós és célzott Föld-megfigyelési adatokat biztosít, megerősítve a meglévő és a tervezett képességeket. Kiegészíti az Európai Unió Műholdközpontján keresztül biztosított</w:t>
            </w:r>
            <w:r>
              <w:rPr>
                <w:b/>
                <w:i/>
              </w:rPr>
              <w:t>, többek között a tagállamokból származó</w:t>
            </w:r>
            <w:r>
              <w:t xml:space="preserve"> meglévő képességeket, és azokra épít. Az EOGS kiegészítő információkat is nyújthat a Kopernikusz-szolgáltatásokhoz, különösen a polgári védelem és a biztonság tekintetében.</w:t>
            </w:r>
          </w:p>
        </w:tc>
        <w:tc>
          <w:tcPr>
            <w:tcW w:w="4876" w:type="dxa"/>
            <w:tcBorders>
              <w:top w:val="nil"/>
              <w:left w:val="nil"/>
              <w:bottom w:val="nil"/>
              <w:right w:val="nil"/>
            </w:tcBorders>
          </w:tcPr>
          <w:p>
            <w:pPr>
              <w:pStyle w:val="Normal6a"/>
            </w:pPr>
            <w:r>
              <w:t>(7)</w:t>
            </w:r>
            <w:r>
              <w:tab/>
            </w:r>
            <w:r>
              <w:t xml:space="preserve">Az EOGS fokozott helyzetismeretet biztosít az Unió és a tagállamok felkészültségének, döntéshozatalának és fellépésének támogatása érdekében a biztonság és védelem terén. Az EOGS különösen </w:t>
            </w:r>
            <w:r>
              <w:rPr>
                <w:b/>
                <w:i/>
              </w:rPr>
              <w:t>célzott és együttműködő</w:t>
            </w:r>
            <w:r>
              <w:t xml:space="preserve"> műholdakból, </w:t>
            </w:r>
            <w:r>
              <w:rPr>
                <w:b/>
                <w:i/>
              </w:rPr>
              <w:t>célzott és együttműködő</w:t>
            </w:r>
            <w:r>
              <w:t xml:space="preserve"> földi infrastruktúrából, adat- és információfeldolgozó létesítményekből, valamint elosztási infrastruktúrából áll. Biztonságos, megbízható, időszerű, tartós és célzott Föld-megfigyelési adatokat</w:t>
            </w:r>
            <w:r>
              <w:rPr>
                <w:b/>
                <w:i/>
              </w:rPr>
              <w:t>, termékeket és információkat</w:t>
            </w:r>
            <w:r>
              <w:t xml:space="preserve"> biztosít, megerősítve a meglévő és a tervezett képességeket. Kiegészíti az Európai Unió Műholdközpontján keresztül biztosított meglévő képességeket, és azokra épít</w:t>
            </w:r>
            <w:r>
              <w:rPr>
                <w:b/>
                <w:i/>
              </w:rPr>
              <w:t>, valamint az Ügynökség (EUSPA) meglévő kompetenciáira és szakértelmére, beleértve a tagállamokból származó képességeket és szakértelmet is</w:t>
            </w:r>
            <w:r>
              <w:t>. Az EOGS kiegészítő információkat is nyújthat a Kopernikusz-szolgáltatásokhoz, különösen a polgári védelem</w:t>
            </w:r>
            <w:r>
              <w:rPr>
                <w:b/>
                <w:i/>
              </w:rPr>
              <w:t>, a védelmi készültség</w:t>
            </w:r>
            <w:r>
              <w:t xml:space="preserve"> és a biztonság tekintetében</w:t>
            </w:r>
            <w:r>
              <w:rPr>
                <w:b/>
                <w:i/>
              </w:rPr>
              <w:t>, beleértve a kritikus infrastruktúrát 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Bizottság felhatalmazáson alapuló jogi aktusokat fogad el a Föld-megfigyelési kormányzati szolgáltatás (EOGS) mint a világűrbe telepített és a földi infrastruktúra-kapacitások összevonásának és megosztásának uniós szintű központja meghatározásának, szervezetének és működésének további pontosítása érdekében, a 11. cikkben meghatározott elvvel összhangban, valamint a felhatalmazott kormányzati felhasználók számára biztonságos kapcsolattartó pontként.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az űr-, földi és adathozzáférési és -gyűjtési infrastruktúra üzemeltetése, beleértve a biztonsági, hitelesítési és operatív nyomonkövetési funkciókat is, az Ügynökség (EUSPA) szakértelmére építve;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Európai Unió Műholdközpontja (Satcen) és az érintett nemzeti szervezetek szakértelmére építve a hírszerzési elemzések irányítása és képalapú hírszerzési termékek szolgáltatása.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3405</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EOGS fokozott helyzetismeretet biztosít az Unió és a tagállamok felkészültségének, döntéshozatalának és fellépésének támogatása érdekében a biztonság és védelem terén. Az EOGS különösen műholdakból, földi infrastruktúrából, adat- és információfeldolgozó létesítményekből, valamint elosztási infrastruktúrából áll. Biztonságos, megbízható, időszerű, tartós és célzott Föld-megfigyelési adatokat biztosít, megerősítve a meglévő és a tervezett képességeket. Kiegészíti az Európai Unió Műholdközpontján keresztül biztosított</w:t>
            </w:r>
            <w:r>
              <w:rPr>
                <w:b/>
                <w:i/>
              </w:rPr>
              <w:t>, többek között a tagállamokból származó</w:t>
            </w:r>
            <w:r>
              <w:t xml:space="preserve"> meglévő képességeket, és azokra épít. Az EOGS kiegészítő információkat is nyújthat a Kopernikusz-szolgáltatásokhoz, különösen a polgári védelem és a biztonság tekintetében.</w:t>
            </w:r>
          </w:p>
        </w:tc>
        <w:tc>
          <w:tcPr>
            <w:tcW w:w="4876" w:type="dxa"/>
            <w:tcBorders>
              <w:top w:val="nil"/>
              <w:left w:val="nil"/>
              <w:bottom w:val="nil"/>
              <w:right w:val="nil"/>
            </w:tcBorders>
          </w:tcPr>
          <w:p>
            <w:pPr>
              <w:pStyle w:val="Normal6a"/>
            </w:pPr>
            <w:r>
              <w:t>(7)</w:t>
            </w:r>
            <w:r>
              <w:tab/>
            </w:r>
            <w:r>
              <w:t>Az EOGS fokozott helyzetismeretet biztosít az Unió és a tagállamok felkészültségének, döntéshozatalának és fellépésének támogatása érdekében a biztonság és védelem terén. Az EOGS különösen műholdakból, földi infrastruktúrából, adat- és információfeldolgozó létesítményekből, valamint elosztási infrastruktúrából áll. Biztonságos, megbízható, időszerű, tartós és célzott Föld-megfigyelési adatokat biztosít, megerősítve a meglévő és a tervezett képességeket. Kiegészíti az Európai Unió Műholdközpontján keresztül biztosított meglévő képességeket, és azokra épít</w:t>
            </w:r>
            <w:r>
              <w:rPr>
                <w:b/>
                <w:i/>
              </w:rPr>
              <w:t>, valamint az Ügynökség meglévő kompetenciáira és szakértelmére, beleértve a tagállamokból származó képességeket és szakértelmet is</w:t>
            </w:r>
            <w:r>
              <w:t>. Az EOGS kiegészítő információkat is nyújthat a Kopernikusz-szolgáltatásokhoz, különösen a polgári védelem</w:t>
            </w:r>
            <w:r>
              <w:rPr>
                <w:b/>
                <w:i/>
              </w:rPr>
              <w:t>, a biztonság, a védelmi készültség</w:t>
            </w:r>
            <w:r>
              <w:t xml:space="preserve"> és a biztonság tekintetében</w:t>
            </w:r>
            <w:r>
              <w:rPr>
                <w:b/>
                <w:i/>
              </w:rPr>
              <w:t>, beleértve a kritikus infrastruktúrát is</w:t>
            </w:r>
            <w:r>
              <w:t xml:space="preserve">. </w:t>
            </w:r>
            <w:r>
              <w:rPr>
                <w:b/>
                <w:i/>
              </w:rPr>
              <w:t>A Bizottság felhatalmazáson alapuló jogi aktusokat fogad el a Föld-megfigyelési kormányzati szolgáltatás (EOGS) mint a világűrbe telepített és a földi infrastruktúra-kapacitások összevonásának és megosztásának uniós szintű központja meghatározásának, szervezetének és működésének további pontosítása érdekében, a 11. cikkben meghatározott elvvel összhangban, valamint a felhatalmazott kormányzati felhasználók számára biztonságos kapcsolattartó pontként.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az űr-, földi és adathozzáférési és -gyűjtési infrastruktúra üzemeltetése, beleértve a biztonsági, hitelesítési és operatív nyomonkövetési funkciókat is, az Ügynökség szakértelmére építve;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Európai Unió Műholdközpontja (Satcen) és az érintett nemzeti szervezetek szakértelmére építve a hírszerzési elemzések irányítása és képalapú hírszerzési termékek szolgáltatása.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3406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Az EOGS fokozott helyzetismeretet biztosít az Unió és a tagállamok felkészültségének, döntéshozatalának és fellépésének támogatása érdekében a biztonság és védelem terén. </w:t>
            </w:r>
            <w:r>
              <w:rPr>
                <w:b/>
                <w:i/>
              </w:rPr>
              <w:t>Az EOGS különösen műholdakból, földi infrastruktúrából, adat- és információfeldolgozó létesítményekből, valamint elosztási infrastruktúrából áll.</w:t>
            </w:r>
            <w:r>
              <w:t xml:space="preserve"> Biztonságos, megbízható, időszerű, tartós és célzott Föld-megfigyelési adatokat biztosít, megerősítve a meglévő és a tervezett képességeket. </w:t>
            </w:r>
            <w:r>
              <w:rPr>
                <w:b/>
                <w:i/>
              </w:rPr>
              <w:t>Kiegészíti az Európai Unió Műholdközpontján keresztül biztosított, többek között a tagállamokból származó meglévő képességeket, és azokra épít.</w:t>
            </w:r>
            <w:r>
              <w:t xml:space="preserve"> </w:t>
            </w:r>
            <w:r>
              <w:rPr>
                <w:b/>
                <w:i/>
              </w:rPr>
              <w:t>Az EOGS kiegészítő információkat is nyújthat a Kopernikusz-szolgáltatásokhoz, különösen a polgári védelem és a biztonság tekintetében.</w:t>
            </w:r>
          </w:p>
        </w:tc>
        <w:tc>
          <w:tcPr>
            <w:tcW w:w="4876" w:type="dxa"/>
            <w:tcBorders>
              <w:top w:val="nil"/>
              <w:left w:val="nil"/>
              <w:bottom w:val="nil"/>
              <w:right w:val="nil"/>
            </w:tcBorders>
          </w:tcPr>
          <w:p>
            <w:pPr>
              <w:pStyle w:val="Normal6a"/>
            </w:pPr>
            <w:r>
              <w:t>(7)</w:t>
            </w:r>
            <w:r>
              <w:tab/>
            </w:r>
            <w:r>
              <w:t>Az EOGS fokozott helyzetismeretet biztosít az Unió és a tagállamok felkészültségének, döntéshozatalának és fellépésének támogatása érdekében a biztonság és védelem terén. Biztonságos, megbízható, időszerű, tartós és célzott Föld-megfigyelési adatokat biztosít, megerősítve a meglévő és a tervezett képességeket.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3407</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EOGS fokozott helyzetismeretet biztosít az Unió és a tagállamok felkészültségének, döntéshozatalának és fellépésének támogatása érdekében a biztonság és védelem terén. Az EOGS különösen műholdakból, földi infrastruktúrából, adat- és információfeldolgozó létesítményekből, valamint elosztási infrastruktúrából áll. Biztonságos, megbízható, időszerű, tartós és célzott Föld-megfigyelési adatokat biztosít, megerősítve a meglévő és a tervezett képességeket. Kiegészíti az Európai Unió Műholdközpontján keresztül biztosított</w:t>
            </w:r>
            <w:r>
              <w:rPr>
                <w:b/>
                <w:i/>
              </w:rPr>
              <w:t>, többek között a tagállamokból származó</w:t>
            </w:r>
            <w:r>
              <w:t xml:space="preserve"> meglévő képességeket, és azokra épít. Az EOGS kiegészítő információkat is nyújthat a Kopernikusz-szolgáltatásokhoz, különösen a polgári védelem és a biztonság tekintetében.</w:t>
            </w:r>
          </w:p>
        </w:tc>
        <w:tc>
          <w:tcPr>
            <w:tcW w:w="4876" w:type="dxa"/>
            <w:tcBorders>
              <w:top w:val="nil"/>
              <w:left w:val="nil"/>
              <w:bottom w:val="nil"/>
              <w:right w:val="nil"/>
            </w:tcBorders>
          </w:tcPr>
          <w:p>
            <w:pPr>
              <w:pStyle w:val="Normal6a"/>
            </w:pPr>
            <w:r>
              <w:t>(7)</w:t>
            </w:r>
            <w:r>
              <w:tab/>
            </w:r>
            <w:r>
              <w:t xml:space="preserve">Az EOGS fokozott helyzetismeretet biztosít az Unió és a tagállamok felkészültségének, döntéshozatalának és fellépésének támogatása érdekében a biztonság és védelem terén. Az EOGS különösen </w:t>
            </w:r>
            <w:r>
              <w:rPr>
                <w:b/>
                <w:i/>
              </w:rPr>
              <w:t>célzott és együttműködő</w:t>
            </w:r>
            <w:r>
              <w:t xml:space="preserve"> műholdakból, </w:t>
            </w:r>
            <w:r>
              <w:rPr>
                <w:b/>
                <w:i/>
              </w:rPr>
              <w:t>célzott és együttműködő</w:t>
            </w:r>
            <w:r>
              <w:t xml:space="preserve"> földi infrastruktúrából, adat- és információfeldolgozó létesítményekből, valamint elosztási infrastruktúrából áll. Biztonságos, megbízható, időszerű, tartós és célzott Föld-megfigyelési adatokat</w:t>
            </w:r>
            <w:r>
              <w:rPr>
                <w:b/>
                <w:i/>
              </w:rPr>
              <w:t>, termékeket és információkat</w:t>
            </w:r>
            <w:r>
              <w:t xml:space="preserve"> biztosít, megerősítve a meglévő és a tervezett képességeket. Kiegészíti az Európai Unió Műholdközpontján keresztül biztosított meglévő képességeket, és azokra épít</w:t>
            </w:r>
            <w:r>
              <w:rPr>
                <w:b/>
                <w:i/>
              </w:rPr>
              <w:t>, valamint az Ügynökség meglévő kompetenciáira és szakértelmére, beleértve a tagállamokból származó képességeket és szakértelmet is</w:t>
            </w:r>
            <w:r>
              <w:t>. Az EOGS kiegészítő információkat is nyújthat a Kopernikusz-szolgáltatásokhoz, különösen a polgári védelem és a biztonság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3408</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EOGS fokozott helyzetismeretet biztosít az Unió és a tagállamok felkészültségének, döntéshozatalának és fellépésének támogatása érdekében a biztonság és védelem terén. Az EOGS különösen műholdakból, földi infrastruktúrából, adat- és információfeldolgozó létesítményekből, valamint elosztási infrastruktúrából áll. Biztonságos, megbízható, időszerű, tartós és célzott Föld-megfigyelési adatokat biztosít, megerősítve a meglévő és a tervezett képességeket. Kiegészíti az Európai Unió Műholdközpontján keresztül biztosított, többek között a tagállamokból származó meglévő képességeket, és azokra épít. Az EOGS kiegészítő információkat is nyújthat a Kopernikusz-szolgáltatásokhoz, különösen a polgári védelem és a biztonság tekintetében.</w:t>
            </w:r>
          </w:p>
        </w:tc>
        <w:tc>
          <w:tcPr>
            <w:tcW w:w="4876" w:type="dxa"/>
            <w:tcBorders>
              <w:top w:val="nil"/>
              <w:left w:val="nil"/>
              <w:bottom w:val="nil"/>
              <w:right w:val="nil"/>
            </w:tcBorders>
          </w:tcPr>
          <w:p>
            <w:pPr>
              <w:pStyle w:val="Normal6a"/>
            </w:pPr>
            <w:r>
              <w:t>(7)</w:t>
            </w:r>
            <w:r>
              <w:tab/>
            </w:r>
            <w:r>
              <w:t>Az EOGS fokozott helyzetismeretet biztosít az Unió és a tagállamok felkészültségének, döntéshozatalának és fellépésének támogatása érdekében a biztonság és védelem terén. Az EOGS különösen műholdakból, földi infrastruktúrából, adat- és információfeldolgozó létesítményekből, valamint elosztási infrastruktúrából áll. Biztonságos, megbízható, időszerű, tartós és célzott Föld-megfigyelési adatokat biztosít, megerősítve a meglévő és a tervezett képességeket. Kiegészíti az Európai Unió Műholdközpontján keresztül biztosított, többek között a tagállamokból származó meglévő képességeket, és azokra épít. Az EOGS kiegészítő információkat is nyújthat a Kopernikusz-szolgáltatásokhoz, különösen a polgári védelem</w:t>
            </w:r>
            <w:r>
              <w:rPr>
                <w:b/>
                <w:i/>
              </w:rPr>
              <w:t>, a védelmi készültség</w:t>
            </w:r>
            <w:r>
              <w:t xml:space="preserve"> és a biztonság tekintetében</w:t>
            </w:r>
            <w:r>
              <w:rPr>
                <w:b/>
                <w:i/>
              </w:rPr>
              <w:t>, beleértve a kritikus infrastruktúrát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3409</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Az EOGS fokozott helyzetismeretet biztosít</w:t>
            </w:r>
            <w:r>
              <w:t xml:space="preserve"> az Unió és a tagállamok felkészültségének, döntéshozatalának és fellépésének támogatása érdekében a biztonság és védelem terén. </w:t>
            </w:r>
            <w:r>
              <w:rPr>
                <w:b/>
                <w:i/>
              </w:rPr>
              <w:t>Az EOGS különösen műholdakból, földi infrastruktúrából, adat- és információfeldolgozó létesítményekből</w:t>
            </w:r>
            <w:r>
              <w:t xml:space="preserve">, valamint </w:t>
            </w:r>
            <w:r>
              <w:rPr>
                <w:b/>
                <w:i/>
              </w:rPr>
              <w:t>elosztási infrastruktúrából áll. Biztonságos, megbízható, időszerű, tartós és célzott Föld-megfigyelési adatokat biztosít, megerősítve a meglévő és a tervezett képességeket</w:t>
            </w:r>
            <w:r>
              <w:t xml:space="preserve">. </w:t>
            </w:r>
            <w:r>
              <w:rPr>
                <w:b/>
                <w:i/>
              </w:rPr>
              <w:t>Kiegészíti az Európai Unió Műholdközpontján keresztül biztosított, többek között a tagállamokból származó meglévő képességeket, és azokra épít.</w:t>
            </w:r>
            <w:r>
              <w:t xml:space="preserve"> </w:t>
            </w:r>
            <w:r>
              <w:rPr>
                <w:b/>
                <w:i/>
              </w:rPr>
              <w:t>Az EOGS kiegészítő információkat is nyújthat a Kopernikusz-szolgáltatásokhoz, különösen a polgári védelem és a biztonság tekintetében.</w:t>
            </w:r>
          </w:p>
        </w:tc>
        <w:tc>
          <w:tcPr>
            <w:tcW w:w="4876" w:type="dxa"/>
            <w:tcBorders>
              <w:top w:val="nil"/>
              <w:left w:val="nil"/>
              <w:bottom w:val="nil"/>
              <w:right w:val="nil"/>
            </w:tcBorders>
          </w:tcPr>
          <w:p>
            <w:pPr>
              <w:pStyle w:val="Normal6a"/>
            </w:pPr>
            <w:r>
              <w:t>(7)</w:t>
            </w:r>
            <w:r>
              <w:tab/>
            </w:r>
            <w:r>
              <w:rPr>
                <w:b/>
                <w:i/>
              </w:rPr>
              <w:t>A Kopernikusz kormányzati szolgáltatásai a Kopernikusz kormányzati engedéllyel rendelkező felhasználók számára nyújtott korlátozott kormányzati szolgáltatásai.</w:t>
            </w:r>
            <w:r>
              <w:t xml:space="preserve"> </w:t>
            </w:r>
            <w:r>
              <w:rPr>
                <w:b/>
                <w:i/>
              </w:rPr>
              <w:t>Céljuk, hogy biztonságos, megbízható, időszerű és tartós Föld-megfigyelési adatokat, termékeket és információkat biztosítsanak a kormányok által felhatalmazott felhasználók számára</w:t>
            </w:r>
            <w:r>
              <w:t xml:space="preserve"> az Unió és a tagállamok felkészültségének, döntéshozatalának és fellépésének támogatása érdekében a biztonság és </w:t>
            </w:r>
            <w:r>
              <w:rPr>
                <w:b/>
                <w:i/>
              </w:rPr>
              <w:t>a</w:t>
            </w:r>
            <w:r>
              <w:t xml:space="preserve"> védelem terén. </w:t>
            </w:r>
            <w:r>
              <w:rPr>
                <w:b/>
                <w:i/>
              </w:rPr>
              <w:t>Egyedi hozzáférési, biztonsági, feldolgozási, rangsorolási, osztályozási és terjesztési szabályok vonatkoznak rá, és adott esetben építhet a Kopernikusz infrastruktúrájára, adataira, termékeire és szolgáltatásaira</w:t>
            </w:r>
            <w:r>
              <w:t xml:space="preserve">, valamint </w:t>
            </w:r>
            <w:r>
              <w:rPr>
                <w:b/>
                <w:i/>
              </w:rPr>
              <w:t>a nemzeti, uniós és kereskedelmi kapacitásokra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kormányzati szolgáltatásoknak a Kopernikusz korlátozott kormányzati rétegeként kell működniük, nem pedig teljesen különálló Föld-megfigyelési programként.</w:t>
      </w:r>
      <w:r>
        <w:t xml:space="preserve"> </w:t>
      </w:r>
      <w:r>
        <w:t>Ez a megközelítés megőrzi a koherenciát, szinergiákat tesz lehetővé az infrastruktúra számára, miközben célzott biztonsági és terjesztési szabályokat tesz lehetővé.</w:t>
      </w:r>
    </w:p>
    <w:p>
      <w:r>
        <w:rPr>
          <w:rStyle w:val="HideTWBExt"/>
        </w:rPr>
        <w:t>&lt;/Amend&gt;</w:t>
      </w:r>
    </w:p>
    <w:p>
      <w:pPr>
        <w:pStyle w:val="AmNumberTabs"/>
      </w:pPr>
      <w:r>
        <w:rPr>
          <w:rStyle w:val="HideTWBExt"/>
        </w:rPr>
        <w:t>&lt;Amend&gt;</w:t>
      </w:r>
      <w:r>
        <w:t>Módosítás</w:t>
      </w:r>
      <w:r>
        <w:tab/>
      </w:r>
      <w:r>
        <w:tab/>
      </w:r>
      <w:r>
        <w:rPr>
          <w:rStyle w:val="HideTWBExt"/>
        </w:rPr>
        <w:t>&lt;NumAm&gt;</w:t>
      </w:r>
      <w:r>
        <w:t>3410</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7 bekezdés –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az űr-, földi és adathozzáférési és -gyűjtési infrastruktúra üzemeltetése, beleértve a biztonsági, hitelesítési és operatív nyomonkövetési funkciókat is, az Ügynökség szakértelmére építve;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3411</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7 bekezdés –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az Európai Unió Műholdközpontja (Satcen) és az érintett nemzeti szervezetek szakértelmére építve a hírszerzési elemzések irányítása és képalapú hírszerzési termékek szolgáltatása.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3412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8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Az EOGS</w:t>
            </w:r>
            <w:r>
              <w:t xml:space="preserve"> különösen a következőkből </w:t>
            </w:r>
            <w:r>
              <w:rPr>
                <w:b/>
                <w:i/>
              </w:rPr>
              <w:t>áll</w:t>
            </w:r>
            <w:r>
              <w:t>:</w:t>
            </w:r>
          </w:p>
        </w:tc>
        <w:tc>
          <w:tcPr>
            <w:tcW w:w="4876" w:type="dxa"/>
            <w:tcBorders>
              <w:top w:val="nil"/>
              <w:left w:val="nil"/>
              <w:bottom w:val="nil"/>
              <w:right w:val="nil"/>
            </w:tcBorders>
          </w:tcPr>
          <w:p>
            <w:pPr>
              <w:pStyle w:val="Normal6a"/>
            </w:pPr>
            <w:r>
              <w:t>(8)</w:t>
            </w:r>
            <w:r>
              <w:tab/>
            </w:r>
            <w:r>
              <w:rPr>
                <w:b/>
                <w:i/>
              </w:rPr>
              <w:t>A Kopernikusz kormányzati szolgáltatásai</w:t>
            </w:r>
            <w:r>
              <w:t xml:space="preserve"> különösen a következőkből </w:t>
            </w:r>
            <w:r>
              <w:rPr>
                <w:b/>
                <w:i/>
              </w:rPr>
              <w:t>állnak</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koherens architektúrát hoznak létre a Kopernikusz kormányzati szolgáltatásai, az összevonási és megosztási mechanizmus, az új űralapú infrastruktúra és a korlátozott terjesztési megállapodások számára.</w:t>
      </w:r>
    </w:p>
    <w:p>
      <w:r>
        <w:rPr>
          <w:rStyle w:val="HideTWBExt"/>
        </w:rPr>
        <w:t>&lt;/Amend&gt;</w:t>
      </w:r>
    </w:p>
    <w:p>
      <w:pPr>
        <w:pStyle w:val="AmNumberTabs"/>
      </w:pPr>
      <w:r>
        <w:rPr>
          <w:rStyle w:val="HideTWBExt"/>
        </w:rPr>
        <w:t>&lt;Amend&gt;</w:t>
      </w:r>
      <w:r>
        <w:t>Módosítás</w:t>
      </w:r>
      <w:r>
        <w:tab/>
      </w:r>
      <w:r>
        <w:tab/>
      </w:r>
      <w:r>
        <w:rPr>
          <w:rStyle w:val="HideTWBExt"/>
        </w:rPr>
        <w:t>&lt;NumAm&gt;</w:t>
      </w:r>
      <w:r>
        <w:t>3413</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8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EOGS-infrastruktúra, beleértve az érzékeny kormányzati alkalmazásokra tervezett új Föld-megfigyelési űrmissziók kidolgozását és lebonyolítását;</w:t>
            </w:r>
            <w:r>
              <w:t xml:space="preserve"> </w:t>
            </w:r>
            <w:r>
              <w:rPr>
                <w:b/>
                <w:i/>
              </w:rPr>
              <w:t>a harmadik felek űralapú</w:t>
            </w:r>
            <w:r>
              <w:t xml:space="preserve"> Föld-megfigyelési </w:t>
            </w:r>
            <w:r>
              <w:rPr>
                <w:b/>
                <w:i/>
              </w:rPr>
              <w:t>adataihoz való hozzáférést;</w:t>
            </w:r>
            <w:r>
              <w:t xml:space="preserve"> </w:t>
            </w:r>
            <w:r>
              <w:rPr>
                <w:b/>
                <w:i/>
              </w:rPr>
              <w:t>a lokális és egyéb kiegészítő adatokhoz való hozzáférést; </w:t>
            </w:r>
          </w:p>
        </w:tc>
        <w:tc>
          <w:tcPr>
            <w:tcW w:w="4876" w:type="dxa"/>
            <w:tcBorders>
              <w:top w:val="nil"/>
              <w:left w:val="nil"/>
              <w:bottom w:val="nil"/>
              <w:right w:val="nil"/>
            </w:tcBorders>
          </w:tcPr>
          <w:p>
            <w:pPr>
              <w:pStyle w:val="Normal6a"/>
            </w:pPr>
            <w:r>
              <w:t>a)</w:t>
            </w:r>
            <w:r>
              <w:tab/>
            </w:r>
            <w:r>
              <w:rPr>
                <w:b/>
                <w:i/>
              </w:rPr>
              <w:t>a Kopernikusz, a tagállamok, az uniós szervezetek és adott esetben az Unióban letelepedett magánszervezetek</w:t>
            </w:r>
            <w:r>
              <w:t xml:space="preserve"> Föld-megfigyelési </w:t>
            </w:r>
            <w:r>
              <w:rPr>
                <w:b/>
                <w:i/>
              </w:rPr>
              <w:t>kapacitásainak összevonására és megosztására szolgáló, 2028-ig létrehozandó kormányzati szolgáltatási központ, amelyre a 69. cikkben említett jogosultsági és részvételi feltételek vonatkoznak, többek között kereskedelmi kapacitások, adatok, termékek és szolgáltatások vásárlása révén.</w:t>
            </w:r>
            <w:r>
              <w:t xml:space="preserve"> </w:t>
            </w:r>
            <w:r>
              <w:rPr>
                <w:b/>
                <w:i/>
              </w:rPr>
              <w:t>Biztonságos hozzáférési, kérelmezési, feladatmeghatározási, feldolgozási és terjesztési funkciót biztosít a kormányok által felhatalmazott felhasználók számára, és reziliens, biztonságos és szükség esetén minősített platformokra és kommunikációs csatornákra támaszkodik;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koherens architektúrát hoznak létre a Kopernikusz kormányzati szolgáltatásai, az összevonási és megosztási mechanizmus, az új űralapú infrastruktúra és a korlátozott terjesztési megállapodások számára.</w:t>
      </w:r>
    </w:p>
    <w:p>
      <w:r>
        <w:rPr>
          <w:rStyle w:val="HideTWBExt"/>
        </w:rPr>
        <w:t>&lt;/Amend&gt;</w:t>
      </w:r>
    </w:p>
    <w:p>
      <w:pPr>
        <w:pStyle w:val="AmNumberTabs"/>
      </w:pPr>
      <w:r>
        <w:rPr>
          <w:rStyle w:val="HideTWBExt"/>
        </w:rPr>
        <w:t>&lt;Amend&gt;</w:t>
      </w:r>
      <w:r>
        <w:t>Módosítás</w:t>
      </w:r>
      <w:r>
        <w:tab/>
      </w:r>
      <w:r>
        <w:tab/>
      </w:r>
      <w:r>
        <w:rPr>
          <w:rStyle w:val="HideTWBExt"/>
        </w:rPr>
        <w:t>&lt;NumAm&gt;</w:t>
      </w:r>
      <w:r>
        <w:t>3414</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8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EOGS-infrastruktúra, beleértve az érzékeny kormányzati alkalmazásokra tervezett új Föld-megfigyelési űrmissziók kidolgozását és lebonyolítását; a harmadik felek űralapú Föld-megfigyelési adataihoz való hozzáférést; a lokális és egyéb kiegészítő adatokhoz való hozzáférést;</w:t>
            </w:r>
            <w:r>
              <w:rPr>
                <w:b/>
                <w:i/>
              </w:rPr>
              <w:t> </w:t>
            </w:r>
          </w:p>
        </w:tc>
        <w:tc>
          <w:tcPr>
            <w:tcW w:w="4876" w:type="dxa"/>
            <w:tcBorders>
              <w:top w:val="nil"/>
              <w:left w:val="nil"/>
              <w:bottom w:val="nil"/>
              <w:right w:val="nil"/>
            </w:tcBorders>
          </w:tcPr>
          <w:p>
            <w:pPr>
              <w:pStyle w:val="Normal6a"/>
            </w:pPr>
            <w:r>
              <w:t>a)</w:t>
            </w:r>
            <w:r>
              <w:tab/>
            </w:r>
            <w:r>
              <w:rPr>
                <w:b/>
                <w:i/>
              </w:rPr>
              <w:t>uniós űr- és földi</w:t>
            </w:r>
            <w:r>
              <w:t xml:space="preserve"> EOGS-infrastruktúra, beleértve az érzékeny kormányzati alkalmazásokra tervezett új Föld-megfigyelési űrmissziók kidolgozását</w:t>
            </w:r>
            <w:r>
              <w:rPr>
                <w:b/>
                <w:i/>
              </w:rPr>
              <w:t>, fejlesztését</w:t>
            </w:r>
            <w:r>
              <w:t xml:space="preserve"> és lebonyolítását; a harmadik felek űralapú Föld-megfigyelési adataihoz való hozzáférést; a lokális és egyéb kiegészítő adatokhoz való hozzáférést;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3415</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8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EOGS-infrastruktúra, beleértve az érzékeny kormányzati alkalmazásokra tervezett új Föld-megfigyelési űrmissziók kidolgozását és lebonyolítását; a harmadik felek űralapú Föld-megfigyelési adataihoz való hozzáférést; a lokális és egyéb kiegészítő adatokhoz való hozzáférést;</w:t>
            </w:r>
            <w:r>
              <w:rPr>
                <w:b/>
                <w:i/>
              </w:rPr>
              <w:t> </w:t>
            </w:r>
          </w:p>
        </w:tc>
        <w:tc>
          <w:tcPr>
            <w:tcW w:w="4876" w:type="dxa"/>
            <w:tcBorders>
              <w:top w:val="nil"/>
              <w:left w:val="nil"/>
              <w:bottom w:val="nil"/>
              <w:right w:val="nil"/>
            </w:tcBorders>
          </w:tcPr>
          <w:p>
            <w:pPr>
              <w:pStyle w:val="Normal6a"/>
            </w:pPr>
            <w:r>
              <w:t>a)</w:t>
            </w:r>
            <w:r>
              <w:tab/>
            </w:r>
            <w:r>
              <w:rPr>
                <w:b/>
                <w:i/>
              </w:rPr>
              <w:t>uniós űr- és földi</w:t>
            </w:r>
            <w:r>
              <w:t xml:space="preserve"> EOGS-infrastruktúra, beleértve az érzékeny kormányzati alkalmazásokra tervezett új Föld-megfigyelési űrmissziók kidolgozását</w:t>
            </w:r>
            <w:r>
              <w:rPr>
                <w:b/>
                <w:i/>
              </w:rPr>
              <w:t>, fejlesztését</w:t>
            </w:r>
            <w:r>
              <w:t xml:space="preserve"> és lebonyolítását; a harmadik felek űralapú Föld-megfigyelési adataihoz való hozzáférést; a lokális és egyéb kiegészítő adatokhoz való hozzáférést;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3416</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8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EOGS-infrastruktúra, beleértve az érzékeny kormányzati alkalmazásokra tervezett új Föld-megfigyelési űrmissziók kidolgozását és lebonyolítását; a harmadik felek űralapú Föld-megfigyelési adataihoz való hozzáférést; a lokális és egyéb kiegészítő adatokhoz való hozzáférést;</w:t>
            </w:r>
            <w:r>
              <w:rPr>
                <w:b/>
                <w:i/>
              </w:rPr>
              <w:t> </w:t>
            </w:r>
          </w:p>
        </w:tc>
        <w:tc>
          <w:tcPr>
            <w:tcW w:w="4876" w:type="dxa"/>
            <w:tcBorders>
              <w:top w:val="nil"/>
              <w:left w:val="nil"/>
              <w:bottom w:val="nil"/>
              <w:right w:val="nil"/>
            </w:tcBorders>
          </w:tcPr>
          <w:p>
            <w:pPr>
              <w:pStyle w:val="Normal6a"/>
            </w:pPr>
            <w:r>
              <w:t>a)</w:t>
            </w:r>
            <w:r>
              <w:tab/>
            </w:r>
            <w:r>
              <w:rPr>
                <w:b/>
                <w:i/>
              </w:rPr>
              <w:t>uniós űr- és földi</w:t>
            </w:r>
            <w:r>
              <w:t xml:space="preserve"> EOGS-infrastruktúra, beleértve az érzékeny kormányzati alkalmazásokra tervezett új Föld-megfigyelési űrmissziók kidolgozását</w:t>
            </w:r>
            <w:r>
              <w:rPr>
                <w:b/>
                <w:i/>
              </w:rPr>
              <w:t>, fejlesztését</w:t>
            </w:r>
            <w:r>
              <w:t xml:space="preserve"> és lebonyolítását; a harmadik felek űralapú Föld-megfigyelési adataihoz való hozzáférést; a lokális és egyéb kiegészítő adatokhoz való hozzáférést;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3417</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8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EOGS-szolgáltatások</w:t>
            </w:r>
            <w:r>
              <w:t xml:space="preserve">, beleértve a </w:t>
            </w:r>
            <w:r>
              <w:rPr>
                <w:b/>
                <w:i/>
              </w:rPr>
              <w:t>kormányok által felhatalmazott felhasználókra korlátozódó,</w:t>
            </w:r>
            <w:r>
              <w:t xml:space="preserve"> hozzáadott értékkel bíró térinformatikai információk érzékeny helyzetismereti alkalmazásokhoz történő előállítására irányuló tevékenységeket a felkészültség és a döntéshozatal támogatása érdekében a biztonság és védelem területén;</w:t>
            </w:r>
            <w:r>
              <w:rPr>
                <w:b/>
                <w:i/>
              </w:rPr>
              <w:t>  </w:t>
            </w:r>
          </w:p>
        </w:tc>
        <w:tc>
          <w:tcPr>
            <w:tcW w:w="4876" w:type="dxa"/>
            <w:tcBorders>
              <w:top w:val="nil"/>
              <w:left w:val="nil"/>
              <w:bottom w:val="nil"/>
              <w:right w:val="nil"/>
            </w:tcBorders>
          </w:tcPr>
          <w:p>
            <w:pPr>
              <w:pStyle w:val="Normal6a"/>
            </w:pPr>
            <w:r>
              <w:t>b)</w:t>
            </w:r>
            <w:r>
              <w:tab/>
            </w:r>
            <w:r>
              <w:rPr>
                <w:b/>
                <w:i/>
              </w:rPr>
              <w:t>kormányzati szolgáltatások kormányzati felhasználók számára</w:t>
            </w:r>
            <w:r>
              <w:t xml:space="preserve">, beleértve a hozzáadott értékkel bíró térinformatikai információk érzékeny helyzetismereti alkalmazásokhoz történő </w:t>
            </w:r>
            <w:r>
              <w:rPr>
                <w:b/>
                <w:i/>
              </w:rPr>
              <w:t>korlátozott</w:t>
            </w:r>
            <w:r>
              <w:t xml:space="preserve"> előállítására irányuló tevékenységeket a felkészültség és a döntéshozatal támogatása érdekében a biztonság és védelem területén</w:t>
            </w:r>
            <w:r>
              <w:rPr>
                <w:b/>
                <w:i/>
              </w:rPr>
              <w:t>.</w:t>
            </w:r>
            <w:r>
              <w:t xml:space="preserve"> </w:t>
            </w:r>
            <w:r>
              <w:rPr>
                <w:b/>
                <w:i/>
              </w:rPr>
              <w:t>E szolgáltatásoknak megszakítás nélkül és a felhasználói igények alapján ingyenesnek kell lenniük</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koherens architektúrát hoznak létre a Kopernikusz kormányzati szolgáltatásai, az összevonási és megosztási mechanizmus, az új űralapú infrastruktúra és a korlátozott terjesztési megállapodások számára.</w:t>
      </w:r>
    </w:p>
    <w:p>
      <w:r>
        <w:rPr>
          <w:rStyle w:val="HideTWBExt"/>
        </w:rPr>
        <w:t>&lt;/Amend&gt;</w:t>
      </w:r>
    </w:p>
    <w:p>
      <w:pPr>
        <w:pStyle w:val="AmNumberTabs"/>
      </w:pPr>
      <w:r>
        <w:rPr>
          <w:rStyle w:val="HideTWBExt"/>
        </w:rPr>
        <w:t>&lt;Amend&gt;</w:t>
      </w:r>
      <w:r>
        <w:t>Módosítás</w:t>
      </w:r>
      <w:r>
        <w:tab/>
      </w:r>
      <w:r>
        <w:tab/>
      </w:r>
      <w:r>
        <w:rPr>
          <w:rStyle w:val="HideTWBExt"/>
        </w:rPr>
        <w:t>&lt;NumAm&gt;</w:t>
      </w:r>
      <w:r>
        <w:t>3418</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8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EOGS-szolgáltatások, beleértve a kormányok által felhatalmazott felhasználókra korlátozódó, hozzáadott értékkel bíró térinformatikai információk érzékeny helyzetismereti alkalmazásokhoz történő előállítására irányuló tevékenységeket a felkészültség és a döntéshozatal támogatása érdekében a biztonság és védelem területén;</w:t>
            </w:r>
            <w:r>
              <w:rPr>
                <w:b/>
                <w:i/>
              </w:rPr>
              <w:t>  </w:t>
            </w:r>
          </w:p>
        </w:tc>
        <w:tc>
          <w:tcPr>
            <w:tcW w:w="4876" w:type="dxa"/>
            <w:tcBorders>
              <w:top w:val="nil"/>
              <w:left w:val="nil"/>
              <w:bottom w:val="nil"/>
              <w:right w:val="nil"/>
            </w:tcBorders>
          </w:tcPr>
          <w:p>
            <w:pPr>
              <w:pStyle w:val="Normal6a"/>
            </w:pPr>
            <w:r>
              <w:t>b)</w:t>
            </w:r>
            <w:r>
              <w:tab/>
            </w:r>
            <w:r>
              <w:rPr>
                <w:b/>
                <w:i/>
              </w:rPr>
              <w:t>térinformatikai hírszerzési</w:t>
            </w:r>
            <w:r>
              <w:t xml:space="preserve"> EOGS-szolgáltatások, beleértve a kormányok által felhatalmazott felhasználókra korlátozódó, hozzáadott értékkel bíró térinformatikai információk érzékeny helyzetismereti alkalmazásokhoz történő előállítására irányuló tevékenységeket a felkészültség és a döntéshozatal támogatása érdekében a biztonság és védelem területén;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3419</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8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EOGS-szolgáltatások, beleértve a kormányok által felhatalmazott felhasználókra korlátozódó, hozzáadott értékkel bíró térinformatikai információk érzékeny helyzetismereti alkalmazásokhoz történő előállítására irányuló tevékenységeket a felkészültség és a döntéshozatal támogatása érdekében a biztonság és védelem területén;</w:t>
            </w:r>
            <w:r>
              <w:rPr>
                <w:b/>
                <w:i/>
              </w:rPr>
              <w:t>  </w:t>
            </w:r>
          </w:p>
        </w:tc>
        <w:tc>
          <w:tcPr>
            <w:tcW w:w="4876" w:type="dxa"/>
            <w:tcBorders>
              <w:top w:val="nil"/>
              <w:left w:val="nil"/>
              <w:bottom w:val="nil"/>
              <w:right w:val="nil"/>
            </w:tcBorders>
          </w:tcPr>
          <w:p>
            <w:pPr>
              <w:pStyle w:val="Normal6a"/>
            </w:pPr>
            <w:r>
              <w:t>b)</w:t>
            </w:r>
            <w:r>
              <w:tab/>
            </w:r>
            <w:r>
              <w:rPr>
                <w:b/>
                <w:i/>
              </w:rPr>
              <w:t>térinformatikai hírszerzési</w:t>
            </w:r>
            <w:r>
              <w:t xml:space="preserve"> EOGS-szolgáltatások, beleértve a kormányok által felhatalmazott felhasználókra korlátozódó, hozzáadott értékkel bíró térinformatikai információk érzékeny helyzetismereti alkalmazásokhoz történő előállítására irányuló tevékenységeket a felkészültség és a döntéshozatal támogatása érdekében a biztonság és védelem területén;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3420</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8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EOGS-szolgáltatások, beleértve a kormányok által felhatalmazott felhasználókra korlátozódó, hozzáadott értékkel bíró térinformatikai információk érzékeny helyzetismereti alkalmazásokhoz történő előállítására irányuló tevékenységeket a felkészültség és a döntéshozatal támogatása érdekében a biztonság és védelem területén;</w:t>
            </w:r>
            <w:r>
              <w:rPr>
                <w:b/>
                <w:i/>
              </w:rPr>
              <w:t>  </w:t>
            </w:r>
          </w:p>
        </w:tc>
        <w:tc>
          <w:tcPr>
            <w:tcW w:w="4876" w:type="dxa"/>
            <w:tcBorders>
              <w:top w:val="nil"/>
              <w:left w:val="nil"/>
              <w:bottom w:val="nil"/>
              <w:right w:val="nil"/>
            </w:tcBorders>
          </w:tcPr>
          <w:p>
            <w:pPr>
              <w:pStyle w:val="Normal6a"/>
            </w:pPr>
            <w:r>
              <w:t>b)</w:t>
            </w:r>
            <w:r>
              <w:tab/>
            </w:r>
            <w:r>
              <w:rPr>
                <w:b/>
                <w:i/>
              </w:rPr>
              <w:t>térinformatikai hírszerzési</w:t>
            </w:r>
            <w:r>
              <w:t xml:space="preserve"> EOGS-szolgáltatások, beleértve a kormányok által felhatalmazott felhasználókra korlátozódó, hozzáadott értékkel bíró térinformatikai információk érzékeny helyzetismereti alkalmazásokhoz történő előállítására irányuló tevékenységeket a felkészültség és a döntéshozatal támogatása érdekében a biztonság és védelem területén;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3421</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8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az EOGS-adatokhoz</w:t>
            </w:r>
            <w:r>
              <w:t xml:space="preserve"> való hozzáférés és azok terjesztése, beleértve </w:t>
            </w:r>
            <w:r>
              <w:rPr>
                <w:b/>
                <w:i/>
              </w:rPr>
              <w:t>az EOGS-adatok és -információk</w:t>
            </w:r>
            <w:r>
              <w:t xml:space="preserve"> biztonságos módon történő hozzáférhetőségét, terjesztését és hasznosítását, valamint hosszú távú megőrzését.</w:t>
            </w:r>
          </w:p>
        </w:tc>
        <w:tc>
          <w:tcPr>
            <w:tcW w:w="4876" w:type="dxa"/>
            <w:tcBorders>
              <w:top w:val="nil"/>
              <w:left w:val="nil"/>
              <w:bottom w:val="nil"/>
              <w:right w:val="nil"/>
            </w:tcBorders>
          </w:tcPr>
          <w:p>
            <w:pPr>
              <w:pStyle w:val="Normal6a"/>
            </w:pPr>
            <w:r>
              <w:t>c)</w:t>
            </w:r>
            <w:r>
              <w:tab/>
            </w:r>
            <w:r>
              <w:rPr>
                <w:b/>
                <w:i/>
              </w:rPr>
              <w:t>a kormányzati szolgáltatások adataihoz</w:t>
            </w:r>
            <w:r>
              <w:t xml:space="preserve"> való hozzáférés és azok terjesztése, beleértve </w:t>
            </w:r>
            <w:r>
              <w:rPr>
                <w:b/>
                <w:i/>
              </w:rPr>
              <w:t>a kormányzati szolgáltatások adatainak, termékeinek és információinak</w:t>
            </w:r>
            <w:r>
              <w:t xml:space="preserve"> biztonságos módon történő hozzáférhetőségét, terjesztését és hasznosítását, valamint hosszú távú megőrzését.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koherens architektúrát hoznak létre a Kopernikusz kormányzati szolgáltatásai, az összevonási és megosztási mechanizmus, az új űralapú infrastruktúra és a korlátozott terjesztési megállapodások számára.</w:t>
      </w:r>
    </w:p>
    <w:p>
      <w:r>
        <w:rPr>
          <w:rStyle w:val="HideTWBExt"/>
        </w:rPr>
        <w:t>&lt;/Amend&gt;</w:t>
      </w:r>
    </w:p>
    <w:p>
      <w:pPr>
        <w:pStyle w:val="AmNumberTabs"/>
      </w:pPr>
      <w:r>
        <w:rPr>
          <w:rStyle w:val="HideTWBExt"/>
        </w:rPr>
        <w:t>&lt;Amend&gt;</w:t>
      </w:r>
      <w:r>
        <w:t>Módosítás</w:t>
      </w:r>
      <w:r>
        <w:tab/>
      </w:r>
      <w:r>
        <w:tab/>
      </w:r>
      <w:r>
        <w:rPr>
          <w:rStyle w:val="HideTWBExt"/>
        </w:rPr>
        <w:t>&lt;NumAm&gt;</w:t>
      </w:r>
      <w:r>
        <w:t>3422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8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 Bizottság azonosítja a Kopernikusz kormányzati szolgáltatásai szempontjából releváns operatív igényeket és képességbeli hiányosságokat, adott esetben figyelembe véve a tagállamok, az Európai Védelmi Ügynökség, az Európai Unió Műholdközpontja, az EKSZ és az érintett uniós ügynökségek észrevételeit.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Kopernikusz kormányzati szolgáltatásai fejlődésének irányítása és a széttagoltság elkerülése érdekében központilag azonosítani kell a kormányzati operatív igényeket és a képességbeli hiányosságokat.</w:t>
      </w:r>
    </w:p>
    <w:p>
      <w:r>
        <w:rPr>
          <w:rStyle w:val="HideTWBExt"/>
        </w:rPr>
        <w:t>&lt;/Amend&gt;</w:t>
      </w:r>
    </w:p>
    <w:p>
      <w:pPr>
        <w:pStyle w:val="AmNumberTabs"/>
      </w:pPr>
      <w:r>
        <w:rPr>
          <w:rStyle w:val="HideTWBExt"/>
        </w:rPr>
        <w:t>&lt;Amend&gt;</w:t>
      </w:r>
      <w:r>
        <w:t>Módosítás</w:t>
      </w:r>
      <w:r>
        <w:tab/>
      </w:r>
      <w:r>
        <w:tab/>
      </w:r>
      <w:r>
        <w:rPr>
          <w:rStyle w:val="HideTWBExt"/>
        </w:rPr>
        <w:t>&lt;NumAm&gt;</w:t>
      </w:r>
      <w:r>
        <w:t>3423</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Bizottság végrehajtási jogi aktusok útján műszaki leírásokat fogadhat el a (8) bekezdésben felsorolt támogatható </w:t>
            </w:r>
            <w:r>
              <w:rPr>
                <w:b/>
                <w:i/>
              </w:rPr>
              <w:t>EOGS-tevékenységekre</w:t>
            </w:r>
            <w:r>
              <w:t xml:space="preserve"> vonatkozóan. Az említett végrehajtási jogi aktusokat a 83. cikk (2) bekezdésében említett tanácsadó bizottsági eljárás keretében kell elfogadni.</w:t>
            </w:r>
          </w:p>
        </w:tc>
        <w:tc>
          <w:tcPr>
            <w:tcW w:w="4876" w:type="dxa"/>
            <w:tcBorders>
              <w:top w:val="nil"/>
              <w:left w:val="nil"/>
              <w:bottom w:val="nil"/>
              <w:right w:val="nil"/>
            </w:tcBorders>
          </w:tcPr>
          <w:p>
            <w:pPr>
              <w:pStyle w:val="Normal6a"/>
            </w:pPr>
            <w:r>
              <w:t>(9)</w:t>
            </w:r>
            <w:r>
              <w:tab/>
            </w:r>
            <w:r>
              <w:t>A Bizottság végrehajtási jogi aktusok útján műszaki leírásokat fogadhat el a (8) bekezdésben felsorolt</w:t>
            </w:r>
            <w:r>
              <w:rPr>
                <w:b/>
                <w:i/>
              </w:rPr>
              <w:t>, a Kopernikusz kormányzati szolgáltatásai körébe tartozó,</w:t>
            </w:r>
            <w:r>
              <w:t xml:space="preserve"> támogatható </w:t>
            </w:r>
            <w:r>
              <w:rPr>
                <w:b/>
                <w:i/>
              </w:rPr>
              <w:t>tevékenységekre</w:t>
            </w:r>
            <w:r>
              <w:t xml:space="preserve"> vonatkozóan. Az említett végrehajtási jogi aktusokat a 83. cikk (2) bekezdésében említett tanácsadó bizottsági eljárás keretében kell elfogadni.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összehangolják az irányítási, hozzáférési és operatív rendelkezéseket a Kopernikusz új kormányzati szolgáltatási architektúrájával.</w:t>
      </w:r>
    </w:p>
    <w:p>
      <w:r>
        <w:rPr>
          <w:rStyle w:val="HideTWBExt"/>
        </w:rPr>
        <w:t>&lt;/Amend&gt;</w:t>
      </w:r>
    </w:p>
    <w:p>
      <w:pPr>
        <w:pStyle w:val="AmNumberTabs"/>
      </w:pPr>
      <w:r>
        <w:rPr>
          <w:rStyle w:val="HideTWBExt"/>
        </w:rPr>
        <w:t>&lt;Amend&gt;</w:t>
      </w:r>
      <w:r>
        <w:t>Módosítás</w:t>
      </w:r>
      <w:r>
        <w:tab/>
      </w:r>
      <w:r>
        <w:tab/>
      </w:r>
      <w:r>
        <w:rPr>
          <w:rStyle w:val="HideTWBExt"/>
        </w:rPr>
        <w:t>&lt;NumAm&gt;</w:t>
      </w:r>
      <w:r>
        <w:t>3424</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10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Az EOGS felhasználóit a Bizottság vagy a tagállamok megfelelően felhatalmazzák, és a felhasználóknak meg kell felelniük a 69. cikkben említett általános biztonsági követelményeknek. A következő szervezetek hatalmazhatók fel az EOGS felhasználóiként:</w:t>
            </w:r>
          </w:p>
        </w:tc>
        <w:tc>
          <w:tcPr>
            <w:tcW w:w="4876" w:type="dxa"/>
            <w:tcBorders>
              <w:top w:val="nil"/>
              <w:left w:val="nil"/>
              <w:bottom w:val="nil"/>
              <w:right w:val="nil"/>
            </w:tcBorders>
          </w:tcPr>
          <w:p>
            <w:pPr>
              <w:pStyle w:val="Normal6a"/>
            </w:pPr>
            <w:r>
              <w:t>(10)</w:t>
            </w:r>
            <w:r>
              <w:tab/>
            </w:r>
            <w:r>
              <w:t xml:space="preserve">Az EOGS felhasználóit a Bizottság vagy a tagállamok megfelelően felhatalmazzák, és a felhasználóknak meg kell felelniük a 69. cikkben említett általános biztonsági követelményeknek. </w:t>
            </w:r>
            <w:r>
              <w:rPr>
                <w:b/>
                <w:i/>
              </w:rPr>
              <w:t>Az EOGS-adatokat a felhatalmazott szervezetek számára ingyenesen kell nyújtani.</w:t>
            </w:r>
            <w:r>
              <w:t xml:space="preserve"> A következő szervezetek hatalmazhatók fel az EOGS felhasználóiként: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3425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10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Az EOGS felhasználóit a Bizottság vagy a tagállamok megfelelően felhatalmazzák, és a felhasználóknak meg kell felelniük a 69. cikkben említett általános biztonsági követelményeknek. A következő szervezetek hatalmazhatók fel az EOGS felhasználóiként:</w:t>
            </w:r>
          </w:p>
        </w:tc>
        <w:tc>
          <w:tcPr>
            <w:tcW w:w="4876" w:type="dxa"/>
            <w:tcBorders>
              <w:top w:val="nil"/>
              <w:left w:val="nil"/>
              <w:bottom w:val="nil"/>
              <w:right w:val="nil"/>
            </w:tcBorders>
          </w:tcPr>
          <w:p>
            <w:pPr>
              <w:pStyle w:val="Normal6a"/>
            </w:pPr>
            <w:r>
              <w:t>(10)</w:t>
            </w:r>
            <w:r>
              <w:tab/>
            </w:r>
            <w:r>
              <w:t xml:space="preserve">Az EOGS felhasználóit a Bizottság vagy a tagállamok megfelelően felhatalmazzák, és a felhasználóknak meg kell felelniük a 69. cikkben említett általános biztonsági követelményeknek. </w:t>
            </w:r>
            <w:r>
              <w:rPr>
                <w:b/>
                <w:i/>
              </w:rPr>
              <w:t>Az EOGS-adatokat a felhatalmazott szervezetek számára ingyenesen kell nyújtani.</w:t>
            </w:r>
            <w:r>
              <w:t xml:space="preserve"> A következő szervezetek hatalmazhatók fel az EOGS felhasználóiként: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3426</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10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Az EOGS</w:t>
            </w:r>
            <w:r>
              <w:t xml:space="preserve"> felhasználóit a Bizottság vagy a tagállamok megfelelően felhatalmazzák, és a felhasználóknak meg kell felelniük a 69. cikkben említett általános biztonsági követelményeknek. A következő szervezetek </w:t>
            </w:r>
            <w:r>
              <w:rPr>
                <w:b/>
                <w:i/>
              </w:rPr>
              <w:t>hatalmazhatók fel az EOGS felhasználóiként</w:t>
            </w:r>
            <w:r>
              <w:t>:</w:t>
            </w:r>
          </w:p>
        </w:tc>
        <w:tc>
          <w:tcPr>
            <w:tcW w:w="4876" w:type="dxa"/>
            <w:tcBorders>
              <w:top w:val="nil"/>
              <w:left w:val="nil"/>
              <w:bottom w:val="nil"/>
              <w:right w:val="nil"/>
            </w:tcBorders>
          </w:tcPr>
          <w:p>
            <w:pPr>
              <w:pStyle w:val="Normal6a"/>
            </w:pPr>
            <w:r>
              <w:t>(10)</w:t>
            </w:r>
            <w:r>
              <w:tab/>
            </w:r>
            <w:r>
              <w:rPr>
                <w:b/>
                <w:i/>
              </w:rPr>
              <w:t>A Kopernikusz kormányzati szolgáltatásainak</w:t>
            </w:r>
            <w:r>
              <w:t xml:space="preserve"> felhasználóit a Bizottság vagy a tagállamok megfelelően felhatalmazzák, és a felhasználóknak meg kell felelniük a 69. cikkben említett általános biztonsági követelményeknek. A </w:t>
            </w:r>
            <w:r>
              <w:rPr>
                <w:b/>
                <w:i/>
              </w:rPr>
              <w:t>Kopernikusz kormányzati szolgáltatásainak igénybevétele a</w:t>
            </w:r>
            <w:r>
              <w:t xml:space="preserve"> következő szervezetek </w:t>
            </w:r>
            <w:r>
              <w:rPr>
                <w:b/>
                <w:i/>
              </w:rPr>
              <w:t>számára engedélyezhető</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összehangolják az irányítási, hozzáférési és operatív rendelkezéseket a Kopernikusz új kormányzati szolgáltatási architektúrájával.</w:t>
      </w:r>
    </w:p>
    <w:p>
      <w:r>
        <w:rPr>
          <w:rStyle w:val="HideTWBExt"/>
        </w:rPr>
        <w:t>&lt;/Amend&gt;</w:t>
      </w:r>
    </w:p>
    <w:p>
      <w:pPr>
        <w:pStyle w:val="AmNumberTabs"/>
      </w:pPr>
      <w:r>
        <w:rPr>
          <w:rStyle w:val="HideTWBExt"/>
        </w:rPr>
        <w:t>&lt;Amend&gt;</w:t>
      </w:r>
      <w:r>
        <w:t>Módosítás</w:t>
      </w:r>
      <w:r>
        <w:tab/>
      </w:r>
      <w:r>
        <w:tab/>
      </w:r>
      <w:r>
        <w:rPr>
          <w:rStyle w:val="HideTWBExt"/>
        </w:rPr>
        <w:t>&lt;NumAm&gt;</w:t>
      </w:r>
      <w:r>
        <w:t>3427</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10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uniós vagy tagállami hatóság vagy közhatalmi feladat ellátásával megbízott szerv;</w:t>
            </w:r>
          </w:p>
        </w:tc>
        <w:tc>
          <w:tcPr>
            <w:tcW w:w="4876" w:type="dxa"/>
            <w:tcBorders>
              <w:top w:val="nil"/>
              <w:left w:val="nil"/>
              <w:bottom w:val="nil"/>
              <w:right w:val="nil"/>
            </w:tcBorders>
          </w:tcPr>
          <w:p>
            <w:pPr>
              <w:pStyle w:val="Normal6a"/>
            </w:pPr>
            <w:r>
              <w:t>a)</w:t>
            </w:r>
            <w:r>
              <w:tab/>
            </w:r>
            <w:r>
              <w:t xml:space="preserve">uniós vagy tagállami hatóság vagy </w:t>
            </w:r>
            <w:r>
              <w:rPr>
                <w:b/>
                <w:i/>
              </w:rPr>
              <w:t>a biztonság és védelem területén</w:t>
            </w:r>
            <w:r>
              <w:t xml:space="preserve"> közhatalmi feladat ellátásával megbízott szerv;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összehangolják az irányítási, hozzáférési és operatív rendelkezéseket a Kopernikusz új kormányzati szolgáltatási architektúrájával.</w:t>
      </w:r>
    </w:p>
    <w:p>
      <w:r>
        <w:rPr>
          <w:rStyle w:val="HideTWBExt"/>
        </w:rPr>
        <w:t>&lt;/Amend&gt;</w:t>
      </w:r>
    </w:p>
    <w:p>
      <w:pPr>
        <w:pStyle w:val="AmNumberTabs"/>
      </w:pPr>
      <w:r>
        <w:rPr>
          <w:rStyle w:val="HideTWBExt"/>
        </w:rPr>
        <w:t>&lt;Amend&gt;</w:t>
      </w:r>
      <w:r>
        <w:t>Módosítás</w:t>
      </w:r>
      <w:r>
        <w:tab/>
      </w:r>
      <w:r>
        <w:tab/>
      </w:r>
      <w:r>
        <w:rPr>
          <w:rStyle w:val="HideTWBExt"/>
        </w:rPr>
        <w:t>&lt;NumAm&gt;</w:t>
      </w:r>
      <w:r>
        <w:t>3428</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 Kopernikusz kormányzati szolgáltatásainak jogosult felhasználói számára biztosítani kell a következőket: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összehangolják az irányítási, hozzáférési és operatív rendelkezéseket a Kopernikusz új kormányzati szolgáltatási architektúrájával.</w:t>
      </w:r>
    </w:p>
    <w:p>
      <w:r>
        <w:rPr>
          <w:rStyle w:val="HideTWBExt"/>
        </w:rPr>
        <w:t>&lt;/Amend&gt;</w:t>
      </w:r>
    </w:p>
    <w:p>
      <w:pPr>
        <w:pStyle w:val="AmNumberTabs"/>
      </w:pPr>
      <w:r>
        <w:rPr>
          <w:rStyle w:val="HideTWBExt"/>
        </w:rPr>
        <w:t>&lt;Amend&gt;</w:t>
      </w:r>
      <w:r>
        <w:t>Módosítás</w:t>
      </w:r>
      <w:r>
        <w:tab/>
      </w:r>
      <w:r>
        <w:tab/>
      </w:r>
      <w:r>
        <w:rPr>
          <w:rStyle w:val="HideTWBExt"/>
        </w:rPr>
        <w:t>&lt;NumAm&gt;</w:t>
      </w:r>
      <w:r>
        <w:t>3429</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10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Egységes hozzáférési pont az űralapú Föld-megfigyelési adatok igényléséhez és eléréséhez;</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összehangolják az irányítási, hozzáférési és operatív rendelkezéseket a Kopernikusz új kormányzati szolgáltatási architektúrájával.</w:t>
      </w:r>
    </w:p>
    <w:p>
      <w:r>
        <w:rPr>
          <w:rStyle w:val="HideTWBExt"/>
        </w:rPr>
        <w:t>&lt;/Amend&gt;</w:t>
      </w:r>
    </w:p>
    <w:p>
      <w:pPr>
        <w:pStyle w:val="AmNumberTabs"/>
      </w:pPr>
      <w:r>
        <w:rPr>
          <w:rStyle w:val="HideTWBExt"/>
        </w:rPr>
        <w:t>&lt;Amend&gt;</w:t>
      </w:r>
      <w:r>
        <w:t>Módosítás</w:t>
      </w:r>
      <w:r>
        <w:tab/>
      </w:r>
      <w:r>
        <w:tab/>
      </w:r>
      <w:r>
        <w:rPr>
          <w:rStyle w:val="HideTWBExt"/>
        </w:rPr>
        <w:t>&lt;NumAm&gt;</w:t>
      </w:r>
      <w:r>
        <w:t>3430</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10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Az űralapú Föld-megfigyelési adatok iránti kérelmek anonimizálása;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összehangolják az irányítási, hozzáférési és operatív rendelkezéseket a Kopernikusz új kormányzati szolgáltatási architektúrájával.</w:t>
      </w:r>
    </w:p>
    <w:p>
      <w:r>
        <w:rPr>
          <w:rStyle w:val="HideTWBExt"/>
        </w:rPr>
        <w:t>&lt;/Amend&gt;</w:t>
      </w:r>
    </w:p>
    <w:p>
      <w:pPr>
        <w:pStyle w:val="AmNumberTabs"/>
      </w:pPr>
      <w:r>
        <w:rPr>
          <w:rStyle w:val="HideTWBExt"/>
        </w:rPr>
        <w:t>&lt;Amend&gt;</w:t>
      </w:r>
      <w:r>
        <w:t>Módosítás</w:t>
      </w:r>
      <w:r>
        <w:tab/>
      </w:r>
      <w:r>
        <w:tab/>
      </w:r>
      <w:r>
        <w:rPr>
          <w:rStyle w:val="HideTWBExt"/>
        </w:rPr>
        <w:t>&lt;NumAm&gt;</w:t>
      </w:r>
      <w:r>
        <w:t>3431</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10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Az űralapú Föld-megfigyelési adatok iránti kérelmek besorolása (EU-minősített adatként);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összehangolják az irányítási, hozzáférési és operatív rendelkezéseket a Kopernikusz új kormányzati szolgáltatási architektúrájával.</w:t>
      </w:r>
    </w:p>
    <w:p>
      <w:r>
        <w:rPr>
          <w:rStyle w:val="HideTWBExt"/>
        </w:rPr>
        <w:t>&lt;/Amend&gt;</w:t>
      </w:r>
    </w:p>
    <w:p>
      <w:pPr>
        <w:pStyle w:val="AmNumberTabs"/>
      </w:pPr>
      <w:r>
        <w:rPr>
          <w:rStyle w:val="HideTWBExt"/>
        </w:rPr>
        <w:t>&lt;Amend&gt;</w:t>
      </w:r>
      <w:r>
        <w:t>Módosítás</w:t>
      </w:r>
      <w:r>
        <w:tab/>
      </w:r>
      <w:r>
        <w:tab/>
      </w:r>
      <w:r>
        <w:rPr>
          <w:rStyle w:val="HideTWBExt"/>
        </w:rPr>
        <w:t>&lt;NumAm&gt;</w:t>
      </w:r>
      <w:r>
        <w:t>3432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 tagállamok műholdas kapacitásokkal, a földi szegmensek számára kialakított helyszínekkel vagy a földi szegmenshez tartozó létesítmények bizonyos részeivel járulhatnak hozzá </w:t>
            </w:r>
            <w:r>
              <w:rPr>
                <w:b/>
                <w:i/>
              </w:rPr>
              <w:t>az EOGS-hez</w:t>
            </w:r>
            <w:r>
              <w:t>.</w:t>
            </w:r>
          </w:p>
        </w:tc>
        <w:tc>
          <w:tcPr>
            <w:tcW w:w="4876" w:type="dxa"/>
            <w:tcBorders>
              <w:top w:val="nil"/>
              <w:left w:val="nil"/>
              <w:bottom w:val="nil"/>
              <w:right w:val="nil"/>
            </w:tcBorders>
          </w:tcPr>
          <w:p>
            <w:pPr>
              <w:pStyle w:val="Normal6a"/>
            </w:pPr>
            <w:r>
              <w:t>(11)</w:t>
            </w:r>
            <w:r>
              <w:tab/>
            </w:r>
            <w:r>
              <w:t xml:space="preserve">A tagállamok műholdas kapacitásokkal, a földi szegmensek számára kialakított helyszínekkel vagy a földi szegmenshez tartozó létesítmények bizonyos részeivel járulhatnak hozzá </w:t>
            </w:r>
            <w:r>
              <w:rPr>
                <w:b/>
                <w:i/>
              </w:rPr>
              <w:t>a Kopernikusz kormányzati szolgáltatásaihoz</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összehangolják az irányítási, hozzáférési és operatív rendelkezéseket a Kopernikusz új kormányzati szolgáltatási architektúrájával.</w:t>
      </w:r>
    </w:p>
    <w:p>
      <w:r>
        <w:rPr>
          <w:rStyle w:val="HideTWBExt"/>
        </w:rPr>
        <w:t>&lt;/Amend&gt;</w:t>
      </w:r>
    </w:p>
    <w:p>
      <w:pPr>
        <w:pStyle w:val="AmNumberTabs"/>
      </w:pPr>
      <w:r>
        <w:rPr>
          <w:rStyle w:val="HideTWBExt"/>
        </w:rPr>
        <w:t>&lt;Amend&gt;</w:t>
      </w:r>
      <w:r>
        <w:t>Módosítás</w:t>
      </w:r>
      <w:r>
        <w:tab/>
      </w:r>
      <w:r>
        <w:tab/>
      </w:r>
      <w:r>
        <w:rPr>
          <w:rStyle w:val="HideTWBExt"/>
        </w:rPr>
        <w:t>&lt;NumAm&gt;</w:t>
      </w:r>
      <w:r>
        <w:t>3433</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Az uniós ügynökségek csak annyiban férhetnek hozzá az EOGS-hez, amennyiben ez feladataik teljesítéséhez szükséges, és a hozzáférés az érintett ügynökség és az azt felügyelő uniós intézmény közti igazgatási megállapodásban meghatározott részletes szabályokkal összhangban történik.</w:t>
            </w:r>
          </w:p>
        </w:tc>
        <w:tc>
          <w:tcPr>
            <w:tcW w:w="4876" w:type="dxa"/>
            <w:tcBorders>
              <w:top w:val="nil"/>
              <w:left w:val="nil"/>
              <w:bottom w:val="nil"/>
              <w:right w:val="nil"/>
            </w:tcBorders>
          </w:tcPr>
          <w:p>
            <w:pPr>
              <w:pStyle w:val="Normal6a"/>
            </w:pPr>
            <w:r>
              <w:t>(12)</w:t>
            </w:r>
            <w:r>
              <w:tab/>
            </w:r>
            <w:r>
              <w:t xml:space="preserve">Az uniós ügynökségek </w:t>
            </w:r>
            <w:r>
              <w:rPr>
                <w:b/>
                <w:i/>
              </w:rPr>
              <w:t>és a Kopernikusz-program megbízott szervezetei</w:t>
            </w:r>
            <w:r>
              <w:t xml:space="preserve"> csak annyiban férhetnek hozzá az EOGS-hez, amennyiben ez feladataik teljesítéséhez szükséges, és a hozzáférés az érintett ügynökség és az azt felügyelő uniós intézmény közti igazgatási megállapodásban meghatározott részletes szabályokkal összhangban történik.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összehangolják az irányítási, hozzáférési és operatív rendelkezéseket a Kopernikusz új kormányzati szolgáltatási architektúrájával.</w:t>
      </w:r>
    </w:p>
    <w:p>
      <w:r>
        <w:rPr>
          <w:rStyle w:val="HideTWBExt"/>
        </w:rPr>
        <w:t>&lt;/Amend&gt;</w:t>
      </w:r>
    </w:p>
    <w:p>
      <w:pPr>
        <w:pStyle w:val="AmNumberTabs"/>
      </w:pPr>
      <w:r>
        <w:rPr>
          <w:rStyle w:val="HideTWBExt"/>
        </w:rPr>
        <w:t>&lt;Amend&gt;</w:t>
      </w:r>
      <w:r>
        <w:t>Módosítás</w:t>
      </w:r>
      <w:r>
        <w:tab/>
      </w:r>
      <w:r>
        <w:tab/>
      </w:r>
      <w:r>
        <w:rPr>
          <w:rStyle w:val="HideTWBExt"/>
        </w:rPr>
        <w:t>&lt;NumAm&gt;</w:t>
      </w:r>
      <w:r>
        <w:t>3434</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 Kopernikusz </w:t>
            </w:r>
            <w:r>
              <w:rPr>
                <w:b/>
                <w:i/>
              </w:rPr>
              <w:t>és az EOGS</w:t>
            </w:r>
            <w:r>
              <w:t xml:space="preserve"> fejlődését, beleértve azok szolgáltatásait is, kutatás-fejlesztési tevékenységek, a Föld-megfigyelési szolgáltatások elterjedését szolgáló alkalmazásokat és felhasználói technológiákat pedig downstream K+F-tevékenységek támogatják.</w:t>
            </w:r>
          </w:p>
        </w:tc>
        <w:tc>
          <w:tcPr>
            <w:tcW w:w="4876" w:type="dxa"/>
            <w:tcBorders>
              <w:top w:val="nil"/>
              <w:left w:val="nil"/>
              <w:bottom w:val="nil"/>
              <w:right w:val="nil"/>
            </w:tcBorders>
          </w:tcPr>
          <w:p>
            <w:pPr>
              <w:pStyle w:val="Normal6a"/>
            </w:pPr>
            <w:r>
              <w:t>(13)</w:t>
            </w:r>
            <w:r>
              <w:tab/>
            </w:r>
            <w:r>
              <w:t xml:space="preserve">A Kopernikusz </w:t>
            </w:r>
            <w:r>
              <w:rPr>
                <w:b/>
                <w:i/>
              </w:rPr>
              <w:t>nyilvános szolgáltatásainak és kormányzati szolgáltatásainak</w:t>
            </w:r>
            <w:r>
              <w:t xml:space="preserve"> fejlődését, beleértve azok szolgáltatásait is, kutatás-fejlesztési tevékenységek, a Föld-megfigyelési szolgáltatások elterjedését szolgáló alkalmazásokat és felhasználói technológiákat pedig downstream K+F-tevékenységek támogatják.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kutatási és fejlesztési tevékenységeknek koherens módon a Kopernikusz nyilvános és kormányzati szolgáltatásait egyaránt támogatniuk kell.</w:t>
      </w:r>
    </w:p>
    <w:p>
      <w:r>
        <w:rPr>
          <w:rStyle w:val="HideTWBExt"/>
        </w:rPr>
        <w:t>&lt;/Amend&gt;</w:t>
      </w:r>
    </w:p>
    <w:p>
      <w:pPr>
        <w:pStyle w:val="AmNumberTabs"/>
      </w:pPr>
      <w:r>
        <w:rPr>
          <w:rStyle w:val="HideTWBExt"/>
        </w:rPr>
        <w:t>&lt;Amend&gt;</w:t>
      </w:r>
      <w:r>
        <w:t>Módosítás</w:t>
      </w:r>
      <w:r>
        <w:tab/>
      </w:r>
      <w:r>
        <w:tab/>
      </w:r>
      <w:r>
        <w:rPr>
          <w:rStyle w:val="HideTWBExt"/>
        </w:rPr>
        <w:t>&lt;NumAm&gt;</w:t>
      </w:r>
      <w:r>
        <w:t>3435</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biztonságos konnektivitás komponens </w:t>
            </w:r>
            <w:r>
              <w:rPr>
                <w:b/>
                <w:i/>
              </w:rPr>
              <w:t>hatálya különösen a következőkre terjed ki</w:t>
            </w:r>
            <w:r>
              <w:t>:</w:t>
            </w:r>
          </w:p>
        </w:tc>
        <w:tc>
          <w:tcPr>
            <w:tcW w:w="4876" w:type="dxa"/>
            <w:tcBorders>
              <w:top w:val="nil"/>
              <w:left w:val="nil"/>
              <w:bottom w:val="nil"/>
              <w:right w:val="nil"/>
            </w:tcBorders>
          </w:tcPr>
          <w:p>
            <w:pPr>
              <w:pStyle w:val="Normal6a"/>
            </w:pPr>
            <w:r>
              <w:t>(1)</w:t>
            </w:r>
            <w:r>
              <w:tab/>
            </w:r>
            <w:r>
              <w:t>A biztonságos konnektivitás komponens: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pontosítja a rendszer jogi felépítését, és az operatív valóságot tükrözi:</w:t>
      </w:r>
      <w:r>
        <w:t xml:space="preserve"> </w:t>
      </w:r>
      <w:r>
        <w:t>a GOVSATCOM a nemzeti kapacitások összevonási és megosztási rétegeként működik, míg az IRIS</w:t>
      </w:r>
      <w:r>
        <w:t>2</w:t>
      </w:r>
      <w:r>
        <w:t xml:space="preserve"> a dedikált multiorbitális konstelláció.</w:t>
      </w:r>
    </w:p>
    <w:p>
      <w:r>
        <w:rPr>
          <w:rStyle w:val="HideTWBExt"/>
        </w:rPr>
        <w:t>&lt;/Amend&gt;</w:t>
      </w:r>
    </w:p>
    <w:p>
      <w:pPr>
        <w:pStyle w:val="AmNumberTabs"/>
      </w:pPr>
      <w:r>
        <w:rPr>
          <w:rStyle w:val="HideTWBExt"/>
        </w:rPr>
        <w:t>&lt;Amend&gt;</w:t>
      </w:r>
      <w:r>
        <w:t>Módosítás</w:t>
      </w:r>
      <w:r>
        <w:tab/>
      </w:r>
      <w:r>
        <w:tab/>
      </w:r>
      <w:r>
        <w:rPr>
          <w:rStyle w:val="HideTWBExt"/>
        </w:rPr>
        <w:t>&lt;NumAm&gt;</w:t>
      </w:r>
      <w:r>
        <w:t>3436</w:t>
      </w:r>
      <w:r>
        <w:rPr>
          <w:rStyle w:val="HideTWBExt"/>
        </w:rPr>
        <w:t>&lt;/NumAm&gt;</w:t>
      </w:r>
    </w:p>
    <w:p>
      <w:pPr>
        <w:pStyle w:val="NormalBold"/>
      </w:pPr>
      <w:r>
        <w:rPr>
          <w:rStyle w:val="HideTWBExt"/>
          <w:b w:val="0"/>
        </w:rPr>
        <w:t>&lt;RepeatBlock-By&gt;</w:t>
      </w:r>
      <w:r>
        <w:rPr>
          <w:rStyle w:val="HideTWBExt"/>
          <w:b w:val="0"/>
        </w:rPr>
        <w:t>&lt;Members&gt;</w:t>
      </w:r>
      <w:r>
        <w:t>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megbízható, biztonságos és költséghatékony kormányzati szolgáltatások és GOVSATCOM-szolgáltatások hosszú távú elérhetőségének biztosítása;</w:t>
            </w:r>
          </w:p>
        </w:tc>
        <w:tc>
          <w:tcPr>
            <w:tcW w:w="4876" w:type="dxa"/>
            <w:tcBorders>
              <w:top w:val="nil"/>
              <w:left w:val="nil"/>
              <w:bottom w:val="nil"/>
              <w:right w:val="nil"/>
            </w:tcBorders>
          </w:tcPr>
          <w:p>
            <w:pPr>
              <w:pStyle w:val="Normal6a"/>
            </w:pPr>
            <w:r>
              <w:t>a)</w:t>
            </w:r>
            <w:r>
              <w:tab/>
            </w:r>
            <w:r>
              <w:t>a megbízható, biztonságos és költséghatékony kormányzati szolgáltatások és GOVSATCOM-szolgáltatások hosszú távú elérhetőségének biztosítása</w:t>
            </w:r>
            <w:r>
              <w:rPr>
                <w:b/>
                <w:i/>
              </w:rPr>
              <w:t>, többek között a GOVSATCOM-központ üzemeltetésére vonatkozó szolgáltatási szerződésre irányuló közbeszerzés révén, lehetővé téve a kapcsolódó szolgáltatásnyújtást az illetékes kormányzati hatóságok számára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3437</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megbízható, biztonságos és költséghatékony kormányzati szolgáltatások és GOVSATCOM-szolgáltatások hosszú távú elérhetőségének biztosítása;</w:t>
            </w:r>
          </w:p>
        </w:tc>
        <w:tc>
          <w:tcPr>
            <w:tcW w:w="4876" w:type="dxa"/>
            <w:tcBorders>
              <w:top w:val="nil"/>
              <w:left w:val="nil"/>
              <w:bottom w:val="nil"/>
              <w:right w:val="nil"/>
            </w:tcBorders>
          </w:tcPr>
          <w:p>
            <w:pPr>
              <w:pStyle w:val="Normal6a"/>
            </w:pPr>
            <w:r>
              <w:t>a)</w:t>
            </w:r>
            <w:r>
              <w:tab/>
            </w:r>
            <w:r>
              <w:t>a megbízható, biztonságos és költséghatékony kormányzati szolgáltatások és GOVSATCOM-szolgáltatások hosszú távú elérhetőségének biztosítása</w:t>
            </w:r>
            <w:r>
              <w:rPr>
                <w:b/>
                <w:i/>
              </w:rPr>
              <w:t>, többek között a GOVSATCOM-központ üzemeltetésére vonatkozó szolgáltatási szerződésre irányuló közbeszerzés révén, lehetővé téve a kapcsolódó szolgáltatásnyújtást az illetékes kormányzati hatóságok számára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3438</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megbízható, biztonságos és költséghatékony kormányzati szolgáltatások és GOVSATCOM-szolgáltatások hosszú távú elérhetőségének biztosítása;</w:t>
            </w:r>
          </w:p>
        </w:tc>
        <w:tc>
          <w:tcPr>
            <w:tcW w:w="4876" w:type="dxa"/>
            <w:tcBorders>
              <w:top w:val="nil"/>
              <w:left w:val="nil"/>
              <w:bottom w:val="nil"/>
              <w:right w:val="nil"/>
            </w:tcBorders>
          </w:tcPr>
          <w:p>
            <w:pPr>
              <w:pStyle w:val="Normal6a"/>
            </w:pPr>
            <w:r>
              <w:t>a)</w:t>
            </w:r>
            <w:r>
              <w:tab/>
            </w:r>
            <w:r>
              <w:t>a megbízható, biztonságos és költséghatékony kormányzati szolgáltatások és GOVSATCOM-szolgáltatások hosszú távú elérhetőségének biztosítása</w:t>
            </w:r>
            <w:r>
              <w:rPr>
                <w:b/>
                <w:i/>
              </w:rPr>
              <w:t>, többek között a GOVSATCOM-központ üzemeltetésére vonatkozó szolgáltatási szerződésre irányuló közbeszerzés révén, lehetővé téve a kapcsolódó szolgáltatásnyújtást az illetékes kormányzati hatóságok számára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3439</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Wouter Beke, Virgil-Daniel Popescu,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megbízható, biztonságos és költséghatékony kormányzati szolgáltatások és GOVSATCOM-szolgáltatások hosszú távú elérhetőségének biztosítása;</w:t>
            </w:r>
          </w:p>
        </w:tc>
        <w:tc>
          <w:tcPr>
            <w:tcW w:w="4876" w:type="dxa"/>
            <w:tcBorders>
              <w:top w:val="nil"/>
              <w:left w:val="nil"/>
              <w:bottom w:val="nil"/>
              <w:right w:val="nil"/>
            </w:tcBorders>
          </w:tcPr>
          <w:p>
            <w:pPr>
              <w:pStyle w:val="Normal6a"/>
            </w:pPr>
            <w:r>
              <w:t>a)</w:t>
            </w:r>
            <w:r>
              <w:tab/>
            </w:r>
            <w:r>
              <w:t>a megbízható, biztonságos és költséghatékony kormányzati szolgáltatások és GOVSATCOM-szolgáltatások hosszú távú elérhetőségének biztosítása</w:t>
            </w:r>
            <w:r>
              <w:rPr>
                <w:b/>
                <w:i/>
              </w:rPr>
              <w:t>, többek között a GOVSATCOM-központon keresztül, lehetővé téve a kapcsolódó szolgáltatásnyújtást az illetékes hatóságok számára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3440</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megbízható, biztonságos és költséghatékony kormányzati szolgáltatások és GOVSATCOM-szolgáltatások hosszú távú elérhetőségének biztosítása;</w:t>
            </w:r>
          </w:p>
        </w:tc>
        <w:tc>
          <w:tcPr>
            <w:tcW w:w="4876" w:type="dxa"/>
            <w:tcBorders>
              <w:top w:val="nil"/>
              <w:left w:val="nil"/>
              <w:bottom w:val="nil"/>
              <w:right w:val="nil"/>
            </w:tcBorders>
          </w:tcPr>
          <w:p>
            <w:pPr>
              <w:pStyle w:val="Normal6a"/>
            </w:pPr>
            <w:r>
              <w:t>a)</w:t>
            </w:r>
            <w:r>
              <w:tab/>
            </w:r>
            <w:r>
              <w:t>a megbízható, biztonságos és költséghatékony kormányzati szolgáltatások és GOVSATCOM-szolgáltatások hosszú távú elérhetőségének biztosítása</w:t>
            </w:r>
            <w:r>
              <w:rPr>
                <w:b/>
                <w:i/>
              </w:rPr>
              <w:t>, többek között a GOVSATCOM-központon keresztül, lehetővé téve a kapcsolódó szolgáltatásnyújtást az illetékes hatóságok számára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3441</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w:t>
            </w:r>
            <w:r>
              <w:t xml:space="preserve"> megbízható, biztonságos és költséghatékony kormányzati </w:t>
            </w:r>
            <w:r>
              <w:rPr>
                <w:b/>
                <w:i/>
              </w:rPr>
              <w:t>szolgáltatások és GOVSATCOM-szolgáltatások</w:t>
            </w:r>
            <w:r>
              <w:t xml:space="preserve"> hosszú távú </w:t>
            </w:r>
            <w:r>
              <w:rPr>
                <w:b/>
                <w:i/>
              </w:rPr>
              <w:t>elérhetőségének biztosítása</w:t>
            </w:r>
            <w:r>
              <w:t>;</w:t>
            </w:r>
          </w:p>
        </w:tc>
        <w:tc>
          <w:tcPr>
            <w:tcW w:w="4876" w:type="dxa"/>
            <w:tcBorders>
              <w:top w:val="nil"/>
              <w:left w:val="nil"/>
              <w:bottom w:val="nil"/>
              <w:right w:val="nil"/>
            </w:tcBorders>
          </w:tcPr>
          <w:p>
            <w:pPr>
              <w:pStyle w:val="Normal6a"/>
            </w:pPr>
            <w:r>
              <w:t>a)</w:t>
            </w:r>
            <w:r>
              <w:tab/>
            </w:r>
            <w:r>
              <w:rPr>
                <w:b/>
                <w:i/>
              </w:rPr>
              <w:t>biztosítja az IRIS</w:t>
            </w:r>
            <w:r>
              <w:rPr>
                <w:b/>
                <w:i/>
                <w:vertAlign w:val="superscript"/>
              </w:rPr>
              <w:t>2</w:t>
            </w:r>
            <w:r>
              <w:t xml:space="preserve"> megbízható, biztonságos és költséghatékony kormányzati </w:t>
            </w:r>
            <w:r>
              <w:rPr>
                <w:b/>
                <w:i/>
              </w:rPr>
              <w:t>szolgáltatásainak</w:t>
            </w:r>
            <w:r>
              <w:t xml:space="preserve"> hosszú távú </w:t>
            </w:r>
            <w:r>
              <w:rPr>
                <w:b/>
                <w:i/>
              </w:rPr>
              <w:t>elérhetőségét az illetékes kormányzati engedéllyel rendelkező felhasználók számára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egyértelművé teszik az IRIS</w:t>
      </w:r>
      <w:r>
        <w:t>2</w:t>
      </w:r>
      <w:r>
        <w:t xml:space="preserve"> kormányzati és kereskedelmi szolgáltatásai közötti különbségtételt, és jobban tükrözik a rendszer működési architektúráját.</w:t>
      </w:r>
    </w:p>
    <w:p>
      <w:r>
        <w:rPr>
          <w:rStyle w:val="HideTWBExt"/>
        </w:rPr>
        <w:t>&lt;/Amend&gt;</w:t>
      </w:r>
    </w:p>
    <w:p>
      <w:pPr>
        <w:pStyle w:val="AmNumberTabs"/>
      </w:pPr>
      <w:r>
        <w:rPr>
          <w:rStyle w:val="HideTWBExt"/>
        </w:rPr>
        <w:t>&lt;Amend&gt;</w:t>
      </w:r>
      <w:r>
        <w:t>Módosítás</w:t>
      </w:r>
      <w:r>
        <w:tab/>
      </w:r>
      <w:r>
        <w:tab/>
      </w:r>
      <w:r>
        <w:rPr>
          <w:rStyle w:val="HideTWBExt"/>
        </w:rPr>
        <w:t>&lt;NumAm&gt;</w:t>
      </w:r>
      <w:r>
        <w:t>3442</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megbízható, biztonságos és költséghatékony </w:t>
            </w:r>
            <w:r>
              <w:rPr>
                <w:b/>
                <w:i/>
              </w:rPr>
              <w:t>kormányzati szolgáltatások és</w:t>
            </w:r>
            <w:r>
              <w:t xml:space="preserve"> GOVSATCOM-szolgáltatások hosszú távú elérhetőségének biztosítása;</w:t>
            </w:r>
          </w:p>
        </w:tc>
        <w:tc>
          <w:tcPr>
            <w:tcW w:w="4876" w:type="dxa"/>
            <w:tcBorders>
              <w:top w:val="nil"/>
              <w:left w:val="nil"/>
              <w:bottom w:val="nil"/>
              <w:right w:val="nil"/>
            </w:tcBorders>
          </w:tcPr>
          <w:p>
            <w:pPr>
              <w:pStyle w:val="Normal6a"/>
            </w:pPr>
            <w:r>
              <w:t>a)</w:t>
            </w:r>
            <w:r>
              <w:tab/>
            </w:r>
            <w:r>
              <w:t>a megbízható, biztonságos és költséghatékony GOVSATCOM-szolgáltatások hosszú távú elérhetőségének biztosítása;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3443</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az IRIS²</w:t>
            </w:r>
            <w:r>
              <w:t xml:space="preserve"> kereskedelmi </w:t>
            </w:r>
            <w:r>
              <w:rPr>
                <w:b/>
                <w:i/>
              </w:rPr>
              <w:t>szolgáltatásainak lehetővé tétele</w:t>
            </w:r>
            <w:r>
              <w:t>;</w:t>
            </w:r>
          </w:p>
        </w:tc>
        <w:tc>
          <w:tcPr>
            <w:tcW w:w="4876" w:type="dxa"/>
            <w:tcBorders>
              <w:top w:val="nil"/>
              <w:left w:val="nil"/>
              <w:bottom w:val="nil"/>
              <w:right w:val="nil"/>
            </w:tcBorders>
          </w:tcPr>
          <w:p>
            <w:pPr>
              <w:pStyle w:val="Normal6a"/>
            </w:pPr>
            <w:r>
              <w:t>b)</w:t>
            </w:r>
            <w:r>
              <w:tab/>
            </w:r>
            <w:r>
              <w:rPr>
                <w:b/>
                <w:i/>
              </w:rPr>
              <w:t>lehetővé teszi az IRIS</w:t>
            </w:r>
            <w:r>
              <w:rPr>
                <w:b/>
                <w:i/>
                <w:vertAlign w:val="superscript"/>
              </w:rPr>
              <w:t>2</w:t>
            </w:r>
            <w:r>
              <w:t xml:space="preserve"> kereskedelmi </w:t>
            </w:r>
            <w:r>
              <w:rPr>
                <w:b/>
                <w:i/>
              </w:rPr>
              <w:t>szolgáltatásait, beleértve a kormányzati engedéllyel rendelkező felhasználóknak kínált, kereskedelmi infrastruktúrán alapuló szolgáltatásokat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egyértelművé teszik az IRIS</w:t>
      </w:r>
      <w:r>
        <w:t>2</w:t>
      </w:r>
      <w:r>
        <w:t xml:space="preserve"> kormányzati és kereskedelmi szolgáltatásai közötti különbségtételt, és jobban tükrözik a rendszer működési architektúráját.</w:t>
      </w:r>
    </w:p>
    <w:p>
      <w:r>
        <w:rPr>
          <w:rStyle w:val="HideTWBExt"/>
        </w:rPr>
        <w:t>&lt;/Amend&gt;</w:t>
      </w:r>
    </w:p>
    <w:p>
      <w:pPr>
        <w:pStyle w:val="AmNumberTabs"/>
      </w:pPr>
      <w:r>
        <w:rPr>
          <w:rStyle w:val="HideTWBExt"/>
        </w:rPr>
        <w:t>&lt;Amend&gt;</w:t>
      </w:r>
      <w:r>
        <w:t>Módosítás</w:t>
      </w:r>
      <w:r>
        <w:tab/>
      </w:r>
      <w:r>
        <w:tab/>
      </w:r>
      <w:r>
        <w:rPr>
          <w:rStyle w:val="HideTWBExt"/>
        </w:rPr>
        <w:t>&lt;NumAm&gt;</w:t>
      </w:r>
      <w:r>
        <w:t>3444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az </w:t>
            </w:r>
            <w:r>
              <w:rPr>
                <w:b/>
                <w:i/>
              </w:rPr>
              <w:t>IRIS²</w:t>
            </w:r>
            <w:r>
              <w:t xml:space="preserve"> kereskedelmi szolgáltatásainak lehetővé tétele;</w:t>
            </w:r>
          </w:p>
        </w:tc>
        <w:tc>
          <w:tcPr>
            <w:tcW w:w="4876" w:type="dxa"/>
            <w:tcBorders>
              <w:top w:val="nil"/>
              <w:left w:val="nil"/>
              <w:bottom w:val="nil"/>
              <w:right w:val="nil"/>
            </w:tcBorders>
          </w:tcPr>
          <w:p>
            <w:pPr>
              <w:pStyle w:val="Normal6a"/>
            </w:pPr>
            <w:r>
              <w:t>b)</w:t>
            </w:r>
            <w:r>
              <w:tab/>
            </w:r>
            <w:r>
              <w:t xml:space="preserve">az </w:t>
            </w:r>
            <w:r>
              <w:rPr>
                <w:b/>
                <w:i/>
              </w:rPr>
              <w:t>IRIS</w:t>
            </w:r>
            <w:r>
              <w:rPr>
                <w:b/>
                <w:i/>
                <w:vertAlign w:val="superscript"/>
              </w:rPr>
              <w:t>2</w:t>
            </w:r>
            <w:r>
              <w:t xml:space="preserve"> </w:t>
            </w:r>
            <w:r>
              <w:rPr>
                <w:b/>
                <w:i/>
              </w:rPr>
              <w:t>kormányzati és</w:t>
            </w:r>
            <w:r>
              <w:t xml:space="preserve"> kereskedelmi szolgáltatásainak lehetővé tétele;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3445</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lehetőség szerint</w:t>
            </w:r>
            <w:r>
              <w:t xml:space="preserve"> a kommunikációs és további nem kommunikációs szolgáltatások </w:t>
            </w:r>
            <w:r>
              <w:rPr>
                <w:b/>
                <w:i/>
              </w:rPr>
              <w:t>fejlesztésének lehetővé tétele</w:t>
            </w:r>
            <w:r>
              <w:t>, különösen az e szakasz szerinti tevékenységek és komponensek javításával, közöttük szinergiák kialakításával és képességeik és szolgáltatásaik bővítésével, valamint a tagállamok számára nyújtandó nem kommunikációs szolgáltatások kifejlesztésével, további műholdas alrendszerek – többek között hasznos terhek – elhelyezése révén;</w:t>
            </w:r>
          </w:p>
        </w:tc>
        <w:tc>
          <w:tcPr>
            <w:tcW w:w="4876" w:type="dxa"/>
            <w:tcBorders>
              <w:top w:val="nil"/>
              <w:left w:val="nil"/>
              <w:bottom w:val="nil"/>
              <w:right w:val="nil"/>
            </w:tcBorders>
          </w:tcPr>
          <w:p>
            <w:pPr>
              <w:pStyle w:val="Normal6a"/>
            </w:pPr>
            <w:r>
              <w:t>c)</w:t>
            </w:r>
            <w:r>
              <w:tab/>
            </w:r>
            <w:r>
              <w:rPr>
                <w:b/>
                <w:i/>
              </w:rPr>
              <w:t>az IRIS</w:t>
            </w:r>
            <w:r>
              <w:rPr>
                <w:b/>
                <w:i/>
                <w:vertAlign w:val="superscript"/>
              </w:rPr>
              <w:t>2</w:t>
            </w:r>
            <w:r>
              <w:t xml:space="preserve"> </w:t>
            </w:r>
            <w:r>
              <w:rPr>
                <w:b/>
                <w:i/>
              </w:rPr>
              <w:t>alkomponensen keresztül lehetővé teszi</w:t>
            </w:r>
            <w:r>
              <w:t xml:space="preserve"> a kommunikációs és </w:t>
            </w:r>
            <w:r>
              <w:rPr>
                <w:b/>
                <w:i/>
              </w:rPr>
              <w:t>adott esetben</w:t>
            </w:r>
            <w:r>
              <w:t xml:space="preserve"> további nem kommunikációs szolgáltatások </w:t>
            </w:r>
            <w:r>
              <w:rPr>
                <w:b/>
                <w:i/>
              </w:rPr>
              <w:t>fejlesztését</w:t>
            </w:r>
            <w:r>
              <w:t>, különösen az e szakasz szerinti tevékenységek és komponensek javításával, közöttük szinergiák kialakításával és képességeik és szolgáltatásaik bővítésével, valamint a tagállamok számára nyújtandó nem kommunikációs szolgáltatások kifejlesztésével, további műholdas alrendszerek – többek között hasznos terhek – elhelyezése révén;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egyértelművé teszik az IRIS</w:t>
      </w:r>
      <w:r>
        <w:t>2</w:t>
      </w:r>
      <w:r>
        <w:t xml:space="preserve"> kormányzati és kereskedelmi szolgáltatásai közötti különbségtételt, és jobban tükrözik a rendszer működési architektúráját.</w:t>
      </w:r>
    </w:p>
    <w:p>
      <w:r>
        <w:rPr>
          <w:rStyle w:val="HideTWBExt"/>
        </w:rPr>
        <w:t>&lt;/Amend&gt;</w:t>
      </w:r>
    </w:p>
    <w:p>
      <w:pPr>
        <w:pStyle w:val="AmNumberTabs"/>
      </w:pPr>
      <w:r>
        <w:rPr>
          <w:rStyle w:val="HideTWBExt"/>
        </w:rPr>
        <w:t>&lt;Amend&gt;</w:t>
      </w:r>
      <w:r>
        <w:t>Módosítás</w:t>
      </w:r>
      <w:r>
        <w:tab/>
      </w:r>
      <w:r>
        <w:tab/>
      </w:r>
      <w:r>
        <w:rPr>
          <w:rStyle w:val="HideTWBExt"/>
        </w:rPr>
        <w:t>&lt;NumAm&gt;</w:t>
      </w:r>
      <w:r>
        <w:t>3446</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az IRIS</w:t>
            </w:r>
            <w:r>
              <w:rPr>
                <w:b/>
                <w:i/>
                <w:vertAlign w:val="superscript"/>
              </w:rPr>
              <w:t>2</w:t>
            </w:r>
            <w:r>
              <w:t xml:space="preserve"> </w:t>
            </w:r>
            <w:r>
              <w:rPr>
                <w:b/>
                <w:i/>
              </w:rPr>
              <w:t>alkomponens lehetővé tehet további kommunikációs szolgáltatásokat – például az eszközök közötti közvetlen biztonságos kommunikációt vagy a dolgok internetét –, valamint nem kommunikációs szolgáltatásokat az e fejezet hatálya alá tartozó más komponensek javára;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 a módosítások egyértelművé teszik az IRIS</w:t>
      </w:r>
      <w:r>
        <w:t>2</w:t>
      </w:r>
      <w:r>
        <w:t xml:space="preserve"> kormányzati és kereskedelmi szolgáltatásai közötti különbségtételt, és jobban tükrözik a rendszer működési architektúráját.</w:t>
      </w:r>
    </w:p>
    <w:p>
      <w:r>
        <w:rPr>
          <w:rStyle w:val="HideTWBExt"/>
        </w:rPr>
        <w:t>&lt;/Amend&gt;</w:t>
      </w:r>
    </w:p>
    <w:p>
      <w:pPr>
        <w:pStyle w:val="AmNumberTabs"/>
      </w:pPr>
      <w:r>
        <w:rPr>
          <w:rStyle w:val="HideTWBExt"/>
        </w:rPr>
        <w:t>&lt;Amend&gt;</w:t>
      </w:r>
      <w:r>
        <w:t>Módosítás</w:t>
      </w:r>
      <w:r>
        <w:tab/>
      </w:r>
      <w:r>
        <w:tab/>
      </w:r>
      <w:r>
        <w:rPr>
          <w:rStyle w:val="HideTWBExt"/>
        </w:rPr>
        <w:t>&lt;NumAm&gt;</w:t>
      </w:r>
      <w:r>
        <w:t>3447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 stratégiai jelentőségű földrajzi területek, például Afrika és az Északi-sarkvidék, valamint a Balti-tenger, a Fekete-tenger és a földközi-tengeri térségek és az Atlanti-óceán </w:t>
            </w:r>
            <w:r>
              <w:rPr>
                <w:b/>
                <w:i/>
              </w:rPr>
              <w:t>biztonságos összeköttetésének javítása</w:t>
            </w:r>
            <w:r>
              <w:t>.</w:t>
            </w:r>
          </w:p>
        </w:tc>
        <w:tc>
          <w:tcPr>
            <w:tcW w:w="4876" w:type="dxa"/>
            <w:tcBorders>
              <w:top w:val="nil"/>
              <w:left w:val="nil"/>
              <w:bottom w:val="nil"/>
              <w:right w:val="nil"/>
            </w:tcBorders>
          </w:tcPr>
          <w:p>
            <w:pPr>
              <w:pStyle w:val="Normal6a"/>
            </w:pPr>
            <w:r>
              <w:t>d)</w:t>
            </w:r>
            <w:r>
              <w:tab/>
            </w:r>
            <w:r>
              <w:t xml:space="preserve">a stratégiai jelentőségű földrajzi területek, például Afrika és az Északi-sarkvidék </w:t>
            </w:r>
            <w:r>
              <w:rPr>
                <w:b/>
                <w:i/>
              </w:rPr>
              <w:t>biztonságos összeköttetésének javítása</w:t>
            </w:r>
            <w:r>
              <w:t xml:space="preserve">, valamint </w:t>
            </w:r>
            <w:r>
              <w:rPr>
                <w:b/>
                <w:i/>
              </w:rPr>
              <w:t>a földrajzilag Európában fekvő tagállami területek teljes lefedettségének biztosítása, beleértve</w:t>
            </w:r>
            <w:r>
              <w:t xml:space="preserve"> a Balti-tenger, a Fekete-tenger és a földközi-tengeri térségek és az Atlanti-óceán </w:t>
            </w:r>
            <w:r>
              <w:rPr>
                <w:b/>
                <w:i/>
              </w:rPr>
              <w:t>közvetlen szomszédságát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3448</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 stratégiai jelentőségű földrajzi területek</w:t>
            </w:r>
            <w:r>
              <w:rPr>
                <w:b/>
                <w:i/>
              </w:rPr>
              <w:t>, például Afrika és az Északi-sarkvidék, valamint a Balti-tenger, a Fekete-tenger és a földközi-tengeri térségek és az Atlanti-óceán</w:t>
            </w:r>
            <w:r>
              <w:t xml:space="preserve"> biztonságos </w:t>
            </w:r>
            <w:r>
              <w:rPr>
                <w:b/>
                <w:i/>
              </w:rPr>
              <w:t>összeköttetésének javítása</w:t>
            </w:r>
            <w:r>
              <w:t>.</w:t>
            </w:r>
          </w:p>
        </w:tc>
        <w:tc>
          <w:tcPr>
            <w:tcW w:w="4876" w:type="dxa"/>
            <w:tcBorders>
              <w:top w:val="nil"/>
              <w:left w:val="nil"/>
              <w:bottom w:val="nil"/>
              <w:right w:val="nil"/>
            </w:tcBorders>
          </w:tcPr>
          <w:p>
            <w:pPr>
              <w:pStyle w:val="Normal6a"/>
            </w:pPr>
            <w:r>
              <w:t>d)</w:t>
            </w:r>
            <w:r>
              <w:tab/>
            </w:r>
            <w:r>
              <w:rPr>
                <w:b/>
                <w:i/>
              </w:rPr>
              <w:t>biztosítja a globális konnektivitást, egyúttal prioritásként biztosítva a biztonságos konnektivitási szolgáltatások teljes körű rendelkezésre állását a tagállamok területén, valamint javítva</w:t>
            </w:r>
            <w:r>
              <w:t xml:space="preserve"> a stratégiai jelentőségű földrajzi területek biztonságos </w:t>
            </w:r>
            <w:r>
              <w:rPr>
                <w:b/>
                <w:i/>
              </w:rPr>
              <w:t>összeköttetését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közelmúltbeli geopolitikai változások fényében elavultnak tűnik az érdekeltségi területek részletes meghatározása az IRIS</w:t>
      </w:r>
      <w:r>
        <w:t>2</w:t>
      </w:r>
      <w:r>
        <w:t xml:space="preserve"> tekintetében, és biztosítani kell az egész világra kiterjedő lefedettséget.</w:t>
      </w:r>
    </w:p>
    <w:p>
      <w:r>
        <w:rPr>
          <w:rStyle w:val="HideTWBExt"/>
        </w:rPr>
        <w:t>&lt;/Amend&gt;</w:t>
      </w:r>
    </w:p>
    <w:p>
      <w:pPr>
        <w:pStyle w:val="AmNumberTabs"/>
      </w:pPr>
      <w:r>
        <w:rPr>
          <w:rStyle w:val="HideTWBExt"/>
        </w:rPr>
        <w:t>&lt;Amend&gt;</w:t>
      </w:r>
      <w:r>
        <w:t>Módosítás</w:t>
      </w:r>
      <w:r>
        <w:tab/>
      </w:r>
      <w:r>
        <w:tab/>
      </w:r>
      <w:r>
        <w:rPr>
          <w:rStyle w:val="HideTWBExt"/>
        </w:rPr>
        <w:t>&lt;NumAm&gt;</w:t>
      </w:r>
      <w:r>
        <w:t>3449</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 stratégiai jelentőségű földrajzi területek, </w:t>
            </w:r>
            <w:r>
              <w:rPr>
                <w:b/>
                <w:i/>
              </w:rPr>
              <w:t>például</w:t>
            </w:r>
            <w:r>
              <w:t xml:space="preserve"> Afrika </w:t>
            </w:r>
            <w:r>
              <w:rPr>
                <w:b/>
                <w:i/>
              </w:rPr>
              <w:t>és</w:t>
            </w:r>
            <w:r>
              <w:t xml:space="preserve"> az Északi-sarkvidék, valamint a Balti-tenger, a Fekete-tenger </w:t>
            </w:r>
            <w:r>
              <w:rPr>
                <w:b/>
                <w:i/>
              </w:rPr>
              <w:t>és a földközi-tengeri térségek</w:t>
            </w:r>
            <w:r>
              <w:t xml:space="preserve"> és az Atlanti-óceán biztonságos összeköttetésének javítása.</w:t>
            </w:r>
          </w:p>
        </w:tc>
        <w:tc>
          <w:tcPr>
            <w:tcW w:w="4876" w:type="dxa"/>
            <w:tcBorders>
              <w:top w:val="nil"/>
              <w:left w:val="nil"/>
              <w:bottom w:val="nil"/>
              <w:right w:val="nil"/>
            </w:tcBorders>
          </w:tcPr>
          <w:p>
            <w:pPr>
              <w:pStyle w:val="Normal6a"/>
            </w:pPr>
            <w:r>
              <w:t>d)</w:t>
            </w:r>
            <w:r>
              <w:tab/>
            </w:r>
            <w:r>
              <w:t xml:space="preserve">a stratégiai jelentőségű földrajzi területek, </w:t>
            </w:r>
            <w:r>
              <w:rPr>
                <w:b/>
                <w:i/>
              </w:rPr>
              <w:t>ezen belül</w:t>
            </w:r>
            <w:r>
              <w:t xml:space="preserve"> Afrika</w:t>
            </w:r>
            <w:r>
              <w:rPr>
                <w:b/>
                <w:i/>
              </w:rPr>
              <w:t>,</w:t>
            </w:r>
            <w:r>
              <w:t xml:space="preserve"> az Északi-sarkvidék, valamint </w:t>
            </w:r>
            <w:r>
              <w:rPr>
                <w:b/>
                <w:i/>
              </w:rPr>
              <w:t>az Unió keleti szárnya, ezen belül</w:t>
            </w:r>
            <w:r>
              <w:t xml:space="preserve"> a Balti-tenger</w:t>
            </w:r>
            <w:r>
              <w:rPr>
                <w:b/>
                <w:i/>
              </w:rPr>
              <w:t>, az északi térség</w:t>
            </w:r>
            <w:r>
              <w:t>, a Fekete-tenger</w:t>
            </w:r>
            <w:r>
              <w:rPr>
                <w:b/>
                <w:i/>
              </w:rPr>
              <w:t>, a Földközi-tenger</w:t>
            </w:r>
            <w:r>
              <w:t xml:space="preserve"> és az Atlanti-óceán biztonságos összeköttetésének javítása.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3450</w:t>
      </w:r>
      <w:r>
        <w:rPr>
          <w:rStyle w:val="HideTWBExt"/>
        </w:rPr>
        <w:t>&lt;/NumAm&gt;</w:t>
      </w:r>
    </w:p>
    <w:p>
      <w:pPr>
        <w:pStyle w:val="NormalBold"/>
      </w:pPr>
      <w:r>
        <w:rPr>
          <w:rStyle w:val="HideTWBExt"/>
          <w:b w:val="0"/>
        </w:rPr>
        <w:t>&lt;RepeatBlock-By&gt;</w:t>
      </w:r>
      <w:r>
        <w:rPr>
          <w:rStyle w:val="HideTWBExt"/>
          <w:b w:val="0"/>
        </w:rPr>
        <w:t>&lt;Members&gt;</w:t>
      </w:r>
      <w:r>
        <w:t>Bart Groothuis, João Cotrim De Figueiredo, Morten Løkkegaard, Yvan Verougstraete, Sophie Wilmès, Brigitte van den Berg, Elisabetta Gualmini, Andreas Glück,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 stratégiai jelentőségű földrajzi területek, például Afrika és az Északi-sarkvidék, valamint a Balti-tenger, a Fekete-tenger és a földközi-tengeri térségek és az Atlanti-óceán biztonságos összeköttetésének javítása.</w:t>
            </w:r>
          </w:p>
        </w:tc>
        <w:tc>
          <w:tcPr>
            <w:tcW w:w="4876" w:type="dxa"/>
            <w:tcBorders>
              <w:top w:val="nil"/>
              <w:left w:val="nil"/>
              <w:bottom w:val="nil"/>
              <w:right w:val="nil"/>
            </w:tcBorders>
          </w:tcPr>
          <w:p>
            <w:pPr>
              <w:pStyle w:val="Normal6a"/>
            </w:pPr>
            <w:r>
              <w:t>d)</w:t>
            </w:r>
            <w:r>
              <w:tab/>
            </w:r>
            <w:r>
              <w:t xml:space="preserve">a stratégiai jelentőségű földrajzi területek, például Afrika és az Északi-sarkvidék, valamint a Balti-tenger, </w:t>
            </w:r>
            <w:r>
              <w:rPr>
                <w:b/>
                <w:i/>
              </w:rPr>
              <w:t>az Északi-tenger,</w:t>
            </w:r>
            <w:r>
              <w:t xml:space="preserve"> a Fekete-tenger és a földközi-tengeri térségek és az Atlanti-óceán biztonságos összeköttetésének javítása.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Északi-tenger kritikus tenger alatti kommunikációs és energetikai infrastruktúrának, jelentős tengeri szélerőműveknek és létfontosságú tengeri folyosóknak ad otthont, de nem szerepel a biztonságos összeköttetés stratégiai területeinek listáján.</w:t>
      </w:r>
      <w:r>
        <w:t xml:space="preserve"> </w:t>
      </w:r>
      <w:r>
        <w:t>Tekintettel az észak-európai vizek tenger alatti infrastruktúráját a közelmúltban érintő fenyegetésekre, ezt a hiányosságot ki kell javítani.</w:t>
      </w:r>
    </w:p>
    <w:p>
      <w:r>
        <w:rPr>
          <w:rStyle w:val="HideTWBExt"/>
        </w:rPr>
        <w:t>&lt;/Amend&gt;</w:t>
      </w:r>
    </w:p>
    <w:p>
      <w:pPr>
        <w:pStyle w:val="AmNumberTabs"/>
      </w:pPr>
      <w:r>
        <w:rPr>
          <w:rStyle w:val="HideTWBExt"/>
        </w:rPr>
        <w:t>&lt;Amend&gt;</w:t>
      </w:r>
      <w:r>
        <w:t>Módosítás</w:t>
      </w:r>
      <w:r>
        <w:tab/>
      </w:r>
      <w:r>
        <w:tab/>
      </w:r>
      <w:r>
        <w:rPr>
          <w:rStyle w:val="HideTWBExt"/>
        </w:rPr>
        <w:t>&lt;NumAm&gt;</w:t>
      </w:r>
      <w:r>
        <w:t>3451</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Ez a komponens különösen a következő támogatható tevékenységekre terjed ki:</w:t>
            </w:r>
          </w:p>
        </w:tc>
        <w:tc>
          <w:tcPr>
            <w:tcW w:w="4876" w:type="dxa"/>
            <w:tcBorders>
              <w:top w:val="nil"/>
              <w:left w:val="nil"/>
              <w:bottom w:val="nil"/>
              <w:right w:val="nil"/>
            </w:tcBorders>
          </w:tcPr>
          <w:p>
            <w:pPr>
              <w:pStyle w:val="Normal6a"/>
            </w:pPr>
            <w:r>
              <w:t>(2)</w:t>
            </w:r>
            <w:r>
              <w:tab/>
            </w:r>
            <w:r>
              <w:rPr>
                <w:b/>
                <w:i/>
              </w:rPr>
              <w:t>A GOVSATCOM-központ a biztonságos kormányzati kommunikáció uniós szintű alap-infrastruktúrájaként működik, összevonja és befogadja a meglévő nemzeti kapacitásokat, és integrálja az IRIS</w:t>
            </w:r>
            <w:r>
              <w:rPr>
                <w:b/>
                <w:i/>
                <w:vertAlign w:val="superscript"/>
              </w:rPr>
              <w:t>2</w:t>
            </w:r>
            <w:r>
              <w:rPr>
                <w:b/>
                <w:i/>
              </w:rPr>
              <w:t>-infrastruktúrát annak fejlesztési és megerősítési rétegeként, biztosítva a biztonságos szolgáltatások interoperabilitását, rezilienciáját és folytonosságát.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Ez a komponens különösen a következő támogatható tevékenységekre terjed 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3452</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Ez a komponens különösen a következő támogatható tevékenységekre terjed ki:</w:t>
            </w:r>
          </w:p>
        </w:tc>
        <w:tc>
          <w:tcPr>
            <w:tcW w:w="4876" w:type="dxa"/>
            <w:tcBorders>
              <w:top w:val="nil"/>
              <w:left w:val="nil"/>
              <w:bottom w:val="nil"/>
              <w:right w:val="nil"/>
            </w:tcBorders>
          </w:tcPr>
          <w:p>
            <w:pPr>
              <w:pStyle w:val="Normal6a"/>
            </w:pPr>
            <w:r>
              <w:t>(2)</w:t>
            </w:r>
            <w:r>
              <w:tab/>
            </w:r>
            <w:r>
              <w:rPr>
                <w:b/>
                <w:i/>
              </w:rPr>
              <w:t>A GOVSATCOM-központ a biztonságos kormányzati kommunikáció uniós szintű alap-infrastruktúrájaként működik, összevonja és befogadja a meglévő nemzeti kapacitásokat, és integrálja az IRIS</w:t>
            </w:r>
            <w:r>
              <w:rPr>
                <w:b/>
                <w:i/>
                <w:vertAlign w:val="superscript"/>
              </w:rPr>
              <w:t>2</w:t>
            </w:r>
            <w:r>
              <w:rPr>
                <w:b/>
                <w:i/>
              </w:rPr>
              <w:t>-infrastruktúrát annak fejlesztési és megerősítési rétegeként, biztosítva a biztonságos szolgáltatások interoperabilitását, rezilienciáját és folytonosságát.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Ez a komponens különösen a következő támogatható tevékenységekre terjed 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3453</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a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 GOVSATCOM-központ infrastruktúrájának – többek között a biztonsági nyomon követési infrastruktúra és az összes kapcsolódó helyszín – üzemeltetésével és karbantartásával kapcsolatos hasznosítási tevékenységek;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3454</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a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 GOVSATCOM-központ infrastruktúrájának – többek között a biztonsági nyomon követési infrastruktúra és az összes kapcsolódó helyszín – üzemeltetésével és karbantartásával kapcsolatos hasznosítási tevékenységek;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3455</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a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 GOVSATCOM-központ infrastruktúrájának – többek között a biztonsági nyomon követési infrastruktúra és az összes kapcsolódó helyszín – üzemeltetésével és karbantartásával kapcsolatos hasznosítási tevékenységek;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3456</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a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 GOVSATCOM-központ infrastruktúrájának – többek között a biztonsági nyomon követési infrastruktúra és az összes kapcsolódó helyszín – üzemeltetésével és karbantartásával kapcsolatos hasznosítási tevékenységek;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3457</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az EuroQCI </w:t>
            </w:r>
            <w:r>
              <w:rPr>
                <w:b/>
                <w:i/>
              </w:rPr>
              <w:t>fokozatos</w:t>
            </w:r>
            <w:r>
              <w:t xml:space="preserve"> integrálása </w:t>
            </w:r>
            <w:r>
              <w:rPr>
                <w:b/>
                <w:i/>
              </w:rPr>
              <w:t>a biztonságos konnektivitási</w:t>
            </w:r>
            <w:r>
              <w:t xml:space="preserve"> rendszerbe;</w:t>
            </w:r>
          </w:p>
        </w:tc>
        <w:tc>
          <w:tcPr>
            <w:tcW w:w="4876" w:type="dxa"/>
            <w:tcBorders>
              <w:top w:val="nil"/>
              <w:left w:val="nil"/>
              <w:bottom w:val="nil"/>
              <w:right w:val="nil"/>
            </w:tcBorders>
          </w:tcPr>
          <w:p>
            <w:pPr>
              <w:pStyle w:val="Normal6a"/>
            </w:pPr>
            <w:r>
              <w:t>c)</w:t>
            </w:r>
            <w:r>
              <w:tab/>
            </w:r>
            <w:r>
              <w:rPr>
                <w:b/>
                <w:i/>
              </w:rPr>
              <w:t>működőképessé válását követően</w:t>
            </w:r>
            <w:r>
              <w:t xml:space="preserve"> az EuroQCI integrálása </w:t>
            </w:r>
            <w:r>
              <w:rPr>
                <w:b/>
                <w:i/>
              </w:rPr>
              <w:t>az IRIS</w:t>
            </w:r>
            <w:r>
              <w:rPr>
                <w:b/>
                <w:i/>
                <w:vertAlign w:val="superscript"/>
              </w:rPr>
              <w:t>2</w:t>
            </w:r>
            <w:r>
              <w:rPr>
                <w:b/>
                <w:i/>
              </w:rPr>
              <w:t>-</w:t>
            </w:r>
            <w:r>
              <w:t>rendszerbe;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Pontosítás</w:t>
      </w:r>
    </w:p>
    <w:p>
      <w:r>
        <w:rPr>
          <w:rStyle w:val="HideTWBExt"/>
        </w:rPr>
        <w:t>&lt;/Amend&gt;</w:t>
      </w:r>
    </w:p>
    <w:p>
      <w:pPr>
        <w:pStyle w:val="AmNumberTabs"/>
      </w:pPr>
      <w:r>
        <w:rPr>
          <w:rStyle w:val="HideTWBExt"/>
        </w:rPr>
        <w:t>&lt;Amend&gt;</w:t>
      </w:r>
      <w:r>
        <w:t>Módosítás</w:t>
      </w:r>
      <w:r>
        <w:tab/>
      </w:r>
      <w:r>
        <w:tab/>
      </w:r>
      <w:r>
        <w:rPr>
          <w:rStyle w:val="HideTWBExt"/>
        </w:rPr>
        <w:t>&lt;NumAm&gt;</w:t>
      </w:r>
      <w:r>
        <w:t>3458</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az űr- és földi infrastruktúra következő generációira irányuló kutatás-fejlesztési tevékenységek, az IRIS² kormányzati szolgáltatásainak fejlesztése; valamint GOVSATCOM-szolgáltatások, technológiafejlesztés, különösen az Unió technológiai szuverenitásának biztosítása érdekében, valamint a biztonságos konnektivitási szolgáltatások elterjedése, beleértve a felhasználói terminálok tervezésével, fejlesztésével és gyártásával kapcsolatos tevékenységeket is;</w:t>
            </w:r>
          </w:p>
        </w:tc>
        <w:tc>
          <w:tcPr>
            <w:tcW w:w="4876" w:type="dxa"/>
            <w:tcBorders>
              <w:top w:val="nil"/>
              <w:left w:val="nil"/>
              <w:bottom w:val="nil"/>
              <w:right w:val="nil"/>
            </w:tcBorders>
          </w:tcPr>
          <w:p>
            <w:pPr>
              <w:pStyle w:val="Normal6a"/>
            </w:pPr>
            <w:r>
              <w:t>d)</w:t>
            </w:r>
            <w:r>
              <w:tab/>
            </w:r>
            <w:r>
              <w:t xml:space="preserve">az űr- és földi infrastruktúra következő generációira irányuló kutatás-fejlesztési tevékenységek, </w:t>
            </w:r>
            <w:r>
              <w:rPr>
                <w:b/>
                <w:i/>
              </w:rPr>
              <w:t>a GOVSATCOM-központ és</w:t>
            </w:r>
            <w:r>
              <w:t xml:space="preserve"> az IRIS² kormányzati szolgáltatásainak fejlesztése; valamint GOVSATCOM-szolgáltatások, technológiafejlesztés, különösen az Unió technológiai szuverenitásának biztosítása érdekében, valamint a biztonságos konnektivitási szolgáltatások elterjedése, beleértve a felhasználói terminálok tervezésével, fejlesztésével és gyártásával kapcsolatos tevékenységeket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3459</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az űr- és földi infrastruktúra következő generációira irányuló kutatás-fejlesztési tevékenységek, az IRIS² kormányzati szolgáltatásainak fejlesztése; valamint GOVSATCOM-szolgáltatások, technológiafejlesztés, különösen az Unió technológiai szuverenitásának biztosítása érdekében, valamint a biztonságos konnektivitási szolgáltatások elterjedése, beleértve a felhasználói terminálok tervezésével, fejlesztésével és gyártásával kapcsolatos tevékenységeket is;</w:t>
            </w:r>
          </w:p>
        </w:tc>
        <w:tc>
          <w:tcPr>
            <w:tcW w:w="4876" w:type="dxa"/>
            <w:tcBorders>
              <w:top w:val="nil"/>
              <w:left w:val="nil"/>
              <w:bottom w:val="nil"/>
              <w:right w:val="nil"/>
            </w:tcBorders>
          </w:tcPr>
          <w:p>
            <w:pPr>
              <w:pStyle w:val="Normal6a"/>
            </w:pPr>
            <w:r>
              <w:t>d)</w:t>
            </w:r>
            <w:r>
              <w:tab/>
            </w:r>
            <w:r>
              <w:t xml:space="preserve">az űr- és földi infrastruktúra következő generációira irányuló kutatás-fejlesztési tevékenységek, </w:t>
            </w:r>
            <w:r>
              <w:rPr>
                <w:b/>
                <w:i/>
              </w:rPr>
              <w:t>a GOVSATCOM-központ és</w:t>
            </w:r>
            <w:r>
              <w:t xml:space="preserve"> az IRIS² kormányzati szolgáltatásainak fejlesztése; valamint GOVSATCOM-szolgáltatások, technológiafejlesztés, különösen az Unió technológiai szuverenitásának biztosítása érdekében, valamint a biztonságos konnektivitási szolgáltatások elterjedése, beleértve a felhasználói terminálok tervezésével, fejlesztésével és gyártásával kapcsolatos tevékenységeket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3460</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az űr- és földi infrastruktúra következő generációira irányuló kutatás-fejlesztési tevékenységek, az IRIS² kormányzati szolgáltatásainak fejlesztése; valamint GOVSATCOM-szolgáltatások, technológiafejlesztés, különösen az Unió technológiai szuverenitásának biztosítása érdekében, valamint a biztonságos konnektivitási szolgáltatások elterjedése, beleértve a felhasználói terminálok tervezésével, fejlesztésével és gyártásával kapcsolatos tevékenységeket is;</w:t>
            </w:r>
          </w:p>
        </w:tc>
        <w:tc>
          <w:tcPr>
            <w:tcW w:w="4876" w:type="dxa"/>
            <w:tcBorders>
              <w:top w:val="nil"/>
              <w:left w:val="nil"/>
              <w:bottom w:val="nil"/>
              <w:right w:val="nil"/>
            </w:tcBorders>
          </w:tcPr>
          <w:p>
            <w:pPr>
              <w:pStyle w:val="Normal6a"/>
            </w:pPr>
            <w:r>
              <w:t>d)</w:t>
            </w:r>
            <w:r>
              <w:tab/>
            </w:r>
            <w:r>
              <w:t xml:space="preserve">az űr- és földi infrastruktúra következő generációira irányuló kutatás-fejlesztési tevékenységek, </w:t>
            </w:r>
            <w:r>
              <w:rPr>
                <w:b/>
                <w:i/>
              </w:rPr>
              <w:t>a GOVSATCOM-központ és</w:t>
            </w:r>
            <w:r>
              <w:t xml:space="preserve"> az IRIS² kormányzati szolgáltatásainak fejlesztése; valamint GOVSATCOM-szolgáltatások, technológiafejlesztés, különösen az Unió technológiai szuverenitásának biztosítása érdekében, valamint a biztonságos konnektivitási szolgáltatások elterjedése, beleértve a felhasználói terminálok tervezésével, fejlesztésével és gyártásával kapcsolatos tevékenységeket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Pontosítás</w:t>
      </w:r>
    </w:p>
    <w:p>
      <w:r>
        <w:rPr>
          <w:rStyle w:val="HideTWBExt"/>
        </w:rPr>
        <w:t>&lt;/Amend&gt;</w:t>
      </w:r>
    </w:p>
    <w:p>
      <w:pPr>
        <w:pStyle w:val="AmNumberTabs"/>
      </w:pPr>
      <w:r>
        <w:rPr>
          <w:rStyle w:val="HideTWBExt"/>
        </w:rPr>
        <w:t>&lt;Amend&gt;</w:t>
      </w:r>
      <w:r>
        <w:t>Módosítás</w:t>
      </w:r>
      <w:r>
        <w:tab/>
      </w:r>
      <w:r>
        <w:tab/>
      </w:r>
      <w:r>
        <w:rPr>
          <w:rStyle w:val="HideTWBExt"/>
        </w:rPr>
        <w:t>&lt;NumAm&gt;</w:t>
      </w:r>
      <w:r>
        <w:t>3461</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az űr- és földi infrastruktúra következő generációira irányuló kutatás-fejlesztési tevékenységek, az IRIS² kormányzati szolgáltatásainak fejlesztése; valamint GOVSATCOM-szolgáltatások, technológiafejlesztés, különösen az Unió technológiai szuverenitásának biztosítása érdekében, valamint a biztonságos konnektivitási szolgáltatások elterjedése, beleértve a felhasználói terminálok tervezésével, fejlesztésével és gyártásával kapcsolatos tevékenységeket is;</w:t>
            </w:r>
          </w:p>
        </w:tc>
        <w:tc>
          <w:tcPr>
            <w:tcW w:w="4876" w:type="dxa"/>
            <w:tcBorders>
              <w:top w:val="nil"/>
              <w:left w:val="nil"/>
              <w:bottom w:val="nil"/>
              <w:right w:val="nil"/>
            </w:tcBorders>
          </w:tcPr>
          <w:p>
            <w:pPr>
              <w:pStyle w:val="Normal6a"/>
            </w:pPr>
            <w:r>
              <w:t>d)</w:t>
            </w:r>
            <w:r>
              <w:tab/>
            </w:r>
            <w:r>
              <w:t xml:space="preserve">az űr- és földi infrastruktúra következő generációira irányuló kutatás-fejlesztési tevékenységek, </w:t>
            </w:r>
            <w:r>
              <w:rPr>
                <w:b/>
                <w:i/>
              </w:rPr>
              <w:t>a GOVSATCOM-központ és</w:t>
            </w:r>
            <w:r>
              <w:t xml:space="preserve"> az IRIS² kormányzati szolgáltatásainak fejlesztése; valamint GOVSATCOM-szolgáltatások, technológiafejlesztés, különösen az Unió technológiai szuverenitásának biztosítása érdekében, valamint a biztonságos konnektivitási szolgáltatások elterjedése, beleértve a felhasználói terminálok tervezésével, fejlesztésével és gyártásával kapcsolatos tevékenységeket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3462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e pont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 GOVSATCOM-szolgáltatások összevonásához és megosztásához szükséges állami és kereskedelmi műholdas kommunikációs kapacitások, szolgáltatások és felhasználói berendezések beszerzése és biztosítása; kapacitások, szolgáltatások és felhasználói berendezések, amelyeket a következők biztosítanak:</w:t>
            </w:r>
          </w:p>
        </w:tc>
        <w:tc>
          <w:tcPr>
            <w:tcW w:w="4876" w:type="dxa"/>
            <w:tcBorders>
              <w:top w:val="nil"/>
              <w:left w:val="nil"/>
              <w:bottom w:val="nil"/>
              <w:right w:val="nil"/>
            </w:tcBorders>
          </w:tcPr>
          <w:p>
            <w:pPr>
              <w:pStyle w:val="Normal6a"/>
            </w:pPr>
            <w:r>
              <w:t>e)</w:t>
            </w:r>
            <w:r>
              <w:tab/>
            </w:r>
            <w:r>
              <w:t xml:space="preserve">a GOVSATCOM-szolgáltatások </w:t>
            </w:r>
            <w:r>
              <w:rPr>
                <w:b/>
                <w:i/>
              </w:rPr>
              <w:t>GOVSATCOM-központ általi</w:t>
            </w:r>
            <w:r>
              <w:t xml:space="preserve"> összevonásához és megosztásához szükséges állami és kereskedelmi műholdas kommunikációs kapacitások, szolgáltatások és felhasználói berendezések beszerzése és biztosítása; kapacitások, szolgáltatások és felhasználói berendezések, amelyeket a következők biztosítanak: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Pontosítás</w:t>
      </w:r>
    </w:p>
    <w:p>
      <w:r>
        <w:rPr>
          <w:rStyle w:val="HideTWBExt"/>
        </w:rPr>
        <w:t>&lt;/Amend&gt;</w:t>
      </w:r>
    </w:p>
    <w:p>
      <w:pPr>
        <w:pStyle w:val="AmNumberTabs"/>
      </w:pPr>
      <w:r>
        <w:rPr>
          <w:rStyle w:val="HideTWBExt"/>
        </w:rPr>
        <w:t>&lt;Amend&gt;</w:t>
      </w:r>
      <w:r>
        <w:t>Módosítás</w:t>
      </w:r>
      <w:r>
        <w:tab/>
      </w:r>
      <w:r>
        <w:tab/>
      </w:r>
      <w:r>
        <w:rPr>
          <w:rStyle w:val="HideTWBExt"/>
        </w:rPr>
        <w:t>&lt;NumAm&gt;</w:t>
      </w:r>
      <w:r>
        <w:t>3463</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e pont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 GOVSATCOM-szolgáltatások összevonásához és megosztásához szükséges állami és kereskedelmi műholdas kommunikációs kapacitások, szolgáltatások és felhasználói berendezések beszerzése és biztosítása; kapacitások, szolgáltatások és felhasználói berendezések, amelyeket a következők biztosítanak:</w:t>
            </w:r>
          </w:p>
        </w:tc>
        <w:tc>
          <w:tcPr>
            <w:tcW w:w="4876" w:type="dxa"/>
            <w:tcBorders>
              <w:top w:val="nil"/>
              <w:left w:val="nil"/>
              <w:bottom w:val="nil"/>
              <w:right w:val="nil"/>
            </w:tcBorders>
          </w:tcPr>
          <w:p>
            <w:pPr>
              <w:pStyle w:val="Normal6a"/>
            </w:pPr>
            <w:r>
              <w:t>e)</w:t>
            </w:r>
            <w:r>
              <w:tab/>
            </w:r>
            <w:r>
              <w:t xml:space="preserve">a GOVSATCOM-szolgáltatások </w:t>
            </w:r>
            <w:r>
              <w:rPr>
                <w:b/>
                <w:i/>
              </w:rPr>
              <w:t>GOVSATCOM-központ általi</w:t>
            </w:r>
            <w:r>
              <w:t xml:space="preserve"> összevonásához és megosztásához szükséges állami és kereskedelmi műholdas kommunikációs kapacitások, szolgáltatások és felhasználói berendezések beszerzése és biztosítása; kapacitások, szolgáltatások és felhasználói berendezések, amelyeket a következők biztosítanak: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3464</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e pont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 GOVSATCOM-szolgáltatások összevonásához és megosztásához szükséges állami és kereskedelmi műholdas kommunikációs kapacitások, szolgáltatások és felhasználói berendezések beszerzése és biztosítása; kapacitások, szolgáltatások és felhasználói berendezések, amelyeket a következők biztosítanak:</w:t>
            </w:r>
          </w:p>
        </w:tc>
        <w:tc>
          <w:tcPr>
            <w:tcW w:w="4876" w:type="dxa"/>
            <w:tcBorders>
              <w:top w:val="nil"/>
              <w:left w:val="nil"/>
              <w:bottom w:val="nil"/>
              <w:right w:val="nil"/>
            </w:tcBorders>
          </w:tcPr>
          <w:p>
            <w:pPr>
              <w:pStyle w:val="Normal6a"/>
            </w:pPr>
            <w:r>
              <w:t>e)</w:t>
            </w:r>
            <w:r>
              <w:tab/>
            </w:r>
            <w:r>
              <w:t xml:space="preserve">a GOVSATCOM-szolgáltatások </w:t>
            </w:r>
            <w:r>
              <w:rPr>
                <w:b/>
                <w:i/>
              </w:rPr>
              <w:t>GOVSATCOM-központ általi</w:t>
            </w:r>
            <w:r>
              <w:t xml:space="preserve"> összevonásához és megosztásához szükséges állami és kereskedelmi műholdas kommunikációs kapacitások, szolgáltatások és felhasználói berendezések beszerzése és biztosítása; kapacitások, szolgáltatások és felhasználói berendezések, amelyeket a következők biztosítanak: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3465</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 – e pont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 GOVSATCOM-szolgáltatások összevonásához és megosztásához szükséges állami és kereskedelmi műholdas kommunikációs kapacitások, szolgáltatások és felhasználói berendezések beszerzése és biztosítása; kapacitások, szolgáltatások és felhasználói berendezések, amelyeket a következők biztosítanak:</w:t>
            </w:r>
          </w:p>
        </w:tc>
        <w:tc>
          <w:tcPr>
            <w:tcW w:w="4876" w:type="dxa"/>
            <w:tcBorders>
              <w:top w:val="nil"/>
              <w:left w:val="nil"/>
              <w:bottom w:val="nil"/>
              <w:right w:val="nil"/>
            </w:tcBorders>
          </w:tcPr>
          <w:p>
            <w:pPr>
              <w:pStyle w:val="Normal6a"/>
            </w:pPr>
            <w:r>
              <w:t>e)</w:t>
            </w:r>
            <w:r>
              <w:tab/>
            </w:r>
            <w:r>
              <w:t xml:space="preserve">a GOVSATCOM-szolgáltatások </w:t>
            </w:r>
            <w:r>
              <w:rPr>
                <w:b/>
                <w:i/>
              </w:rPr>
              <w:t>GOVSATCOM-központ általi</w:t>
            </w:r>
            <w:r>
              <w:t xml:space="preserve"> összevonásához és megosztásához szükséges állami és kereskedelmi műholdas kommunikációs kapacitások, szolgáltatások és felhasználói berendezések beszerzése és biztosítása; kapacitások, szolgáltatások és felhasználói berendezések, amelyeket a következők biztosítanak: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3466</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3 bekezdés – a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Az IRIS</w:t>
            </w:r>
            <w:r>
              <w:rPr>
                <w:b/>
                <w:i/>
                <w:vertAlign w:val="superscript"/>
              </w:rPr>
              <w:t>2</w:t>
            </w:r>
            <w:r>
              <w:t xml:space="preserve"> </w:t>
            </w:r>
            <w:r>
              <w:rPr>
                <w:b/>
                <w:i/>
              </w:rPr>
              <w:t>kormányzati infrastruktúrájának magában kell foglalnia az összes releváns földi szegmenst, beleértve a kormányzati szolgáltatások nyújtásához szükséges releváns irányítóközpontokat, az EuroQCI-t, a kormányzati infrastruktúra és a kormányzati szolgáltatások biztonságának nyomon követésére szolgáló infrastruktúrát és a (3) bekezdés d) pontjában említett GOVSATCOM-központot, valamint az űrszegmenseket, és ki kell egészítenie a GOVSATCOM-alkomponenst, és arra kell épülnie.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IRIS</w:t>
      </w:r>
      <w:r>
        <w:t>2</w:t>
      </w:r>
      <w:r>
        <w:t>, a GOVSATCOM, az EuroQCI és a kapcsolódó infrastruktúrák közötti megfelelő integráció biztosításához egyértelműbb irányítási és operatív architektúrára van szükség.</w:t>
      </w:r>
    </w:p>
    <w:p>
      <w:r>
        <w:rPr>
          <w:rStyle w:val="HideTWBExt"/>
        </w:rPr>
        <w:t>&lt;/Amend&gt;</w:t>
      </w:r>
    </w:p>
    <w:p>
      <w:pPr>
        <w:pStyle w:val="AmNumberTabs"/>
      </w:pPr>
      <w:r>
        <w:rPr>
          <w:rStyle w:val="HideTWBExt"/>
        </w:rPr>
        <w:t>&lt;Amend&gt;</w:t>
      </w:r>
      <w:r>
        <w:t>Módosítás</w:t>
      </w:r>
      <w:r>
        <w:tab/>
      </w:r>
      <w:r>
        <w:tab/>
      </w:r>
      <w:r>
        <w:rPr>
          <w:rStyle w:val="HideTWBExt"/>
        </w:rPr>
        <w:t>&lt;NumAm&gt;</w:t>
      </w:r>
      <w:r>
        <w:t>3467</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3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 GOVSATCOM-infrastruktúra magában foglalja a GOVSATCOM-szolgáltatások nyújtásához szükséges infrastruktúrát, különösen a GOVSATCOM-központot;</w:t>
            </w:r>
          </w:p>
        </w:tc>
        <w:tc>
          <w:tcPr>
            <w:tcW w:w="4876" w:type="dxa"/>
            <w:tcBorders>
              <w:top w:val="nil"/>
              <w:left w:val="nil"/>
              <w:bottom w:val="nil"/>
              <w:right w:val="nil"/>
            </w:tcBorders>
          </w:tcPr>
          <w:p>
            <w:pPr>
              <w:pStyle w:val="Normal6a"/>
            </w:pPr>
            <w:r>
              <w:t>d)</w:t>
            </w:r>
            <w:r>
              <w:tab/>
            </w:r>
            <w:r>
              <w:t>a GOVSATCOM-infrastruktúra magában foglalja a GOVSATCOM-szolgáltatások nyújtásához szükséges infrastruktúrát, különösen a GOVSATCOM-központot</w:t>
            </w:r>
            <w:r>
              <w:rPr>
                <w:b/>
                <w:i/>
              </w:rPr>
              <w:t>, az utóbbi üzemeltetésére vonatkozó szolgáltatási szerződéssel, amely lehetővé teszi az illetékes kormányzati hatóságok részére történő kapcsolódó szolgáltatásnyújtást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3468</w:t>
      </w:r>
      <w:r>
        <w:rPr>
          <w:rStyle w:val="HideTWBExt"/>
        </w:rPr>
        <w:t>&lt;/NumAm&gt;</w:t>
      </w:r>
    </w:p>
    <w:p>
      <w:pPr>
        <w:pStyle w:val="NormalBold"/>
      </w:pPr>
      <w:r>
        <w:rPr>
          <w:rStyle w:val="HideTWBExt"/>
          <w:b w:val="0"/>
        </w:rPr>
        <w:t>&lt;RepeatBlock-By&gt;</w:t>
      </w:r>
      <w:r>
        <w:rPr>
          <w:rStyle w:val="HideTWBExt"/>
          <w:b w:val="0"/>
        </w:rPr>
        <w:t>&lt;Members&gt;</w:t>
      </w:r>
      <w:r>
        <w:t>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3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 GOVSATCOM-infrastruktúra magában foglalja a GOVSATCOM-szolgáltatások nyújtásához szükséges infrastruktúrát, különösen a GOVSATCOM-központot;</w:t>
            </w:r>
          </w:p>
        </w:tc>
        <w:tc>
          <w:tcPr>
            <w:tcW w:w="4876" w:type="dxa"/>
            <w:tcBorders>
              <w:top w:val="nil"/>
              <w:left w:val="nil"/>
              <w:bottom w:val="nil"/>
              <w:right w:val="nil"/>
            </w:tcBorders>
          </w:tcPr>
          <w:p>
            <w:pPr>
              <w:pStyle w:val="Normal6a"/>
            </w:pPr>
            <w:r>
              <w:t>d)</w:t>
            </w:r>
            <w:r>
              <w:tab/>
            </w:r>
            <w:r>
              <w:t>a GOVSATCOM-infrastruktúra magában foglalja a GOVSATCOM-szolgáltatások nyújtásához szükséges infrastruktúrát, különösen a GOVSATCOM-központot</w:t>
            </w:r>
            <w:r>
              <w:rPr>
                <w:b/>
                <w:i/>
              </w:rPr>
              <w:t>, az utóbbi üzemeltetésére vonatkozó szolgáltatási szerződéssel, amely lehetővé teszi az illetékes kormányzati hatóságok részére történő kapcsolódó szolgáltatásnyújtást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3469</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3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 GOVSATCOM-infrastruktúra magában foglalja a GOVSATCOM-szolgáltatások nyújtásához szükséges infrastruktúrát, különösen a GOVSATCOM-központot;</w:t>
            </w:r>
          </w:p>
        </w:tc>
        <w:tc>
          <w:tcPr>
            <w:tcW w:w="4876" w:type="dxa"/>
            <w:tcBorders>
              <w:top w:val="nil"/>
              <w:left w:val="nil"/>
              <w:bottom w:val="nil"/>
              <w:right w:val="nil"/>
            </w:tcBorders>
          </w:tcPr>
          <w:p>
            <w:pPr>
              <w:pStyle w:val="Normal6a"/>
            </w:pPr>
            <w:r>
              <w:t>d)</w:t>
            </w:r>
            <w:r>
              <w:tab/>
            </w:r>
            <w:r>
              <w:t>a GOVSATCOM-infrastruktúra magában foglalja a GOVSATCOM-szolgáltatások nyújtásához szükséges infrastruktúrát, különösen a GOVSATCOM-központot</w:t>
            </w:r>
            <w:r>
              <w:rPr>
                <w:b/>
                <w:i/>
              </w:rPr>
              <w:t>, az utóbbi üzemeltetésére vonatkozó szolgáltatási szerződéssel, amely lehetővé teszi az illetékes kormányzati hatóságok részére történő kapcsolódó szolgáltatásnyújtást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3470</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 kormányzati szolgáltatások tekintetében az IRIS</w:t>
            </w:r>
            <w:r>
              <w:rPr>
                <w:b/>
                <w:i/>
                <w:vertAlign w:val="superscript"/>
              </w:rPr>
              <w:t>2</w:t>
            </w:r>
            <w:r>
              <w:t xml:space="preserve"> </w:t>
            </w:r>
            <w:r>
              <w:rPr>
                <w:b/>
                <w:i/>
              </w:rPr>
              <w:t>szolgáltatásportfóliója legalább a következő szolgáltatáskategóriákat tartalmazza: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rendeletjavaslat sehol nem határozza meg az IRIS</w:t>
      </w:r>
      <w:r>
        <w:t>2</w:t>
      </w:r>
      <w:r>
        <w:t xml:space="preserve"> szolgáltatásainak különböző típusait.</w:t>
      </w:r>
      <w:r>
        <w:t xml:space="preserve"> </w:t>
      </w:r>
      <w:r>
        <w:t>Említi ugyan az infrastruktúrát és a különböző felhasználókat, de soha nem említi a szolgáltatások típusait.</w:t>
      </w:r>
    </w:p>
    <w:p>
      <w:r>
        <w:rPr>
          <w:rStyle w:val="HideTWBExt"/>
        </w:rPr>
        <w:t>&lt;/Amend&gt;</w:t>
      </w:r>
    </w:p>
    <w:p>
      <w:pPr>
        <w:pStyle w:val="AmNumberTabs"/>
      </w:pPr>
      <w:r>
        <w:rPr>
          <w:rStyle w:val="HideTWBExt"/>
        </w:rPr>
        <w:t>&lt;Amend&gt;</w:t>
      </w:r>
      <w:r>
        <w:t>Módosítás</w:t>
      </w:r>
      <w:r>
        <w:tab/>
      </w:r>
      <w:r>
        <w:tab/>
      </w:r>
      <w:r>
        <w:rPr>
          <w:rStyle w:val="HideTWBExt"/>
        </w:rPr>
        <w:t>&lt;NumAm&gt;</w:t>
      </w:r>
      <w:r>
        <w:t>3471</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4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a) csak kormányzati engedéllyel rendelkező felhasználók által igénybe vehető, a kormányzati infrastruktúra alapján kínált szolgáltatások (úgynevezett „hardgov szolgáltatások”), amelyekhez magas szintű biztonság szükséges, és amelyek nem alkalmasak a (4b) bekezdésben említett szolgáltatások nyújtására, így például a robusztus, világméretű, alacsony késleltetési idejű szolgáltatások vagy a világűrből származó adatok robusztus átvitele;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egyértelművé teszi az IRIS</w:t>
      </w:r>
      <w:r>
        <w:t>2</w:t>
      </w:r>
      <w:r>
        <w:t xml:space="preserve"> kormányzati szolgáltatásainak kategóriáit, és megkülönbözteti a rendkívül biztonságos kormányzati szolgáltatásokat a kvantumkommunikációs szolgáltatásoktól.</w:t>
      </w:r>
    </w:p>
    <w:p>
      <w:r>
        <w:rPr>
          <w:rStyle w:val="HideTWBExt"/>
        </w:rPr>
        <w:t>&lt;/Amend&gt;</w:t>
      </w:r>
    </w:p>
    <w:p>
      <w:pPr>
        <w:pStyle w:val="AmNumberTabs"/>
      </w:pPr>
      <w:r>
        <w:rPr>
          <w:rStyle w:val="HideTWBExt"/>
        </w:rPr>
        <w:t>&lt;Amend&gt;</w:t>
      </w:r>
      <w:r>
        <w:t>Módosítás</w:t>
      </w:r>
      <w:r>
        <w:tab/>
      </w:r>
      <w:r>
        <w:tab/>
      </w:r>
      <w:r>
        <w:rPr>
          <w:rStyle w:val="HideTWBExt"/>
        </w:rPr>
        <w:t>&lt;NumAm&gt;</w:t>
      </w:r>
      <w:r>
        <w:t>3472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4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b) kvantumkommunikációs szolgáltatások, mint például a kvantumalapú kulcsszétosztó szolgáltatások.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egyértelművé teszi az IRIS</w:t>
      </w:r>
      <w:r>
        <w:t>2</w:t>
      </w:r>
      <w:r>
        <w:t xml:space="preserve"> kormányzati szolgáltatásainak kategóriáit, és megkülönbözteti a rendkívül biztonságos kormányzati szolgáltatásokat a kvantumkommunikációs szolgáltatásoktól.</w:t>
      </w:r>
    </w:p>
    <w:p>
      <w:r>
        <w:rPr>
          <w:rStyle w:val="HideTWBExt"/>
        </w:rPr>
        <w:t>&lt;/Amend&gt;</w:t>
      </w:r>
    </w:p>
    <w:p>
      <w:pPr>
        <w:pStyle w:val="AmNumberTabs"/>
      </w:pPr>
      <w:r>
        <w:rPr>
          <w:rStyle w:val="HideTWBExt"/>
        </w:rPr>
        <w:t>&lt;Amend&gt;</w:t>
      </w:r>
      <w:r>
        <w:t>Módosítás</w:t>
      </w:r>
      <w:r>
        <w:tab/>
      </w:r>
      <w:r>
        <w:tab/>
      </w:r>
      <w:r>
        <w:rPr>
          <w:rStyle w:val="HideTWBExt"/>
        </w:rPr>
        <w:t>&lt;NumAm&gt;</w:t>
      </w:r>
      <w:r>
        <w:t>3473</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4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A kormányzati szolgáltatások szolgáltatásportfóliója magában foglalja a kormány által felhatalmazott felhasználóknak kereskedelmi infrastruktúra vagy potenciális megosztott infrastruktúra – ahol a kormányzati és kereskedelmi szolgáltatások közös alrendszerekre vagy interfészekre támaszkodnak a szinergiák biztosítása érdekében – alapján nyújtott, úgynevezett „lightgov szolgáltatásokat”, mint például a biztosított, világméretű, alacsony késleltetési idejű szolgáltatásokat vagy a világméretű keskeny sávú szolgáltatásokat.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rendeletjavaslat sehol nem határozza meg az IRIS</w:t>
      </w:r>
      <w:r>
        <w:t>2</w:t>
      </w:r>
      <w:r>
        <w:t xml:space="preserve"> szolgáltatásainak különböző típusait.</w:t>
      </w:r>
      <w:r>
        <w:t xml:space="preserve"> </w:t>
      </w:r>
      <w:r>
        <w:t>Említi ugyan az infrastruktúrát és a különböző felhasználókat, de soha nem említi a szolgáltatások típusait.</w:t>
      </w:r>
    </w:p>
    <w:p>
      <w:r>
        <w:rPr>
          <w:rStyle w:val="HideTWBExt"/>
        </w:rPr>
        <w:t>&lt;/Amend&gt;</w:t>
      </w:r>
    </w:p>
    <w:p>
      <w:pPr>
        <w:pStyle w:val="AmNumberTabs"/>
      </w:pPr>
      <w:r>
        <w:rPr>
          <w:rStyle w:val="HideTWBExt"/>
        </w:rPr>
        <w:t>&lt;Amend&gt;</w:t>
      </w:r>
      <w:r>
        <w:t>Módosítás</w:t>
      </w:r>
      <w:r>
        <w:tab/>
      </w:r>
      <w:r>
        <w:tab/>
      </w:r>
      <w:r>
        <w:rPr>
          <w:rStyle w:val="HideTWBExt"/>
        </w:rPr>
        <w:t>&lt;NumAm&gt;</w:t>
      </w:r>
      <w:r>
        <w:t>3474</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GOVSATCOM-szolgáltatásokhoz és az IRIS² kormányzati szolgáltatásaihoz való hozzáférés ingyenes az intézményi és kormányzati felhasználók számára, kivéve abban az esetben, ha a Bizottság a 11. cikknek megfelelően árképzési politikát határoz meg.</w:t>
            </w:r>
          </w:p>
        </w:tc>
        <w:tc>
          <w:tcPr>
            <w:tcW w:w="4876" w:type="dxa"/>
            <w:tcBorders>
              <w:top w:val="nil"/>
              <w:left w:val="nil"/>
              <w:bottom w:val="nil"/>
              <w:right w:val="nil"/>
            </w:tcBorders>
          </w:tcPr>
          <w:p>
            <w:pPr>
              <w:pStyle w:val="Normal6a"/>
            </w:pPr>
            <w:r>
              <w:t>(5)</w:t>
            </w:r>
            <w:r>
              <w:tab/>
            </w:r>
            <w:r>
              <w:rPr>
                <w:b/>
                <w:i/>
              </w:rPr>
              <w:t>A GOVSATOM-központon keresztül</w:t>
            </w:r>
            <w:r>
              <w:t xml:space="preserve"> a GOVSATCOM-szolgáltatásokhoz és az IRIS² kormányzati szolgáltatásaihoz való hozzáférés ingyenes az intézményi és kormányzati felhasználók számára, kivéve abban az esetben, ha a Bizottság a 11. cikknek megfelelően árképzési politikát határoz meg.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3475</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 GOVSATCOM-szolgáltatásokhoz </w:t>
            </w:r>
            <w:r>
              <w:rPr>
                <w:b/>
                <w:i/>
              </w:rPr>
              <w:t>és</w:t>
            </w:r>
            <w:r>
              <w:t xml:space="preserve"> az IRIS² kormányzati szolgáltatásaihoz való hozzáférés ingyenes az intézményi és kormányzati felhasználók számára, kivéve abban az esetben, ha a Bizottság a 11. cikknek megfelelően árképzési politikát határoz meg.</w:t>
            </w:r>
          </w:p>
        </w:tc>
        <w:tc>
          <w:tcPr>
            <w:tcW w:w="4876" w:type="dxa"/>
            <w:tcBorders>
              <w:top w:val="nil"/>
              <w:left w:val="nil"/>
              <w:bottom w:val="nil"/>
              <w:right w:val="nil"/>
            </w:tcBorders>
          </w:tcPr>
          <w:p>
            <w:pPr>
              <w:pStyle w:val="Normal6a"/>
            </w:pPr>
            <w:r>
              <w:t>(5)</w:t>
            </w:r>
            <w:r>
              <w:tab/>
            </w:r>
            <w:r>
              <w:t>A GOVSATCOM-szolgáltatásokhoz</w:t>
            </w:r>
            <w:r>
              <w:rPr>
                <w:b/>
                <w:i/>
              </w:rPr>
              <w:t>, ezen belül</w:t>
            </w:r>
            <w:r>
              <w:t xml:space="preserve"> az IRIS² kormányzati szolgáltatásaihoz való hozzáférés ingyenes az intézményi és kormányzati felhasználók számára, kivéve abban az esetben, ha a Bizottság a 11. cikknek megfelelően árképzési politikát határoz meg.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3476</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 GOVSATCOM-szolgáltatásokhoz </w:t>
            </w:r>
            <w:r>
              <w:rPr>
                <w:b/>
                <w:i/>
              </w:rPr>
              <w:t>és</w:t>
            </w:r>
            <w:r>
              <w:t xml:space="preserve"> az IRIS² kormányzati szolgáltatásaihoz való hozzáférés ingyenes az intézményi és kormányzati felhasználók számára, kivéve abban az esetben, ha a Bizottság a 11. cikknek megfelelően árképzési politikát határoz meg.</w:t>
            </w:r>
          </w:p>
        </w:tc>
        <w:tc>
          <w:tcPr>
            <w:tcW w:w="4876" w:type="dxa"/>
            <w:tcBorders>
              <w:top w:val="nil"/>
              <w:left w:val="nil"/>
              <w:bottom w:val="nil"/>
              <w:right w:val="nil"/>
            </w:tcBorders>
          </w:tcPr>
          <w:p>
            <w:pPr>
              <w:pStyle w:val="Normal6a"/>
            </w:pPr>
            <w:r>
              <w:t>(5)</w:t>
            </w:r>
            <w:r>
              <w:tab/>
            </w:r>
            <w:r>
              <w:t>A GOVSATCOM-szolgáltatásokhoz</w:t>
            </w:r>
            <w:r>
              <w:rPr>
                <w:b/>
                <w:i/>
              </w:rPr>
              <w:t>, ezen belül</w:t>
            </w:r>
            <w:r>
              <w:t xml:space="preserve"> az IRIS² kormányzati szolgáltatásaihoz való hozzáférés ingyenes az intézményi és kormányzati felhasználók számára, kivéve abban az esetben, ha a Bizottság a 11. cikknek megfelelően árképzési politikát határoz meg.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3477</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 Bizottság végrehajtási jogi aktusok útján elfogadja a GOVSATCOM-szolgáltatások </w:t>
            </w:r>
            <w:r>
              <w:rPr>
                <w:b/>
                <w:i/>
              </w:rPr>
              <w:t>és</w:t>
            </w:r>
            <w:r>
              <w:t xml:space="preserve"> az IRIS² kormányzati szolgáltatásainak szolgáltatásportfólióját, beleértve a kormányok által felhatalmazott felhasználóknak a kereskedelmi infrastruktúra alapján nyújtott szolgáltatásokat is.</w:t>
            </w:r>
          </w:p>
        </w:tc>
        <w:tc>
          <w:tcPr>
            <w:tcW w:w="4876" w:type="dxa"/>
            <w:tcBorders>
              <w:top w:val="nil"/>
              <w:left w:val="nil"/>
              <w:bottom w:val="nil"/>
              <w:right w:val="nil"/>
            </w:tcBorders>
          </w:tcPr>
          <w:p>
            <w:pPr>
              <w:pStyle w:val="Normal6a"/>
            </w:pPr>
            <w:r>
              <w:t>(6)</w:t>
            </w:r>
            <w:r>
              <w:tab/>
            </w:r>
            <w:r>
              <w:t>A Bizottság végrehajtási jogi aktusok útján elfogadja a GOVSATCOM-szolgáltatások</w:t>
            </w:r>
            <w:r>
              <w:rPr>
                <w:b/>
                <w:i/>
              </w:rPr>
              <w:t>, ezen belül</w:t>
            </w:r>
            <w:r>
              <w:t xml:space="preserve"> az IRIS² kormányzati szolgáltatásainak szolgáltatásportfólióját, beleértve a kormányok által felhatalmazott felhasználóknak a kereskedelmi infrastruktúra alapján nyújtott szolgáltatásokat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3478</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 Bizottság végrehajtási jogi aktusok útján elfogadja a GOVSATCOM-szolgáltatások </w:t>
            </w:r>
            <w:r>
              <w:rPr>
                <w:b/>
                <w:i/>
              </w:rPr>
              <w:t>és az IRIS² kormányzati szolgáltatásainak</w:t>
            </w:r>
            <w:r>
              <w:t xml:space="preserve"> szolgáltatásportfólióját, beleértve a kormányok által felhatalmazott felhasználóknak a kereskedelmi infrastruktúra alapján nyújtott szolgáltatásokat is.</w:t>
            </w:r>
          </w:p>
        </w:tc>
        <w:tc>
          <w:tcPr>
            <w:tcW w:w="4876" w:type="dxa"/>
            <w:tcBorders>
              <w:top w:val="nil"/>
              <w:left w:val="nil"/>
              <w:bottom w:val="nil"/>
              <w:right w:val="nil"/>
            </w:tcBorders>
          </w:tcPr>
          <w:p>
            <w:pPr>
              <w:pStyle w:val="Normal6a"/>
            </w:pPr>
            <w:r>
              <w:t>(6)</w:t>
            </w:r>
            <w:r>
              <w:tab/>
            </w:r>
            <w:r>
              <w:t>A Bizottság végrehajtási jogi aktusok útján elfogadja a GOVSATCOM-szolgáltatások szolgáltatásportfólióját</w:t>
            </w:r>
            <w:r>
              <w:rPr>
                <w:b/>
                <w:i/>
              </w:rPr>
              <w:t>, amelyek magukban foglalják az IRIS² kormányzati szolgáltatásait</w:t>
            </w:r>
            <w:r>
              <w:t>, beleértve a kormányok által felhatalmazott felhasználóknak a kereskedelmi infrastruktúra alapján nyújtott szolgáltatásokat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3479</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 Bizottság végrehajtási jogi aktusok útján elfogadja a GOVSATCOM-szolgáltatások és az IRIS² kormányzati szolgáltatásainak működési követelményeit.</w:t>
            </w:r>
          </w:p>
        </w:tc>
        <w:tc>
          <w:tcPr>
            <w:tcW w:w="4876" w:type="dxa"/>
            <w:tcBorders>
              <w:top w:val="nil"/>
              <w:left w:val="nil"/>
              <w:bottom w:val="nil"/>
              <w:right w:val="nil"/>
            </w:tcBorders>
          </w:tcPr>
          <w:p>
            <w:pPr>
              <w:pStyle w:val="Normal6a"/>
            </w:pPr>
            <w:r>
              <w:t>(7)</w:t>
            </w:r>
            <w:r>
              <w:tab/>
            </w:r>
            <w:r>
              <w:t xml:space="preserve">A Bizottság végrehajtási jogi aktusok útján elfogadja a GOVSATCOM-szolgáltatások és </w:t>
            </w:r>
            <w:r>
              <w:rPr>
                <w:b/>
                <w:i/>
              </w:rPr>
              <w:t>ezen belül</w:t>
            </w:r>
            <w:r>
              <w:t xml:space="preserve"> az IRIS² kormányzati szolgáltatásainak működési követelményeit.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3480</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 Bizottság végrehajtási jogi aktusok útján elfogadja a GOVSATCOM-szolgáltatások </w:t>
            </w:r>
            <w:r>
              <w:rPr>
                <w:b/>
                <w:i/>
              </w:rPr>
              <w:t>és</w:t>
            </w:r>
            <w:r>
              <w:t xml:space="preserve"> az IRIS² kormányzati szolgáltatásainak működési követelményeit.</w:t>
            </w:r>
          </w:p>
        </w:tc>
        <w:tc>
          <w:tcPr>
            <w:tcW w:w="4876" w:type="dxa"/>
            <w:tcBorders>
              <w:top w:val="nil"/>
              <w:left w:val="nil"/>
              <w:bottom w:val="nil"/>
              <w:right w:val="nil"/>
            </w:tcBorders>
          </w:tcPr>
          <w:p>
            <w:pPr>
              <w:pStyle w:val="Normal6a"/>
            </w:pPr>
            <w:r>
              <w:t>(7)</w:t>
            </w:r>
            <w:r>
              <w:tab/>
            </w:r>
            <w:r>
              <w:t>A Bizottság végrehajtási jogi aktusok útján elfogadja a GOVSATCOM-szolgáltatások</w:t>
            </w:r>
            <w:r>
              <w:rPr>
                <w:b/>
                <w:i/>
              </w:rPr>
              <w:t>, ezen belül</w:t>
            </w:r>
            <w:r>
              <w:t xml:space="preserve"> az IRIS² kormányzati szolgáltatásainak működési követelményeit.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3481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w:t>
            </w:r>
            <w:r>
              <w:t xml:space="preserve"> GOVSATCOM-szolgáltatások megosztása és rangsorolása során a GOVSATCOM-felhasználókat fontosságuk és kritikusságuk alapján kell rangsorolni. A </w:t>
            </w:r>
            <w:r>
              <w:rPr>
                <w:b/>
                <w:i/>
              </w:rPr>
              <w:t>Bizottság végrehajtási jogi aktusok útján részletes szabályokat fogad el a GOVSATCOM-kapacitások, -szolgáltatások és a felhasználói berendezések megosztására és rangsorolására vonatkozóan.</w:t>
            </w:r>
            <w:r>
              <w:t xml:space="preserve"> </w:t>
            </w:r>
            <w:r>
              <w:rPr>
                <w:b/>
                <w:i/>
              </w:rPr>
              <w:t>A Bizottság továbbá végrehajtási jogi aktusok útján részletes szabályokat fogad el az IRIS² kormányzati szolgáltatásaira vonatkozóan.</w:t>
            </w:r>
            <w:r>
              <w:t xml:space="preserve"> </w:t>
            </w:r>
            <w:r>
              <w:rPr>
                <w:b/>
                <w:i/>
              </w:rPr>
              <w:t>E jogi aktusok megalkotásakor a Bizottság figyelembe veszi a különböző felhasználási esetek iránti várható keresletet, az említett felhasználási esetek biztonsági kockázatainak elemzését és adott esetben a költséghatékonyságot</w:t>
            </w:r>
            <w:r>
              <w:t>.</w:t>
            </w:r>
          </w:p>
        </w:tc>
        <w:tc>
          <w:tcPr>
            <w:tcW w:w="4876" w:type="dxa"/>
            <w:tcBorders>
              <w:top w:val="nil"/>
              <w:left w:val="nil"/>
              <w:bottom w:val="nil"/>
              <w:right w:val="nil"/>
            </w:tcBorders>
          </w:tcPr>
          <w:p>
            <w:pPr>
              <w:pStyle w:val="Normal6a"/>
            </w:pPr>
            <w:r>
              <w:t>(8)</w:t>
            </w:r>
            <w:r>
              <w:tab/>
            </w:r>
            <w:r>
              <w:rPr>
                <w:b/>
                <w:i/>
              </w:rPr>
              <w:t>Az IRIS</w:t>
            </w:r>
            <w:r>
              <w:rPr>
                <w:b/>
                <w:i/>
                <w:vertAlign w:val="superscript"/>
              </w:rPr>
              <w:t>2</w:t>
            </w:r>
            <w:r>
              <w:rPr>
                <w:b/>
                <w:i/>
              </w:rPr>
              <w:t>-t magában foglaló</w:t>
            </w:r>
            <w:r>
              <w:t xml:space="preserve"> GOVSATCOM-szolgáltatások megosztása és rangsorolása során a GOVSATCOM-felhasználókat fontosságuk és kritikusságuk alapján kell rangsorolni. A </w:t>
            </w:r>
            <w:r>
              <w:rPr>
                <w:b/>
                <w:i/>
              </w:rPr>
              <w:t>megállapított prioritások alapján a tagállamok előre meghatározott mennyiségű kommunikációs szolgáltatás ingyenes igénybevételére szolgáló tokeneket kapnak.</w:t>
            </w:r>
            <w:r>
              <w:t xml:space="preserve"> </w:t>
            </w:r>
            <w:r>
              <w:rPr>
                <w:b/>
                <w:i/>
              </w:rPr>
              <w:t>E tokenek használata saját prioritásaiknak megfelelően történik</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Bizottság továbbá végrehajtási jogi aktusok útján részletes szabályokat fogad el az IRIS² kormányzati szolgáltatásaira vonatkozóan.</w:t>
            </w:r>
            <w:r>
              <w:t xml:space="preserve"> </w:t>
            </w:r>
            <w:r>
              <w:rPr>
                <w:b/>
                <w:i/>
              </w:rPr>
              <w:t>A végrehajtási jogi aktusokat a vizsgálóbizottsági eljárásnak megfelelően fogadják el.</w:t>
            </w:r>
            <w:r>
              <w:t xml:space="preserve"> </w:t>
            </w:r>
            <w:r>
              <w:rPr>
                <w:b/>
                <w:i/>
              </w:rPr>
              <w:t>E jogi aktusok megalkotásakor a Bizottság figyelembe veszi a különböző felhasználási esetek iránti várható keresletet, az említett felhasználási esetek biztonsági kockázatainak elemzését és adott esetben a költséghatékonyságot.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3482</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w:t>
            </w:r>
            <w:r>
              <w:t xml:space="preserve"> GOVSATCOM-szolgáltatások megosztása és rangsorolása során a GOVSATCOM-felhasználókat fontosságuk és kritikusságuk alapján kell rangsorolni. A Bizottság végrehajtási jogi aktusok útján részletes szabályokat fogad el a GOVSATCOM-kapacitások, -szolgáltatások és a felhasználói berendezések megosztására és rangsorolására vonatkozóan. </w:t>
            </w:r>
            <w:r>
              <w:rPr>
                <w:b/>
                <w:i/>
              </w:rPr>
              <w:t>A Bizottság továbbá végrehajtási jogi aktusok útján részletes szabályokat fogad el az IRIS² kormányzati szolgáltatásaira vonatkozóan.</w:t>
            </w:r>
            <w:r>
              <w:t xml:space="preserve"> E jogi aktusok megalkotásakor a Bizottság figyelembe veszi a különböző felhasználási esetek iránti várható keresletet, az említett felhasználási esetek biztonsági kockázatainak elemzését és adott esetben a költséghatékonyságot.</w:t>
            </w:r>
          </w:p>
        </w:tc>
        <w:tc>
          <w:tcPr>
            <w:tcW w:w="4876" w:type="dxa"/>
            <w:tcBorders>
              <w:top w:val="nil"/>
              <w:left w:val="nil"/>
              <w:bottom w:val="nil"/>
              <w:right w:val="nil"/>
            </w:tcBorders>
          </w:tcPr>
          <w:p>
            <w:pPr>
              <w:pStyle w:val="Normal6a"/>
            </w:pPr>
            <w:r>
              <w:t>(8)</w:t>
            </w:r>
            <w:r>
              <w:tab/>
            </w:r>
            <w:r>
              <w:rPr>
                <w:b/>
                <w:i/>
              </w:rPr>
              <w:t>Az IRIS</w:t>
            </w:r>
            <w:r>
              <w:rPr>
                <w:b/>
                <w:i/>
                <w:vertAlign w:val="superscript"/>
              </w:rPr>
              <w:t>2</w:t>
            </w:r>
            <w:r>
              <w:rPr>
                <w:b/>
                <w:i/>
              </w:rPr>
              <w:t>-t magában foglaló</w:t>
            </w:r>
            <w:r>
              <w:t xml:space="preserve"> GOVSATCOM-szolgáltatások megosztása és rangsorolása során a GOVSATCOM-felhasználókat fontosságuk és kritikusságuk alapján kell rangsorolni. A Bizottság végrehajtási jogi aktusok útján részletes szabályokat fogad el a GOVSATCOM-kapacitások, -szolgáltatások és a felhasználói berendezések megosztására és rangsorolására vonatkozóan. E jogi aktusok megalkotásakor a Bizottság figyelembe veszi a különböző felhasználási esetek iránti várható keresletet, az említett felhasználási esetek biztonsági kockázatainak elemzését és adott esetben a költséghatékonyságot.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3483</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Amennyiben a kockázatoknak és a várható keresletnek a (11) bekezdésben említett elemzése arra a következtetésre jut, hogy kapacitáshiány áll fenn, vagy ha a kereslet meghaladja az IRIS² kormányzati szolgáltatásaihoz való hozzáférési kapacitást, ami a piac torzulásához vezethet, a Bizottság végrehajtási jogi aktusok útján árképzési politikát fogadhat el. Az árképzési politika elfogadásával a Bizottság biztosítja, hogy a GOVSATCOM-szolgáltatásoknak és az IRIS² kormányzati szolgáltatásainak a nyújtása ne torzítsa a versenyt, hogy e szolgáltatásokból ne legyen hiány, és hogy a meghatározott ár ne eredményezzen túlkompenzációt a (20) bekezdésben említett szerződések tekintetében.</w:t>
            </w:r>
          </w:p>
        </w:tc>
        <w:tc>
          <w:tcPr>
            <w:tcW w:w="4876" w:type="dxa"/>
            <w:tcBorders>
              <w:top w:val="nil"/>
              <w:left w:val="nil"/>
              <w:bottom w:val="nil"/>
              <w:right w:val="nil"/>
            </w:tcBorders>
          </w:tcPr>
          <w:p>
            <w:pPr>
              <w:pStyle w:val="Normal6a"/>
            </w:pPr>
            <w:r>
              <w:t>(9)</w:t>
            </w:r>
            <w:r>
              <w:tab/>
            </w:r>
            <w:r>
              <w:t xml:space="preserve">Amennyiben a kockázatoknak és a várható keresletnek a (11) bekezdésben említett elemzése arra a következtetésre jut, hogy kapacitáshiány áll fenn, vagy ha a kereslet meghaladja </w:t>
            </w:r>
            <w:r>
              <w:rPr>
                <w:b/>
                <w:i/>
              </w:rPr>
              <w:t>a GOVSATCOM-szolgáltatásokhoz, ezen belül</w:t>
            </w:r>
            <w:r>
              <w:t xml:space="preserve"> az IRIS² kormányzati szolgáltatásaihoz való hozzáférési kapacitást, ami a piac torzulásához vezethet, a Bizottság végrehajtási jogi aktusok útján árképzési politikát fogadhat el. Az árképzési politika elfogadásával a Bizottság biztosítja, hogy a GOVSATCOM-szolgáltatásoknak és </w:t>
            </w:r>
            <w:r>
              <w:rPr>
                <w:b/>
                <w:i/>
              </w:rPr>
              <w:t>ezen belül</w:t>
            </w:r>
            <w:r>
              <w:t xml:space="preserve"> az IRIS² kormányzati szolgáltatásainak a nyújtása ne torzítsa a versenyt, hogy e szolgáltatásokból ne legyen hiány, és hogy a meghatározott ár ne eredményezzen túlkompenzációt a (20) bekezdésben említett szerződések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3484</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Amennyiben a kockázatoknak és a várható keresletnek a (11) bekezdésben említett elemzése arra a következtetésre jut, hogy kapacitáshiány áll fenn, vagy ha a kereslet meghaladja az IRIS² kormányzati szolgáltatásaihoz való hozzáférési kapacitást, ami a piac torzulásához vezethet, a Bizottság végrehajtási jogi aktusok útján árképzési politikát fogadhat el. Az árképzési politika elfogadásával a Bizottság biztosítja, hogy a GOVSATCOM-szolgáltatásoknak és az IRIS² kormányzati szolgáltatásainak a nyújtása ne torzítsa a versenyt, hogy e szolgáltatásokból ne legyen hiány, és hogy a meghatározott ár ne eredményezzen túlkompenzációt a (20) bekezdésben említett szerződések tekintetében.</w:t>
            </w:r>
          </w:p>
        </w:tc>
        <w:tc>
          <w:tcPr>
            <w:tcW w:w="4876" w:type="dxa"/>
            <w:tcBorders>
              <w:top w:val="nil"/>
              <w:left w:val="nil"/>
              <w:bottom w:val="nil"/>
              <w:right w:val="nil"/>
            </w:tcBorders>
          </w:tcPr>
          <w:p>
            <w:pPr>
              <w:pStyle w:val="Normal6a"/>
            </w:pPr>
            <w:r>
              <w:t>(9)</w:t>
            </w:r>
            <w:r>
              <w:tab/>
            </w:r>
            <w:r>
              <w:t xml:space="preserve">Amennyiben a kockázatoknak és a várható keresletnek a (11) bekezdésben említett elemzése arra a következtetésre jut, hogy kapacitáshiány áll fenn, vagy ha a kereslet meghaladja </w:t>
            </w:r>
            <w:r>
              <w:rPr>
                <w:b/>
                <w:i/>
              </w:rPr>
              <w:t>a GOVSATCOM-szolgáltatásokhoz, ezen belül</w:t>
            </w:r>
            <w:r>
              <w:t xml:space="preserve"> az IRIS² kormányzati szolgáltatásaihoz való hozzáférési kapacitást, ami a piac torzulásához vezethet, a Bizottság végrehajtási jogi aktusok útján árképzési politikát fogadhat el. Az árképzési politika elfogadásával a Bizottság biztosítja, hogy a GOVSATCOM-szolgáltatásoknak és az IRIS² kormányzati szolgáltatásainak a nyújtása ne torzítsa a versenyt, hogy e szolgáltatásokból ne legyen hiány, és hogy a meghatározott ár ne eredményezzen túlkompenzációt a (20) bekezdésben említett szerződések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3485</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14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 kormányzati szolgáltatások felhasználóit a résztvevők megfelelően felhatalmazzák a GOVSATCOM-szolgáltatásoknak </w:t>
            </w:r>
            <w:r>
              <w:rPr>
                <w:b/>
                <w:i/>
              </w:rPr>
              <w:t>vagy</w:t>
            </w:r>
            <w:r>
              <w:t xml:space="preserve"> az IRIS² kormányzati szolgáltatásainak a használatára, és a felhasználóknak meg kell felelniük a 77. cikk (3) bekezdésében említett általános biztonsági követelményeknek. A GOVSATCOM-szolgáltatásoknak </w:t>
            </w:r>
            <w:r>
              <w:rPr>
                <w:b/>
                <w:i/>
              </w:rPr>
              <w:t>és</w:t>
            </w:r>
            <w:r>
              <w:t xml:space="preserve"> az IRIS² kormányzati szolgáltatásainak az igénybevétele a következő szervezetek számára engedélyezhető:</w:t>
            </w:r>
          </w:p>
        </w:tc>
        <w:tc>
          <w:tcPr>
            <w:tcW w:w="4876" w:type="dxa"/>
            <w:tcBorders>
              <w:top w:val="nil"/>
              <w:left w:val="nil"/>
              <w:bottom w:val="nil"/>
              <w:right w:val="nil"/>
            </w:tcBorders>
          </w:tcPr>
          <w:p>
            <w:pPr>
              <w:pStyle w:val="Normal6a"/>
            </w:pPr>
            <w:r>
              <w:t>(14)</w:t>
            </w:r>
            <w:r>
              <w:tab/>
            </w:r>
            <w:r>
              <w:t>A kormányzati szolgáltatások felhasználóit a résztvevők megfelelően felhatalmazzák a GOVSATCOM-szolgáltatásoknak</w:t>
            </w:r>
            <w:r>
              <w:rPr>
                <w:b/>
                <w:i/>
              </w:rPr>
              <w:t>, ezen belül</w:t>
            </w:r>
            <w:r>
              <w:t xml:space="preserve"> az IRIS² kormányzati szolgáltatásainak a használatára, és a felhasználóknak meg kell felelniük a 77. cikk (3) bekezdésében említett általános biztonsági követelményeknek. A GOVSATCOM-szolgáltatásoknak</w:t>
            </w:r>
            <w:r>
              <w:rPr>
                <w:b/>
                <w:i/>
              </w:rPr>
              <w:t>, ezen belül</w:t>
            </w:r>
            <w:r>
              <w:t xml:space="preserve"> az IRIS² kormányzati szolgáltatásainak az igénybevétele a következő szervezetek számára engedélyezhető: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3486</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14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 kormányzati szolgáltatások felhasználóit a résztvevők megfelelően felhatalmazzák a GOVSATCOM-szolgáltatásoknak </w:t>
            </w:r>
            <w:r>
              <w:rPr>
                <w:b/>
                <w:i/>
              </w:rPr>
              <w:t>vagy</w:t>
            </w:r>
            <w:r>
              <w:t xml:space="preserve"> az IRIS² kormányzati szolgáltatásainak a használatára, és a felhasználóknak meg kell felelniük a 77. cikk (3) bekezdésében említett általános biztonsági követelményeknek. A GOVSATCOM-szolgáltatásoknak </w:t>
            </w:r>
            <w:r>
              <w:rPr>
                <w:b/>
                <w:i/>
              </w:rPr>
              <w:t>és</w:t>
            </w:r>
            <w:r>
              <w:t xml:space="preserve"> az IRIS² kormányzati szolgáltatásainak az igénybevétele a következő szervezetek számára engedélyezhető:</w:t>
            </w:r>
          </w:p>
        </w:tc>
        <w:tc>
          <w:tcPr>
            <w:tcW w:w="4876" w:type="dxa"/>
            <w:tcBorders>
              <w:top w:val="nil"/>
              <w:left w:val="nil"/>
              <w:bottom w:val="nil"/>
              <w:right w:val="nil"/>
            </w:tcBorders>
          </w:tcPr>
          <w:p>
            <w:pPr>
              <w:pStyle w:val="Normal6a"/>
            </w:pPr>
            <w:r>
              <w:t>(14)</w:t>
            </w:r>
            <w:r>
              <w:tab/>
            </w:r>
            <w:r>
              <w:t>A kormányzati szolgáltatások felhasználóit a résztvevők megfelelően felhatalmazzák a GOVSATCOM-szolgáltatásoknak</w:t>
            </w:r>
            <w:r>
              <w:rPr>
                <w:b/>
                <w:i/>
              </w:rPr>
              <w:t>, ezen belül</w:t>
            </w:r>
            <w:r>
              <w:t xml:space="preserve"> az IRIS² kormányzati szolgáltatásainak a használatára, és a felhasználóknak meg kell felelniük a 77. cikk (3) bekezdésében említett általános biztonsági követelményeknek. A GOVSATCOM-szolgáltatásoknak</w:t>
            </w:r>
            <w:r>
              <w:rPr>
                <w:b/>
                <w:i/>
              </w:rPr>
              <w:t>, ezen belül</w:t>
            </w:r>
            <w:r>
              <w:t xml:space="preserve"> az IRIS² kormányzati szolgáltatásainak az igénybevétele a következő szervezetek számára engedélyezhető: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3487</w:t>
      </w:r>
      <w:r>
        <w:rPr>
          <w:rStyle w:val="HideTWBExt"/>
        </w:rPr>
        <w:t>&lt;/NumAm&gt;</w:t>
      </w:r>
    </w:p>
    <w:p>
      <w:pPr>
        <w:pStyle w:val="NormalBold"/>
      </w:pPr>
      <w:r>
        <w:rPr>
          <w:rStyle w:val="HideTWBExt"/>
          <w:b w:val="0"/>
        </w:rPr>
        <w:t>&lt;RepeatBlock-By&gt;</w:t>
      </w:r>
      <w:r>
        <w:rPr>
          <w:rStyle w:val="HideTWBExt"/>
          <w:b w:val="0"/>
        </w:rPr>
        <w:t>&lt;Members&gt;</w:t>
      </w:r>
      <w:r>
        <w:t>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Az e cikkben említett szerződésekben biztosítani kell különösen azt, hogy az IRIS² kereskedelmi infrastruktúráján alapuló szolgáltatások nyújtása során védve legyenek az Unió alapvető érdekei, valamint az alkomponens célkitűzései. Az említett szerződéseknek – az e cikkben említett vállalkozók túlkompenzációjának, a verseny torzulásának, az összeférhetetlenségnek, az indokolatlan megkülönböztetésnek vagy bármely egyéb rejtett közvetett előnynek az elkerülése érdekében – megfelelő biztosítékokat is tartalmazniuk kell. Ilyen biztosíték lehet az IRIS² kormányzati és kereskedelmi szolgáltatásainak nyújtására vonatkozó számviteli szétválasztás kötelezettsége – beleértve egy, a vertikálisan integrált üzemeltetőtől szerkezetileg és jogilag is elkülönülő szervezet létrehozását a kormányzati szolgáltatások nyújtására –, valamint a kereskedelmi szolgáltatások nyújtásához szükséges infrastruktúrához való nyílt, méltányos, észszerű és megkülönböztetésmentes hozzáférés biztosítása. A szerződéseknek azt is biztosítaniuk kell, hogy a jogosultsági feltételek a szerződések teljes időtartama alatt teljesüljenek.</w:t>
            </w:r>
          </w:p>
        </w:tc>
        <w:tc>
          <w:tcPr>
            <w:tcW w:w="4876" w:type="dxa"/>
            <w:tcBorders>
              <w:top w:val="nil"/>
              <w:left w:val="nil"/>
              <w:bottom w:val="nil"/>
              <w:right w:val="nil"/>
            </w:tcBorders>
          </w:tcPr>
          <w:p>
            <w:pPr>
              <w:pStyle w:val="Normal6a"/>
            </w:pPr>
            <w:r>
              <w:t>(17)</w:t>
            </w:r>
            <w:r>
              <w:tab/>
            </w:r>
            <w:r>
              <w:t>Az e cikkben említett szerződésekben biztosítani kell különösen azt, hogy az IRIS² kereskedelmi infrastruktúráján alapuló szolgáltatások nyújtása során védve legyenek az Unió alapvető érdekei, valamint az alkomponens célkitűzései. Az említett szerződéseknek – az e cikkben említett vállalkozók túlkompenzációjának, a verseny torzulásának, az összeférhetetlenségnek, az indokolatlan megkülönböztetésnek vagy bármely egyéb rejtett közvetett előnynek az elkerülése érdekében – megfelelő biztosítékokat is tartalmazniuk kell. Ilyen biztosíték lehet az IRIS² kormányzati és kereskedelmi szolgáltatásainak nyújtására vonatkozó számviteli szétválasztás kötelezettsége – beleértve egy, a vertikálisan integrált üzemeltetőtől szerkezetileg és jogilag is elkülönülő szervezet létrehozását a kormányzati szolgáltatások nyújtására –, valamint a kereskedelmi szolgáltatások nyújtásához szükséges infrastruktúrához való nyílt, méltányos, észszerű és megkülönböztetésmentes hozzáférés biztosítása. A szerződéseknek azt is biztosítaniuk kell, hogy a jogosultsági feltételek a szerződések teljes időtartama alatt teljesüljenek.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kormányzati szolgáltatások tekintetében eseti megállapodások fogják biztosítani a megkülönböztetésmentes felhasználói felület kialakítását az IRIS</w:t>
            </w:r>
            <w:r>
              <w:rPr>
                <w:b/>
                <w:i/>
                <w:vertAlign w:val="superscript"/>
              </w:rPr>
              <w:t>2</w:t>
            </w:r>
            <w:r>
              <w:t xml:space="preserve"> </w:t>
            </w:r>
            <w:r>
              <w:rPr>
                <w:b/>
                <w:i/>
              </w:rPr>
              <w:t>infrastruktúrájára vonatkozó koncesszió jogosultjától elkülönülő jogalany létrehozásával.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3488</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Az e cikkben említett szerződésekben biztosítani kell különösen azt, hogy az IRIS² kereskedelmi infrastruktúráján alapuló szolgáltatások nyújtása során védve legyenek az Unió alapvető érdekei, valamint az alkomponens célkitűzései. Az említett szerződéseknek – az e cikkben említett vállalkozók túlkompenzációjának, a verseny torzulásának, az összeférhetetlenségnek, az indokolatlan megkülönböztetésnek vagy bármely egyéb rejtett közvetett előnynek az elkerülése érdekében – megfelelő biztosítékokat is tartalmazniuk kell. Ilyen biztosíték lehet az IRIS² kormányzati és kereskedelmi szolgáltatásainak nyújtására vonatkozó számviteli szétválasztás kötelezettsége – beleértve egy, a vertikálisan integrált üzemeltetőtől szerkezetileg és jogilag is elkülönülő szervezet létrehozását a kormányzati szolgáltatások nyújtására –, valamint a kereskedelmi szolgáltatások nyújtásához szükséges infrastruktúrához való nyílt, méltányos, észszerű és megkülönböztetésmentes hozzáférés biztosítása. A szerződéseknek azt is biztosítaniuk kell, hogy a jogosultsági feltételek a szerződések teljes időtartama alatt teljesüljenek.</w:t>
            </w:r>
          </w:p>
        </w:tc>
        <w:tc>
          <w:tcPr>
            <w:tcW w:w="4876" w:type="dxa"/>
            <w:tcBorders>
              <w:top w:val="nil"/>
              <w:left w:val="nil"/>
              <w:bottom w:val="nil"/>
              <w:right w:val="nil"/>
            </w:tcBorders>
          </w:tcPr>
          <w:p>
            <w:pPr>
              <w:pStyle w:val="Normal6a"/>
            </w:pPr>
            <w:r>
              <w:t>(17)</w:t>
            </w:r>
            <w:r>
              <w:tab/>
            </w:r>
            <w:r>
              <w:t xml:space="preserve">Az e cikkben említett szerződésekben biztosítani kell különösen azt, hogy az IRIS² kereskedelmi infrastruktúráján alapuló szolgáltatások nyújtása során védve legyenek az Unió alapvető érdekei, valamint az alkomponens célkitűzései. Az említett szerződéseknek – az e cikkben említett vállalkozók túlkompenzációjának, a verseny torzulásának, az összeférhetetlenségnek, az indokolatlan megkülönböztetésnek vagy bármely egyéb rejtett közvetett előnynek az elkerülése érdekében – megfelelő biztosítékokat is tartalmazniuk kell. Ilyen biztosíték lehet az IRIS² kormányzati és kereskedelmi szolgáltatásainak nyújtására vonatkozó számviteli szétválasztás kötelezettsége – beleértve egy, a vertikálisan integrált üzemeltetőtől szerkezetileg és jogilag is elkülönülő szervezet létrehozását a kormányzati szolgáltatások nyújtására –, valamint a kereskedelmi szolgáltatások nyújtásához szükséges infrastruktúrához való nyílt, méltányos, észszerű és megkülönböztetésmentes hozzáférés biztosítása. A szerződéseknek azt is biztosítaniuk kell, hogy a jogosultsági feltételek a szerződések teljes időtartama alatt teljesüljenek. </w:t>
            </w:r>
            <w:r>
              <w:rPr>
                <w:b/>
                <w:i/>
              </w:rPr>
              <w:t>A kormányzati szolgáltatások tekintetében egyedi intézkedéseket dolgoznak ki annak biztosítására, hogy egy különálló jogalany létrehozásával megkülönböztetéstől mentes felhasználói felület létrehozására kerüljön sor.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3489</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a cikk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61a. cikk</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biztonságos konnektivitás komponens alkotóelemei a következők: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GOVSATCOM-alkomponens, a polgári és kormányzati ellenőrzés alatt álló műholdas kommunikációs szolgáltatások megosztási és összevonási mechanizmusa, amely lehetővé teszi a műholdas kommunikációs kapacitások és szolgáltatások rendelkezésre bocsátását az Unió és a tagállamok által felhatalmazott kormányzati felhasználók számára;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az IRIS</w:t>
            </w:r>
            <w:r>
              <w:rPr>
                <w:b/>
                <w:i/>
                <w:vertAlign w:val="superscript"/>
              </w:rPr>
              <w:t>2</w:t>
            </w:r>
            <w:r>
              <w:t xml:space="preserve"> </w:t>
            </w:r>
            <w:r>
              <w:rPr>
                <w:b/>
                <w:i/>
              </w:rPr>
              <w:t>alkomponens, egy olyan, több keringési pályás műholdas konstelláció, amely a GOVSATCOM-központon keresztül biztonságos és reziliens konnektivitást biztosít az Unióban és világszerte a kormányzati felhasználók számára, valamint kiegészíti és integrálja a GOVSATCOM-kapacitásokat.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pontosítja a rendszer jogi felépítését, és az operatív valóságot tükrözi:</w:t>
      </w:r>
      <w:r>
        <w:t xml:space="preserve"> </w:t>
      </w:r>
      <w:r>
        <w:t>a GOVSATCOM a nemzeti kapacitások összevonási és megosztási rétegeként működik, míg az IRIS</w:t>
      </w:r>
      <w:r>
        <w:t>2</w:t>
      </w:r>
      <w:r>
        <w:t xml:space="preserve"> a dedikált multiorbitális konstelláció.</w:t>
      </w:r>
    </w:p>
    <w:p>
      <w:r>
        <w:rPr>
          <w:rStyle w:val="HideTWBExt"/>
        </w:rPr>
        <w:t>&lt;/Amend&gt;</w:t>
      </w:r>
    </w:p>
    <w:p>
      <w:pPr>
        <w:pStyle w:val="AmNumberTabs"/>
      </w:pPr>
      <w:r>
        <w:rPr>
          <w:rStyle w:val="HideTWBExt"/>
        </w:rPr>
        <w:t>&lt;Amend&gt;</w:t>
      </w:r>
      <w:r>
        <w:t>Módosítás</w:t>
      </w:r>
      <w:r>
        <w:tab/>
      </w:r>
      <w:r>
        <w:tab/>
      </w:r>
      <w:r>
        <w:rPr>
          <w:rStyle w:val="HideTWBExt"/>
        </w:rPr>
        <w:t>&lt;NumAm&gt;</w:t>
      </w:r>
      <w:r>
        <w:t>3490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SSA </w:t>
            </w:r>
            <w:r>
              <w:rPr>
                <w:b/>
                <w:i/>
              </w:rPr>
              <w:t>SST-alkomponense</w:t>
            </w:r>
            <w:r>
              <w:t xml:space="preserve"> különösen a következőket </w:t>
            </w:r>
            <w:r>
              <w:rPr>
                <w:b/>
                <w:i/>
              </w:rPr>
              <w:t>tartalmazza</w:t>
            </w:r>
            <w:r>
              <w:t>:</w:t>
            </w:r>
          </w:p>
        </w:tc>
        <w:tc>
          <w:tcPr>
            <w:tcW w:w="4876" w:type="dxa"/>
            <w:tcBorders>
              <w:top w:val="nil"/>
              <w:left w:val="nil"/>
              <w:bottom w:val="nil"/>
              <w:right w:val="nil"/>
            </w:tcBorders>
          </w:tcPr>
          <w:p>
            <w:pPr>
              <w:pStyle w:val="Normal6a"/>
            </w:pPr>
            <w:r>
              <w:t>(1)</w:t>
            </w:r>
            <w:r>
              <w:tab/>
            </w:r>
            <w:r>
              <w:t xml:space="preserve">Az SSA </w:t>
            </w:r>
            <w:r>
              <w:rPr>
                <w:b/>
                <w:i/>
              </w:rPr>
              <w:t>űrmegfigyelésre és a Föld körüli pályán haladó objektumok nyomon követésére (SST) vonatkozó alkomponense</w:t>
            </w:r>
            <w:r>
              <w:t xml:space="preserve"> különösen a következőket </w:t>
            </w:r>
            <w:r>
              <w:rPr>
                <w:b/>
                <w:i/>
              </w:rPr>
              <w:t>foglalja magában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3491</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 tagállamok architektúra-tanulmány útján</w:t>
            </w:r>
            <w:r>
              <w:t xml:space="preserve"> kiválasztott, földi és világűrbe telepített </w:t>
            </w:r>
            <w:r>
              <w:rPr>
                <w:b/>
                <w:i/>
              </w:rPr>
              <w:t>SST-érzékelőiből álló, architektúra-tanulmányok útján kiválasztott tagállami érzékelőhálózat</w:t>
            </w:r>
            <w:r>
              <w:t xml:space="preserve"> létrehozása, fejlesztése </w:t>
            </w:r>
            <w:r>
              <w:rPr>
                <w:b/>
                <w:i/>
              </w:rPr>
              <w:t>és működtetése</w:t>
            </w:r>
            <w:r>
              <w:t xml:space="preserve">, amely tartalmazhatja az Európai Űrügynökségen keresztül kifejlesztett érzékelőket, az uniós kereskedelmi </w:t>
            </w:r>
            <w:r>
              <w:rPr>
                <w:b/>
                <w:i/>
              </w:rPr>
              <w:t>ágazat érzékelőit, valamint az űrobjektumok felmérését és nyomon követését célzó uniós</w:t>
            </w:r>
            <w:r>
              <w:t xml:space="preserve"> érzékelőket</w:t>
            </w:r>
            <w:r>
              <w:rPr>
                <w:b/>
                <w:i/>
              </w:rPr>
              <w:t>, illetve</w:t>
            </w:r>
            <w:r>
              <w:t xml:space="preserve"> az űrobjektumok </w:t>
            </w:r>
            <w:r>
              <w:rPr>
                <w:b/>
                <w:i/>
              </w:rPr>
              <w:t>önálló</w:t>
            </w:r>
            <w:r>
              <w:t xml:space="preserve"> európai katalógusának elkészítése;</w:t>
            </w:r>
          </w:p>
        </w:tc>
        <w:tc>
          <w:tcPr>
            <w:tcW w:w="4876" w:type="dxa"/>
            <w:tcBorders>
              <w:top w:val="nil"/>
              <w:left w:val="nil"/>
              <w:bottom w:val="nil"/>
              <w:right w:val="nil"/>
            </w:tcBorders>
          </w:tcPr>
          <w:p>
            <w:pPr>
              <w:pStyle w:val="Normal6a"/>
            </w:pPr>
            <w:r>
              <w:t>a)</w:t>
            </w:r>
            <w:r>
              <w:tab/>
            </w:r>
            <w:r>
              <w:rPr>
                <w:b/>
                <w:i/>
              </w:rPr>
              <w:t>architektúra-tanulmányok alapján</w:t>
            </w:r>
            <w:r>
              <w:t xml:space="preserve"> kiválasztott, </w:t>
            </w:r>
            <w:r>
              <w:rPr>
                <w:b/>
                <w:i/>
              </w:rPr>
              <w:t>a tagállamok szenzoraiból vagy a tagállamokban működő szenzorokból álló</w:t>
            </w:r>
            <w:r>
              <w:t xml:space="preserve"> földi és világűrbe telepített </w:t>
            </w:r>
            <w:r>
              <w:rPr>
                <w:b/>
                <w:i/>
              </w:rPr>
              <w:t>SST-érzékelők hálózatának</w:t>
            </w:r>
            <w:r>
              <w:t xml:space="preserve"> létrehozása, fejlesztése</w:t>
            </w:r>
            <w:r>
              <w:rPr>
                <w:b/>
                <w:i/>
              </w:rPr>
              <w:t>, telepítése és üzemeltetése</w:t>
            </w:r>
            <w:r>
              <w:t xml:space="preserve">, amely tartalmazhatja az Európai Űrügynökségen keresztül kifejlesztett érzékelőket, az uniós kereskedelmi </w:t>
            </w:r>
            <w:r>
              <w:rPr>
                <w:b/>
                <w:i/>
              </w:rPr>
              <w:t>ágazatból származó érzékelőket és az Unió tulajdonában lévő, világűrbe telepített</w:t>
            </w:r>
            <w:r>
              <w:t xml:space="preserve"> érzékelőket az űrobjektumok </w:t>
            </w:r>
            <w:r>
              <w:rPr>
                <w:b/>
                <w:i/>
              </w:rPr>
              <w:t>felmérése és nyomon követése és az űrobjektumok autonóm</w:t>
            </w:r>
            <w:r>
              <w:t xml:space="preserve"> európai katalógusának elkészítése </w:t>
            </w:r>
            <w:r>
              <w:rPr>
                <w:b/>
                <w:i/>
              </w:rPr>
              <w:t>és fenntartása, valamint e kapacitások SST-adatközpontba való fokozatos integrálásának, továbbá az érzékelők rendelkezésre álló adataihoz való összehangolt hozzáférésnek és ezek uniós szintű összevonásának biztosítása céljából a fokozott lefedettség, a jobb működési teljesítmény és a fenntartható szolgáltatásnyújtás elérése érdekében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Európának olyan önálló SST-architektúrára van szüksége, amely képes az űrobjektumok saját katalógusának létrehozására és fenntartására.</w:t>
      </w:r>
      <w:r>
        <w:t xml:space="preserve"> </w:t>
      </w:r>
      <w:r>
        <w:t>Emellett az érzékelők kapacitásainak jobb integrációja és összevonása erősíti a stratégiai autonómiát és az operatív teljesítményt is.</w:t>
      </w:r>
    </w:p>
    <w:p>
      <w:r>
        <w:rPr>
          <w:rStyle w:val="HideTWBExt"/>
        </w:rPr>
        <w:t>&lt;/Amend&gt;</w:t>
      </w:r>
    </w:p>
    <w:p>
      <w:pPr>
        <w:pStyle w:val="AmNumberTabs"/>
      </w:pPr>
      <w:r>
        <w:rPr>
          <w:rStyle w:val="HideTWBExt"/>
        </w:rPr>
        <w:t>&lt;Amend&gt;</w:t>
      </w:r>
      <w:r>
        <w:t>Módosítás</w:t>
      </w:r>
      <w:r>
        <w:tab/>
      </w:r>
      <w:r>
        <w:tab/>
      </w:r>
      <w:r>
        <w:rPr>
          <w:rStyle w:val="HideTWBExt"/>
        </w:rPr>
        <w:t>&lt;NumAm&gt;</w:t>
      </w:r>
      <w:r>
        <w:t>3492</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tagállamok architektúra-tanulmány útján kiválasztott, földi és világűrbe telepített SST-érzékelőiből álló, architektúra-tanulmányok útján kiválasztott tagállami érzékelőhálózat létrehozása, fejlesztése és működtetése, amely tartalmazhatja az </w:t>
            </w:r>
            <w:r>
              <w:rPr>
                <w:b/>
                <w:i/>
              </w:rPr>
              <w:t>Európai Űrügynökségen keresztül kifejlesztett érzékelőket, az</w:t>
            </w:r>
            <w:r>
              <w:t xml:space="preserve"> uniós kereskedelmi ágazat érzékelőit, valamint az űrobjektumok felmérését és nyomon követését célzó uniós érzékelőket, illetve az űrobjektumok önálló európai katalógusának elkészítése;</w:t>
            </w:r>
          </w:p>
        </w:tc>
        <w:tc>
          <w:tcPr>
            <w:tcW w:w="4876" w:type="dxa"/>
            <w:tcBorders>
              <w:top w:val="nil"/>
              <w:left w:val="nil"/>
              <w:bottom w:val="nil"/>
              <w:right w:val="nil"/>
            </w:tcBorders>
          </w:tcPr>
          <w:p>
            <w:pPr>
              <w:pStyle w:val="Normal6a"/>
            </w:pPr>
            <w:r>
              <w:t>a)</w:t>
            </w:r>
            <w:r>
              <w:tab/>
            </w:r>
            <w:r>
              <w:t xml:space="preserve">a tagállamok architektúra-tanulmány útján kiválasztott, földi és világűrbe telepített SST-érzékelőiből álló, architektúra-tanulmányok útján kiválasztott tagállami érzékelőhálózat létrehozása, fejlesztése és működtetése, amely tartalmazhatja az uniós kereskedelmi ágazat érzékelőit, valamint az űrobjektumok felmérését és nyomon követését célzó uniós érzékelőket, illetve az űrobjektumok önálló európai katalógusának elkészítése; </w:t>
            </w:r>
            <w:r>
              <w:rPr>
                <w:b/>
                <w:i/>
              </w:rPr>
              <w:t>valamint e kapacitások fokozatos – az Ügynökség szakértelmére építő – integrálása az SST-adatközpontba és az érzékelők rendelkezésre álló adataihoz való összehangolt hozzáférésnek és ezek uniós szintű összevonásának biztosítása a fokozott lefedettség, a jobb működési teljesítmény és a fenntartható szolgáltatásnyújtás elérése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3493</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tagállamok architektúra-tanulmány útján kiválasztott, földi és világűrbe telepített SST-érzékelőiből álló, architektúra-tanulmányok útján kiválasztott tagállami érzékelőhálózat létrehozása, fejlesztése és működtetése, amely tartalmazhatja az </w:t>
            </w:r>
            <w:r>
              <w:rPr>
                <w:b/>
                <w:i/>
              </w:rPr>
              <w:t>Európai Űrügynökségen keresztül kifejlesztett érzékelőket, az</w:t>
            </w:r>
            <w:r>
              <w:t xml:space="preserve"> uniós kereskedelmi ágazat érzékelőit, valamint az űrobjektumok felmérését és nyomon követését célzó uniós érzékelőket, illetve az űrobjektumok önálló európai katalógusának elkészítése;</w:t>
            </w:r>
          </w:p>
        </w:tc>
        <w:tc>
          <w:tcPr>
            <w:tcW w:w="4876" w:type="dxa"/>
            <w:tcBorders>
              <w:top w:val="nil"/>
              <w:left w:val="nil"/>
              <w:bottom w:val="nil"/>
              <w:right w:val="nil"/>
            </w:tcBorders>
          </w:tcPr>
          <w:p>
            <w:pPr>
              <w:pStyle w:val="Normal6a"/>
            </w:pPr>
            <w:r>
              <w:t>a)</w:t>
            </w:r>
            <w:r>
              <w:tab/>
            </w:r>
            <w:r>
              <w:t xml:space="preserve">a tagállamok architektúra-tanulmány útján kiválasztott, földi és világűrbe telepített SST-érzékelőiből álló, architektúra-tanulmányok útján kiválasztott tagállami érzékelőhálózat létrehozása, fejlesztése és működtetése, amely tartalmazhatja az uniós kereskedelmi ágazat érzékelőit, valamint az űrobjektumok felmérését és nyomon követését célzó uniós érzékelőket, illetve az űrobjektumok önálló európai katalógusának elkészítése; </w:t>
            </w:r>
            <w:r>
              <w:rPr>
                <w:b/>
                <w:i/>
              </w:rPr>
              <w:t>valamint e kapacitások fokozatos – az Ügynökség szakértelmére építő – integrálása az SST-adatközpontba és az érzékelők rendelkezésre álló adataihoz való összehangolt hozzáférésnek és ezek uniós szintű összevonásának biztosítása a fokozott lefedettség, a jobb működési teljesítmény és a fenntartható szolgáltatásnyújtás elérése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3494</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tagállamok architektúra-tanulmány útján kiválasztott, földi és világűrbe telepített SST-érzékelőiből álló, architektúra-tanulmányok útján kiválasztott tagállami érzékelőhálózat létrehozása, fejlesztése és működtetése, amely tartalmazhatja az Európai Űrügynökségen keresztül kifejlesztett érzékelőket, az uniós kereskedelmi ágazat érzékelőit, valamint az űrobjektumok felmérését és nyomon követését célzó uniós érzékelőket, illetve az űrobjektumok önálló európai katalógusának elkészítése;</w:t>
            </w:r>
          </w:p>
        </w:tc>
        <w:tc>
          <w:tcPr>
            <w:tcW w:w="4876" w:type="dxa"/>
            <w:tcBorders>
              <w:top w:val="nil"/>
              <w:left w:val="nil"/>
              <w:bottom w:val="nil"/>
              <w:right w:val="nil"/>
            </w:tcBorders>
          </w:tcPr>
          <w:p>
            <w:pPr>
              <w:pStyle w:val="Normal6a"/>
            </w:pPr>
            <w:r>
              <w:t>a)</w:t>
            </w:r>
            <w:r>
              <w:tab/>
            </w:r>
            <w:r>
              <w:t xml:space="preserve">a tagállamok architektúra-tanulmány útján kiválasztott, földi és világűrbe telepített SST-érzékelőiből álló, architektúra-tanulmányok útján kiválasztott tagállami érzékelőhálózat létrehozása, fejlesztése és működtetése, amely tartalmazhatja az Európai Űrügynökségen keresztül kifejlesztett érzékelőket, az uniós kereskedelmi ágazat érzékelőit, valamint az űrobjektumok felmérését és nyomon követését célzó uniós érzékelőket, illetve az űrobjektumok önálló európai katalógusának elkészítése </w:t>
            </w:r>
            <w:r>
              <w:rPr>
                <w:b/>
                <w:i/>
              </w:rPr>
              <w:t>és e kapacitásoknak az SST-adatközpontba való fokozatos – az Ügynökség szakértelmére építő – integrálása, valamint az érzékelők rendelkezésre álló adataihoz való összehangolt hozzáférésnek és ezek uniós szintű összevonásának biztosítása a fokozott lefedettség, a jobb működési teljesítmény és a fenntartható szolgáltatásnyújtás elérése érdekében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3495</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együttműködés </w:t>
            </w:r>
            <w:r>
              <w:rPr>
                <w:b/>
                <w:i/>
              </w:rPr>
              <w:t>– többek között operatív szinten –</w:t>
            </w:r>
            <w:r>
              <w:t xml:space="preserve"> az űrforgalom összehangolására irányuló nemzetközi kezdeményezésekkel;</w:t>
            </w:r>
          </w:p>
        </w:tc>
        <w:tc>
          <w:tcPr>
            <w:tcW w:w="4876" w:type="dxa"/>
            <w:tcBorders>
              <w:top w:val="nil"/>
              <w:left w:val="nil"/>
              <w:bottom w:val="nil"/>
              <w:right w:val="nil"/>
            </w:tcBorders>
          </w:tcPr>
          <w:p>
            <w:pPr>
              <w:pStyle w:val="Normal6a"/>
            </w:pPr>
            <w:r>
              <w:t>e)</w:t>
            </w:r>
            <w:r>
              <w:tab/>
            </w:r>
            <w:r>
              <w:rPr>
                <w:b/>
                <w:i/>
              </w:rPr>
              <w:t>információmegosztáson alapuló</w:t>
            </w:r>
            <w:r>
              <w:t xml:space="preserve"> együttműködés</w:t>
            </w:r>
            <w:r>
              <w:rPr>
                <w:b/>
                <w:i/>
              </w:rPr>
              <w:t>, kommunikáció és koordináció</w:t>
            </w:r>
            <w:r>
              <w:t xml:space="preserve"> az űrforgalom összehangolására irányuló nemzetközi kezdeményezésekkel;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űrforgalom összehangolása egyre inkább az operatív információmegosztáson és a nemzetközi koordináción alapul.</w:t>
      </w:r>
      <w:r>
        <w:t xml:space="preserve"> </w:t>
      </w:r>
      <w:r>
        <w:t>Ez a módosítás megerősíti az együttműködési mechanizmusokat.</w:t>
      </w:r>
    </w:p>
    <w:p>
      <w:r>
        <w:rPr>
          <w:rStyle w:val="HideTWBExt"/>
        </w:rPr>
        <w:t>&lt;/Amend&gt;</w:t>
      </w:r>
    </w:p>
    <w:p>
      <w:pPr>
        <w:pStyle w:val="AmNumberTabs"/>
      </w:pPr>
      <w:r>
        <w:rPr>
          <w:rStyle w:val="HideTWBExt"/>
        </w:rPr>
        <w:t>&lt;Amend&gt;</w:t>
      </w:r>
      <w:r>
        <w:t>Módosítás</w:t>
      </w:r>
      <w:r>
        <w:tab/>
      </w:r>
      <w:r>
        <w:tab/>
      </w:r>
      <w:r>
        <w:rPr>
          <w:rStyle w:val="HideTWBExt"/>
        </w:rPr>
        <w:t>&lt;NumAm&gt;</w:t>
      </w:r>
      <w:r>
        <w:t>3496</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 bekezdés – f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az űrforgalom uniós szintű összehangolására irányuló szolgáltatás nyújtása az ütközések elhárításának, az űrobjektumok biztonságos és fenntartható üzemeltetésének, valamint az operatív információk összehangolásának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keringési környezetek növekvő zsúfoltsága szükségessé teszi az űrforgalom célzott európai koordinálására irányuló képesség kialakítását a biztonságos és fenntartható űrműveletek támogatása érdekében.</w:t>
      </w:r>
      <w:r>
        <w:t xml:space="preserve"> </w:t>
      </w:r>
      <w:r>
        <w:t>Erre a módosításra az uniós űrjogszabály fényében van szükség.</w:t>
      </w:r>
    </w:p>
    <w:p>
      <w:r>
        <w:rPr>
          <w:rStyle w:val="HideTWBExt"/>
        </w:rPr>
        <w:t>&lt;/Amend&gt;</w:t>
      </w:r>
    </w:p>
    <w:p>
      <w:pPr>
        <w:pStyle w:val="AmNumberTabs"/>
      </w:pPr>
      <w:r>
        <w:rPr>
          <w:rStyle w:val="HideTWBExt"/>
        </w:rPr>
        <w:t>&lt;Amend&gt;</w:t>
      </w:r>
      <w:r>
        <w:t>Módosítás</w:t>
      </w:r>
      <w:r>
        <w:tab/>
      </w:r>
      <w:r>
        <w:tab/>
      </w:r>
      <w:r>
        <w:rPr>
          <w:rStyle w:val="HideTWBExt"/>
        </w:rPr>
        <w:t>&lt;NumAm&gt;</w:t>
      </w:r>
      <w:r>
        <w:t>3497</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 bekezdés – g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az SST, többek között a szolgáltatásainak fejlődését is támogató kutatás-fejlesztési tevékenységek.</w:t>
            </w:r>
          </w:p>
        </w:tc>
        <w:tc>
          <w:tcPr>
            <w:tcW w:w="4876" w:type="dxa"/>
            <w:tcBorders>
              <w:top w:val="nil"/>
              <w:left w:val="nil"/>
              <w:bottom w:val="nil"/>
              <w:right w:val="nil"/>
            </w:tcBorders>
          </w:tcPr>
          <w:p>
            <w:pPr>
              <w:pStyle w:val="Normal6a"/>
            </w:pPr>
            <w:r>
              <w:t>g)</w:t>
            </w:r>
            <w:r>
              <w:tab/>
            </w:r>
            <w:r>
              <w:t>az SST, többek között a szolgáltatásainak fejlődését is támogató kutatás-fejlesztési tevékenységek</w:t>
            </w:r>
            <w:r>
              <w:rPr>
                <w:b/>
                <w:i/>
              </w:rPr>
              <w:t>, beleértve a tesztelést, a validálást és a kereskedelmi képességek operatív SST-láncba való integrálását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kereskedelmi innováció jelentősen erősítheti az SST-képességeket, és azt fokozatosan integrálni kell az operatív SST-láncba.</w:t>
      </w:r>
    </w:p>
    <w:p>
      <w:r>
        <w:rPr>
          <w:rStyle w:val="HideTWBExt"/>
        </w:rPr>
        <w:t>&lt;/Amend&gt;</w:t>
      </w:r>
    </w:p>
    <w:p>
      <w:pPr>
        <w:pStyle w:val="AmNumberTabs"/>
      </w:pPr>
      <w:r>
        <w:rPr>
          <w:rStyle w:val="HideTWBExt"/>
        </w:rPr>
        <w:t>&lt;Amend&gt;</w:t>
      </w:r>
      <w:r>
        <w:t>Módosítás</w:t>
      </w:r>
      <w:r>
        <w:tab/>
      </w:r>
      <w:r>
        <w:tab/>
      </w:r>
      <w:r>
        <w:rPr>
          <w:rStyle w:val="HideTWBExt"/>
        </w:rPr>
        <w:t>&lt;NumAm&gt;</w:t>
      </w:r>
      <w:r>
        <w:t>3498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 bekezdés – g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 több adatforráshoz való hozzáférés lehetővé tételét és Európa vezető szerepének előmozdítását támogató szabványosítási és tanúsítási tevékenységek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3499</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Az (EU) 2021/696 rendelet alapján létrehozott SST-partnerség továbbra is hatályban marad az EVA keretében. A Bizottság végrehajtási jogi aktusok útján részletes szabályokat fogadhat el valamely tagállamnak az SST-partnerségbe való későbbi bevonására vonatkozóan. Az említett végrehajtási jogi aktusokat a 83. cikk (3) bekezdésében említett vizsgálóbizottsági eljárás keretében kell elfogadni.</w:t>
            </w:r>
          </w:p>
        </w:tc>
        <w:tc>
          <w:tcPr>
            <w:tcW w:w="4876" w:type="dxa"/>
            <w:tcBorders>
              <w:top w:val="nil"/>
              <w:left w:val="nil"/>
              <w:bottom w:val="nil"/>
              <w:right w:val="nil"/>
            </w:tcBorders>
          </w:tcPr>
          <w:p>
            <w:pPr>
              <w:pStyle w:val="Normal6a"/>
            </w:pPr>
            <w:r>
              <w:t>(3)</w:t>
            </w:r>
            <w:r>
              <w:tab/>
            </w:r>
            <w:r>
              <w:t>Az (EU) 2021/696 rendelet alapján létrehozott SST-partnerség továbbra is hatályban marad az EVA keretében. A Bizottság végrehajtási jogi aktusok útján részletes szabályokat fogadhat el valamely tagállamnak az SST-partnerségbe való későbbi bevonására vonatkozóan. Az említett végrehajtási jogi aktusokat a 83. cikk (3) bekezdésében említett vizsgálóbizottsági eljárás keretében kell elfogadni.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SST-szolgáltatások hatékonyságának, fenntarthatóságának és stratégiai autonómiájának megerősítése érdekében a Bizottság az SST-partnerséget alkotó tagállamokkal együttműködve előmozdítja a működési mód optimalizálását a Bizottság és az SST-partnerség között, többek között a nemzeti érzékelőkapacitások összevonására és megosztására szolgáló mechanizmusok megerősítése révén.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SST-keret további kereskedelmi kapacitásokat integrálhat, és amennyiben a teljes lefedettség és a működési teljesítmény biztosításához szükséges, támogathatja az uniós szintű infrastruktúra fejlesztését az Unió egész területén.</w:t>
            </w:r>
            <w:r>
              <w:t xml:space="preserve"> </w:t>
            </w:r>
            <w:r>
              <w:rPr>
                <w:b/>
                <w:i/>
              </w:rPr>
              <w:t>Az SST-szolgáltatásoknak fokozatosan olyan összehangolt központként kell működniük, amelyek átfogó adatkezelést és szolgáltatásnyújtást biztosítanak.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3500</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Az (EU) 2021/696 rendelet alapján létrehozott SST-partnerség továbbra is hatályban marad az EVA keretében. A Bizottság végrehajtási jogi aktusok útján részletes szabályokat fogadhat el valamely tagállamnak az SST-partnerségbe való későbbi bevonására vonatkozóan. Az említett végrehajtási jogi aktusokat a 83. cikk (3) bekezdésében említett vizsgálóbizottsági eljárás keretében kell elfogadni.</w:t>
            </w:r>
          </w:p>
        </w:tc>
        <w:tc>
          <w:tcPr>
            <w:tcW w:w="4876" w:type="dxa"/>
            <w:tcBorders>
              <w:top w:val="nil"/>
              <w:left w:val="nil"/>
              <w:bottom w:val="nil"/>
              <w:right w:val="nil"/>
            </w:tcBorders>
          </w:tcPr>
          <w:p>
            <w:pPr>
              <w:pStyle w:val="Normal6a"/>
            </w:pPr>
            <w:r>
              <w:t>(3)</w:t>
            </w:r>
            <w:r>
              <w:tab/>
            </w:r>
            <w:r>
              <w:t>Az (EU) 2021/696 rendelet alapján létrehozott SST-partnerség továbbra is hatályban marad az EVA keretében. A Bizottság végrehajtási jogi aktusok útján részletes szabályokat fogadhat el valamely tagállamnak az SST-partnerségbe való későbbi bevonására vonatkozóan. Az említett végrehajtási jogi aktusokat a 83. cikk (3) bekezdésében említett vizsgálóbizottsági eljárás keretében kell elfogadni.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SST-szolgáltatások hatékonyságának, fenntarthatóságának és stratégiai autonómiájának megerősítése érdekében a Bizottság az SST-partnerséget alkotó tagállamokkal együttműködve előmozdítja a működési mód optimalizálását a Bizottság és az SST-partnerség között, többek között a nemzeti érzékelőkapacitások összevonására és megosztására szolgáló mechanizmusok megerősítése révén.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SST-keret további kereskedelmi kapacitásokat integrálhat, és amennyiben a teljes lefedettség és a működési teljesítmény biztosításához szükséges, támogathatja az uniós szintű infrastruktúra fejlesztését az Unió egész területén.</w:t>
            </w:r>
            <w:r>
              <w:t xml:space="preserve"> </w:t>
            </w:r>
            <w:r>
              <w:rPr>
                <w:b/>
                <w:i/>
              </w:rPr>
              <w:t>Az SST-szolgáltatásoknak fokozatosan olyan összehangolt központként kell működniük, amelyek átfogó adatkezelést és szolgáltatásnyújtást biztosítanak.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3501</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Az (EU) 2021/696 rendelet alapján létrehozott SST-partnerség továbbra is hatályban marad az EVA keretében. A Bizottság végrehajtási jogi aktusok útján részletes szabályokat fogadhat el valamely tagállamnak az SST-partnerségbe való későbbi bevonására vonatkozóan. Az említett végrehajtási jogi aktusokat a 83. cikk (3) bekezdésében említett vizsgálóbizottsági eljárás keretében kell elfogadni.</w:t>
            </w:r>
          </w:p>
        </w:tc>
        <w:tc>
          <w:tcPr>
            <w:tcW w:w="4876" w:type="dxa"/>
            <w:tcBorders>
              <w:top w:val="nil"/>
              <w:left w:val="nil"/>
              <w:bottom w:val="nil"/>
              <w:right w:val="nil"/>
            </w:tcBorders>
          </w:tcPr>
          <w:p>
            <w:pPr>
              <w:pStyle w:val="Normal6a"/>
            </w:pPr>
            <w:r>
              <w:t>(3)</w:t>
            </w:r>
            <w:r>
              <w:tab/>
            </w:r>
            <w:r>
              <w:t>Az (EU) 2021/696 rendelet alapján létrehozott SST-partnerség továbbra is hatályban marad az EVA keretében. A Bizottság végrehajtási jogi aktusok útján részletes szabályokat fogadhat el valamely tagállamnak az SST-partnerségbe való későbbi bevonására vonatkozóan. Az említett végrehajtási jogi aktusokat a 83. cikk (3) bekezdésében említett vizsgálóbizottsági eljárás keretében kell elfogadni.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SST-szolgáltatások hatékonyságának, fenntarthatóságának és stratégiai autonómiájának megerősítése érdekében a Bizottság az SST-partnerséget alkotó tagállamokkal együttműködve előmozdítja a működés optimalizálását, többek között az érzékelőkapacitások fokozott összevonása és megosztása, valamint a releváns kapacitásoknak az SST-adatközponton belüli fokozatos integrálása révén.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érzékelőkapacitások uniós szintű összevonása és megosztása javítja a hatékonyságot, a lefedettséget, a fenntarthatóságot és a stratégiai autonómiát.</w:t>
      </w:r>
    </w:p>
    <w:p>
      <w:r>
        <w:rPr>
          <w:rStyle w:val="HideTWBExt"/>
        </w:rPr>
        <w:t>&lt;/Amend&gt;</w:t>
      </w:r>
    </w:p>
    <w:p>
      <w:pPr>
        <w:pStyle w:val="AmNumberTabs"/>
      </w:pPr>
      <w:r>
        <w:rPr>
          <w:rStyle w:val="HideTWBExt"/>
        </w:rPr>
        <w:t>&lt;Amend&gt;</w:t>
      </w:r>
      <w:r>
        <w:t>Módosítás</w:t>
      </w:r>
      <w:r>
        <w:tab/>
      </w:r>
      <w:r>
        <w:tab/>
      </w:r>
      <w:r>
        <w:rPr>
          <w:rStyle w:val="HideTWBExt"/>
        </w:rPr>
        <w:t>&lt;NumAm&gt;</w:t>
      </w:r>
      <w:r>
        <w:t>3502</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Az (EU) 2021/696 rendelet alapján létrehozott SST-partnerség továbbra is hatályban marad az EVA keretében. A Bizottság végrehajtási jogi aktusok útján részletes szabályokat fogadhat el valamely tagállamnak az SST-partnerségbe való későbbi bevonására vonatkozóan. Az említett végrehajtási jogi aktusokat a 83. cikk (3) bekezdésében említett vizsgálóbizottsági eljárás keretében kell elfogadni.</w:t>
            </w:r>
          </w:p>
        </w:tc>
        <w:tc>
          <w:tcPr>
            <w:tcW w:w="4876" w:type="dxa"/>
            <w:tcBorders>
              <w:top w:val="nil"/>
              <w:left w:val="nil"/>
              <w:bottom w:val="nil"/>
              <w:right w:val="nil"/>
            </w:tcBorders>
          </w:tcPr>
          <w:p>
            <w:pPr>
              <w:pStyle w:val="Normal6a"/>
            </w:pPr>
            <w:r>
              <w:t>(3)</w:t>
            </w:r>
            <w:r>
              <w:tab/>
            </w:r>
            <w:r>
              <w:t>Az (EU) 2021/696 rendelet alapján létrehozott SST-partnerség továbbra is hatályban marad az EVA keretében. A Bizottság végrehajtási jogi aktusok útján részletes szabályokat fogadhat el valamely tagállamnak az SST-partnerségbe való későbbi bevonására vonatkozóan. Az említett végrehajtási jogi aktusokat a 83. cikk (3) bekezdésében említett vizsgálóbizottsági eljárás keretében kell elfogadni.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SST-keret további kereskedelmi kapacitásokat integrálhat, és amennyiben a teljes lefedettség és a működési teljesítmény biztosításához szükséges, támogathatja az uniós szintű infrastruktúra fejlesztését az Unió egész területén.</w:t>
            </w:r>
            <w:r>
              <w:t xml:space="preserve"> </w:t>
            </w:r>
            <w:r>
              <w:rPr>
                <w:b/>
                <w:i/>
              </w:rPr>
              <w:t>Az SST-szolgáltatásoknak fokozatosan olyan összehangolt központként kell működniük, amelyek átfogó adatkezelést és szolgáltatásnyújtást biztosítanak.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3503</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Az SST-partnerség (5) bekezdésben említett feladatait ki kell terjeszteni az SST végrehajtásának támogatására. A Bizottság felhatalmazást kap arra, hogy a 84. cikknek megfelelően felhatalmazáson alapuló jogi aktusokat fogadjon el abból a célból, hogy kiegészítse ezt a bekezdést az SST-partnerség által elvégzendő feladatok részletes jegyzékével.</w:t>
            </w:r>
          </w:p>
        </w:tc>
        <w:tc>
          <w:tcPr>
            <w:tcW w:w="4876" w:type="dxa"/>
            <w:tcBorders>
              <w:top w:val="nil"/>
              <w:left w:val="nil"/>
              <w:bottom w:val="nil"/>
              <w:right w:val="nil"/>
            </w:tcBorders>
          </w:tcPr>
          <w:p>
            <w:pPr>
              <w:pStyle w:val="Normal6a"/>
            </w:pPr>
            <w:r>
              <w:t>(4)</w:t>
            </w:r>
            <w:r>
              <w:tab/>
            </w:r>
            <w:r>
              <w:t xml:space="preserve">Az SST-partnerség (5) bekezdésben említett </w:t>
            </w:r>
            <w:r>
              <w:rPr>
                <w:b/>
                <w:i/>
              </w:rPr>
              <w:t>feladatait és az Ügynökség (EUSPA)</w:t>
            </w:r>
            <w:r>
              <w:t xml:space="preserve"> feladatait ki kell terjeszteni az SST végrehajtásának támogatására. A Bizottság felhatalmazást kap arra, hogy a 84. cikknek megfelelően felhatalmazáson alapuló jogi aktusokat fogadjon el abból a célból, hogy kiegészítse ezt a bekezdést az SST-partnerség által elvégzendő feladatok részletes jegyzékével.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3504</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Az SST-partnerség (5) bekezdésben említett feladatait ki kell terjeszteni az SST végrehajtásának támogatására. A Bizottság felhatalmazást kap arra, hogy a 84. cikknek megfelelően felhatalmazáson alapuló jogi aktusokat fogadjon el abból a célból, hogy kiegészítse ezt a bekezdést az SST-partnerség által elvégzendő feladatok részletes jegyzékével.</w:t>
            </w:r>
          </w:p>
        </w:tc>
        <w:tc>
          <w:tcPr>
            <w:tcW w:w="4876" w:type="dxa"/>
            <w:tcBorders>
              <w:top w:val="nil"/>
              <w:left w:val="nil"/>
              <w:bottom w:val="nil"/>
              <w:right w:val="nil"/>
            </w:tcBorders>
          </w:tcPr>
          <w:p>
            <w:pPr>
              <w:pStyle w:val="Normal6a"/>
            </w:pPr>
            <w:r>
              <w:t>(4)</w:t>
            </w:r>
            <w:r>
              <w:tab/>
            </w:r>
            <w:r>
              <w:t xml:space="preserve">Az SST-partnerség </w:t>
            </w:r>
            <w:r>
              <w:rPr>
                <w:b/>
                <w:i/>
              </w:rPr>
              <w:t>és az Ügynökség</w:t>
            </w:r>
            <w:r>
              <w:t xml:space="preserve"> (5) bekezdésben említett feladatait ki kell terjeszteni az SST végrehajtásának támogatására. A Bizottság felhatalmazást kap arra, hogy a 84. cikknek megfelelően felhatalmazáson alapuló jogi aktusokat fogadjon el abból a célból, hogy kiegészítse ezt a bekezdést az SST-partnerség által elvégzendő feladatok részletes jegyzékével.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3505</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Az SST-partnerség (5) bekezdésben említett feladatait ki kell terjeszteni az SST végrehajtásának támogatására. A Bizottság felhatalmazást kap arra, hogy a 84. cikknek megfelelően felhatalmazáson alapuló jogi aktusokat fogadjon el abból a célból, hogy kiegészítse ezt a bekezdést az SST-partnerség által elvégzendő feladatok részletes jegyzékével.</w:t>
            </w:r>
          </w:p>
        </w:tc>
        <w:tc>
          <w:tcPr>
            <w:tcW w:w="4876" w:type="dxa"/>
            <w:tcBorders>
              <w:top w:val="nil"/>
              <w:left w:val="nil"/>
              <w:bottom w:val="nil"/>
              <w:right w:val="nil"/>
            </w:tcBorders>
          </w:tcPr>
          <w:p>
            <w:pPr>
              <w:pStyle w:val="Normal6a"/>
            </w:pPr>
            <w:r>
              <w:t>(4)</w:t>
            </w:r>
            <w:r>
              <w:tab/>
            </w:r>
            <w:r>
              <w:t xml:space="preserve">Az SST-partnerség </w:t>
            </w:r>
            <w:r>
              <w:rPr>
                <w:b/>
                <w:i/>
              </w:rPr>
              <w:t>és az Ügynökség</w:t>
            </w:r>
            <w:r>
              <w:t xml:space="preserve"> (5) bekezdésben említett feladatait ki kell terjeszteni az SST végrehajtásának támogatására. A Bizottság felhatalmazást kap arra, hogy a 84. cikknek megfelelően felhatalmazáson alapuló jogi aktusokat fogadjon el abból a célból, hogy kiegészítse ezt a bekezdést az SST-partnerség által elvégzendő feladatok részletes jegyzékével.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3506</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5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 keletkező űrszemét mennyiségének mérséklése érdekében az űrszemét csökkentésével, az űrszemét felszámolásával, a befecskendezés utáni felbocsátás nyomon követésével, a konstellációkra vonatkozó konkrét szolgáltatásokkal kapcsolatos tevékenységek kidolgozása, az SST-szolgáltatások piacának létrehozása, a rendszer előkészítése a ciszlunáris műveletekhez, az űrbeli műveletek és szolgáltatások, valamint a sötét és csendes égbolt támogatása.</w:t>
            </w:r>
          </w:p>
        </w:tc>
        <w:tc>
          <w:tcPr>
            <w:tcW w:w="4876" w:type="dxa"/>
            <w:tcBorders>
              <w:top w:val="nil"/>
              <w:left w:val="nil"/>
              <w:bottom w:val="nil"/>
              <w:right w:val="nil"/>
            </w:tcBorders>
          </w:tcPr>
          <w:p>
            <w:pPr>
              <w:pStyle w:val="Normal6a"/>
            </w:pPr>
            <w:r>
              <w:t>d)</w:t>
            </w:r>
            <w:r>
              <w:tab/>
            </w:r>
            <w:r>
              <w:t xml:space="preserve">a keletkező űrszemét mennyiségének mérséklése érdekében az űrszemét csökkentésével, az űrszemét felszámolásával, a befecskendezés utáni felbocsátás nyomon követésével, a konstellációkra vonatkozó konkrét szolgáltatásokkal kapcsolatos tevékenységek kidolgozása, az SST-szolgáltatások piacának létrehozása, a rendszer előkészítése a ciszlunáris műveletekhez </w:t>
            </w:r>
            <w:r>
              <w:rPr>
                <w:b/>
                <w:i/>
              </w:rPr>
              <w:t>az ESA-val együttműködésben</w:t>
            </w:r>
            <w:r>
              <w:t>, az űrbeli műveletek és szolgáltatások, valamint a sötét és csendes égbolt támogatása.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3507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5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 keletkező űrszemét mennyiségének mérséklése érdekében az űrszemét csökkentésével, az űrszemét felszámolásával, a befecskendezés utáni felbocsátás nyomon követésével, a konstellációkra vonatkozó konkrét szolgáltatásokkal kapcsolatos tevékenységek kidolgozása, az SST-szolgáltatások piacának létrehozása, a rendszer előkészítése a ciszlunáris műveletekhez, az űrbeli műveletek és szolgáltatások, valamint a sötét és csendes égbolt támogatása.</w:t>
            </w:r>
          </w:p>
        </w:tc>
        <w:tc>
          <w:tcPr>
            <w:tcW w:w="4876" w:type="dxa"/>
            <w:tcBorders>
              <w:top w:val="nil"/>
              <w:left w:val="nil"/>
              <w:bottom w:val="nil"/>
              <w:right w:val="nil"/>
            </w:tcBorders>
          </w:tcPr>
          <w:p>
            <w:pPr>
              <w:pStyle w:val="Normal6a"/>
            </w:pPr>
            <w:r>
              <w:rPr>
                <w:i/>
              </w:rPr>
              <w:t>(A magyar változatot nem érinti.)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3508</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Az SST-szolgáltatások a kormányzati SST-felhasználóknak nyújtott szolgáltatásokat is magukban foglalhatnak az (1) bekezdés a) pontjában említett katalógus alapján.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3509</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Az SST-szolgáltatások a kormányzati SST-felhasználóknak nyújtott szolgáltatásokat is magukban foglalhatnak az (1) bekezdés a) pontjában említett katalógus alapján.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3510</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Az SST-szolgáltatások a kormányzati SST-felhasználóknak nyújtott szolgáltatásokat is magukban foglalhatnak az (1) bekezdés a) pontjában említett katalógus alapján.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Túl korai, első szakasz:</w:t>
      </w:r>
      <w:r>
        <w:t xml:space="preserve"> </w:t>
      </w:r>
      <w:r>
        <w:t>meg kell szilárdítani az SST fejlődését az SST teljes körű kialakítása érdekében &gt; az SST-partnerség központtá váljon (a GOVSATCOM-központ modelljét követve)</w:t>
      </w:r>
    </w:p>
    <w:p>
      <w:r>
        <w:rPr>
          <w:rStyle w:val="HideTWBExt"/>
        </w:rPr>
        <w:t>&lt;/Amend&gt;</w:t>
      </w:r>
    </w:p>
    <w:p>
      <w:pPr>
        <w:pStyle w:val="AmNumberTabs"/>
      </w:pPr>
      <w:r>
        <w:rPr>
          <w:rStyle w:val="HideTWBExt"/>
        </w:rPr>
        <w:t>&lt;Amend&gt;</w:t>
      </w:r>
      <w:r>
        <w:t>Módosítás</w:t>
      </w:r>
      <w:r>
        <w:tab/>
      </w:r>
      <w:r>
        <w:tab/>
      </w:r>
      <w:r>
        <w:rPr>
          <w:rStyle w:val="HideTWBExt"/>
        </w:rPr>
        <w:t>&lt;NumAm&gt;</w:t>
      </w:r>
      <w:r>
        <w:t>3511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Az SST-alkomponensben Norvégia kivételével nem vehetnek részt harmadik országok.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3512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Az SST-alkomponensben Norvégia kivételével nem vehetnek részt harmadik országok.</w:t>
            </w:r>
          </w:p>
        </w:tc>
        <w:tc>
          <w:tcPr>
            <w:tcW w:w="4876" w:type="dxa"/>
            <w:tcBorders>
              <w:top w:val="nil"/>
              <w:left w:val="nil"/>
              <w:bottom w:val="nil"/>
              <w:right w:val="nil"/>
            </w:tcBorders>
          </w:tcPr>
          <w:p>
            <w:pPr>
              <w:pStyle w:val="Normal6a"/>
            </w:pPr>
            <w:r>
              <w:t>(11)</w:t>
            </w:r>
            <w:r>
              <w:tab/>
            </w:r>
            <w:r>
              <w:t xml:space="preserve">Az SST-alkomponensben </w:t>
            </w:r>
            <w:r>
              <w:rPr>
                <w:b/>
                <w:i/>
              </w:rPr>
              <w:t>– az EUMSZ 218. cikke és e rendelet 11. cikkének (4) bekezdése szerinti egyedi megállapodás megkötésének függvényében</w:t>
            </w:r>
            <w:r>
              <w:t xml:space="preserve"> Norvégia kivételével </w:t>
            </w:r>
            <w:r>
              <w:rPr>
                <w:b/>
                <w:i/>
              </w:rPr>
              <w:t>–</w:t>
            </w:r>
            <w:r>
              <w:t xml:space="preserve"> nem vehetnek részt harmadik országok.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 képességek stratégiai jellege miatt a harmadik országok SST-tevékenységekben való részvételéhez célzott jogi keretre és megfelelő biztosítékokra van szükség.</w:t>
      </w:r>
    </w:p>
    <w:p>
      <w:r>
        <w:rPr>
          <w:rStyle w:val="HideTWBExt"/>
        </w:rPr>
        <w:t>&lt;/Amend&gt;</w:t>
      </w:r>
    </w:p>
    <w:p>
      <w:pPr>
        <w:pStyle w:val="AmNumberTabs"/>
      </w:pPr>
      <w:r>
        <w:rPr>
          <w:rStyle w:val="HideTWBExt"/>
        </w:rPr>
        <w:t>&lt;Amend&gt;</w:t>
      </w:r>
      <w:r>
        <w:t>Módosítás</w:t>
      </w:r>
      <w:r>
        <w:tab/>
      </w:r>
      <w:r>
        <w:tab/>
      </w:r>
      <w:r>
        <w:rPr>
          <w:rStyle w:val="HideTWBExt"/>
        </w:rPr>
        <w:t>&lt;NumAm&gt;</w:t>
      </w:r>
      <w:r>
        <w:t>3513</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62 cikk – 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Az SST-alkomponensben </w:t>
            </w:r>
            <w:r>
              <w:rPr>
                <w:b/>
                <w:i/>
              </w:rPr>
              <w:t>Norvégia kivételével</w:t>
            </w:r>
            <w:r>
              <w:t xml:space="preserve"> nem vehetnek részt harmadik országok.</w:t>
            </w:r>
          </w:p>
        </w:tc>
        <w:tc>
          <w:tcPr>
            <w:tcW w:w="4876" w:type="dxa"/>
            <w:tcBorders>
              <w:top w:val="nil"/>
              <w:left w:val="nil"/>
              <w:bottom w:val="nil"/>
              <w:right w:val="nil"/>
            </w:tcBorders>
          </w:tcPr>
          <w:p>
            <w:pPr>
              <w:pStyle w:val="Normal6a"/>
            </w:pPr>
            <w:r>
              <w:t>(11)</w:t>
            </w:r>
            <w:r>
              <w:tab/>
            </w:r>
            <w:r>
              <w:t>Az SST-alkomponensben nem vehetnek részt harmadik országok.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3514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SSA </w:t>
            </w:r>
            <w:r>
              <w:rPr>
                <w:b/>
                <w:i/>
              </w:rPr>
              <w:t>NEO-alkomponensének</w:t>
            </w:r>
            <w:r>
              <w:t xml:space="preserve"> célja a naprendszerben található, a Földhöz közeledő természetes objektumok által jelentett kockázat nyomon követése.</w:t>
            </w:r>
          </w:p>
        </w:tc>
        <w:tc>
          <w:tcPr>
            <w:tcW w:w="4876" w:type="dxa"/>
            <w:tcBorders>
              <w:top w:val="nil"/>
              <w:left w:val="nil"/>
              <w:bottom w:val="nil"/>
              <w:right w:val="nil"/>
            </w:tcBorders>
          </w:tcPr>
          <w:p>
            <w:pPr>
              <w:pStyle w:val="Normal6a"/>
            </w:pPr>
            <w:r>
              <w:t>(1)</w:t>
            </w:r>
            <w:r>
              <w:tab/>
            </w:r>
            <w:r>
              <w:t xml:space="preserve">Az SSA </w:t>
            </w:r>
            <w:r>
              <w:rPr>
                <w:b/>
                <w:i/>
              </w:rPr>
              <w:t>földközeli objektumok (NEO) alkomponensének</w:t>
            </w:r>
            <w:r>
              <w:t xml:space="preserve"> célja a naprendszerben található, a Földhöz közeledő természetes objektumok által jelentett kockázat nyomon követése.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3515</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63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NEO keretében támogatható tevékenységek különösen az (1) bekezdésben meghatározott célkitűzés elérését célzó releváns tevékenységekre terjednek ki, nevezetesen a földközeli objektumok fizikai tulajdonságai uniós katalógusának karbantartásához és az adatbevitelhez kapcsolódó támogató tevékenységekre.</w:t>
            </w:r>
          </w:p>
        </w:tc>
        <w:tc>
          <w:tcPr>
            <w:tcW w:w="4876" w:type="dxa"/>
            <w:tcBorders>
              <w:top w:val="nil"/>
              <w:left w:val="nil"/>
              <w:bottom w:val="nil"/>
              <w:right w:val="nil"/>
            </w:tcBorders>
          </w:tcPr>
          <w:p>
            <w:pPr>
              <w:pStyle w:val="Normal6a"/>
            </w:pPr>
            <w:r>
              <w:t>(2)</w:t>
            </w:r>
            <w:r>
              <w:tab/>
            </w:r>
            <w:r>
              <w:t xml:space="preserve">A NEO keretében támogatható tevékenységek különösen az (1) bekezdésben meghatározott célkitűzés elérését célzó releváns tevékenységekre terjednek ki, nevezetesen a földközeli objektumok fizikai </w:t>
            </w:r>
            <w:r>
              <w:rPr>
                <w:b/>
                <w:i/>
              </w:rPr>
              <w:t>és dinamikai</w:t>
            </w:r>
            <w:r>
              <w:t xml:space="preserve"> tulajdonságai uniós katalógusának karbantartásához és az adatbevitelhez kapcsolódó támogató tevékenységekre.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földközeli objektumok nyomon követése a dinamikai jellemzőktől és a hosszú távú útvonalelemzéstől is függ.</w:t>
      </w:r>
    </w:p>
    <w:p>
      <w:r>
        <w:rPr>
          <w:rStyle w:val="HideTWBExt"/>
        </w:rPr>
        <w:t>&lt;/Amend&gt;</w:t>
      </w:r>
    </w:p>
    <w:p>
      <w:pPr>
        <w:pStyle w:val="AmNumberTabs"/>
      </w:pPr>
      <w:r>
        <w:rPr>
          <w:rStyle w:val="HideTWBExt"/>
        </w:rPr>
        <w:t>&lt;Amend&gt;</w:t>
      </w:r>
      <w:r>
        <w:t>Módosítás</w:t>
      </w:r>
      <w:r>
        <w:tab/>
      </w:r>
      <w:r>
        <w:tab/>
      </w:r>
      <w:r>
        <w:rPr>
          <w:rStyle w:val="HideTWBExt"/>
        </w:rPr>
        <w:t>&lt;NumAm&gt;</w:t>
      </w:r>
      <w:r>
        <w:t>3516</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Az SWE célja az űridőjárási eseményekhez, például a napszélhez és a napkitörésekhez kapcsolódó természetes változások nyomon követése és értékelése.</w:t>
            </w:r>
          </w:p>
        </w:tc>
        <w:tc>
          <w:tcPr>
            <w:tcW w:w="4876" w:type="dxa"/>
            <w:tcBorders>
              <w:top w:val="nil"/>
              <w:left w:val="nil"/>
              <w:bottom w:val="nil"/>
              <w:right w:val="nil"/>
            </w:tcBorders>
          </w:tcPr>
          <w:p>
            <w:pPr>
              <w:pStyle w:val="Normal6a"/>
            </w:pPr>
            <w:r>
              <w:t>(1)</w:t>
            </w:r>
            <w:r>
              <w:tab/>
            </w:r>
            <w:r>
              <w:t xml:space="preserve">Az SWE célja az űridőjárási eseményekhez, például a napszélhez és a napkitörésekhez kapcsolódó természetes változások nyomon követése és értékelése. </w:t>
            </w:r>
            <w:r>
              <w:rPr>
                <w:b/>
                <w:i/>
              </w:rPr>
              <w:t>Az (EU) 2026/0084 rendelettel [az EUSPA alapító rendelete] összhangban az Ügynökség biztosítja [az EVA-rendelet 58. cikke (1) bekezdésének d) pontjában] említett „világűr-megfigyelés (SSA)” uniós űrkomponens „űridőjárási események (SWE)” alkomponensének szolgáltatásait a végfelhasználók számára, valamint az e szolgáltatások fejlesztésével kapcsolatos tevékenységeket;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3517</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Az SWE célja az űridőjárási eseményekhez, például a napszélhez és a napkitörésekhez kapcsolódó természetes változások nyomon követése és értékelése.</w:t>
            </w:r>
          </w:p>
        </w:tc>
        <w:tc>
          <w:tcPr>
            <w:tcW w:w="4876" w:type="dxa"/>
            <w:tcBorders>
              <w:top w:val="nil"/>
              <w:left w:val="nil"/>
              <w:bottom w:val="nil"/>
              <w:right w:val="nil"/>
            </w:tcBorders>
          </w:tcPr>
          <w:p>
            <w:pPr>
              <w:pStyle w:val="Normal6a"/>
            </w:pPr>
            <w:r>
              <w:t>(1)</w:t>
            </w:r>
            <w:r>
              <w:tab/>
            </w:r>
            <w:r>
              <w:t xml:space="preserve">Az SWE célja az űridőjárási eseményekhez, például a napszélhez és a napkitörésekhez kapcsolódó természetes változások nyomon követése és értékelése. </w:t>
            </w:r>
            <w:r>
              <w:rPr>
                <w:b/>
                <w:i/>
              </w:rPr>
              <w:t>Az (EU) 2026/0084 rendelettel [az EUSPA alapító rendelete] összhangban az Ügynökség biztosítja [az EVA-rendelet 58. cikke (1) bekezdésének d) pontjában] említett „világűr-megfigyelés (SSA)” uniós űrkomponens „űridőjárási események (SWE)” alkomponensének szolgáltatásait a végfelhasználók számára, valamint az e szolgáltatások fejlesztésével kapcsolatos tevékenységeket;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3518</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Az SWE célja az űridőjárási eseményekhez, például a napszélhez és a napkitörésekhez kapcsolódó természetes változások nyomon követése és értékelése.</w:t>
            </w:r>
          </w:p>
        </w:tc>
        <w:tc>
          <w:tcPr>
            <w:tcW w:w="4876" w:type="dxa"/>
            <w:tcBorders>
              <w:top w:val="nil"/>
              <w:left w:val="nil"/>
              <w:bottom w:val="nil"/>
              <w:right w:val="nil"/>
            </w:tcBorders>
          </w:tcPr>
          <w:p>
            <w:pPr>
              <w:pStyle w:val="Normal6a"/>
            </w:pPr>
            <w:r>
              <w:t>(1)</w:t>
            </w:r>
            <w:r>
              <w:tab/>
            </w:r>
            <w:r>
              <w:t xml:space="preserve">Az SWE célja az űridőjárási eseményekhez, például a napszélhez és a napkitörésekhez kapcsolódó természetes változások nyomon követése és értékelése. </w:t>
            </w:r>
            <w:r>
              <w:rPr>
                <w:b/>
                <w:i/>
              </w:rPr>
              <w:t>Az (EU) 2026/0084 rendelettel [az EUSPA alapító rendelete] összhangban az Ügynökség biztosítja [az EVA-rendelet 58. cikke (1) bekezdésének d) pontjában] említett „világűr-megfigyelés (SSA)” uniós űrkomponens „űridőjárási események (SWE)” alkomponensének szolgáltatásait a végfelhasználók számára, valamint az e szolgáltatások fejlesztésével kapcsolatos tevékenységeket;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3519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w:t>
            </w:r>
            <w:r>
              <w:rPr>
                <w:b/>
                <w:i/>
              </w:rPr>
              <w:t>SWE</w:t>
            </w:r>
            <w:r>
              <w:t xml:space="preserve"> célja az űridőjárási eseményekhez, például a napszélhez és a napkitörésekhez kapcsolódó természetes változások nyomon követése és értékelése.</w:t>
            </w:r>
          </w:p>
        </w:tc>
        <w:tc>
          <w:tcPr>
            <w:tcW w:w="4876" w:type="dxa"/>
            <w:tcBorders>
              <w:top w:val="nil"/>
              <w:left w:val="nil"/>
              <w:bottom w:val="nil"/>
              <w:right w:val="nil"/>
            </w:tcBorders>
          </w:tcPr>
          <w:p>
            <w:pPr>
              <w:pStyle w:val="Normal6a"/>
            </w:pPr>
            <w:r>
              <w:t>(1)</w:t>
            </w:r>
            <w:r>
              <w:tab/>
            </w:r>
            <w:r>
              <w:t xml:space="preserve">Az </w:t>
            </w:r>
            <w:r>
              <w:rPr>
                <w:b/>
                <w:i/>
              </w:rPr>
              <w:t>űridőjárási események (SWE) alkomponens</w:t>
            </w:r>
            <w:r>
              <w:t xml:space="preserve"> célja az űridőjárási eseményekhez, például a napszélhez és a napkitörésekhez kapcsolódó természetes változások nyomon követése és értékelése</w:t>
            </w:r>
            <w:r>
              <w:rPr>
                <w:b/>
                <w:i/>
              </w:rPr>
              <w:t>, az általuk a kritikus infrastruktúrára és az emberi tevékenységre a földön és az űrben esetlegesen jelentett kockázatok értékelése, valamint a kapcsolódó kockázatok csökkentését támogató közszolgáltatás nyújtása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3520</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SWE célja </w:t>
            </w:r>
            <w:r>
              <w:rPr>
                <w:b/>
                <w:i/>
              </w:rPr>
              <w:t>az</w:t>
            </w:r>
            <w:r>
              <w:t xml:space="preserve"> űridőjárási </w:t>
            </w:r>
            <w:r>
              <w:rPr>
                <w:b/>
                <w:i/>
              </w:rPr>
              <w:t>eseményekhez, például a napszélhez és a napkitörésekhez kapcsolódó természetes változások</w:t>
            </w:r>
            <w:r>
              <w:t xml:space="preserve"> nyomon követése </w:t>
            </w:r>
            <w:r>
              <w:rPr>
                <w:b/>
                <w:i/>
              </w:rPr>
              <w:t>és</w:t>
            </w:r>
            <w:r>
              <w:t xml:space="preserve"> értékelése.</w:t>
            </w:r>
          </w:p>
        </w:tc>
        <w:tc>
          <w:tcPr>
            <w:tcW w:w="4876" w:type="dxa"/>
            <w:tcBorders>
              <w:top w:val="nil"/>
              <w:left w:val="nil"/>
              <w:bottom w:val="nil"/>
              <w:right w:val="nil"/>
            </w:tcBorders>
          </w:tcPr>
          <w:p>
            <w:pPr>
              <w:pStyle w:val="Normal6a"/>
            </w:pPr>
            <w:r>
              <w:t>(1)</w:t>
            </w:r>
            <w:r>
              <w:tab/>
            </w:r>
            <w:r>
              <w:t xml:space="preserve">Az SWE célja </w:t>
            </w:r>
            <w:r>
              <w:rPr>
                <w:b/>
                <w:i/>
              </w:rPr>
              <w:t>a napesemények és a kapcsolódó</w:t>
            </w:r>
            <w:r>
              <w:t xml:space="preserve"> űridőjárási </w:t>
            </w:r>
            <w:r>
              <w:rPr>
                <w:b/>
                <w:i/>
              </w:rPr>
              <w:t>események</w:t>
            </w:r>
            <w:r>
              <w:t xml:space="preserve"> nyomon követése</w:t>
            </w:r>
            <w:r>
              <w:rPr>
                <w:b/>
                <w:i/>
              </w:rPr>
              <w:t>,</w:t>
            </w:r>
            <w:r>
              <w:t xml:space="preserve"> értékelése </w:t>
            </w:r>
            <w:r>
              <w:rPr>
                <w:b/>
                <w:i/>
              </w:rPr>
              <w:t>és előrejelzése, az általuk a kritikus infrastruktúrára és az emberi tevékenységre a földön és az űrben esetlegesen jelentett kockázatok értékelése, valamint a kapcsolódó kockázatok csökkentését támogató közszolgáltatás nyújtása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űridőjárási események súlyosan érinthetik a kritikus infrastruktúrát és az űrrendszereket. Az előrejelzés és a kockázatértékelés ezért alapvető operatív funkciók.</w:t>
      </w:r>
    </w:p>
    <w:p>
      <w:r>
        <w:rPr>
          <w:rStyle w:val="HideTWBExt"/>
        </w:rPr>
        <w:t>&lt;/Amend&gt;</w:t>
      </w:r>
    </w:p>
    <w:p>
      <w:pPr>
        <w:pStyle w:val="AmNumberTabs"/>
      </w:pPr>
      <w:r>
        <w:rPr>
          <w:rStyle w:val="HideTWBExt"/>
        </w:rPr>
        <w:t>&lt;Amend&gt;</w:t>
      </w:r>
      <w:r>
        <w:t>Módosítás</w:t>
      </w:r>
      <w:r>
        <w:tab/>
      </w:r>
      <w:r>
        <w:tab/>
      </w:r>
      <w:r>
        <w:rPr>
          <w:rStyle w:val="HideTWBExt"/>
        </w:rPr>
        <w:t>&lt;NumAm&gt;</w:t>
      </w:r>
      <w:r>
        <w:t>3521</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SWE célja </w:t>
            </w:r>
            <w:r>
              <w:rPr>
                <w:b/>
                <w:i/>
              </w:rPr>
              <w:t>az</w:t>
            </w:r>
            <w:r>
              <w:t xml:space="preserve"> űridőjárási </w:t>
            </w:r>
            <w:r>
              <w:rPr>
                <w:b/>
                <w:i/>
              </w:rPr>
              <w:t>eseményekhez, például a napszélhez és a napkitörésekhez kapcsolódó természetes változások</w:t>
            </w:r>
            <w:r>
              <w:t xml:space="preserve"> nyomon követése </w:t>
            </w:r>
            <w:r>
              <w:rPr>
                <w:b/>
                <w:i/>
              </w:rPr>
              <w:t>és</w:t>
            </w:r>
            <w:r>
              <w:t xml:space="preserve"> értékelése.</w:t>
            </w:r>
          </w:p>
        </w:tc>
        <w:tc>
          <w:tcPr>
            <w:tcW w:w="4876" w:type="dxa"/>
            <w:tcBorders>
              <w:top w:val="nil"/>
              <w:left w:val="nil"/>
              <w:bottom w:val="nil"/>
              <w:right w:val="nil"/>
            </w:tcBorders>
          </w:tcPr>
          <w:p>
            <w:pPr>
              <w:pStyle w:val="Normal6a"/>
            </w:pPr>
            <w:r>
              <w:t>(1)</w:t>
            </w:r>
            <w:r>
              <w:tab/>
            </w:r>
            <w:r>
              <w:t xml:space="preserve">Az SWE célja </w:t>
            </w:r>
            <w:r>
              <w:rPr>
                <w:b/>
                <w:i/>
              </w:rPr>
              <w:t>a napesemények és a kapcsolódó</w:t>
            </w:r>
            <w:r>
              <w:t xml:space="preserve"> űridőjárási </w:t>
            </w:r>
            <w:r>
              <w:rPr>
                <w:b/>
                <w:i/>
              </w:rPr>
              <w:t>események</w:t>
            </w:r>
            <w:r>
              <w:t xml:space="preserve"> nyomon követése</w:t>
            </w:r>
            <w:r>
              <w:rPr>
                <w:b/>
                <w:i/>
              </w:rPr>
              <w:t>,</w:t>
            </w:r>
            <w:r>
              <w:t xml:space="preserve"> értékelése </w:t>
            </w:r>
            <w:r>
              <w:rPr>
                <w:b/>
                <w:i/>
              </w:rPr>
              <w:t>és előrejelzése, az általuk a kritikus infrastruktúrára és az emberi tevékenységre a földön és az űrben esetlegesen jelentett kockázatok értékelése, valamint a kapcsolódó kockázatok csökkentését támogató közszolgáltatás nyújtása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3522</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Az SWE keretében támogatható tevékenységek magukban foglalják az űrmeteorológiai szolgáltatások nyújtásához szükséges valamennyi tevékenységet, beleértve az SWE fejlődését támogató kutatás-fejlesztési tevékenységeket, valamint az SWE-szolgáltatások elterjedését szolgáló alkalmazások és felhasználói technológiák tekintetében a downstream K+F-tevékenységeket.</w:t>
            </w:r>
          </w:p>
        </w:tc>
        <w:tc>
          <w:tcPr>
            <w:tcW w:w="4876" w:type="dxa"/>
            <w:tcBorders>
              <w:top w:val="nil"/>
              <w:left w:val="nil"/>
              <w:bottom w:val="nil"/>
              <w:right w:val="nil"/>
            </w:tcBorders>
          </w:tcPr>
          <w:p>
            <w:pPr>
              <w:pStyle w:val="Normal6a"/>
            </w:pPr>
            <w:r>
              <w:t>(2)</w:t>
            </w:r>
            <w:r>
              <w:tab/>
            </w:r>
            <w:r>
              <w:t>Az SWE keretében támogatható tevékenységek magukban foglalják az űrmeteorológiai szolgáltatások nyújtásához szükséges valamennyi tevékenységet</w:t>
            </w:r>
            <w:r>
              <w:rPr>
                <w:b/>
                <w:i/>
              </w:rPr>
              <w:t>, az említett infrastruktúra működtetésének végrehajtását és a közbeszerzési eljárásokat, a harmadik felek adataihoz való hozzáférés biztosítását</w:t>
            </w:r>
            <w:r>
              <w:t>, beleértve az SWE fejlődését támogató kutatás-fejlesztési tevékenységeket, valamint az SWE-szolgáltatások elterjedését szolgáló alkalmazások és felhasználói technológiák tekintetében a downstream K+F-tevékenységeket.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3523</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Az SWE keretében támogatható tevékenységek magukban foglalják az űrmeteorológiai szolgáltatások nyújtásához szükséges valamennyi tevékenységet, beleértve az SWE fejlődését támogató kutatás-fejlesztési tevékenységeket, valamint az SWE-szolgáltatások elterjedését szolgáló alkalmazások és felhasználói technológiák tekintetében a downstream K+F-tevékenységeket.</w:t>
            </w:r>
          </w:p>
        </w:tc>
        <w:tc>
          <w:tcPr>
            <w:tcW w:w="4876" w:type="dxa"/>
            <w:tcBorders>
              <w:top w:val="nil"/>
              <w:left w:val="nil"/>
              <w:bottom w:val="nil"/>
              <w:right w:val="nil"/>
            </w:tcBorders>
          </w:tcPr>
          <w:p>
            <w:pPr>
              <w:pStyle w:val="Normal6a"/>
            </w:pPr>
            <w:r>
              <w:t>(2)</w:t>
            </w:r>
            <w:r>
              <w:tab/>
            </w:r>
            <w:r>
              <w:t>Az SWE keretében támogatható tevékenységek magukban foglalják az űrmeteorológiai szolgáltatások nyújtásához szükséges valamennyi tevékenységet</w:t>
            </w:r>
            <w:r>
              <w:rPr>
                <w:b/>
                <w:i/>
              </w:rPr>
              <w:t>, az említett infrastruktúra műveleteinek végrehajtását és a közbeszerzési eljárásokat, valamint a harmadik felek adataihoz való hozzáférés biztosítását</w:t>
            </w:r>
            <w:r>
              <w:t>, beleértve az SWE fejlődését támogató kutatás-fejlesztési tevékenységeket, valamint az SWE-szolgáltatások elterjedését szolgáló alkalmazások és felhasználói technológiák tekintetében a downstream K+F-tevékenységeket.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3524</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Az SWE keretében támogatható tevékenységek magukban foglalják az űrmeteorológiai szolgáltatások nyújtásához szükséges valamennyi tevékenységet, beleértve az SWE fejlődését támogató kutatás-fejlesztési tevékenységeket, valamint az SWE-szolgáltatások elterjedését szolgáló alkalmazások és felhasználói technológiák tekintetében a downstream K+F-tevékenységeket.</w:t>
            </w:r>
          </w:p>
        </w:tc>
        <w:tc>
          <w:tcPr>
            <w:tcW w:w="4876" w:type="dxa"/>
            <w:tcBorders>
              <w:top w:val="nil"/>
              <w:left w:val="nil"/>
              <w:bottom w:val="nil"/>
              <w:right w:val="nil"/>
            </w:tcBorders>
          </w:tcPr>
          <w:p>
            <w:pPr>
              <w:pStyle w:val="Normal6a"/>
            </w:pPr>
            <w:r>
              <w:t>(2)</w:t>
            </w:r>
            <w:r>
              <w:tab/>
            </w:r>
            <w:r>
              <w:t>Az SWE keretében támogatható tevékenységek magukban foglalják az űrmeteorológiai szolgáltatások nyújtásához szükséges valamennyi tevékenységet</w:t>
            </w:r>
            <w:r>
              <w:rPr>
                <w:b/>
                <w:i/>
              </w:rPr>
              <w:t>, az említett infrastruktúra műveleteinek végrehajtását és a közbeszerzési eljárásokat, valamint a harmadik felek adataihoz való hozzáférés biztosítását</w:t>
            </w:r>
            <w:r>
              <w:t>, beleértve az SWE fejlődését támogató kutatás-fejlesztési tevékenységeket, valamint az SWE-szolgáltatások elterjedését szolgáló alkalmazások és felhasználói technológiák tekintetében a downstream K+F-tevékenységeket.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3525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Az SWE keretében támogatható tevékenységek magukban foglalják az űrmeteorológiai szolgáltatások nyújtásához szükséges valamennyi tevékenységet, beleértve </w:t>
            </w:r>
            <w:r>
              <w:rPr>
                <w:b/>
                <w:i/>
              </w:rPr>
              <w:t>az SWE fejlődését támogató kutatás-fejlesztési tevékenységeket, valamint az SWE-szolgáltatások elterjedését szolgáló alkalmazások és felhasználói technológiák tekintetében a downstream K+F-tevékenységeket.</w:t>
            </w:r>
          </w:p>
        </w:tc>
        <w:tc>
          <w:tcPr>
            <w:tcW w:w="4876" w:type="dxa"/>
            <w:tcBorders>
              <w:top w:val="nil"/>
              <w:left w:val="nil"/>
              <w:bottom w:val="nil"/>
              <w:right w:val="nil"/>
            </w:tcBorders>
          </w:tcPr>
          <w:p>
            <w:pPr>
              <w:pStyle w:val="Normal6a"/>
            </w:pPr>
            <w:r>
              <w:t>(2)</w:t>
            </w:r>
            <w:r>
              <w:tab/>
            </w:r>
            <w:r>
              <w:t>Az SWE keretében támogatható tevékenységek magukban foglalják az űrmeteorológiai szolgáltatások nyújtásához szükséges valamennyi tevékenységet, beleértve</w:t>
            </w:r>
            <w:r>
              <w:rPr>
                <w:b/>
                <w:i/>
              </w:rPr>
              <w:t>a következőket: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az SWE fejlődését támogató kutatás-fejlesztési tevékenységek,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az alkalmazásokhoz és felhasználói technológiákhoz kapcsolódó downstream K+F-tevékenységek,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SWE-közszolgáltatások nyújtása a kritikus infrastruktúrák rezilienciájának támogatására.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3526</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Az SWE keretében támogatható tevékenységek magukban foglalják </w:t>
            </w:r>
            <w:r>
              <w:rPr>
                <w:b/>
                <w:i/>
              </w:rPr>
              <w:t>az</w:t>
            </w:r>
            <w:r>
              <w:t xml:space="preserve"> űrmeteorológiai szolgáltatások nyújtásához szükséges valamennyi tevékenységet, beleértve az </w:t>
            </w:r>
            <w:r>
              <w:rPr>
                <w:b/>
                <w:i/>
              </w:rPr>
              <w:t>SWE</w:t>
            </w:r>
            <w:r>
              <w:t xml:space="preserve"> fejlődését támogató kutatás-fejlesztési tevékenységeket, valamint az SWE-szolgáltatások elterjedését szolgáló alkalmazások és felhasználói technológiák tekintetében a downstream K+F-tevékenységeket.</w:t>
            </w:r>
          </w:p>
        </w:tc>
        <w:tc>
          <w:tcPr>
            <w:tcW w:w="4876" w:type="dxa"/>
            <w:tcBorders>
              <w:top w:val="nil"/>
              <w:left w:val="nil"/>
              <w:bottom w:val="nil"/>
              <w:right w:val="nil"/>
            </w:tcBorders>
          </w:tcPr>
          <w:p>
            <w:pPr>
              <w:pStyle w:val="Normal6a"/>
            </w:pPr>
            <w:r>
              <w:t>(2)</w:t>
            </w:r>
            <w:r>
              <w:tab/>
            </w:r>
            <w:r>
              <w:t xml:space="preserve">Az SWE keretében támogatható tevékenységek magukban foglalják </w:t>
            </w:r>
            <w:r>
              <w:rPr>
                <w:b/>
                <w:i/>
              </w:rPr>
              <w:t>a működőképes</w:t>
            </w:r>
            <w:r>
              <w:t xml:space="preserve"> űrmeteorológiai szolgáltatások nyújtásához szükséges valamennyi tevékenységet, beleértve az </w:t>
            </w:r>
            <w:r>
              <w:rPr>
                <w:b/>
                <w:i/>
              </w:rPr>
              <w:t>űrmeteorológiai rendszer</w:t>
            </w:r>
            <w:r>
              <w:t xml:space="preserve"> fejlődését támogató kutatás-fejlesztési tevékenységeket, valamint az SWE-szolgáltatások elterjedését szolgáló alkalmazások és felhasználói technológiák tekintetében a downstream K+F-tevékenységeket.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űrmeteorológiai tevékenységeknek fokozatosan olyan teljes mértékben működőképes szolgáltatásokká kell fejlődniük, amelyek képesek támogatni az infrastruktúra-üzemeltetőket és a kormányzati felhasználókat.</w:t>
      </w:r>
    </w:p>
    <w:p>
      <w:r>
        <w:rPr>
          <w:rStyle w:val="HideTWBExt"/>
        </w:rPr>
        <w:t>&lt;/Amend&gt;</w:t>
      </w:r>
    </w:p>
    <w:p>
      <w:pPr>
        <w:pStyle w:val="AmNumberTabs"/>
      </w:pPr>
      <w:r>
        <w:rPr>
          <w:rStyle w:val="HideTWBExt"/>
        </w:rPr>
        <w:t>&lt;Amend&gt;</w:t>
      </w:r>
      <w:r>
        <w:t>Módosítás</w:t>
      </w:r>
      <w:r>
        <w:tab/>
      </w:r>
      <w:r>
        <w:tab/>
      </w:r>
      <w:r>
        <w:rPr>
          <w:rStyle w:val="HideTWBExt"/>
        </w:rPr>
        <w:t>&lt;NumAm&gt;</w:t>
      </w:r>
      <w:r>
        <w:t>3527</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3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Az SWE-szolgáltatásoknak megszakítás nélkül bármikor rendelkezésre kell állniuk, és különösen a következőket </w:t>
            </w:r>
            <w:r>
              <w:rPr>
                <w:b/>
                <w:i/>
              </w:rPr>
              <w:t>kell</w:t>
            </w:r>
            <w:r>
              <w:t xml:space="preserve"> magukban </w:t>
            </w:r>
            <w:r>
              <w:rPr>
                <w:b/>
                <w:i/>
              </w:rPr>
              <w:t>foglalniuk</w:t>
            </w:r>
            <w:r>
              <w:t>:</w:t>
            </w:r>
          </w:p>
        </w:tc>
        <w:tc>
          <w:tcPr>
            <w:tcW w:w="4876" w:type="dxa"/>
            <w:tcBorders>
              <w:top w:val="nil"/>
              <w:left w:val="nil"/>
              <w:bottom w:val="nil"/>
              <w:right w:val="nil"/>
            </w:tcBorders>
          </w:tcPr>
          <w:p>
            <w:pPr>
              <w:pStyle w:val="Normal6a"/>
            </w:pPr>
            <w:r>
              <w:t>(3)</w:t>
            </w:r>
            <w:r>
              <w:tab/>
            </w:r>
            <w:r>
              <w:t xml:space="preserve">Az SWE-szolgáltatásoknak megszakítás nélkül bármikor rendelkezésre kell állniuk, és különösen </w:t>
            </w:r>
            <w:r>
              <w:rPr>
                <w:b/>
                <w:i/>
              </w:rPr>
              <w:t>magukban kell foglalniuk az európai kritikus infrastruktúrák és űrtevékenységek biztonsága szempontjából releváns valamennyi területet.</w:t>
            </w:r>
            <w:r>
              <w:t xml:space="preserve"> </w:t>
            </w:r>
            <w:r>
              <w:rPr>
                <w:b/>
                <w:i/>
              </w:rPr>
              <w:t>Az SWE-szolgáltatások</w:t>
            </w:r>
            <w:r>
              <w:t xml:space="preserve"> a következőket </w:t>
            </w:r>
            <w:r>
              <w:rPr>
                <w:b/>
                <w:i/>
              </w:rPr>
              <w:t>foglalják</w:t>
            </w:r>
            <w:r>
              <w:t xml:space="preserve"> magukban: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Egyértelművé teszi az SWE-szolgáltatások hatályát azáltal, hogy különbséget tesz a kritikus infrastruktúrákra, a biztonsági szempontból érzékeny rendszerekre és az uniós űreszközökre vonatkozó nyílt nyilvános információs szolgáltatások és a korlátozott kormányzati szolgáltatások között.</w:t>
      </w:r>
    </w:p>
    <w:p>
      <w:r>
        <w:rPr>
          <w:rStyle w:val="HideTWBExt"/>
        </w:rPr>
        <w:t>&lt;/Amend&gt;</w:t>
      </w:r>
    </w:p>
    <w:p>
      <w:pPr>
        <w:pStyle w:val="AmNumberTabs"/>
      </w:pPr>
      <w:r>
        <w:rPr>
          <w:rStyle w:val="HideTWBExt"/>
        </w:rPr>
        <w:t>&lt;Amend&gt;</w:t>
      </w:r>
      <w:r>
        <w:t>Módosítás</w:t>
      </w:r>
      <w:r>
        <w:tab/>
      </w:r>
      <w:r>
        <w:tab/>
      </w:r>
      <w:r>
        <w:rPr>
          <w:rStyle w:val="HideTWBExt"/>
        </w:rPr>
        <w:t>&lt;NumAm&gt;</w:t>
      </w:r>
      <w:r>
        <w:t>3528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3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Az SWE-szolgáltatásoknak megszakítás nélkül bármikor rendelkezésre kell állniuk, és különösen a következőket kell magukban foglalniuk:</w:t>
            </w:r>
          </w:p>
        </w:tc>
        <w:tc>
          <w:tcPr>
            <w:tcW w:w="4876" w:type="dxa"/>
            <w:tcBorders>
              <w:top w:val="nil"/>
              <w:left w:val="nil"/>
              <w:bottom w:val="nil"/>
              <w:right w:val="nil"/>
            </w:tcBorders>
          </w:tcPr>
          <w:p>
            <w:pPr>
              <w:pStyle w:val="Normal6a"/>
            </w:pPr>
            <w:r>
              <w:t>(3)</w:t>
            </w:r>
            <w:r>
              <w:tab/>
            </w:r>
            <w:r>
              <w:t xml:space="preserve">Az SWE-szolgáltatásoknak megszakítás nélkül bármikor </w:t>
            </w:r>
            <w:r>
              <w:rPr>
                <w:b/>
                <w:i/>
              </w:rPr>
              <w:t>szabadon</w:t>
            </w:r>
            <w:r>
              <w:t xml:space="preserve"> rendelkezésre kell állniuk</w:t>
            </w:r>
            <w:r>
              <w:rPr>
                <w:b/>
                <w:i/>
              </w:rPr>
              <w:t>, az ingyenes, teljes körű és nyíltadat-politikán kell alapulniuk</w:t>
            </w:r>
            <w:r>
              <w:t>, és különösen a következőket kell magukban foglalniuk: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3529</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3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Az </w:t>
            </w:r>
            <w:r>
              <w:rPr>
                <w:b/>
                <w:i/>
              </w:rPr>
              <w:t>SWE-szolgáltatásoknak</w:t>
            </w:r>
            <w:r>
              <w:t xml:space="preserve"> megszakítás nélkül bármikor </w:t>
            </w:r>
            <w:r>
              <w:rPr>
                <w:b/>
                <w:i/>
              </w:rPr>
              <w:t>rendelkezésre kell állniuk</w:t>
            </w:r>
            <w:r>
              <w:t>, és különösen a következőket kell magukban foglalniuk:</w:t>
            </w:r>
          </w:p>
        </w:tc>
        <w:tc>
          <w:tcPr>
            <w:tcW w:w="4876" w:type="dxa"/>
            <w:tcBorders>
              <w:top w:val="nil"/>
              <w:left w:val="nil"/>
              <w:bottom w:val="nil"/>
              <w:right w:val="nil"/>
            </w:tcBorders>
          </w:tcPr>
          <w:p>
            <w:pPr>
              <w:pStyle w:val="Normal6a"/>
            </w:pPr>
            <w:r>
              <w:t>(3)</w:t>
            </w:r>
            <w:r>
              <w:tab/>
            </w:r>
            <w:r>
              <w:t xml:space="preserve">Az </w:t>
            </w:r>
            <w:r>
              <w:rPr>
                <w:b/>
                <w:i/>
              </w:rPr>
              <w:t>SWE-szolgáltatásokat az Ügynökség nyújtja</w:t>
            </w:r>
            <w:r>
              <w:t xml:space="preserve"> megszakítás nélkül bármikor, és </w:t>
            </w:r>
            <w:r>
              <w:rPr>
                <w:b/>
                <w:i/>
              </w:rPr>
              <w:t>azoknak</w:t>
            </w:r>
            <w:r>
              <w:t xml:space="preserve"> különösen a következőket kell magukban foglalniuk: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3530</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3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Az </w:t>
            </w:r>
            <w:r>
              <w:rPr>
                <w:b/>
                <w:i/>
              </w:rPr>
              <w:t>SWE-szolgáltatásoknak</w:t>
            </w:r>
            <w:r>
              <w:t xml:space="preserve"> megszakítás nélkül bármikor </w:t>
            </w:r>
            <w:r>
              <w:rPr>
                <w:b/>
                <w:i/>
              </w:rPr>
              <w:t>rendelkezésre kell állniuk</w:t>
            </w:r>
            <w:r>
              <w:t>, és különösen a következőket kell magukban foglalniuk:</w:t>
            </w:r>
          </w:p>
        </w:tc>
        <w:tc>
          <w:tcPr>
            <w:tcW w:w="4876" w:type="dxa"/>
            <w:tcBorders>
              <w:top w:val="nil"/>
              <w:left w:val="nil"/>
              <w:bottom w:val="nil"/>
              <w:right w:val="nil"/>
            </w:tcBorders>
          </w:tcPr>
          <w:p>
            <w:pPr>
              <w:pStyle w:val="Normal6a"/>
            </w:pPr>
            <w:r>
              <w:t>(3)</w:t>
            </w:r>
            <w:r>
              <w:tab/>
            </w:r>
            <w:r>
              <w:t xml:space="preserve">Az </w:t>
            </w:r>
            <w:r>
              <w:rPr>
                <w:b/>
                <w:i/>
              </w:rPr>
              <w:t>SWE-szolgáltatásokat az Ügynökség nyújtja</w:t>
            </w:r>
            <w:r>
              <w:t xml:space="preserve"> megszakítás nélkül bármikor, és </w:t>
            </w:r>
            <w:r>
              <w:rPr>
                <w:b/>
                <w:i/>
              </w:rPr>
              <w:t>azoknak</w:t>
            </w:r>
            <w:r>
              <w:t xml:space="preserve"> különösen a következőket kell magukban foglalniuk: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3531</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3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 világűr műveleti terület</w:t>
            </w:r>
            <w:r>
              <w:t>;</w:t>
            </w:r>
          </w:p>
        </w:tc>
        <w:tc>
          <w:tcPr>
            <w:tcW w:w="4876" w:type="dxa"/>
            <w:tcBorders>
              <w:top w:val="nil"/>
              <w:left w:val="nil"/>
              <w:bottom w:val="nil"/>
              <w:right w:val="nil"/>
            </w:tcBorders>
          </w:tcPr>
          <w:p>
            <w:pPr>
              <w:pStyle w:val="Normal6a"/>
            </w:pPr>
            <w:r>
              <w:t>a)</w:t>
            </w:r>
            <w:r>
              <w:tab/>
            </w:r>
            <w:r>
              <w:rPr>
                <w:b/>
                <w:i/>
              </w:rPr>
              <w:t>nyilvános űrmeteorológiai szolgáltatás (nyílt SWE-szolgáltatás), amely nyílt és ingyenes adatokat, termékeket, előrejelzéseket, riasztásokat és információkat biztosít az űridőjárási eseményekről és azok lehetséges hatásairól, különösen az űrágazati szereplők, a légi közlekedés, az energia, a közlekedés, a távközlés, a navigáció, a kutatószervezetek és a nyilvánosság számára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módosítások különbséget tesznek a nyíltan hozzáférhető űrmeteorológiai szolgáltatások és a kritikus infrastruktúrákkal, az érzékeny rendszerekkel és az uniós űreszközökkel kapcsolatos korlátozott kormányzati szolgáltatások között.</w:t>
      </w:r>
    </w:p>
    <w:p>
      <w:r>
        <w:rPr>
          <w:rStyle w:val="HideTWBExt"/>
        </w:rPr>
        <w:t>&lt;/Amend&gt;</w:t>
      </w:r>
    </w:p>
    <w:p>
      <w:pPr>
        <w:pStyle w:val="AmNumberTabs"/>
      </w:pPr>
      <w:r>
        <w:rPr>
          <w:rStyle w:val="HideTWBExt"/>
        </w:rPr>
        <w:t>&lt;Amend&gt;</w:t>
      </w:r>
      <w:r>
        <w:t>Módosítás</w:t>
      </w:r>
      <w:r>
        <w:tab/>
      </w:r>
      <w:r>
        <w:tab/>
      </w:r>
      <w:r>
        <w:rPr>
          <w:rStyle w:val="HideTWBExt"/>
        </w:rPr>
        <w:t>&lt;NumAm&gt;</w:t>
      </w:r>
      <w:r>
        <w:t>3532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3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a helymeghatározás, navigáció és időmeghatározás műveleti terület;</w:t>
            </w:r>
          </w:p>
        </w:tc>
        <w:tc>
          <w:tcPr>
            <w:tcW w:w="4876" w:type="dxa"/>
            <w:tcBorders>
              <w:top w:val="nil"/>
              <w:left w:val="nil"/>
              <w:bottom w:val="nil"/>
              <w:right w:val="nil"/>
            </w:tcBorders>
          </w:tcPr>
          <w:p>
            <w:pPr>
              <w:pStyle w:val="Normal6a"/>
            </w:pPr>
            <w:r>
              <w:t>b)</w:t>
            </w:r>
            <w:r>
              <w:tab/>
            </w:r>
            <w:r>
              <w:rPr>
                <w:b/>
                <w:i/>
              </w:rPr>
              <w:t>kormányzati űrmeteorológiai szolgáltatás (kormányzati SWE-szolgáltatás), amely a kormányok által felhatalmazott felhasználókra korlátozódik, és testre szabott, időszerű és szükség esetén biztonságos adatokat, termékeket, előrejelzéseket, riasztásokat és kockázatértékeléseket biztosít az űrmeteorológiai eseményeknek a kritikus infrastruktúrára, a biztonsági szempontból érzékeny rendszerekre, az uniós űrrendszerekre és -szolgáltatásokra, valamint a kormányzati műveletekre gyakorolt hatásával kapcsolatban.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Egyértelművé teszi az SWE-szolgáltatások hatályát azáltal, hogy különbséget tesz a kritikus infrastruktúrákra, a biztonsági szempontból érzékeny rendszerekre és az uniós űreszközökre vonatkozó nyílt nyilvános információs szolgáltatások és a korlátozott kormányzati szolgáltatások között.</w:t>
      </w:r>
    </w:p>
    <w:p>
      <w:r>
        <w:rPr>
          <w:rStyle w:val="HideTWBExt"/>
        </w:rPr>
        <w:t>&lt;/Amend&gt;</w:t>
      </w:r>
    </w:p>
    <w:p>
      <w:pPr>
        <w:pStyle w:val="AmNumberTabs"/>
      </w:pPr>
      <w:r>
        <w:rPr>
          <w:rStyle w:val="HideTWBExt"/>
        </w:rPr>
        <w:t>&lt;Amend&gt;</w:t>
      </w:r>
      <w:r>
        <w:t>Módosítás</w:t>
      </w:r>
      <w:r>
        <w:tab/>
      </w:r>
      <w:r>
        <w:tab/>
      </w:r>
      <w:r>
        <w:rPr>
          <w:rStyle w:val="HideTWBExt"/>
        </w:rPr>
        <w:t>&lt;NumAm&gt;</w:t>
      </w:r>
      <w:r>
        <w:t>3533</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3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 Föld-megfigyelés műveleti terület;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kategóriák egyszerűsítése javítja az olvashatóságot és a működési koherenciát.</w:t>
      </w:r>
    </w:p>
    <w:p>
      <w:r>
        <w:rPr>
          <w:rStyle w:val="HideTWBExt"/>
        </w:rPr>
        <w:t>&lt;/Amend&gt;</w:t>
      </w:r>
    </w:p>
    <w:p>
      <w:pPr>
        <w:pStyle w:val="AmNumberTabs"/>
      </w:pPr>
      <w:r>
        <w:rPr>
          <w:rStyle w:val="HideTWBExt"/>
        </w:rPr>
        <w:t>&lt;Amend&gt;</w:t>
      </w:r>
      <w:r>
        <w:t>Módosítás</w:t>
      </w:r>
      <w:r>
        <w:tab/>
      </w:r>
      <w:r>
        <w:tab/>
      </w:r>
      <w:r>
        <w:rPr>
          <w:rStyle w:val="HideTWBExt"/>
        </w:rPr>
        <w:t>&lt;NumAm&gt;</w:t>
      </w:r>
      <w:r>
        <w:t>3534</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3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 telekommunikáció/SATCOM műveleti terület.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kategóriák egyszerűsítése javítja az olvashatóságot és a működési koherenciát.</w:t>
      </w:r>
    </w:p>
    <w:p>
      <w:r>
        <w:rPr>
          <w:rStyle w:val="HideTWBExt"/>
        </w:rPr>
        <w:t>&lt;/Amend&gt;</w:t>
      </w:r>
    </w:p>
    <w:p>
      <w:pPr>
        <w:pStyle w:val="AmNumberTabs"/>
      </w:pPr>
      <w:r>
        <w:rPr>
          <w:rStyle w:val="HideTWBExt"/>
        </w:rPr>
        <w:t>&lt;Amend&gt;</w:t>
      </w:r>
      <w:r>
        <w:t>Módosítás</w:t>
      </w:r>
      <w:r>
        <w:tab/>
      </w:r>
      <w:r>
        <w:tab/>
      </w:r>
      <w:r>
        <w:rPr>
          <w:rStyle w:val="HideTWBExt"/>
        </w:rPr>
        <w:t>&lt;NumAm&gt;</w:t>
      </w:r>
      <w:r>
        <w:t>3535</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64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Bizottság végrehajtási jogi aktusok útján részletes rendelkezéseket fogadhat el az SWE-szolgáltatásokra </w:t>
            </w:r>
            <w:r>
              <w:rPr>
                <w:b/>
                <w:i/>
              </w:rPr>
              <w:t>vonatkozóan, beleértve az e szolgáltatásokhoz kapcsolódó követelményeket</w:t>
            </w:r>
            <w:r>
              <w:t xml:space="preserve"> és műszaki </w:t>
            </w:r>
            <w:r>
              <w:rPr>
                <w:b/>
                <w:i/>
              </w:rPr>
              <w:t>leírásokat</w:t>
            </w:r>
            <w:r>
              <w:t>. Az említett végrehajtási jogi aktusokat a 83. cikk (3) bekezdésében említett vizsgálóbizottsági eljárás keretében kell elfogadni.</w:t>
            </w:r>
          </w:p>
        </w:tc>
        <w:tc>
          <w:tcPr>
            <w:tcW w:w="4876" w:type="dxa"/>
            <w:tcBorders>
              <w:top w:val="nil"/>
              <w:left w:val="nil"/>
              <w:bottom w:val="nil"/>
              <w:right w:val="nil"/>
            </w:tcBorders>
          </w:tcPr>
          <w:p>
            <w:pPr>
              <w:pStyle w:val="Normal6a"/>
            </w:pPr>
            <w:r>
              <w:t>(4)</w:t>
            </w:r>
            <w:r>
              <w:tab/>
            </w:r>
            <w:r>
              <w:t>A Bizottság végrehajtási jogi aktusok útján részletes rendelkezéseket fogadhat el az SWE-szolgáltatásokra</w:t>
            </w:r>
            <w:r>
              <w:rPr>
                <w:b/>
                <w:i/>
              </w:rPr>
              <w:t>, a szolgáltatási szintekre, a hozzáférési politikára, valamint az e szolgáltatásokkal kapcsolatos követelményekre</w:t>
            </w:r>
            <w:r>
              <w:t xml:space="preserve"> és műszaki </w:t>
            </w:r>
            <w:r>
              <w:rPr>
                <w:b/>
                <w:i/>
              </w:rPr>
              <w:t>előírásokra vonatkozóan</w:t>
            </w:r>
            <w:r>
              <w:t>. Az említett végrehajtási jogi aktusokat a 83. cikk (3) bekezdésében említett vizsgálóbizottsági eljárás keretében kell elfogadni.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operatív szolgáltatásokhoz egyértelműen meghatározott szolgáltatási szintekre, hozzáférési feltételekre és műszaki követelményekre van szükség a kiszámíthatóság és a használhatóság biztosítása érdekében.</w:t>
      </w:r>
    </w:p>
    <w:p>
      <w:r>
        <w:rPr>
          <w:rStyle w:val="HideTWBExt"/>
        </w:rPr>
        <w:t>&lt;/Amend&gt;</w:t>
      </w:r>
    </w:p>
    <w:p>
      <w:pPr>
        <w:pStyle w:val="AmNumberTabs"/>
      </w:pPr>
      <w:r>
        <w:rPr>
          <w:rStyle w:val="HideTWBExt"/>
        </w:rPr>
        <w:t>&lt;Amend&gt;</w:t>
      </w:r>
      <w:r>
        <w:t>Módosítás</w:t>
      </w:r>
      <w:r>
        <w:tab/>
      </w:r>
      <w:r>
        <w:tab/>
      </w:r>
      <w:r>
        <w:rPr>
          <w:rStyle w:val="HideTWBExt"/>
        </w:rPr>
        <w:t>&lt;NumAm&gt;</w:t>
      </w:r>
      <w:r>
        <w:t>3536</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világűrhöz való hozzáférés lehetővé teszi űreszközök űrbe bocsátását, űrben történő szállítását és űrből való visszatérését.</w:t>
            </w:r>
          </w:p>
        </w:tc>
        <w:tc>
          <w:tcPr>
            <w:tcW w:w="4876" w:type="dxa"/>
            <w:tcBorders>
              <w:top w:val="nil"/>
              <w:left w:val="nil"/>
              <w:bottom w:val="nil"/>
              <w:right w:val="nil"/>
            </w:tcBorders>
          </w:tcPr>
          <w:p>
            <w:pPr>
              <w:pStyle w:val="Normal6a"/>
            </w:pPr>
            <w:r>
              <w:rPr>
                <w:b/>
                <w:i/>
              </w:rPr>
              <w:t>1.</w:t>
            </w:r>
            <w:r>
              <w:tab/>
            </w:r>
            <w:r>
              <w:t xml:space="preserve">A világűrhöz való hozzáférés lehetővé teszi űreszközök űrbe bocsátását, űrben történő szállítását és űrből való visszatérését. </w:t>
            </w:r>
            <w:r>
              <w:rPr>
                <w:b/>
                <w:i/>
              </w:rPr>
              <w:t>Alapvető részét képezi a stratégiai űrellátási láncok európai dimenziójának, amelyek hozzájárulnak az Unió teljes autonómiájának biztosításához az űrpolitika területén.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3537</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világűrhöz való hozzáférés lehetővé teszi űreszközök űrbe bocsátását, űrben történő szállítását és űrből való visszatérését.</w:t>
            </w:r>
          </w:p>
        </w:tc>
        <w:tc>
          <w:tcPr>
            <w:tcW w:w="4876" w:type="dxa"/>
            <w:tcBorders>
              <w:top w:val="nil"/>
              <w:left w:val="nil"/>
              <w:bottom w:val="nil"/>
              <w:right w:val="nil"/>
            </w:tcBorders>
          </w:tcPr>
          <w:p>
            <w:pPr>
              <w:pStyle w:val="Normal6a"/>
            </w:pPr>
            <w:r>
              <w:rPr>
                <w:b/>
                <w:i/>
              </w:rPr>
              <w:t>1.</w:t>
            </w:r>
            <w:r>
              <w:tab/>
            </w:r>
            <w:r>
              <w:t xml:space="preserve">A világűrhöz való hozzáférés lehetővé teszi űreszközök űrbe bocsátását, űrben történő szállítását és űrből való visszatérését. </w:t>
            </w:r>
            <w:r>
              <w:rPr>
                <w:b/>
                <w:i/>
              </w:rPr>
              <w:t>Alapvető részét képezi a stratégiai űrellátási láncok európai dimenziójának, amelyek hozzájárulnak az Unió teljes autonómiájának biztosításához az űrpolitika területén.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3538</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világűrhöz való hozzáférés lehetővé teszi űreszközök űrbe bocsátását, űrben történő szállítását és űrből való visszatérését.</w:t>
            </w:r>
          </w:p>
        </w:tc>
        <w:tc>
          <w:tcPr>
            <w:tcW w:w="4876" w:type="dxa"/>
            <w:tcBorders>
              <w:top w:val="nil"/>
              <w:left w:val="nil"/>
              <w:bottom w:val="nil"/>
              <w:right w:val="nil"/>
            </w:tcBorders>
          </w:tcPr>
          <w:p>
            <w:pPr>
              <w:pStyle w:val="Normal6a"/>
            </w:pPr>
            <w:r>
              <w:rPr>
                <w:b/>
                <w:i/>
              </w:rPr>
              <w:t>1.</w:t>
            </w:r>
            <w:r>
              <w:tab/>
            </w:r>
            <w:r>
              <w:t xml:space="preserve">A világűrhöz való hozzáférés lehetővé teszi űreszközök űrbe bocsátását, űrben történő szállítását és űrből való visszatérését. </w:t>
            </w:r>
            <w:r>
              <w:rPr>
                <w:b/>
                <w:i/>
              </w:rPr>
              <w:t>Alapvető részét képezi a stratégiai űrellátási láncok európai dimenziójának, amelyek hozzájárulnak az Unió teljes autonómiájának biztosításához az űrpolitika területén.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3539</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Az Unió </w:t>
            </w:r>
            <w:r>
              <w:rPr>
                <w:b/>
                <w:i/>
              </w:rPr>
              <w:t>előmozdítja a világűrhöz való</w:t>
            </w:r>
            <w:r>
              <w:t xml:space="preserve"> autonóm és reziliens hozzáférést </w:t>
            </w:r>
            <w:r>
              <w:rPr>
                <w:b/>
                <w:i/>
              </w:rPr>
              <w:t>azáltal, hogy támogatja a</w:t>
            </w:r>
            <w:r>
              <w:t xml:space="preserve"> megbízható és költséghatékony európai felbocsátási </w:t>
            </w:r>
            <w:r>
              <w:rPr>
                <w:b/>
                <w:i/>
              </w:rPr>
              <w:t>szolgáltatásokat, valamint a</w:t>
            </w:r>
            <w:r>
              <w:t xml:space="preserve"> koherens európai </w:t>
            </w:r>
            <w:r>
              <w:rPr>
                <w:b/>
                <w:i/>
              </w:rPr>
              <w:t>megközelítést</w:t>
            </w:r>
            <w:r>
              <w:t>, figyelembe véve az Unió és tagállamai alapvető biztonsági érdekeit.</w:t>
            </w:r>
          </w:p>
        </w:tc>
        <w:tc>
          <w:tcPr>
            <w:tcW w:w="4876" w:type="dxa"/>
            <w:tcBorders>
              <w:top w:val="nil"/>
              <w:left w:val="nil"/>
              <w:bottom w:val="nil"/>
              <w:right w:val="nil"/>
            </w:tcBorders>
          </w:tcPr>
          <w:p>
            <w:pPr>
              <w:pStyle w:val="Normal6a"/>
            </w:pPr>
            <w:r>
              <w:t>(2)</w:t>
            </w:r>
            <w:r>
              <w:tab/>
            </w:r>
            <w:r>
              <w:t>Az Unió autonóm</w:t>
            </w:r>
            <w:r>
              <w:rPr>
                <w:b/>
                <w:i/>
              </w:rPr>
              <w:t>, fenntartható</w:t>
            </w:r>
            <w:r>
              <w:t xml:space="preserve"> és reziliens hozzáférést </w:t>
            </w:r>
            <w:r>
              <w:rPr>
                <w:b/>
                <w:i/>
              </w:rPr>
              <w:t>biztosít a világűrhöz saját és tagállamai szükségleteinek kielégítésére, intézményi és kereskedelmi szükségleteik teljes körére kiterjedően, a műholdfelbocsátók közöseurópai bizottsága keretében kidolgozott, az űrhöz való európai hozzáférésre vonatkozó stratégia alapján, valamint</w:t>
            </w:r>
            <w:r>
              <w:t xml:space="preserve"> megbízható és költséghatékony európai felbocsátási </w:t>
            </w:r>
            <w:r>
              <w:rPr>
                <w:b/>
                <w:i/>
              </w:rPr>
              <w:t>szolgáltatások és egy</w:t>
            </w:r>
            <w:r>
              <w:t xml:space="preserve"> koherens európai </w:t>
            </w:r>
            <w:r>
              <w:rPr>
                <w:b/>
                <w:i/>
              </w:rPr>
              <w:t>megközelítés támogatásával és használatával</w:t>
            </w:r>
            <w:r>
              <w:t>, figyelembe véve az Unió és tagállamai alapvető biztonsági érdekeit.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világűrhöz való hozzáférés az Unió stratégiai érdeke.</w:t>
      </w:r>
      <w:r>
        <w:t xml:space="preserve"> </w:t>
      </w:r>
      <w:r>
        <w:t>A folyamatos hozzáférés biztosítása – annak puszta „elősegítése” helyett – a jelenlegi geopolitikai és ipari környezet által megkövetelt politikai ambíció szintjét tükrözi. Az Európai Bizottság által eredetileg javasolt irányítóbizottság nem elegendő az űrhöz való hozzáférésre vonatkozó európai stratégia alátámasztásához.</w:t>
      </w:r>
      <w:r>
        <w:t xml:space="preserve"> </w:t>
      </w:r>
      <w:r>
        <w:t>A programozás, a keresletösszevonás és a hosszú távú ipari beruházási döntések összehangolásához közös EU-ESA-tagállami bizottságra van szükség.</w:t>
      </w:r>
    </w:p>
    <w:p>
      <w:r>
        <w:rPr>
          <w:rStyle w:val="HideTWBExt"/>
        </w:rPr>
        <w:t>&lt;/Amend&gt;</w:t>
      </w:r>
    </w:p>
    <w:p>
      <w:pPr>
        <w:pStyle w:val="AmNumberTabs"/>
      </w:pPr>
      <w:r>
        <w:rPr>
          <w:rStyle w:val="HideTWBExt"/>
        </w:rPr>
        <w:t>&lt;Amend&gt;</w:t>
      </w:r>
      <w:r>
        <w:t>Módosítás</w:t>
      </w:r>
      <w:r>
        <w:tab/>
      </w:r>
      <w:r>
        <w:tab/>
      </w:r>
      <w:r>
        <w:rPr>
          <w:rStyle w:val="HideTWBExt"/>
        </w:rPr>
        <w:t>&lt;NumAm&gt;</w:t>
      </w:r>
      <w:r>
        <w:t>3540</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Az Unió előmozdítja a világűrhöz való autonóm és reziliens hozzáférést azáltal, hogy támogatja a megbízható és költséghatékony európai felbocsátási szolgáltatásokat, valamint a koherens európai megközelítést, figyelembe véve az Unió és tagállamai alapvető biztonsági érdekeit.</w:t>
            </w:r>
          </w:p>
        </w:tc>
        <w:tc>
          <w:tcPr>
            <w:tcW w:w="4876" w:type="dxa"/>
            <w:tcBorders>
              <w:top w:val="nil"/>
              <w:left w:val="nil"/>
              <w:bottom w:val="nil"/>
              <w:right w:val="nil"/>
            </w:tcBorders>
          </w:tcPr>
          <w:p>
            <w:pPr>
              <w:pStyle w:val="Normal6a"/>
            </w:pPr>
            <w:r>
              <w:t>(2)</w:t>
            </w:r>
            <w:r>
              <w:tab/>
            </w:r>
            <w:r>
              <w:t xml:space="preserve">Az Unió előmozdítja a világűrhöz való autonóm és reziliens hozzáférést azáltal, hogy támogatja a megbízható és költséghatékony európai felbocsátási szolgáltatásokat, valamint a koherens európai megközelítést, figyelembe véve az Unió és tagállamai alapvető biztonsági érdekeit. </w:t>
            </w:r>
            <w:r>
              <w:rPr>
                <w:b/>
                <w:i/>
              </w:rPr>
              <w:t>Ezzel összefüggésben a Bizottság az Európai Űrügynökséggel közösen és a tagállamokkal konzultálva meghatározza az európai űrközlekedés koherens és együttműködésen alapuló hosszú távú jövőképét.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3541</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Az Unió előmozdítja a világűrhöz való autonóm és reziliens hozzáférést azáltal, hogy támogatja a megbízható és költséghatékony európai felbocsátási szolgáltatásokat, valamint a koherens európai megközelítést, figyelembe véve az Unió és tagállamai alapvető biztonsági érdekeit.</w:t>
            </w:r>
          </w:p>
        </w:tc>
        <w:tc>
          <w:tcPr>
            <w:tcW w:w="4876" w:type="dxa"/>
            <w:tcBorders>
              <w:top w:val="nil"/>
              <w:left w:val="nil"/>
              <w:bottom w:val="nil"/>
              <w:right w:val="nil"/>
            </w:tcBorders>
          </w:tcPr>
          <w:p>
            <w:pPr>
              <w:pStyle w:val="Normal6a"/>
            </w:pPr>
            <w:r>
              <w:t>(2)</w:t>
            </w:r>
            <w:r>
              <w:tab/>
            </w:r>
            <w:r>
              <w:t xml:space="preserve">Az Unió előmozdítja a világűrhöz való autonóm és reziliens hozzáférést azáltal, hogy támogatja a megbízható és költséghatékony európai felbocsátási szolgáltatásokat, valamint a koherens európai megközelítést, figyelembe véve az Unió és tagállamai alapvető biztonsági érdekeit. </w:t>
            </w:r>
            <w:r>
              <w:rPr>
                <w:b/>
                <w:i/>
              </w:rPr>
              <w:t>Ezzel összefüggésben a Bizottság az Európai Űrügynökséggel közösen és a tagállamokkal konzultálva meghatározza az európai űrközlekedés koherens és együttműködésen alapuló hosszú távú jövőképét.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3542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Az Unió előmozdítja a világűrhöz való autonóm és reziliens hozzáférést azáltal, hogy támogatja a megbízható és költséghatékony európai felbocsátási szolgáltatásokat, valamint a koherens európai megközelítést, figyelembe véve az Unió és tagállamai alapvető biztonsági érdekeit.</w:t>
            </w:r>
          </w:p>
        </w:tc>
        <w:tc>
          <w:tcPr>
            <w:tcW w:w="4876" w:type="dxa"/>
            <w:tcBorders>
              <w:top w:val="nil"/>
              <w:left w:val="nil"/>
              <w:bottom w:val="nil"/>
              <w:right w:val="nil"/>
            </w:tcBorders>
          </w:tcPr>
          <w:p>
            <w:pPr>
              <w:pStyle w:val="Normal6a"/>
            </w:pPr>
            <w:r>
              <w:t>(2)</w:t>
            </w:r>
            <w:r>
              <w:tab/>
            </w:r>
            <w:r>
              <w:t xml:space="preserve">Az Unió előmozdítja a világűrhöz való autonóm és reziliens hozzáférést </w:t>
            </w:r>
            <w:r>
              <w:rPr>
                <w:b/>
                <w:i/>
              </w:rPr>
              <w:t>az Unió és a tagállamok számára</w:t>
            </w:r>
            <w:r>
              <w:t> azáltal, hogy támogatja a megbízható és költséghatékony európai felbocsátási szolgáltatásokat, valamint a koherens európai megközelítést, figyelembe véve az Unió és tagállamai alapvető biztonsági érdekeit.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3543</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Az Unió előmozdítja a világűrhöz való autonóm és reziliens hozzáférést azáltal, hogy támogatja a megbízható és költséghatékony európai felbocsátási szolgáltatásokat, valamint </w:t>
            </w:r>
            <w:r>
              <w:rPr>
                <w:b/>
                <w:i/>
              </w:rPr>
              <w:t>a</w:t>
            </w:r>
            <w:r>
              <w:t xml:space="preserve"> koherens európai megközelítést, figyelembe véve az Unió és tagállamai alapvető biztonsági érdekeit.</w:t>
            </w:r>
          </w:p>
        </w:tc>
        <w:tc>
          <w:tcPr>
            <w:tcW w:w="4876" w:type="dxa"/>
            <w:tcBorders>
              <w:top w:val="nil"/>
              <w:left w:val="nil"/>
              <w:bottom w:val="nil"/>
              <w:right w:val="nil"/>
            </w:tcBorders>
          </w:tcPr>
          <w:p>
            <w:pPr>
              <w:pStyle w:val="Normal6a"/>
            </w:pPr>
            <w:r>
              <w:t>(2)</w:t>
            </w:r>
            <w:r>
              <w:tab/>
            </w:r>
            <w:r>
              <w:t xml:space="preserve">Az Unió előmozdítja a világűrhöz való autonóm és reziliens hozzáférést azáltal, hogy támogatja a megbízható és költséghatékony európai felbocsátási szolgáltatásokat, valamint </w:t>
            </w:r>
            <w:r>
              <w:rPr>
                <w:b/>
                <w:i/>
              </w:rPr>
              <w:t>az ESA-val közösen kidolgozott</w:t>
            </w:r>
            <w:r>
              <w:t xml:space="preserve"> koherens európai megközelítést, figyelembe véve az Unió és tagállamai alapvető biztonsági érdekeit.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3544</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(2) bekezdésben említett, az űrhöz való európai hozzáférésre vonatkozó stratégiának magában kell foglalnia a világűrhöz való hozzáférés többéves ütemtervét, valamint az uniós intézményi missziók és hasznos terhek indításának rendszeresen frissített indikatív tervezését, adott esetben figyelembe véve a tagállamok, az uniós ügynökségek és a megbízott szervezetek igényeit.</w:t>
            </w:r>
            <w:r>
              <w:t xml:space="preserve"> </w:t>
            </w:r>
            <w:r>
              <w:rPr>
                <w:b/>
                <w:i/>
              </w:rPr>
              <w:t>Ki kell terjednie különösen az uniós és tagállami felbocsátási igényekre, a rendelkezésre állásra és a reagálóképességre vonatkozó követelményekre, a jövőbeli európai felbocsátási képességek fejlesztésére, valamint a fejlesztendő, korszerűsítendő, fejlesztendő vagy karbantartandó európai felbocsátási rendszereket, hordozórakétákat, technológiákat, ellátási láncokat és infrastruktúrát meghatározó ipari ütemtervre.</w:t>
            </w:r>
            <w:r>
              <w:t xml:space="preserve"> </w:t>
            </w:r>
            <w:r>
              <w:rPr>
                <w:b/>
                <w:i/>
              </w:rPr>
              <w:t>Foglalkoznia kell továbbá a kritikus függőségekkel, az európai űrrepülőterekre vonatkozó követelményekkel, az interoperabilitási igényekkel, a biztonsági és rezilienciakövetelményekkel, a fenntarthatósági célkitűzésekkel és a jövőbeli felbocsátási szolgáltatások fejlesztésével.</w:t>
            </w:r>
            <w:r>
              <w:t xml:space="preserve"> </w:t>
            </w:r>
            <w:r>
              <w:rPr>
                <w:b/>
                <w:i/>
              </w:rPr>
              <w:t>Az ütemtervet legalább kétévente felül kell vizsgálni, és szükség esetén naprakésszé kell tenni annak érdekében, hogy tükrözze a változó uniós igényeket, a piaci fejleményeket, a technológiai fejlődést, az ipari felkészültséget és a biztonsági környezetet.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Európának hosszú távú űrhozzáférési ütemtervre van szüksége, amely kiterjed a felbocsátási igényekre, az ipari prioritásokra, a stratégiai függőségekre, a jövőbeli felbocsátási képességekre és az infrastruktúra fejlesztésére.</w:t>
      </w:r>
    </w:p>
    <w:p>
      <w:r>
        <w:rPr>
          <w:rStyle w:val="HideTWBExt"/>
        </w:rPr>
        <w:t>&lt;/Amend&gt;</w:t>
      </w:r>
    </w:p>
    <w:p>
      <w:pPr>
        <w:pStyle w:val="AmNumberTabs"/>
      </w:pPr>
      <w:r>
        <w:rPr>
          <w:rStyle w:val="HideTWBExt"/>
        </w:rPr>
        <w:t>&lt;Amend&gt;</w:t>
      </w:r>
      <w:r>
        <w:t>Módosítás</w:t>
      </w:r>
      <w:r>
        <w:tab/>
      </w:r>
      <w:r>
        <w:tab/>
      </w:r>
      <w:r>
        <w:rPr>
          <w:rStyle w:val="HideTWBExt"/>
        </w:rPr>
        <w:t>&lt;NumAm&gt;</w:t>
      </w:r>
      <w:r>
        <w:t>3545</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3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Az egyéb uniós programokkal és finanszírozási rendszerekkel való szinergiák keretében a támogatható tevékenységek különösen a következőket foglalják magukban:</w:t>
            </w:r>
          </w:p>
        </w:tc>
        <w:tc>
          <w:tcPr>
            <w:tcW w:w="4876" w:type="dxa"/>
            <w:tcBorders>
              <w:top w:val="nil"/>
              <w:left w:val="nil"/>
              <w:bottom w:val="nil"/>
              <w:right w:val="nil"/>
            </w:tcBorders>
          </w:tcPr>
          <w:p>
            <w:pPr>
              <w:pStyle w:val="Normal6a"/>
            </w:pPr>
            <w:r>
              <w:rPr>
                <w:b/>
                <w:i/>
              </w:rPr>
              <w:t>3.</w:t>
            </w:r>
            <w:r>
              <w:tab/>
            </w:r>
            <w:r>
              <w:t xml:space="preserve">Az egyéb uniós programokkal és finanszírozási rendszerekkel való szinergiák keretében </w:t>
            </w:r>
            <w:r>
              <w:rPr>
                <w:b/>
                <w:i/>
              </w:rPr>
              <w:t>és az ESA tevékenységeinek sérelme nélkül </w:t>
            </w:r>
            <w:r>
              <w:t>a támogatható tevékenységek különösen a következőket foglalják magukban: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3546</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3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Az egyéb uniós programokkal és finanszírozási rendszerekkel való szinergiák keretében a támogatható tevékenységek különösen a következőket foglalják magukban:</w:t>
            </w:r>
          </w:p>
        </w:tc>
        <w:tc>
          <w:tcPr>
            <w:tcW w:w="4876" w:type="dxa"/>
            <w:tcBorders>
              <w:top w:val="nil"/>
              <w:left w:val="nil"/>
              <w:bottom w:val="nil"/>
              <w:right w:val="nil"/>
            </w:tcBorders>
          </w:tcPr>
          <w:p>
            <w:pPr>
              <w:pStyle w:val="Normal6a"/>
            </w:pPr>
            <w:r>
              <w:rPr>
                <w:b/>
                <w:i/>
              </w:rPr>
              <w:t>3.</w:t>
            </w:r>
            <w:r>
              <w:tab/>
            </w:r>
            <w:r>
              <w:t>Az egyéb uniós programokkal és finanszírozási rendszerekkel való szinergiák keretében</w:t>
            </w:r>
            <w:r>
              <w:rPr>
                <w:b/>
                <w:i/>
              </w:rPr>
              <w:t>, az ESA szakértelmére építve</w:t>
            </w:r>
            <w:r>
              <w:t> a támogatható tevékenységek különösen a következőket foglalják magukban: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3547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3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Az egyéb uniós programokkal és finanszírozási rendszerekkel való szinergiák keretében a támogatható tevékenységek különösen a következőket </w:t>
            </w:r>
            <w:r>
              <w:rPr>
                <w:b/>
                <w:i/>
              </w:rPr>
              <w:t>foglalják magukban</w:t>
            </w:r>
            <w:r>
              <w:t>:</w:t>
            </w:r>
          </w:p>
        </w:tc>
        <w:tc>
          <w:tcPr>
            <w:tcW w:w="4876" w:type="dxa"/>
            <w:tcBorders>
              <w:top w:val="nil"/>
              <w:left w:val="nil"/>
              <w:bottom w:val="nil"/>
              <w:right w:val="nil"/>
            </w:tcBorders>
          </w:tcPr>
          <w:p>
            <w:pPr>
              <w:pStyle w:val="Normal6a"/>
            </w:pPr>
            <w:r>
              <w:rPr>
                <w:b/>
                <w:i/>
              </w:rPr>
              <w:t>3.</w:t>
            </w:r>
            <w:r>
              <w:tab/>
            </w:r>
            <w:r>
              <w:t xml:space="preserve">Az egyéb uniós programokkal és finanszírozási rendszerekkel való szinergiák keretében a támogatható tevékenységek különösen a következőket </w:t>
            </w:r>
            <w:r>
              <w:rPr>
                <w:b/>
                <w:i/>
              </w:rPr>
              <w:t>segítik elő</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3548</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3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felbocsátási szolgáltatások beszerzése és összevonása az Unió igényeinek megfelelően, </w:t>
            </w:r>
            <w:r>
              <w:rPr>
                <w:b/>
                <w:i/>
              </w:rPr>
              <w:t>valamint</w:t>
            </w:r>
            <w:r>
              <w:t xml:space="preserve"> felbocsátási szolgáltatások összevonása és közös beszerzése a tagállamok, </w:t>
            </w:r>
            <w:r>
              <w:rPr>
                <w:b/>
                <w:i/>
              </w:rPr>
              <w:t>a</w:t>
            </w:r>
            <w:r>
              <w:t xml:space="preserve"> nemzetközi szervezetek és más </w:t>
            </w:r>
            <w:r>
              <w:rPr>
                <w:b/>
                <w:i/>
              </w:rPr>
              <w:t>állami szervek kérésére és</w:t>
            </w:r>
            <w:r>
              <w:t xml:space="preserve"> igényeinek megfelelően</w:t>
            </w:r>
            <w:r>
              <w:rPr>
                <w:b/>
                <w:i/>
              </w:rPr>
              <w:t>;</w:t>
            </w:r>
          </w:p>
        </w:tc>
        <w:tc>
          <w:tcPr>
            <w:tcW w:w="4876" w:type="dxa"/>
            <w:tcBorders>
              <w:top w:val="nil"/>
              <w:left w:val="nil"/>
              <w:bottom w:val="nil"/>
              <w:right w:val="nil"/>
            </w:tcBorders>
          </w:tcPr>
          <w:p>
            <w:pPr>
              <w:pStyle w:val="Normal6a"/>
            </w:pPr>
            <w:r>
              <w:t>a)</w:t>
            </w:r>
            <w:r>
              <w:tab/>
            </w:r>
            <w:r>
              <w:rPr>
                <w:b/>
                <w:i/>
              </w:rPr>
              <w:t>Európai</w:t>
            </w:r>
            <w:r>
              <w:t xml:space="preserve"> felbocsátási szolgáltatások beszerzése és </w:t>
            </w:r>
            <w:r>
              <w:rPr>
                <w:b/>
                <w:i/>
              </w:rPr>
              <w:t>előzetes</w:t>
            </w:r>
            <w:r>
              <w:t xml:space="preserve"> összevonása az Unió igényeinek megfelelően, </w:t>
            </w:r>
            <w:r>
              <w:rPr>
                <w:b/>
                <w:i/>
              </w:rPr>
              <w:t>európai</w:t>
            </w:r>
            <w:r>
              <w:t xml:space="preserve"> felbocsátási szolgáltatások összevonása és közös beszerzése a tagállamok, </w:t>
            </w:r>
            <w:r>
              <w:rPr>
                <w:b/>
                <w:i/>
              </w:rPr>
              <w:t>az ESA és az e szakasz szerinti egyéb megbízott szervezetek, valamint kérésükre</w:t>
            </w:r>
            <w:r>
              <w:t xml:space="preserve"> nemzetközi szervezetek és más </w:t>
            </w:r>
            <w:r>
              <w:rPr>
                <w:b/>
                <w:i/>
              </w:rPr>
              <w:t>közigazgatási intézmények</w:t>
            </w:r>
            <w:r>
              <w:t xml:space="preserve"> igényeinek megfelelően</w:t>
            </w:r>
            <w:r>
              <w:rPr>
                <w:b/>
                <w:i/>
              </w:rPr>
              <w:t>, beleértve adott esetben az űreszközök fejlesztését, a felbocsátási szolgáltatásokat és az operatív telepítést ötvöző, végpontok közötti integrált beszerzési megközelítéseket is.</w:t>
            </w:r>
            <w:r>
              <w:t xml:space="preserve"> </w:t>
            </w:r>
            <w:r>
              <w:rPr>
                <w:b/>
                <w:i/>
              </w:rPr>
              <w:t>Ezt egy közös beszerzési mechanizmus létrehozásával kell támogatni a támogatható európai felbocsátási rendszerekre vonatkozó célzott közbeszerzési keretrendszeren belül, az Unió intézményi igényeinek kielégítése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felbocsátási igények európai szintű összesítése erősíti a hordozórakéta-ökoszisztémát, javítja a kiszámíthatóságot és csökkenti a széttagoltságot.</w:t>
      </w:r>
    </w:p>
    <w:p>
      <w:r>
        <w:rPr>
          <w:rStyle w:val="HideTWBExt"/>
        </w:rPr>
        <w:t>&lt;/Amend&gt;</w:t>
      </w:r>
    </w:p>
    <w:p>
      <w:pPr>
        <w:pStyle w:val="AmNumberTabs"/>
      </w:pPr>
      <w:r>
        <w:rPr>
          <w:rStyle w:val="HideTWBExt"/>
        </w:rPr>
        <w:t>&lt;Amend&gt;</w:t>
      </w:r>
      <w:r>
        <w:t>Módosítás</w:t>
      </w:r>
      <w:r>
        <w:tab/>
      </w:r>
      <w:r>
        <w:tab/>
      </w:r>
      <w:r>
        <w:rPr>
          <w:rStyle w:val="HideTWBExt"/>
        </w:rPr>
        <w:t>&lt;NumAm&gt;</w:t>
      </w:r>
      <w:r>
        <w:t>3549</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3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felbocsátási szolgáltatások beszerzése és összevonása az Unió igényeinek megfelelően, valamint felbocsátási szolgáltatások összevonása és közös beszerzése a tagállamok, a nemzetközi szervezetek és más állami szervek kérésére és igényeinek megfelelően;</w:t>
            </w:r>
          </w:p>
        </w:tc>
        <w:tc>
          <w:tcPr>
            <w:tcW w:w="4876" w:type="dxa"/>
            <w:tcBorders>
              <w:top w:val="nil"/>
              <w:left w:val="nil"/>
              <w:bottom w:val="nil"/>
              <w:right w:val="nil"/>
            </w:tcBorders>
          </w:tcPr>
          <w:p>
            <w:pPr>
              <w:pStyle w:val="Normal6a"/>
            </w:pPr>
            <w:r>
              <w:t>a)</w:t>
            </w:r>
            <w:r>
              <w:tab/>
            </w:r>
            <w:r>
              <w:t xml:space="preserve">felbocsátási szolgáltatások beszerzése és összevonása az Unió igényeinek megfelelően, valamint felbocsátási szolgáltatások összevonása és közös beszerzése a tagállamok, a nemzetközi szervezetek és más állami szervek kérésére és igényeinek megfelelően; </w:t>
            </w:r>
            <w:r>
              <w:rPr>
                <w:b/>
                <w:i/>
              </w:rPr>
              <w:t>valamint az EK-EUSPA-ESA pénzügyikeret-partnerségi megállapodás és az (EU) 2021/696 rendeletben meghatározott hozzájárulási megállapodások rendelkezéseivel összhangban;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3550</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3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felbocsátási szolgáltatások beszerzése és összevonása az Unió igényeinek megfelelően, valamint felbocsátási szolgáltatások összevonása és közös beszerzése a tagállamok, a nemzetközi szervezetek és más állami szervek kérésére és igényeinek megfelelően;</w:t>
            </w:r>
          </w:p>
        </w:tc>
        <w:tc>
          <w:tcPr>
            <w:tcW w:w="4876" w:type="dxa"/>
            <w:tcBorders>
              <w:top w:val="nil"/>
              <w:left w:val="nil"/>
              <w:bottom w:val="nil"/>
              <w:right w:val="nil"/>
            </w:tcBorders>
          </w:tcPr>
          <w:p>
            <w:pPr>
              <w:pStyle w:val="Normal6a"/>
            </w:pPr>
            <w:r>
              <w:t>a)</w:t>
            </w:r>
            <w:r>
              <w:tab/>
            </w:r>
            <w:r>
              <w:t>felbocsátási szolgáltatások beszerzése és összevonása az Unió igényeinek megfelelően, valamint felbocsátási szolgáltatások összevonása és közös beszerzése a tagállamok, a nemzetközi szervezetek és más állami szervek kérésére és igényeinek megfelelően</w:t>
            </w:r>
            <w:r>
              <w:rPr>
                <w:b/>
                <w:i/>
              </w:rPr>
              <w:t>, az EK-EUSPA-ESA pénzügyikeret-partnerségi megállapodás (FFPA) és az (EU) 2021/696 rendeletben meghatározott hozzájárulási megállapodások rendelkezéseivel összhangban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3551</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3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felbocsátási szolgáltatások beszerzése és összevonása az Unió igényeinek megfelelően, valamint felbocsátási szolgáltatások összevonása és közös beszerzése a tagállamok, a nemzetközi szervezetek és más állami szervek kérésére és igényeinek megfelelően;</w:t>
            </w:r>
          </w:p>
        </w:tc>
        <w:tc>
          <w:tcPr>
            <w:tcW w:w="4876" w:type="dxa"/>
            <w:tcBorders>
              <w:top w:val="nil"/>
              <w:left w:val="nil"/>
              <w:bottom w:val="nil"/>
              <w:right w:val="nil"/>
            </w:tcBorders>
          </w:tcPr>
          <w:p>
            <w:pPr>
              <w:pStyle w:val="Normal6a"/>
            </w:pPr>
            <w:r>
              <w:t>a)</w:t>
            </w:r>
            <w:r>
              <w:tab/>
            </w:r>
            <w:r>
              <w:t>felbocsátási szolgáltatások beszerzése és összevonása az Unió igényeinek megfelelően, valamint felbocsátási szolgáltatások összevonása és közös beszerzése a tagállamok, a nemzetközi szervezetek és más állami szervek kérésére és igényeinek megfelelően</w:t>
            </w:r>
            <w:r>
              <w:rPr>
                <w:b/>
                <w:i/>
              </w:rPr>
              <w:t>, az EK-EUSPA-ESA pénzügyikeret-partnerségi megállapodás (FFPA) és az (EU) 2021/696 rendeletben meghatározott hozzájárulási megállapodások rendelkezéseivel összhangban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3552</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3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felbocsátási szolgáltatások beszerzése és összevonása az Unió igényeinek megfelelően, valamint felbocsátási szolgáltatások összevonása és közös beszerzése a tagállamok, a nemzetközi szervezetek és más állami szervek kérésére és igényeinek megfelelően;</w:t>
            </w:r>
          </w:p>
        </w:tc>
        <w:tc>
          <w:tcPr>
            <w:tcW w:w="4876" w:type="dxa"/>
            <w:tcBorders>
              <w:top w:val="nil"/>
              <w:left w:val="nil"/>
              <w:bottom w:val="nil"/>
              <w:right w:val="nil"/>
            </w:tcBorders>
          </w:tcPr>
          <w:p>
            <w:pPr>
              <w:pStyle w:val="Normal6a"/>
            </w:pPr>
            <w:r>
              <w:t>a)</w:t>
            </w:r>
            <w:r>
              <w:tab/>
            </w:r>
            <w:r>
              <w:rPr>
                <w:b/>
                <w:i/>
              </w:rPr>
              <w:t>európai</w:t>
            </w:r>
            <w:r>
              <w:t xml:space="preserve"> felbocsátási szolgáltatások beszerzése és összevonása az Unió igényeinek megfelelően, valamint felbocsátási szolgáltatások összevonása és közös beszerzése </w:t>
            </w:r>
            <w:r>
              <w:rPr>
                <w:b/>
                <w:i/>
              </w:rPr>
              <w:t>az ESA támogatásával</w:t>
            </w:r>
            <w:r>
              <w:t xml:space="preserve"> a tagállamok, a nemzetközi szervezetek és más állami szervek kérésére és igényeinek megfelelően;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3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felbocsátási szolgáltatások beszerzése és összevonása az Unió igényeinek megfelelően, valamint felbocsátási szolgáltatások összevonása és közös beszerzése a tagállamok, a nemzetközi szervezetek és más állami szervek kérésére és igényeinek megfelelően;</w:t>
            </w:r>
          </w:p>
        </w:tc>
        <w:tc>
          <w:tcPr>
            <w:tcW w:w="4876" w:type="dxa"/>
            <w:tcBorders>
              <w:top w:val="nil"/>
              <w:left w:val="nil"/>
              <w:bottom w:val="nil"/>
              <w:right w:val="nil"/>
            </w:tcBorders>
          </w:tcPr>
          <w:p>
            <w:pPr>
              <w:pStyle w:val="Normal6a"/>
            </w:pPr>
            <w:r>
              <w:t>a)</w:t>
            </w:r>
            <w:r>
              <w:tab/>
            </w:r>
            <w:r>
              <w:rPr>
                <w:b/>
                <w:i/>
              </w:rPr>
              <w:t>európai</w:t>
            </w:r>
            <w:r>
              <w:t xml:space="preserve"> felbocsátási szolgáltatások beszerzése és összevonása az Unió igényeinek megfelelően, valamint felbocsátási szolgáltatások összevonása és közös beszerzése a tagállamok, a nemzetközi szervezetek és más állami szervek kérésére és igényeinek megfelelően;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3554</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3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w:t>
            </w:r>
            <w:r>
              <w:t xml:space="preserve"> kritikus uniós földi infrastruktúra fejlesztése, átalakítása, építése, karbantartása és üzemeltetése, beleértve </w:t>
            </w:r>
            <w:r>
              <w:rPr>
                <w:b/>
                <w:i/>
              </w:rPr>
              <w:t>többek között a világűrhöz való hozzáféréssel kapcsolatos technológiákra és szolgáltatásokra vonatkozó képességek</w:t>
            </w:r>
            <w:r>
              <w:t xml:space="preserve"> teszteléséhez, </w:t>
            </w:r>
            <w:r>
              <w:rPr>
                <w:b/>
                <w:i/>
              </w:rPr>
              <w:t>elindításához és helyreállításához</w:t>
            </w:r>
            <w:r>
              <w:t xml:space="preserve"> szükséges </w:t>
            </w:r>
            <w:r>
              <w:rPr>
                <w:b/>
                <w:i/>
              </w:rPr>
              <w:t>létesítményeket</w:t>
            </w:r>
            <w:r>
              <w:t>.</w:t>
            </w:r>
          </w:p>
        </w:tc>
        <w:tc>
          <w:tcPr>
            <w:tcW w:w="4876" w:type="dxa"/>
            <w:tcBorders>
              <w:top w:val="nil"/>
              <w:left w:val="nil"/>
              <w:bottom w:val="nil"/>
              <w:right w:val="nil"/>
            </w:tcBorders>
          </w:tcPr>
          <w:p>
            <w:pPr>
              <w:pStyle w:val="Normal6a"/>
            </w:pPr>
            <w:r>
              <w:t>c)</w:t>
            </w:r>
            <w:r>
              <w:tab/>
            </w:r>
            <w:r>
              <w:t xml:space="preserve">kritikus uniós földi infrastruktúra fejlesztése, átalakítása, építése, karbantartása és üzemeltetése, beleértve </w:t>
            </w:r>
            <w:r>
              <w:rPr>
                <w:b/>
                <w:i/>
              </w:rPr>
              <w:t>az űrrepülőtereknek az érintett tagállamokkal együttműködésben történő létrehozását és címkézését, amely infrastruktúra az űrrepülőtéri infrastruktúrából, valamint az űrtechnológiákhoz és -szolgáltatásokhoz való hozzáférés</w:t>
            </w:r>
            <w:r>
              <w:t xml:space="preserve"> teszteléséhez, </w:t>
            </w:r>
            <w:r>
              <w:rPr>
                <w:b/>
                <w:i/>
              </w:rPr>
              <w:t>felbocsátásához és visszahozatalához</w:t>
            </w:r>
            <w:r>
              <w:t xml:space="preserve"> szükséges </w:t>
            </w:r>
            <w:r>
              <w:rPr>
                <w:b/>
                <w:i/>
              </w:rPr>
              <w:t>létesítményekből áll, azok interoperabilitásának, rezilienciájának, fenntarthatóságának, korszerűsítésének és összehangolt fejlesztésének biztosítása érdekében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európai űrrepülőterek hálózatának létrehozása elengedhetetlen az Unió felbocsátási infrastruktúrájának megszilárdításához, valamint a felbocsátási szolgáltatók közötti interoperabilitás biztosításához.</w:t>
      </w:r>
    </w:p>
    <w:p>
      <w:r>
        <w:rPr>
          <w:rStyle w:val="HideTWBExt"/>
        </w:rPr>
        <w:t>&lt;/Amend&gt;</w:t>
      </w:r>
    </w:p>
    <w:p>
      <w:pPr>
        <w:pStyle w:val="AmNumberTabs"/>
      </w:pPr>
      <w:r>
        <w:rPr>
          <w:rStyle w:val="HideTWBExt"/>
        </w:rPr>
        <w:t>&lt;Amend&gt;</w:t>
      </w:r>
      <w:r>
        <w:t>Módosítás</w:t>
      </w:r>
      <w:r>
        <w:tab/>
      </w:r>
      <w:r>
        <w:tab/>
      </w:r>
      <w:r>
        <w:rPr>
          <w:rStyle w:val="HideTWBExt"/>
        </w:rPr>
        <w:t>&lt;NumAm&gt;</w:t>
      </w:r>
      <w:r>
        <w:t>3555</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3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w:t>
            </w:r>
            <w:r>
              <w:t xml:space="preserve"> kritikus uniós földi infrastruktúra fejlesztése, átalakítása, </w:t>
            </w:r>
            <w:r>
              <w:rPr>
                <w:b/>
                <w:i/>
              </w:rPr>
              <w:t>építése</w:t>
            </w:r>
            <w:r>
              <w:t xml:space="preserve">, karbantartása és üzemeltetése, beleértve többek között </w:t>
            </w:r>
            <w:r>
              <w:rPr>
                <w:b/>
                <w:i/>
              </w:rPr>
              <w:t>a világűrhöz való hozzáféréssel kapcsolatos technológiákra és szolgáltatásokra vonatkozó</w:t>
            </w:r>
            <w:r>
              <w:t xml:space="preserve"> képességek teszteléséhez, </w:t>
            </w:r>
            <w:r>
              <w:rPr>
                <w:b/>
                <w:i/>
              </w:rPr>
              <w:t>elindításához és helyreállításához</w:t>
            </w:r>
            <w:r>
              <w:t xml:space="preserve"> szükséges létesítményeket.</w:t>
            </w:r>
          </w:p>
        </w:tc>
        <w:tc>
          <w:tcPr>
            <w:tcW w:w="4876" w:type="dxa"/>
            <w:tcBorders>
              <w:top w:val="nil"/>
              <w:left w:val="nil"/>
              <w:bottom w:val="nil"/>
              <w:right w:val="nil"/>
            </w:tcBorders>
          </w:tcPr>
          <w:p>
            <w:pPr>
              <w:pStyle w:val="Normal6a"/>
            </w:pPr>
            <w:r>
              <w:t>c)</w:t>
            </w:r>
            <w:r>
              <w:tab/>
            </w:r>
            <w:r>
              <w:t xml:space="preserve">kritikus uniós földi infrastruktúra fejlesztése, átalakítása, </w:t>
            </w:r>
            <w:r>
              <w:rPr>
                <w:b/>
                <w:i/>
              </w:rPr>
              <w:t>megépítése</w:t>
            </w:r>
            <w:r>
              <w:t xml:space="preserve">, karbantartása és üzemeltetése, beleértve többek között </w:t>
            </w:r>
            <w:r>
              <w:rPr>
                <w:b/>
                <w:i/>
              </w:rPr>
              <w:t>az űrközlekedési technológiák és szolgáltatási</w:t>
            </w:r>
            <w:r>
              <w:t xml:space="preserve"> képességek teszteléséhez, </w:t>
            </w:r>
            <w:r>
              <w:rPr>
                <w:b/>
                <w:i/>
              </w:rPr>
              <w:t>felbocsátásához és visszahozatalához</w:t>
            </w:r>
            <w:r>
              <w:t xml:space="preserve"> szükséges létesítményeket</w:t>
            </w:r>
            <w:r>
              <w:rPr>
                <w:b/>
                <w:i/>
              </w:rPr>
              <w:t>, biztosítva az európai űrágazat stratégiai függetlenségét és diverzifikációját, szoros együttműködésben az ESA-val, beleértve annak nem uniós tagállamait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3556</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Bizottság </w:t>
            </w:r>
            <w:r>
              <w:rPr>
                <w:b/>
                <w:i/>
              </w:rPr>
              <w:t>irányítóbizottságot hoz létre</w:t>
            </w:r>
            <w:r>
              <w:t xml:space="preserve"> az európai </w:t>
            </w:r>
            <w:r>
              <w:rPr>
                <w:b/>
                <w:i/>
              </w:rPr>
              <w:t>állami szervek, köztük a tagállamok</w:t>
            </w:r>
            <w:r>
              <w:t xml:space="preserve">, az (EU) [XXX] rendelettel [az EUSPA jövőbeli alapító rendelete] összhangban létrehozott </w:t>
            </w:r>
            <w:r>
              <w:rPr>
                <w:b/>
                <w:i/>
              </w:rPr>
              <w:t>Ügynökség és más</w:t>
            </w:r>
            <w:r>
              <w:t xml:space="preserve"> érintett nemzetközi </w:t>
            </w:r>
            <w:r>
              <w:rPr>
                <w:b/>
                <w:i/>
              </w:rPr>
              <w:t>szervezetek és állami szervek részvételével</w:t>
            </w:r>
            <w:r>
              <w:t xml:space="preserve"> a világűrhöz való hozzáféréssel kapcsolatos európai tevékenységek koordinálása </w:t>
            </w:r>
            <w:r>
              <w:rPr>
                <w:b/>
                <w:i/>
              </w:rPr>
              <w:t>céljából</w:t>
            </w:r>
            <w:r>
              <w:t>.</w:t>
            </w:r>
          </w:p>
        </w:tc>
        <w:tc>
          <w:tcPr>
            <w:tcW w:w="4876" w:type="dxa"/>
            <w:tcBorders>
              <w:top w:val="nil"/>
              <w:left w:val="nil"/>
              <w:bottom w:val="nil"/>
              <w:right w:val="nil"/>
            </w:tcBorders>
          </w:tcPr>
          <w:p>
            <w:pPr>
              <w:pStyle w:val="Normal6a"/>
            </w:pPr>
            <w:r>
              <w:t>(4)</w:t>
            </w:r>
            <w:r>
              <w:tab/>
            </w:r>
            <w:r>
              <w:t xml:space="preserve">A Bizottság az </w:t>
            </w:r>
            <w:r>
              <w:rPr>
                <w:b/>
                <w:i/>
              </w:rPr>
              <w:t>e rendelet 75a. cikkében említett</w:t>
            </w:r>
            <w:r>
              <w:t xml:space="preserve"> Európai </w:t>
            </w:r>
            <w:r>
              <w:rPr>
                <w:b/>
                <w:i/>
              </w:rPr>
              <w:t>Űrügynökségek Fórumának külön munkacsoportjaként létrehozza a műholdfelbocsátók közös európai bizottságát, amely összefogja a Bizottságot, a tagállamokat</w:t>
            </w:r>
            <w:r>
              <w:t xml:space="preserve">, az (EU) [XXX] rendelettel [az EUSPA jövőbeli alapító rendelete] összhangban létrehozott </w:t>
            </w:r>
            <w:r>
              <w:rPr>
                <w:b/>
                <w:i/>
              </w:rPr>
              <w:t>Ügynökséget, valamint az</w:t>
            </w:r>
            <w:r>
              <w:t xml:space="preserve"> érintett nemzetközi </w:t>
            </w:r>
            <w:r>
              <w:rPr>
                <w:b/>
                <w:i/>
              </w:rPr>
              <w:t>szervezeteket és közjogi szerveket</w:t>
            </w:r>
            <w:r>
              <w:t xml:space="preserve"> a világűrhöz való hozzáféréssel kapcsolatos európai tevékenységek koordinálása </w:t>
            </w:r>
            <w:r>
              <w:rPr>
                <w:b/>
                <w:i/>
              </w:rPr>
              <w:t>érdekében</w:t>
            </w:r>
            <w:r>
              <w:t xml:space="preserve">. </w:t>
            </w:r>
            <w:r>
              <w:rPr>
                <w:b/>
                <w:i/>
              </w:rPr>
              <w:t>A műholdfelbocsátók közös európai bizottsága támogatja a (2) és (2a) bekezdésben említett átfogó stratégia és ütemterv előkészítését, nyomon követését és felülvizsgálatát az információcsere megkönnyítésével, a tagok technikai és operatív hozzájárulásának megszilárdításával, az uniós és a nemzeti kezdeményezések közötti koordináció biztosításával, valamint az ütemterv végrehajtása előtt álló akadályok azonosításával.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műholdfelbocsátók saját európai bizottsága javítja az EU, az ESA és a tagállamok közötti stratégiai koordinációt, és támogatja a felbocsátásra vonatkozó koherens európai stratégia végrehajtását.</w:t>
      </w:r>
    </w:p>
    <w:p>
      <w:r>
        <w:rPr>
          <w:rStyle w:val="HideTWBExt"/>
        </w:rPr>
        <w:t>&lt;/Amend&gt;</w:t>
      </w:r>
    </w:p>
    <w:p>
      <w:pPr>
        <w:pStyle w:val="AmNumberTabs"/>
      </w:pPr>
      <w:r>
        <w:rPr>
          <w:rStyle w:val="HideTWBExt"/>
        </w:rPr>
        <w:t>&lt;Amend&gt;</w:t>
      </w:r>
      <w:r>
        <w:t>Módosítás</w:t>
      </w:r>
      <w:r>
        <w:tab/>
      </w:r>
      <w:r>
        <w:tab/>
      </w:r>
      <w:r>
        <w:rPr>
          <w:rStyle w:val="HideTWBExt"/>
        </w:rPr>
        <w:t>&lt;NumAm&gt;</w:t>
      </w:r>
      <w:r>
        <w:t>3557</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Bizottság irányítóbizottságot hoz létre az európai állami szervek, köztük a tagállamok, az (EU) [XXX] rendelettel [az EUSPA jövőbeli alapító rendelete] összhangban létrehozott Ügynökség és más érintett nemzetközi szervezetek és állami szervek részvételével a világűrhöz való hozzáféréssel kapcsolatos európai tevékenységek koordinálása céljából.</w:t>
            </w:r>
          </w:p>
        </w:tc>
        <w:tc>
          <w:tcPr>
            <w:tcW w:w="4876" w:type="dxa"/>
            <w:tcBorders>
              <w:top w:val="nil"/>
              <w:left w:val="nil"/>
              <w:bottom w:val="nil"/>
              <w:right w:val="nil"/>
            </w:tcBorders>
          </w:tcPr>
          <w:p>
            <w:pPr>
              <w:pStyle w:val="Normal6a"/>
            </w:pPr>
            <w:r>
              <w:t>(4)</w:t>
            </w:r>
            <w:r>
              <w:tab/>
            </w:r>
            <w:r>
              <w:t>A Bizottság irányítóbizottságot hoz létre az európai állami szervek, köztük a tagállamok, az (EU) [XXX] rendelettel [az EUSPA jövőbeli alapító rendelete] összhangban létrehozott Ügynökség és más érintett nemzetközi szervezetek és állami szervek részvételével a világűrhöz való hozzáféréssel kapcsolatos európai tevékenységek koordinálása céljából</w:t>
            </w:r>
            <w:r>
              <w:rPr>
                <w:b/>
                <w:i/>
              </w:rPr>
              <w:t>, hogy lehetővé tegye Európa számára a világűrhöz való autonóm és költséghatékony hozzáférést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3558</w:t>
      </w:r>
      <w:r>
        <w:rPr>
          <w:rStyle w:val="HideTWBExt"/>
        </w:rPr>
        <w:t>&lt;/NumAm&gt;</w:t>
      </w:r>
    </w:p>
    <w:p>
      <w:pPr>
        <w:pStyle w:val="NormalBold"/>
      </w:pPr>
      <w:r>
        <w:rPr>
          <w:rStyle w:val="HideTWBExt"/>
          <w:b w:val="0"/>
        </w:rPr>
        <w:t>&lt;RepeatBlock-By&gt;</w:t>
      </w:r>
      <w:r>
        <w:rPr>
          <w:rStyle w:val="HideTWBExt"/>
          <w:b w:val="0"/>
        </w:rPr>
        <w:t>&lt;Members&gt;</w:t>
      </w:r>
      <w:r>
        <w:t>Sophie Wilmès, Yvan Verougstraete,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Bizottság irányítóbizottságot hoz létre az európai állami szervek, köztük a tagállamok, az (EU) [XXX] rendelettel [az EUSPA jövőbeli alapító rendelete] összhangban létrehozott Ügynökség és más érintett nemzetközi szervezetek és állami szervek részvételével a világűrhöz való hozzáféréssel kapcsolatos európai tevékenységek koordinálása céljából.</w:t>
            </w:r>
          </w:p>
        </w:tc>
        <w:tc>
          <w:tcPr>
            <w:tcW w:w="4876" w:type="dxa"/>
            <w:tcBorders>
              <w:top w:val="nil"/>
              <w:left w:val="nil"/>
              <w:bottom w:val="nil"/>
              <w:right w:val="nil"/>
            </w:tcBorders>
          </w:tcPr>
          <w:p>
            <w:pPr>
              <w:pStyle w:val="Normal6a"/>
            </w:pPr>
            <w:r>
              <w:t>(4)</w:t>
            </w:r>
            <w:r>
              <w:tab/>
            </w:r>
            <w:r>
              <w:t>A Bizottság irányítóbizottságot hoz létre az európai állami szervek, köztük a tagállamok, az (EU) [XXX] rendelettel [az EUSPA jövőbeli alapító rendelete] összhangban létrehozott Ügynökség és más érintett nemzetközi szervezetek</w:t>
            </w:r>
            <w:r>
              <w:rPr>
                <w:b/>
                <w:i/>
              </w:rPr>
              <w:t>, különösen az ESA,</w:t>
            </w:r>
            <w:r>
              <w:t xml:space="preserve"> és állami szervek részvételével a világűrhöz való hozzáféréssel kapcsolatos európai tevékenységek koordinálása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3559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Bizottság </w:t>
            </w:r>
            <w:r>
              <w:rPr>
                <w:b/>
                <w:i/>
              </w:rPr>
              <w:t>irányítóbizottságot</w:t>
            </w:r>
            <w:r>
              <w:t xml:space="preserve"> hoz létre az európai állami szervek, köztük a tagállamok, az (EU) [XXX] rendelettel [az EUSPA jövőbeli alapító rendelete] összhangban létrehozott Ügynökség és más érintett nemzetközi szervezetek és állami szervek részvételével a világűrhöz való hozzáféréssel kapcsolatos európai tevékenységek koordinálása céljából.</w:t>
            </w:r>
          </w:p>
        </w:tc>
        <w:tc>
          <w:tcPr>
            <w:tcW w:w="4876" w:type="dxa"/>
            <w:tcBorders>
              <w:top w:val="nil"/>
              <w:left w:val="nil"/>
              <w:bottom w:val="nil"/>
              <w:right w:val="nil"/>
            </w:tcBorders>
          </w:tcPr>
          <w:p>
            <w:pPr>
              <w:pStyle w:val="Normal6a"/>
            </w:pPr>
            <w:r>
              <w:t>(4)</w:t>
            </w:r>
            <w:r>
              <w:tab/>
            </w:r>
            <w:r>
              <w:t xml:space="preserve">A Bizottság </w:t>
            </w:r>
            <w:r>
              <w:rPr>
                <w:b/>
                <w:i/>
              </w:rPr>
              <w:t>a világűrhöz való hozzáféréssel foglalkozó fórumot</w:t>
            </w:r>
            <w:r>
              <w:t xml:space="preserve"> hoz létre az európai állami szervek, köztük a tagállamok, az (EU) [XXX] rendelettel [az EUSPA jövőbeli alapító rendelete] összhangban létrehozott Ügynökség és más érintett nemzetközi szervezetek és állami szervek részvételével a világűrhöz való hozzáféréssel kapcsolatos európai tevékenységek koordinálása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3560</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Bizottság </w:t>
            </w:r>
            <w:r>
              <w:rPr>
                <w:b/>
                <w:i/>
              </w:rPr>
              <w:t>irányítóbizottságot</w:t>
            </w:r>
            <w:r>
              <w:t xml:space="preserve"> hoz létre az európai állami szervek, köztük a tagállamok, az (EU) [XXX] rendelettel [az EUSPA jövőbeli alapító rendelete] összhangban létrehozott Ügynökség és más érintett nemzetközi szervezetek és állami szervek részvételével a világűrhöz való hozzáféréssel kapcsolatos európai tevékenységek koordinálása céljából.</w:t>
            </w:r>
          </w:p>
        </w:tc>
        <w:tc>
          <w:tcPr>
            <w:tcW w:w="4876" w:type="dxa"/>
            <w:tcBorders>
              <w:top w:val="nil"/>
              <w:left w:val="nil"/>
              <w:bottom w:val="nil"/>
              <w:right w:val="nil"/>
            </w:tcBorders>
          </w:tcPr>
          <w:p>
            <w:pPr>
              <w:pStyle w:val="Normal6a"/>
            </w:pPr>
            <w:r>
              <w:t>(4)</w:t>
            </w:r>
            <w:r>
              <w:tab/>
            </w:r>
            <w:r>
              <w:t xml:space="preserve">A Bizottság </w:t>
            </w:r>
            <w:r>
              <w:rPr>
                <w:b/>
                <w:i/>
              </w:rPr>
              <w:t>a világűrhöz való hozzáféréssel foglalkozó fórumot</w:t>
            </w:r>
            <w:r>
              <w:t xml:space="preserve"> hoz létre az európai állami szervek, köztük a tagállamok, az (EU) [XXX] rendelettel [az EUSPA jövőbeli alapító rendelete] összhangban létrehozott Ügynökség és más érintett nemzetközi szervezetek és állami szervek részvételével a világűrhöz való hozzáféréssel kapcsolatos európai tevékenységek koordinálása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3561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 támogatásnak egyedi hozzáadott értéket képviselő tevékenységekre kell irányulnia, el kell kerülnie a párhuzamos erőfeszítéseket, és fokoznia kell az európai érdekelt felek közötti koordinációt és együttműködést a technológiai szuverenitási célhoz való hozzájárulás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3562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Az Unió biztonsági érdekeinek védelme érdekében a kormányzati infrastruktúra űrtechnológiai eszközeit a 69. cikkben meghatározott jogosultsági és részvételi feltételeknek megfelelő szolgáltatóknak kell felbocsátania, és csak indokolt, rendkívüli körülmények között vagy ilyen tevékenységet előíró nemzetközi megállapodás alapján történhet a felbocsátás egy harmadik ország területéről</w:t>
            </w:r>
            <w:r>
              <w:t>.</w:t>
            </w:r>
          </w:p>
        </w:tc>
        <w:tc>
          <w:tcPr>
            <w:tcW w:w="4876" w:type="dxa"/>
            <w:tcBorders>
              <w:top w:val="nil"/>
              <w:left w:val="nil"/>
              <w:bottom w:val="nil"/>
              <w:right w:val="nil"/>
            </w:tcBorders>
          </w:tcPr>
          <w:p>
            <w:pPr>
              <w:pStyle w:val="Normal6a"/>
            </w:pPr>
            <w:r>
              <w:rPr>
                <w:b/>
                <w:i/>
              </w:rPr>
              <w:t>5.</w:t>
            </w:r>
            <w:r>
              <w:tab/>
            </w:r>
            <w:r>
              <w:rPr>
                <w:b/>
                <w:i/>
              </w:rPr>
              <w:t>A műholdfelbocsátók közös európai bizottsága ajánlásokat tehet a Bizottságnak, és rendszeresen jelentést tesz az Európai Űrügynökségek Fórumának</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EGSZB-nek támogatnia kell az operatív koordinációt és a stratégiai ajánlásokat, miközben továbbra is kapcsolódnia kell az átfogóbb Európai Űrügynökségek Fórumához.</w:t>
      </w:r>
    </w:p>
    <w:p>
      <w:r>
        <w:rPr>
          <w:rStyle w:val="HideTWBExt"/>
        </w:rPr>
        <w:t>&lt;/Amend&gt;</w:t>
      </w:r>
    </w:p>
    <w:p>
      <w:pPr>
        <w:pStyle w:val="AmNumberTabs"/>
      </w:pPr>
      <w:r>
        <w:rPr>
          <w:rStyle w:val="HideTWBExt"/>
        </w:rPr>
        <w:t>&lt;Amend&gt;</w:t>
      </w:r>
      <w:r>
        <w:t>Módosítás</w:t>
      </w:r>
      <w:r>
        <w:tab/>
      </w:r>
      <w:r>
        <w:tab/>
      </w:r>
      <w:r>
        <w:rPr>
          <w:rStyle w:val="HideTWBExt"/>
        </w:rPr>
        <w:t>&lt;NumAm&gt;</w:t>
      </w:r>
      <w:r>
        <w:t>3563</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t xml:space="preserve">Az Unió biztonsági érdekeinek védelme érdekében a kormányzati infrastruktúra </w:t>
            </w:r>
            <w:r>
              <w:rPr>
                <w:b/>
                <w:i/>
              </w:rPr>
              <w:t>űrtechnológiai eszközeit</w:t>
            </w:r>
            <w:r>
              <w:t xml:space="preserve"> a 69. cikkben meghatározott </w:t>
            </w:r>
            <w:r>
              <w:rPr>
                <w:b/>
                <w:i/>
              </w:rPr>
              <w:t>jogosultsági</w:t>
            </w:r>
            <w:r>
              <w:t xml:space="preserve"> és részvételi feltételeknek megfelelő szolgáltatóknak kell </w:t>
            </w:r>
            <w:r>
              <w:rPr>
                <w:b/>
                <w:i/>
              </w:rPr>
              <w:t>felbocsátania</w:t>
            </w:r>
            <w:r>
              <w:t>, és csak indokolt</w:t>
            </w:r>
            <w:r>
              <w:rPr>
                <w:b/>
                <w:i/>
              </w:rPr>
              <w:t>, rendkívüli körülmények között</w:t>
            </w:r>
            <w:r>
              <w:t xml:space="preserve"> vagy ilyen tevékenységet előíró nemzetközi megállapodás alapján történhet a felbocsátás egy harmadik ország területéről.</w:t>
            </w:r>
          </w:p>
        </w:tc>
        <w:tc>
          <w:tcPr>
            <w:tcW w:w="4876" w:type="dxa"/>
            <w:tcBorders>
              <w:top w:val="nil"/>
              <w:left w:val="nil"/>
              <w:bottom w:val="nil"/>
              <w:right w:val="nil"/>
            </w:tcBorders>
          </w:tcPr>
          <w:p>
            <w:pPr>
              <w:pStyle w:val="Normal6a"/>
            </w:pPr>
            <w:r>
              <w:rPr>
                <w:b/>
                <w:i/>
              </w:rPr>
              <w:t>5.</w:t>
            </w:r>
            <w:r>
              <w:tab/>
            </w:r>
            <w:r>
              <w:t xml:space="preserve">Az Unió biztonsági érdekeinek védelme </w:t>
            </w:r>
            <w:r>
              <w:rPr>
                <w:b/>
                <w:i/>
              </w:rPr>
              <w:t>és a felbocsátási helyszínek tartalékkapacitásának és rezilienciájának ösztönzése</w:t>
            </w:r>
            <w:r>
              <w:t xml:space="preserve"> érdekében a kormányzati infrastruktúra </w:t>
            </w:r>
            <w:r>
              <w:rPr>
                <w:b/>
                <w:i/>
              </w:rPr>
              <w:t>űreszközeit</w:t>
            </w:r>
            <w:r>
              <w:t xml:space="preserve"> a 69. cikkben meghatározott </w:t>
            </w:r>
            <w:r>
              <w:rPr>
                <w:b/>
                <w:i/>
              </w:rPr>
              <w:t>támogathatósági</w:t>
            </w:r>
            <w:r>
              <w:t xml:space="preserve"> és részvételi feltételeknek megfelelő szolgáltatóknak kell </w:t>
            </w:r>
            <w:r>
              <w:rPr>
                <w:b/>
                <w:i/>
              </w:rPr>
              <w:t>felbocsátaniuk</w:t>
            </w:r>
            <w:r>
              <w:t>,</w:t>
            </w:r>
            <w:r>
              <w:rPr>
                <w:b/>
                <w:i/>
              </w:rPr>
              <w:t xml:space="preserve">  </w:t>
            </w:r>
            <w:r>
              <w:t xml:space="preserve">és csak indokolt </w:t>
            </w:r>
            <w:r>
              <w:rPr>
                <w:b/>
                <w:i/>
              </w:rPr>
              <w:t>esetben</w:t>
            </w:r>
            <w:r>
              <w:t xml:space="preserve"> vagy ilyen tevékenységet előíró nemzetközi megállapodás alapján történhet a felbocsátás egy harmadik ország területéről</w:t>
            </w:r>
            <w:r>
              <w:rPr>
                <w:b/>
                <w:i/>
              </w:rPr>
              <w:t>, beleértve adott esetben a társult országok infrastruktúráját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3564</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cikk – 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Az Unió érdekeinek védelme érdekében az Unió űrtechnológiai eszközeit a 69. cikkben meghatározott jogosultsági és részvételi feltételeknek megfelelő szolgáltatóknak kell felbocsátania, és csak indokolt, rendkívüli körülmények között és ilyen tevékenységet előíró nemzetközi megállapodás alapján történhet a felbocsátás egy harmadik ország területéről.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Valamennyi uniós űreszköznek részesülnie kell a koherens felbocsátási védelmi és biztonsági követelmények előnyeiből, nem csak a kormányzati infrastruktúráknak.</w:t>
      </w:r>
    </w:p>
    <w:p>
      <w:r>
        <w:rPr>
          <w:rStyle w:val="HideTWBExt"/>
        </w:rPr>
        <w:t>&lt;/Amend&gt;</w:t>
      </w:r>
    </w:p>
    <w:p>
      <w:pPr>
        <w:pStyle w:val="AmNumberTabs"/>
      </w:pPr>
      <w:r>
        <w:rPr>
          <w:rStyle w:val="HideTWBExt"/>
        </w:rPr>
        <w:t>&lt;Amend&gt;</w:t>
      </w:r>
      <w:r>
        <w:t>Módosítás</w:t>
      </w:r>
      <w:r>
        <w:tab/>
      </w:r>
      <w:r>
        <w:tab/>
      </w:r>
      <w:r>
        <w:rPr>
          <w:rStyle w:val="HideTWBExt"/>
        </w:rPr>
        <w:t>&lt;NumAm&gt;</w:t>
      </w:r>
      <w:r>
        <w:t>3565</w:t>
      </w:r>
      <w:r>
        <w:rPr>
          <w:rStyle w:val="HideTWBExt"/>
        </w:rPr>
        <w:t>&lt;/NumAm&gt;</w:t>
      </w:r>
    </w:p>
    <w:p>
      <w:pPr>
        <w:pStyle w:val="NormalBold"/>
      </w:pPr>
      <w:r>
        <w:rPr>
          <w:rStyle w:val="HideTWBExt"/>
          <w:b w:val="0"/>
        </w:rPr>
        <w:t>&lt;RepeatBlock-By&gt;</w:t>
      </w:r>
      <w:r>
        <w:rPr>
          <w:rStyle w:val="HideTWBExt"/>
          <w:b w:val="0"/>
        </w:rPr>
        <w:t>&lt;Members&gt;</w:t>
      </w:r>
      <w:r>
        <w:t>Yvan Verougstraete, Brigitte van den Berg,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65 a cikk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65a. cikk</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 világűr felderítése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Az űrkutatási komponens – az Európai Űrügynökség és a tagállamok által végzett tevékenységeket kiegészítve – támogatja az Uniónak az emberi és robotikai űrkutatás szempontjából releváns ipari és technológiai képességeit.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Az e komponens keretében nyújtott támogatás magában foglalhatja a kritikus technológiák, rendszerek és infrastruktúra fejlesztését, érlelését, demonstrációját, iparosítását és bevezetését az emberi űrrepülés, a személyzet- és teherszállítás, a robotikai küldetések, a lakáskörülmények, az életfenntartás, a felszíni és keringési pályán végzett műveletek, a robotika, az autonómia, az egészség és biztonság, a tesztelés és a tanúsítás tekintetében.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 támogatás kiterjedhet az európai űrrepülőterek és a kapcsolódó földi infrastruktúra adaptálására, korszerűsítésére és interoperabilitására is, amennyiben ez az ember- vagy robotfelderítési missziókhoz kapcsolódó felbocsátási, visszahozatali, integrációs, tesztelési vagy küldetés-előkészítési tevékenységekhez szükséges.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Az e komponens keretében támogatott tevékenységeknek meg kell erősíteniük az európai ipari bázist, csökkenteniük kell a kritikus függőségeket, meg kell erősíteniük Európa részvételét a feltárási missziókban, és ki kell egészíteniük az ESA-programokat vagy a tagállami hozzájárulásokat, anélkül, hogy felváltanák vagy megkettőznék azokat.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3566</w:t>
      </w:r>
      <w:r>
        <w:rPr>
          <w:rStyle w:val="HideTWBExt"/>
        </w:rPr>
        <w:t>&lt;/NumAm&gt;</w:t>
      </w:r>
    </w:p>
    <w:p>
      <w:pPr>
        <w:pStyle w:val="NormalBold"/>
      </w:pPr>
      <w:r>
        <w:rPr>
          <w:rStyle w:val="HideTWBExt"/>
          <w:b w:val="0"/>
        </w:rPr>
        <w:t>&lt;RepeatBlock-By&gt;</w:t>
      </w:r>
      <w:r>
        <w:rPr>
          <w:rStyle w:val="HideTWBExt"/>
          <w:b w:val="0"/>
        </w:rPr>
        <w:t>&lt;Members&gt;</w:t>
      </w:r>
      <w:r>
        <w:t>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világűr </w:t>
            </w:r>
            <w:r>
              <w:rPr>
                <w:b/>
                <w:i/>
              </w:rPr>
              <w:t>üzleti</w:t>
            </w:r>
            <w:r>
              <w:t xml:space="preserve"> hasznosítása </w:t>
            </w:r>
            <w:r>
              <w:rPr>
                <w:b/>
                <w:i/>
              </w:rPr>
              <w:t>és</w:t>
            </w:r>
            <w:r>
              <w:t xml:space="preserve"> űrgazdaság</w:t>
            </w:r>
          </w:p>
        </w:tc>
        <w:tc>
          <w:tcPr>
            <w:tcW w:w="4876" w:type="dxa"/>
            <w:tcBorders>
              <w:top w:val="nil"/>
              <w:left w:val="nil"/>
              <w:bottom w:val="nil"/>
              <w:right w:val="nil"/>
            </w:tcBorders>
          </w:tcPr>
          <w:p>
            <w:pPr>
              <w:pStyle w:val="Normal6a"/>
            </w:pPr>
            <w:r>
              <w:t xml:space="preserve">A világűr </w:t>
            </w:r>
            <w:r>
              <w:rPr>
                <w:b/>
                <w:i/>
              </w:rPr>
              <w:t>kereskedelmi</w:t>
            </w:r>
            <w:r>
              <w:t xml:space="preserve"> hasznosítása</w:t>
            </w:r>
            <w:r>
              <w:rPr>
                <w:b/>
                <w:i/>
              </w:rPr>
              <w:t>,</w:t>
            </w:r>
            <w:r>
              <w:t xml:space="preserve"> űrgazdaság </w:t>
            </w:r>
            <w:r>
              <w:rPr>
                <w:b/>
                <w:i/>
              </w:rPr>
              <w:t>és vállalkozói készség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3567</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w:t>
            </w:r>
            <w:r>
              <w:rPr>
                <w:b/>
                <w:i/>
              </w:rPr>
              <w:t>világűr üzleti hasznosítása és űrgazdaság</w:t>
            </w:r>
          </w:p>
        </w:tc>
        <w:tc>
          <w:tcPr>
            <w:tcW w:w="4876" w:type="dxa"/>
            <w:tcBorders>
              <w:top w:val="nil"/>
              <w:left w:val="nil"/>
              <w:bottom w:val="nil"/>
              <w:right w:val="nil"/>
            </w:tcBorders>
          </w:tcPr>
          <w:p>
            <w:pPr>
              <w:pStyle w:val="Normal6a"/>
            </w:pPr>
            <w:r>
              <w:t xml:space="preserve">A </w:t>
            </w:r>
            <w:r>
              <w:rPr>
                <w:b/>
                <w:i/>
              </w:rPr>
              <w:t>világűrrel kapcsolatos vállalkozói készség, piaci hasznosítás és piaci elterjedés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címnek jobban kell tükröznie a teljes láncot, a vállalkozói készségtől a kereskedelmi hasznosításig és a piaci bevezetésig.</w:t>
      </w:r>
    </w:p>
    <w:p>
      <w:r>
        <w:rPr>
          <w:rStyle w:val="HideTWBExt"/>
        </w:rPr>
        <w:t>&lt;/Amend&gt;</w:t>
      </w:r>
    </w:p>
    <w:p>
      <w:pPr>
        <w:pStyle w:val="AmNumberTabs"/>
      </w:pPr>
      <w:r>
        <w:rPr>
          <w:rStyle w:val="HideTWBExt"/>
        </w:rPr>
        <w:t>&lt;Amend&gt;</w:t>
      </w:r>
      <w:r>
        <w:t>Módosítás</w:t>
      </w:r>
      <w:r>
        <w:tab/>
      </w:r>
      <w:r>
        <w:tab/>
      </w:r>
      <w:r>
        <w:rPr>
          <w:rStyle w:val="HideTWBExt"/>
        </w:rPr>
        <w:t>&lt;NumAm&gt;</w:t>
      </w:r>
      <w:r>
        <w:t>3568</w:t>
      </w:r>
      <w:r>
        <w:rPr>
          <w:rStyle w:val="HideTWBExt"/>
        </w:rPr>
        <w:t>&lt;/NumAm&gt;</w:t>
      </w:r>
    </w:p>
    <w:p>
      <w:pPr>
        <w:pStyle w:val="NormalBold"/>
      </w:pPr>
      <w:r>
        <w:rPr>
          <w:rStyle w:val="HideTWBExt"/>
          <w:b w:val="0"/>
        </w:rPr>
        <w:t>&lt;RepeatBlock-By&gt;</w:t>
      </w:r>
      <w:r>
        <w:rPr>
          <w:rStyle w:val="HideTWBExt"/>
          <w:b w:val="0"/>
        </w:rPr>
        <w:t>&lt;Members&gt;</w:t>
      </w:r>
      <w:r>
        <w:t>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A CASSINI alkotja az Unió űrvállalkozási kezdeményezését.</w:t>
            </w:r>
            <w:r>
              <w:t xml:space="preserve"> </w:t>
            </w:r>
            <w:r>
              <w:rPr>
                <w:b/>
                <w:i/>
              </w:rPr>
              <w:t>A CASSINI intézkedéseket hoz az uniós űripar és űrszolgáltatások üzleti hasznosításának támogatására, különös tekintettel a vállalkozói készségekre, valamint a magánberuházások ösztönzésére, támogatva a vállalkozókat az egységes piacon belüli növekedésben és bővülésben.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3569</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CASSINI alkotja az Unió űrvállalkozási kezdeményezését. A CASSINI intézkedéseket hoz az uniós űripar és űrszolgáltatások üzleti hasznosításának támogatására, különös tekintettel a vállalkozói készségekre, valamint a magánberuházások ösztönzésére, támogatva a vállalkozókat az egységes piacon belüli növekedésben és bővülésben.</w:t>
            </w:r>
          </w:p>
        </w:tc>
        <w:tc>
          <w:tcPr>
            <w:tcW w:w="4876" w:type="dxa"/>
            <w:tcBorders>
              <w:top w:val="nil"/>
              <w:left w:val="nil"/>
              <w:bottom w:val="nil"/>
              <w:right w:val="nil"/>
            </w:tcBorders>
          </w:tcPr>
          <w:p>
            <w:pPr>
              <w:pStyle w:val="Normal6a"/>
            </w:pPr>
            <w:r>
              <w:rPr>
                <w:b/>
                <w:i/>
              </w:rPr>
              <w:t>1.</w:t>
            </w:r>
            <w:r>
              <w:tab/>
            </w:r>
            <w:r>
              <w:t xml:space="preserve">A CASSINI alkotja az Unió űrvállalkozási kezdeményezését. A CASSINI intézkedéseket hoz az uniós űripar és űrszolgáltatások üzleti hasznosításának támogatására, különös tekintettel a vállalkozói készségekre, valamint a magánberuházások ösztönzésére, támogatva a vállalkozókat az egységes piacon belüli növekedésben és bővülésben. </w:t>
            </w:r>
            <w:r>
              <w:rPr>
                <w:b/>
                <w:i/>
              </w:rPr>
              <w:t>Ezzel összefüggésben a Bizottság az Ügynökség támogatásával létrehozza az uniós űradatok és -szolgáltatások elterjedésének és operatív felhasználásának koordinációs központját, biztosítva a láthatóságot és a koherenciát az uniós űrgazdaság egészében, többek között piaci információk fejlesztése és nyújtása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3570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CASSINI alkotja az Unió űrvállalkozási kezdeményezését. A CASSINI intézkedéseket hoz az uniós űripar és űrszolgáltatások üzleti hasznosításának támogatására, különös tekintettel a vállalkozói készségekre, valamint a magánberuházások ösztönzésére, támogatva a vállalkozókat az egységes piacon belüli növekedésben és bővülésben.</w:t>
            </w:r>
          </w:p>
        </w:tc>
        <w:tc>
          <w:tcPr>
            <w:tcW w:w="4876" w:type="dxa"/>
            <w:tcBorders>
              <w:top w:val="nil"/>
              <w:left w:val="nil"/>
              <w:bottom w:val="nil"/>
              <w:right w:val="nil"/>
            </w:tcBorders>
          </w:tcPr>
          <w:p>
            <w:pPr>
              <w:pStyle w:val="Normal6a"/>
            </w:pPr>
            <w:r>
              <w:rPr>
                <w:b/>
                <w:i/>
              </w:rPr>
              <w:t>1.</w:t>
            </w:r>
            <w:r>
              <w:tab/>
            </w:r>
            <w:r>
              <w:t xml:space="preserve">A CASSINI alkotja az Unió űrvállalkozási kezdeményezését. A CASSINI intézkedéseket hoz az uniós űripar és űrszolgáltatások üzleti hasznosításának támogatására, különös tekintettel a vállalkozói készségekre, valamint a magánberuházások ösztönzésére, támogatva a vállalkozókat az egységes piacon belüli növekedésben és bővülésben. </w:t>
            </w:r>
            <w:r>
              <w:rPr>
                <w:b/>
                <w:i/>
              </w:rPr>
              <w:t>Ezzel összefüggésben a Bizottság az Ügynökség támogatásával létrehozza az uniós űradatok és -szolgáltatások elterjedésének és operatív felhasználásának koordinációs központját, biztosítva a láthatóságot és a koherenciát az uniós űrgazdaság egészében, többek között piaci információk fejlesztése és nyújtása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3571</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CASSINI alkotja az Unió űrvállalkozási kezdeményezését. A CASSINI intézkedéseket hoz az uniós űripar és űrszolgáltatások üzleti hasznosításának támogatására, különös tekintettel a vállalkozói készségekre, valamint a magánberuházások ösztönzésére, támogatva a vállalkozókat az egységes piacon belüli növekedésben és bővülésben.</w:t>
            </w:r>
          </w:p>
        </w:tc>
        <w:tc>
          <w:tcPr>
            <w:tcW w:w="4876" w:type="dxa"/>
            <w:tcBorders>
              <w:top w:val="nil"/>
              <w:left w:val="nil"/>
              <w:bottom w:val="nil"/>
              <w:right w:val="nil"/>
            </w:tcBorders>
          </w:tcPr>
          <w:p>
            <w:pPr>
              <w:pStyle w:val="Normal6a"/>
            </w:pPr>
            <w:r>
              <w:rPr>
                <w:b/>
                <w:i/>
              </w:rPr>
              <w:t>1.</w:t>
            </w:r>
            <w:r>
              <w:tab/>
            </w:r>
            <w:r>
              <w:t xml:space="preserve">A CASSINI alkotja az Unió űrvállalkozási kezdeményezését. A CASSINI intézkedéseket hoz az uniós űripar és űrszolgáltatások üzleti hasznosításának támogatására, különös tekintettel a vállalkozói készségekre, valamint a magánberuházások ösztönzésére, támogatva a vállalkozókat az egységes piacon belüli növekedésben és bővülésben. </w:t>
            </w:r>
            <w:r>
              <w:rPr>
                <w:b/>
                <w:i/>
              </w:rPr>
              <w:t>Ezzel összefüggésben a Bizottság az Ügynökség támogatásával létrehozza az uniós űradatok és -szolgáltatások elterjedésének és operatív felhasználásának koordinációs központját, biztosítva a láthatóságot és a koherenciát az uniós űrgazdaság egészében, többek között piaci információk fejlesztése és nyújtása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3572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 CASSINI alkotja az Unió űrvállalkozási kezdeményezését. A CASSINI intézkedéseket hoz az uniós </w:t>
            </w:r>
            <w:r>
              <w:rPr>
                <w:b/>
                <w:i/>
              </w:rPr>
              <w:t>űripar és űrszolgáltatások</w:t>
            </w:r>
            <w:r>
              <w:t xml:space="preserve"> üzleti hasznosításának támogatására, különös tekintettel a vállalkozói </w:t>
            </w:r>
            <w:r>
              <w:rPr>
                <w:b/>
                <w:i/>
              </w:rPr>
              <w:t>készségekre</w:t>
            </w:r>
            <w:r>
              <w:t>, valamint a magánberuházások ösztönzésére, támogatva a vállalkozókat az egységes piacon belüli növekedésben és bővülésben.</w:t>
            </w:r>
          </w:p>
        </w:tc>
        <w:tc>
          <w:tcPr>
            <w:tcW w:w="4876" w:type="dxa"/>
            <w:tcBorders>
              <w:top w:val="nil"/>
              <w:left w:val="nil"/>
              <w:bottom w:val="nil"/>
              <w:right w:val="nil"/>
            </w:tcBorders>
          </w:tcPr>
          <w:p>
            <w:pPr>
              <w:pStyle w:val="Normal6a"/>
            </w:pPr>
            <w:r>
              <w:rPr>
                <w:b/>
                <w:i/>
              </w:rPr>
              <w:t>1.</w:t>
            </w:r>
            <w:r>
              <w:tab/>
            </w:r>
            <w:r>
              <w:t xml:space="preserve">A CASSINI alkotja az Unió űrvállalkozási kezdeményezését. A CASSINI intézkedéseket hoz az uniós </w:t>
            </w:r>
            <w:r>
              <w:rPr>
                <w:b/>
                <w:i/>
              </w:rPr>
              <w:t>űripari termékek és szolgáltatások</w:t>
            </w:r>
            <w:r>
              <w:t xml:space="preserve"> üzleti hasznosításának támogatására, különös tekintettel a vállalkozói </w:t>
            </w:r>
            <w:r>
              <w:rPr>
                <w:b/>
                <w:i/>
              </w:rPr>
              <w:t>készségre, a piaci felkészültségre, az űralapú megoldások első bevezetésére és elterjedésére</w:t>
            </w:r>
            <w:r>
              <w:t xml:space="preserve">, valamint a magánberuházások ösztönzésére </w:t>
            </w:r>
            <w:r>
              <w:rPr>
                <w:b/>
                <w:i/>
              </w:rPr>
              <w:t>azáltal, hogy csökkenti az uniós űrtermékek és -szolgáltatások fejlesztésének, kiérlelésének és piaci bevezetésének kockázatát</w:t>
            </w:r>
            <w:r>
              <w:t>, támogatva a vállalkozókat az egységes piacon belüli növekedésben és bővülésben.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állami támogatásnak az ipari fejlődés, a technológiai érettség és a piaci bevezetés kockázatmentesítésére kell összpontosítania, nem pedig kizárólag a pénzügyi közvetítők közvetett támogatására.</w:t>
      </w:r>
    </w:p>
    <w:p>
      <w:r>
        <w:rPr>
          <w:rStyle w:val="HideTWBExt"/>
        </w:rPr>
        <w:t>&lt;/Amend&gt;</w:t>
      </w:r>
    </w:p>
    <w:p>
      <w:pPr>
        <w:pStyle w:val="AmNumberTabs"/>
      </w:pPr>
      <w:r>
        <w:rPr>
          <w:rStyle w:val="HideTWBExt"/>
        </w:rPr>
        <w:t>&lt;Amend&gt;</w:t>
      </w:r>
      <w:r>
        <w:t>Módosítás</w:t>
      </w:r>
      <w:r>
        <w:tab/>
      </w:r>
      <w:r>
        <w:tab/>
      </w:r>
      <w:r>
        <w:rPr>
          <w:rStyle w:val="HideTWBExt"/>
        </w:rPr>
        <w:t>&lt;NumAm&gt;</w:t>
      </w:r>
      <w:r>
        <w:t>3573</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A CASSINI alkotja az Unió űrvállalkozási kezdeményezését</w:t>
            </w:r>
            <w:r>
              <w:t xml:space="preserve">. A CASSINI intézkedéseket </w:t>
            </w:r>
            <w:r>
              <w:rPr>
                <w:b/>
                <w:i/>
              </w:rPr>
              <w:t>hoz az uniós űripar és űrszolgáltatások üzleti hasznosításának</w:t>
            </w:r>
            <w:r>
              <w:t xml:space="preserve"> támogatására</w:t>
            </w:r>
            <w:r>
              <w:rPr>
                <w:b/>
                <w:i/>
              </w:rPr>
              <w:t>, különös tekintettel a vállalkozói készségekre, valamint a magánberuházások ösztönzésére, támogatva a vállalkozókat az egységes piacon belüli növekedésben és bővülésben</w:t>
            </w:r>
            <w:r>
              <w:t>.</w:t>
            </w:r>
          </w:p>
        </w:tc>
        <w:tc>
          <w:tcPr>
            <w:tcW w:w="4876" w:type="dxa"/>
            <w:tcBorders>
              <w:top w:val="nil"/>
              <w:left w:val="nil"/>
              <w:bottom w:val="nil"/>
              <w:right w:val="nil"/>
            </w:tcBorders>
          </w:tcPr>
          <w:p>
            <w:pPr>
              <w:pStyle w:val="Normal6a"/>
            </w:pPr>
            <w:r>
              <w:rPr>
                <w:b/>
                <w:i/>
              </w:rPr>
              <w:t>1.</w:t>
            </w:r>
            <w:r>
              <w:tab/>
            </w:r>
            <w:r>
              <w:rPr>
                <w:b/>
                <w:i/>
              </w:rPr>
              <w:t>Az űrgazdaság olyan stratégiai ágazat, amely közérdekű célkitűzéseket biztosít, ugyanakkor lehetővé teszi a magán- és szövetkezeti szereplők kiegészítő részvételét egy szabályozott és küldetésorientált európai űrökoszisztémában</w:t>
            </w:r>
            <w:r>
              <w:t xml:space="preserve">. A CASSINI intézkedéseket </w:t>
            </w:r>
            <w:r>
              <w:rPr>
                <w:b/>
                <w:i/>
              </w:rPr>
              <w:t>tesz az ipari szereplők és a közfeladatot ellátó szolgáltatók közösségének</w:t>
            </w:r>
            <w:r>
              <w:t xml:space="preserve"> támogatására.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3574</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Ez a komponens a következő támogatható tevékenységeket foglalja magában</w:t>
            </w:r>
            <w:r>
              <w:rPr>
                <w:b/>
                <w:i/>
              </w:rPr>
              <w:t>:</w:t>
            </w:r>
          </w:p>
        </w:tc>
        <w:tc>
          <w:tcPr>
            <w:tcW w:w="4876" w:type="dxa"/>
            <w:tcBorders>
              <w:top w:val="nil"/>
              <w:left w:val="nil"/>
              <w:bottom w:val="nil"/>
              <w:right w:val="nil"/>
            </w:tcBorders>
          </w:tcPr>
          <w:p>
            <w:pPr>
              <w:pStyle w:val="Normal6a"/>
            </w:pPr>
            <w:r>
              <w:t>(2)</w:t>
            </w:r>
            <w:r>
              <w:tab/>
            </w:r>
            <w:r>
              <w:t>Ez a komponens a következő támogatható tevékenységeket foglalja magában</w:t>
            </w:r>
            <w:r>
              <w:rPr>
                <w:b/>
                <w:i/>
              </w:rPr>
              <w:t>, amelyek közül néhányat az (EU) 2026/0084 rendelet [az EUSPA alapító rendelete] rendelkezéseinek megfelelően az Ügynökségre kell bízni, olyan koherens, szuverén és interoperábilis, világűrbe telepített megoldásokat biztosítva, amelyek a különböző uniós űrkomponensek – többek között a helymeghatározás, a navigáció és az időmeghatározás (PNT), a Föld-megfigyelés (EO), a biztonságos konnektivitás és a világűr-megfigyelés – kombinációja révén elégítik ki a végfelhasználók igényeit.</w:t>
            </w:r>
            <w:r>
              <w:t xml:space="preserve"> </w:t>
            </w:r>
            <w:r>
              <w:rPr>
                <w:b/>
                <w:i/>
              </w:rPr>
              <w:t>// Az Ügynökség egyes tevékenységeket végrehajtás céljából átruházhat az ESA-ra.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3575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Ez a komponens a következő támogatható tevékenységeket foglalja magában:</w:t>
            </w:r>
          </w:p>
        </w:tc>
        <w:tc>
          <w:tcPr>
            <w:tcW w:w="4876" w:type="dxa"/>
            <w:tcBorders>
              <w:top w:val="nil"/>
              <w:left w:val="nil"/>
              <w:bottom w:val="nil"/>
              <w:right w:val="nil"/>
            </w:tcBorders>
          </w:tcPr>
          <w:p>
            <w:pPr>
              <w:pStyle w:val="Normal6a"/>
            </w:pPr>
            <w:r>
              <w:t>(2)</w:t>
            </w:r>
            <w:r>
              <w:tab/>
            </w:r>
            <w:r>
              <w:t>Ez a komponens a következő támogatható tevékenységeket foglalja magában</w:t>
            </w:r>
            <w:r>
              <w:rPr>
                <w:b/>
                <w:i/>
              </w:rPr>
              <w:t>, amelyek közül néhányat az (EU) 2026/0084 rendelet [az EUSPA alapító rendelete] rendelkezéseinek megfelelően az Ügynökségre kell bízni, olyan koherens, szuverén és interoperábilis, világűrbe telepített megoldásokat biztosítva, amelyek a különböző uniós űrkomponensek – többek között a helymeghatározás, a navigáció és az időmeghatározás (PNT), a Föld-megfigyelés (EO), a biztonságos konnektivitás és a világűr-megfigyelés – kombinációja révén elégítik ki a végfelhasználók igényeit.</w:t>
            </w:r>
            <w:r>
              <w:t xml:space="preserve"> </w:t>
            </w:r>
            <w:r>
              <w:rPr>
                <w:b/>
                <w:i/>
              </w:rPr>
              <w:t>Az Ügynökség egyes tevékenységeket végrehajtás céljából átruházhat az ESA-ra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3576</w:t>
      </w:r>
      <w:r>
        <w:rPr>
          <w:rStyle w:val="HideTWBExt"/>
        </w:rPr>
        <w:t>&lt;/NumAm&gt;</w:t>
      </w:r>
    </w:p>
    <w:p>
      <w:pPr>
        <w:pStyle w:val="NormalBold"/>
      </w:pPr>
      <w:r>
        <w:rPr>
          <w:rStyle w:val="HideTWBExt"/>
          <w:b w:val="0"/>
        </w:rPr>
        <w:t>&lt;RepeatBlock-By&gt;</w:t>
      </w:r>
      <w:r>
        <w:rPr>
          <w:rStyle w:val="HideTWBExt"/>
          <w:b w:val="0"/>
        </w:rPr>
        <w:t>&lt;Members&gt;</w:t>
      </w:r>
      <w:r>
        <w:t>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Ez a</w:t>
            </w:r>
            <w:r>
              <w:t xml:space="preserve"> komponens a következő támogatható tevékenységeket foglalja magában:</w:t>
            </w:r>
          </w:p>
        </w:tc>
        <w:tc>
          <w:tcPr>
            <w:tcW w:w="4876" w:type="dxa"/>
            <w:tcBorders>
              <w:top w:val="nil"/>
              <w:left w:val="nil"/>
              <w:bottom w:val="nil"/>
              <w:right w:val="nil"/>
            </w:tcBorders>
          </w:tcPr>
          <w:p>
            <w:pPr>
              <w:pStyle w:val="Normal6a"/>
            </w:pPr>
            <w:r>
              <w:t>(2)</w:t>
            </w:r>
            <w:r>
              <w:tab/>
            </w:r>
            <w:r>
              <w:rPr>
                <w:b/>
                <w:i/>
              </w:rPr>
              <w:t>A világűr üzleti hasznosításására, az űrgazdaságra és a vállalkozói készségre vonatkozó</w:t>
            </w:r>
            <w:r>
              <w:t xml:space="preserve"> komponens a következő támogatható tevékenységeket foglalja magában: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3577</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uniós ipari kapacitásbővítési keret létrehozása az új gyártólétesítményekbe történő </w:t>
            </w:r>
            <w:r>
              <w:rPr>
                <w:b/>
                <w:i/>
              </w:rPr>
              <w:t>beruházások</w:t>
            </w:r>
            <w:r>
              <w:t xml:space="preserve"> lehetővé tétele és az Unióban található ellátási láncok megerősítése érdekében;</w:t>
            </w:r>
          </w:p>
        </w:tc>
        <w:tc>
          <w:tcPr>
            <w:tcW w:w="4876" w:type="dxa"/>
            <w:tcBorders>
              <w:top w:val="nil"/>
              <w:left w:val="nil"/>
              <w:bottom w:val="nil"/>
              <w:right w:val="nil"/>
            </w:tcBorders>
          </w:tcPr>
          <w:p>
            <w:pPr>
              <w:pStyle w:val="Normal6a"/>
            </w:pPr>
            <w:r>
              <w:t>b)</w:t>
            </w:r>
            <w:r>
              <w:tab/>
            </w:r>
            <w:r>
              <w:t xml:space="preserve">uniós ipari kapacitásbővítési keret létrehozása az új gyártólétesítményekbe történő </w:t>
            </w:r>
            <w:r>
              <w:rPr>
                <w:b/>
                <w:i/>
              </w:rPr>
              <w:t>magánberuházások</w:t>
            </w:r>
            <w:r>
              <w:t xml:space="preserve"> lehetővé tétele és az Unióban található ellátási láncok megerősítése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3578</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az üzleti növekedés referencia-ügyfélszerződések használata révén történő felgyorsítását célzó programok, valamint a magán- és a közszféra piacaira új ügyfelek belépését célzó programok, </w:t>
            </w:r>
            <w:r>
              <w:rPr>
                <w:b/>
                <w:i/>
              </w:rPr>
              <w:t>beleértve</w:t>
            </w:r>
            <w:r>
              <w:t xml:space="preserve"> az űrkomponenseket és -infrastruktúrákat, valamint az űradatokat és -szolgáltatásokat felhasználó termékeket</w:t>
            </w:r>
            <w:r>
              <w:rPr>
                <w:b/>
                <w:i/>
              </w:rPr>
              <w:t>;</w:t>
            </w:r>
          </w:p>
        </w:tc>
        <w:tc>
          <w:tcPr>
            <w:tcW w:w="4876" w:type="dxa"/>
            <w:tcBorders>
              <w:top w:val="nil"/>
              <w:left w:val="nil"/>
              <w:bottom w:val="nil"/>
              <w:right w:val="nil"/>
            </w:tcBorders>
          </w:tcPr>
          <w:p>
            <w:pPr>
              <w:pStyle w:val="Normal6a"/>
            </w:pPr>
            <w:r>
              <w:t>e)</w:t>
            </w:r>
            <w:r>
              <w:tab/>
            </w:r>
            <w:r>
              <w:rPr>
                <w:b/>
                <w:i/>
              </w:rPr>
              <w:t>a piaci felkészültség, a piaci elterjedés és</w:t>
            </w:r>
            <w:r>
              <w:t xml:space="preserve"> az üzleti növekedés referencia-ügyfélszerződések használata révén történő felgyorsítását célzó programok, </w:t>
            </w:r>
            <w:r>
              <w:rPr>
                <w:b/>
                <w:i/>
              </w:rPr>
              <w:t>a keringési pályán történő demonstrációs és validálási (IOD/IOV) missziók,</w:t>
            </w:r>
            <w:r>
              <w:t xml:space="preserve"> valamint a magán- és a közszféra piacaira új ügyfelek belépését célzó programok, </w:t>
            </w:r>
            <w:r>
              <w:rPr>
                <w:b/>
                <w:i/>
              </w:rPr>
              <w:t>figyelembe véve</w:t>
            </w:r>
            <w:r>
              <w:t xml:space="preserve"> az űrkomponenseket és -infrastruktúrákat, valamint az űradatokat és -szolgáltatásokat felhasználó termékeket</w:t>
            </w:r>
            <w:r>
              <w:rPr>
                <w:b/>
                <w:i/>
              </w:rPr>
              <w:t>, alkalmazásokat és szolgáltatásokat magukban foglaló, határokon átnyúló projekteket.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IOD/IOV-missziók és a helyhez kötött ügyfélrendszerek kritikus eszközök az európai űrmegoldások operatív validálásának és kereskedelmi bevezetésének felgyorsításában.</w:t>
      </w:r>
    </w:p>
    <w:p>
      <w:r>
        <w:rPr>
          <w:rStyle w:val="HideTWBExt"/>
        </w:rPr>
        <w:t>&lt;/Amend&gt;</w:t>
      </w:r>
    </w:p>
    <w:p>
      <w:pPr>
        <w:pStyle w:val="AmNumberTabs"/>
      </w:pPr>
      <w:r>
        <w:rPr>
          <w:rStyle w:val="HideTWBExt"/>
        </w:rPr>
        <w:t>&lt;Amend&gt;</w:t>
      </w:r>
      <w:r>
        <w:t>Módosítás</w:t>
      </w:r>
      <w:r>
        <w:tab/>
      </w:r>
      <w:r>
        <w:tab/>
      </w:r>
      <w:r>
        <w:rPr>
          <w:rStyle w:val="HideTWBExt"/>
        </w:rPr>
        <w:t>&lt;NumAm&gt;</w:t>
      </w:r>
      <w:r>
        <w:t>3579</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az e szakaszban említett komponenseken alapuló alkalmazások, termékek és szolgáltatások fejlesztésének és elterjedésének támogatása, beleértve a felhasználói elterjedést, a piacfejlesztést és a kapacitásépítést, az uniós űradatok és -szolgáltatások, a downstream alkalmazások és azok fejlesztésének előmozdítását minden szinten, valamint a felhasználói igények gyűjtését és elemzését a társadalmi-gazdasági előnyök maximalizálása, továbbá a nyomon követés, a megfelelés, a kockázatértékelés és az adatvezérelt döntéshozatal lehetővé tétele érdekében a vonatkozó uniós szakpolitikák támogatása céljából;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alkalmazások, a downstream szolgáltatások és a felhasználók általi igénybevétel az uniós űrprogram társadalmi-gazdasági értékének nagy részét generálják, és ezért célzott támogatást igényelnek.</w:t>
      </w:r>
    </w:p>
    <w:p>
      <w:r>
        <w:rPr>
          <w:rStyle w:val="HideTWBExt"/>
        </w:rPr>
        <w:t>&lt;/Amend&gt;</w:t>
      </w:r>
    </w:p>
    <w:p>
      <w:pPr>
        <w:pStyle w:val="AmNumberTabs"/>
      </w:pPr>
      <w:r>
        <w:rPr>
          <w:rStyle w:val="HideTWBExt"/>
        </w:rPr>
        <w:t>&lt;Amend&gt;</w:t>
      </w:r>
      <w:r>
        <w:t>Módosítás</w:t>
      </w:r>
      <w:r>
        <w:tab/>
      </w:r>
      <w:r>
        <w:tab/>
      </w:r>
      <w:r>
        <w:rPr>
          <w:rStyle w:val="HideTWBExt"/>
        </w:rPr>
        <w:t>&lt;NumAm&gt;</w:t>
      </w:r>
      <w:r>
        <w:t>3580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 védelmi célú űrpiacot felgyorsító programok.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3581</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 védelmi célú űrpiacot felgyorsító programok;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3582</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az űrpiacot felgyorsító programok.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3583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az Unió űrgazdaságának támogatásához és az egységes űrpiac létrehozásához szükséges </w:t>
            </w:r>
            <w:r>
              <w:rPr>
                <w:b/>
                <w:i/>
              </w:rPr>
              <w:t>további intézkedések</w:t>
            </w:r>
            <w:r>
              <w:t>.</w:t>
            </w:r>
          </w:p>
        </w:tc>
        <w:tc>
          <w:tcPr>
            <w:tcW w:w="4876" w:type="dxa"/>
            <w:tcBorders>
              <w:top w:val="nil"/>
              <w:left w:val="nil"/>
              <w:bottom w:val="nil"/>
              <w:right w:val="nil"/>
            </w:tcBorders>
          </w:tcPr>
          <w:p>
            <w:pPr>
              <w:pStyle w:val="Normal6a"/>
            </w:pPr>
            <w:r>
              <w:t>f)</w:t>
            </w:r>
            <w:r>
              <w:tab/>
            </w:r>
            <w:r>
              <w:rPr>
                <w:b/>
                <w:i/>
              </w:rPr>
              <w:t>az űrpiacot felgyorsító rendszerek és</w:t>
            </w:r>
            <w:r>
              <w:t xml:space="preserve"> az Unió űrgazdaságának támogatásához és az egységes űrpiac létrehozásához szükséges </w:t>
            </w:r>
            <w:r>
              <w:rPr>
                <w:b/>
                <w:i/>
              </w:rPr>
              <w:t>bármely egyéb kiegészítő intézkedés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Bizottság az Ügynökség (EUSPA) támogatásával cselekvési tervet fogad el az uniós űrszolgáltatások uniós szakpolitikákban és programokban való szisztematikus elterjedésének és integrációjának előmozdítása érdekében, többek között az életbiztonság és a polgári védelem területén, a stratégiai autonómia fokozása és az uniós űrágazat versenyképességének megerősítése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3584</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az Unió űrgazdaságának támogatásához és az egységes űrpiac létrehozásához szükséges további intézkedések.</w:t>
            </w:r>
          </w:p>
        </w:tc>
        <w:tc>
          <w:tcPr>
            <w:tcW w:w="4876" w:type="dxa"/>
            <w:tcBorders>
              <w:top w:val="nil"/>
              <w:left w:val="nil"/>
              <w:bottom w:val="nil"/>
              <w:right w:val="nil"/>
            </w:tcBorders>
          </w:tcPr>
          <w:p>
            <w:pPr>
              <w:pStyle w:val="Normal6a"/>
            </w:pPr>
            <w:r>
              <w:t>f)</w:t>
            </w:r>
            <w:r>
              <w:tab/>
            </w:r>
            <w:r>
              <w:t>az Unió űrgazdaságának támogatásához és az egységes űrpiac létrehozásához szükséges további intézkedések.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Bizottság az Ügynökség támogatásával cselekvési tervet fogad el annak érdekében, hogy előmozdítsa az uniós űrszolgáltatások szisztematikus elterjedését és integrációját az uniós szakpolitikákban és programokban, többek között az életbiztonság és a polgári védelem területén, a stratégiai autonómia fokozása és az uniós űrágazat versenyképességének megerősítése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3585</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az Unió űrgazdaságának támogatásához és az egységes űrpiac létrehozásához szükséges további intézkedések.</w:t>
            </w:r>
          </w:p>
        </w:tc>
        <w:tc>
          <w:tcPr>
            <w:tcW w:w="4876" w:type="dxa"/>
            <w:tcBorders>
              <w:top w:val="nil"/>
              <w:left w:val="nil"/>
              <w:bottom w:val="nil"/>
              <w:right w:val="nil"/>
            </w:tcBorders>
          </w:tcPr>
          <w:p>
            <w:pPr>
              <w:pStyle w:val="Normal6a"/>
            </w:pPr>
            <w:r>
              <w:t>f)</w:t>
            </w:r>
            <w:r>
              <w:tab/>
            </w:r>
            <w:r>
              <w:t xml:space="preserve">az Unió űrgazdaságának támogatásához és az egységes űrpiac létrehozásához szükséges további intézkedések. </w:t>
            </w:r>
            <w:r>
              <w:rPr>
                <w:b/>
                <w:i/>
              </w:rPr>
              <w:t>A Bizottság az Ügynökség (EUSPA) támogatásával cselekvési tervet fogad el az uniós űrszolgáltatások uniós szakpolitikákban és programokban való szisztematikus elterjedésének és integrációjának előmozdítása érdekében, többek között az életbiztonság és a polgári védelem területén, a stratégiai autonómia fokozása és az uniós űrágazat versenyképességének megerősítése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3586</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az Unió űrgazdaságának támogatásához és az egységes űrpiac létrehozásához szükséges </w:t>
            </w:r>
            <w:r>
              <w:rPr>
                <w:b/>
                <w:i/>
              </w:rPr>
              <w:t>további</w:t>
            </w:r>
            <w:r>
              <w:t xml:space="preserve"> intézkedések.</w:t>
            </w:r>
          </w:p>
        </w:tc>
        <w:tc>
          <w:tcPr>
            <w:tcW w:w="4876" w:type="dxa"/>
            <w:tcBorders>
              <w:top w:val="nil"/>
              <w:left w:val="nil"/>
              <w:bottom w:val="nil"/>
              <w:right w:val="nil"/>
            </w:tcBorders>
          </w:tcPr>
          <w:p>
            <w:pPr>
              <w:pStyle w:val="Normal6a"/>
            </w:pPr>
            <w:r>
              <w:t>f)</w:t>
            </w:r>
            <w:r>
              <w:tab/>
            </w:r>
            <w:r>
              <w:t>az Unió űrgazdaságának támogatásához és az egységes űrpiac létrehozásához szükséges intézkedések.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3587</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f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kezdeményezi a Föld-megfigyelésen, adatelemzésen és mesterséges intelligencián alapuló geoinformációs képességek fejlesztését és elterjedését a kulcsfontosságú ágazatokban, beleértve a mezőgazdaságot és az erdészetet, a tengerügyet, a környezetvédelmet és a fenntarthatóságot, lehetővé téve a nyomon követést, a megfelelést, a kockázatértékelést és a kockázatkezelést, valamint az adatvezérelt döntéshozatalt a vonatkozó uniós szakpolitikák és az Európai Unió versenyképességének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3588</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Wouter Beke, Virgil-Daniel Popescu,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f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kezdeményezések a Föld-megfigyelésen, adatelemzésen és mesterséges intelligencián alapuló geoinformációs képességek fejlesztésére és elterjedésére a kulcsfontosságú ágazatokban, beleértve a mezőgazdaságot és az erdészetet, a tengerügyet, a környezetvédelmet és a fenntarthatóságot, lehetővé téve a nyomon követést, a megfelelést, a kockázatértékelést és az adatvezérelt döntéshozatalt a vonatkozó uniós szakpolitikák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3589</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bekezdés – f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kezdeményezések a Föld-megfigyelésen, adatelemzésen és mesterséges intelligencián alapuló geoinformációs képességek fejlesztésére és elterjedésére a kulcsfontosságú ágazatokban, beleértve a mezőgazdaságot és az erdészetet, a tengerügyet, a környezetvédelmet és a fenntarthatóságot, lehetővé téve a nyomon követést, a megfelelést, a kockázatértékelést és az adatvezérelt döntéshozatalt a vonatkozó uniós szakpolitikák támogatása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3590</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célzott intézkedések célja a Föld-megfigyelésen, adatelemzésen és mesterséges intelligencián alapuló geoinformációs képességek fejlesztésének és elterjedésének támogatása a kulcsfontosságú ágazatokban, beleértve a környezetvédelmet és a fenntarthatóságot, a mezőgazdaságot és az erdészetet, a tengerészetet, lehetővé téve a nyomon követést, a megfelelést, a kockázatkezelést és az adatvezérelt döntéshozatalt, előmozdítva az EU versenyképességét és a vonatkozó uniós szakpolitikákat.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3591</w:t>
      </w:r>
      <w:r>
        <w:rPr>
          <w:rStyle w:val="HideTWBExt"/>
        </w:rPr>
        <w:t>&lt;/NumAm&gt;</w:t>
      </w:r>
    </w:p>
    <w:p>
      <w:pPr>
        <w:pStyle w:val="NormalBold"/>
      </w:pPr>
      <w:r>
        <w:rPr>
          <w:rStyle w:val="HideTWBExt"/>
          <w:b w:val="0"/>
        </w:rPr>
        <w:t>&lt;RepeatBlock-By&gt;</w:t>
      </w:r>
      <w:r>
        <w:rPr>
          <w:rStyle w:val="HideTWBExt"/>
          <w:b w:val="0"/>
        </w:rPr>
        <w:t>&lt;Members&gt;</w:t>
      </w:r>
      <w:r>
        <w:t>Giorgio Gori, Dario Nardella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Támogatni kell a Föld-megfigyelésen, adatelemzésen és mesterséges intelligencián alapuló geoinformációs képességek fejlesztését és elterjedését a kulcsfontosságú ágazatokban, beleértve a mezőgazdaságot és az erdészetet, a tengerügyet, a környezetvédelmet és a fenntarthatóságot, lehetővé téve a nyomon követést, a megfelelést, a kockázatkezelést és az adatvezérelt döntéshozatalt, előmozdítva az EU versenyképességét és a vonatkozó uniós szakpolitikákat.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3592</w:t>
      </w:r>
      <w:r>
        <w:rPr>
          <w:rStyle w:val="HideTWBExt"/>
        </w:rPr>
        <w:t>&lt;/NumAm&gt;</w:t>
      </w:r>
    </w:p>
    <w:p>
      <w:pPr>
        <w:pStyle w:val="NormalBold"/>
      </w:pPr>
      <w:r>
        <w:rPr>
          <w:rStyle w:val="HideTWBExt"/>
          <w:b w:val="0"/>
        </w:rPr>
        <w:t>&lt;RepeatBlock-By&gt;</w:t>
      </w:r>
      <w:r>
        <w:rPr>
          <w:rStyle w:val="HideTWBExt"/>
          <w:b w:val="0"/>
        </w:rPr>
        <w:t>&lt;Members&gt;</w:t>
      </w:r>
      <w:r>
        <w:t>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66 cikk – 2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A CASSINI alkotja az Unió űrvállalkozási kezdeményezését.</w:t>
            </w:r>
            <w:r>
              <w:t xml:space="preserve"> </w:t>
            </w:r>
            <w:r>
              <w:rPr>
                <w:b/>
                <w:i/>
              </w:rPr>
              <w:t>A CASSINI intézkedéseket hoz az uniós űripar és űrszolgáltatások üzleti hasznosításának támogatására, különös tekintettel a vállalkozói készségekre, valamint a magánberuházások ösztönzésére, támogatva a vállalkozókat az egységes piacon belüli növekedésben és bővülésben.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technológiai szuverenitás és innováció komponensnek lehetővé kell tennie az Unió számára a versenyképes, autonóm és innovatív űripari ökoszisztéma kiépítését, amelynek célja az Unió technológiai szuverenitásának, függetlenségének és önellátásának fokozása az űrágazatban. Elő kell mozdítania az élvonalbeli űrmegoldások fejlesztését és elterjedését. Prioritásként kell kezelnie a nem uniós technológiáktól való kritikus függőség csökkentését, és olyan kettős felhasználású technológiákra kell összpontosítania, amelyek mind a polgári, mind a védelmi alkalmazások számára előnyösek lehetnek.</w:t>
            </w:r>
          </w:p>
        </w:tc>
        <w:tc>
          <w:tcPr>
            <w:tcW w:w="4876" w:type="dxa"/>
            <w:tcBorders>
              <w:top w:val="nil"/>
              <w:left w:val="nil"/>
              <w:bottom w:val="nil"/>
              <w:right w:val="nil"/>
            </w:tcBorders>
          </w:tcPr>
          <w:p>
            <w:pPr>
              <w:pStyle w:val="Normal6a"/>
            </w:pPr>
            <w:r>
              <w:rPr>
                <w:b/>
                <w:i/>
              </w:rPr>
              <w:t>1.</w:t>
            </w:r>
            <w:r>
              <w:tab/>
            </w:r>
            <w:r>
              <w:t>A technológiai szuverenitás és innováció komponensnek lehetővé kell tennie az Unió számára a versenyképes, autonóm és innovatív űripari ökoszisztéma kiépítését, amelynek célja az Unió technológiai szuverenitásának, függetlenségének és önellátásának fokozása az űrágazatban. Elő kell mozdítania az élvonalbeli űrmegoldások fejlesztését és elterjedését. Prioritásként kell kezelnie a nem uniós technológiáktól való kritikus függőség csökkentését, és olyan kettős felhasználású technológiákra kell összpontosítania, amelyek mind a polgári, mind a védelmi alkalmazások számára előnyösek lehetnek</w:t>
            </w:r>
            <w:r>
              <w:rPr>
                <w:b/>
                <w:i/>
              </w:rPr>
              <w:t>, fokozhatják az európai szereplők közötti együttműködést és elkerülhetik az átfedéseket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3594</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technológiai szuverenitás és innováció komponensnek lehetővé kell tennie az Unió számára a versenyképes, autonóm és innovatív űripari ökoszisztéma kiépítését, amelynek célja az Unió technológiai szuverenitásának, függetlenségének és önellátásának fokozása az űrágazatban. Elő kell mozdítania az élvonalbeli űrmegoldások fejlesztését és elterjedését. Prioritásként kell kezelnie a nem uniós technológiáktól való kritikus függőség csökkentését, és olyan kettős felhasználású technológiákra kell összpontosítania, amelyek mind a polgári, mind a védelmi alkalmazások számára előnyösek lehetnek.</w:t>
            </w:r>
          </w:p>
        </w:tc>
        <w:tc>
          <w:tcPr>
            <w:tcW w:w="4876" w:type="dxa"/>
            <w:tcBorders>
              <w:top w:val="nil"/>
              <w:left w:val="nil"/>
              <w:bottom w:val="nil"/>
              <w:right w:val="nil"/>
            </w:tcBorders>
          </w:tcPr>
          <w:p>
            <w:pPr>
              <w:pStyle w:val="Normal6a"/>
            </w:pPr>
            <w:r>
              <w:rPr>
                <w:b/>
                <w:i/>
              </w:rPr>
              <w:t>1.</w:t>
            </w:r>
            <w:r>
              <w:tab/>
            </w:r>
            <w:r>
              <w:t xml:space="preserve">A technológiai szuverenitás és innováció komponensnek lehetővé kell tennie az Unió számára a versenyképes, autonóm és innovatív űripari ökoszisztéma kiépítését, amelynek célja az Unió technológiai szuverenitásának, függetlenségének és önellátásának fokozása az űrágazatban. Elő kell mozdítania az élvonalbeli űrmegoldások fejlesztését és elterjedését. Prioritásként kell kezelnie a nem uniós technológiáktól </w:t>
            </w:r>
            <w:r>
              <w:rPr>
                <w:b/>
                <w:i/>
              </w:rPr>
              <w:t>– különösen az uniós űrprogramhoz kapcsolódó technológiáktól –</w:t>
            </w:r>
            <w:r>
              <w:t xml:space="preserve"> való kritikus függőség csökkentését, és olyan kettős felhasználású technológiákra kell összpontosítania, amelyek mind a polgári, mind a védelmi alkalmazások számára előnyösek lehetnek.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technológiai szuverenitásra irányuló erőfeszítéseknek elsősorban az uniós űrprogramhoz közvetlenül kapcsolódó technológiákra és a kritikus stratégiai képességekre kell összpontosítaniuk.</w:t>
      </w:r>
    </w:p>
    <w:p>
      <w:r>
        <w:rPr>
          <w:rStyle w:val="HideTWBExt"/>
        </w:rPr>
        <w:t>&lt;/Amend&gt;</w:t>
      </w:r>
    </w:p>
    <w:p>
      <w:pPr>
        <w:pStyle w:val="AmNumberTabs"/>
      </w:pPr>
      <w:r>
        <w:rPr>
          <w:rStyle w:val="HideTWBExt"/>
        </w:rPr>
        <w:t>&lt;Amend&gt;</w:t>
      </w:r>
      <w:r>
        <w:t>Módosítás</w:t>
      </w:r>
      <w:r>
        <w:tab/>
      </w:r>
      <w:r>
        <w:tab/>
      </w:r>
      <w:r>
        <w:rPr>
          <w:rStyle w:val="HideTWBExt"/>
        </w:rPr>
        <w:t>&lt;NumAm&gt;</w:t>
      </w:r>
      <w:r>
        <w:t>3595</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Amennyiben a Bizottság, az Ügynökség, az ESA, a Kritikus Technológiák Európai Megfigyelőközpontja, a 75a. cikkben említett Európai Űrügynökségek Fóruma vagy az e szakaszban említett komponensek végrehajtásában részt vevő más szervezet az uniós űrágazatot érintő technológiai hiányosságot vagy kritikus függőséget azonosít, ezen komponens keretében támogatást kell mozgósítani az uniós alapú alternatívák kifejlesztése, kiérlelése, validálása, ipari hasznosítása vagy bevezetése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kritikus függőség azonosítását a program forrásainak mozgósításával összekapcsoló automatikus kiváltó tényező a technológiai szuverenitási elemet passzív nyilvántartásból működési kockázatkezelési eszközzé alakítja át.</w:t>
      </w:r>
    </w:p>
    <w:p>
      <w:r>
        <w:rPr>
          <w:rStyle w:val="HideTWBExt"/>
        </w:rPr>
        <w:t>&lt;/Amend&gt;</w:t>
      </w:r>
    </w:p>
    <w:p>
      <w:pPr>
        <w:pStyle w:val="AmNumberTabs"/>
      </w:pPr>
      <w:r>
        <w:rPr>
          <w:rStyle w:val="HideTWBExt"/>
        </w:rPr>
        <w:t>&lt;Amend&gt;</w:t>
      </w:r>
      <w:r>
        <w:t>Módosítás</w:t>
      </w:r>
      <w:r>
        <w:tab/>
      </w:r>
      <w:r>
        <w:tab/>
      </w:r>
      <w:r>
        <w:rPr>
          <w:rStyle w:val="HideTWBExt"/>
        </w:rPr>
        <w:t>&lt;NumAm&gt;</w:t>
      </w:r>
      <w:r>
        <w:t>3596</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Amennyiben egy adott technológia, áru vagy szolgáltatás könnyen hozzáférhető, uniós alapú helyettesítőinek hiánya miatt a 69. cikk alapján mentességet kérnek vagy adnak, a Bizottság a vonatkozó munkaprogramokba olyan intézkedéseket foglal bele, amelyek célja e függőség csökkentése uniós alapú alternatívák kutatása, fejlesztése, kiérlelése, demonstrációja, validálása, ipari hasznosítása vagy bevezetése révén.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Amennyiben a mentességet azért adják meg, mert nincs európai alternatíva, az Uniónak a strukturális függőségek fenntartása helyett aktívan támogatnia kell az uniós alapú helyettesítők fejlesztését.</w:t>
      </w:r>
    </w:p>
    <w:p>
      <w:r>
        <w:rPr>
          <w:rStyle w:val="HideTWBExt"/>
        </w:rPr>
        <w:t>&lt;/Amend&gt;</w:t>
      </w:r>
    </w:p>
    <w:p>
      <w:pPr>
        <w:pStyle w:val="AmNumberTabs"/>
      </w:pPr>
      <w:r>
        <w:rPr>
          <w:rStyle w:val="HideTWBExt"/>
        </w:rPr>
        <w:t>&lt;Amend&gt;</w:t>
      </w:r>
      <w:r>
        <w:t>Módosítás</w:t>
      </w:r>
      <w:r>
        <w:tab/>
      </w:r>
      <w:r>
        <w:tab/>
      </w:r>
      <w:r>
        <w:rPr>
          <w:rStyle w:val="HideTWBExt"/>
        </w:rPr>
        <w:t>&lt;NumAm&gt;</w:t>
      </w:r>
      <w:r>
        <w:t>3597</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komponens a következő támogatható tevékenységeket foglalja magában:</w:t>
            </w:r>
          </w:p>
        </w:tc>
        <w:tc>
          <w:tcPr>
            <w:tcW w:w="4876" w:type="dxa"/>
            <w:tcBorders>
              <w:top w:val="nil"/>
              <w:left w:val="nil"/>
              <w:bottom w:val="nil"/>
              <w:right w:val="nil"/>
            </w:tcBorders>
          </w:tcPr>
          <w:p>
            <w:pPr>
              <w:pStyle w:val="Normal6a"/>
            </w:pPr>
            <w:r>
              <w:t>(2)</w:t>
            </w:r>
            <w:r>
              <w:tab/>
            </w:r>
            <w:r>
              <w:t>A komponens a következő támogatható tevékenységeket foglalja magában</w:t>
            </w:r>
            <w:r>
              <w:rPr>
                <w:b/>
                <w:i/>
              </w:rPr>
              <w:t>, amelyeket az Ügynökségre és az ESA-ra ruháznak át a saját szakterületüket érintő végrehajtás céljából // amelyeket az Ügynökség az ESA-ra ruházhat át a saját szakterületüket érintő végrehajtás céljából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3598</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komponens a következő támogatható tevékenységeket foglalja magában:</w:t>
            </w:r>
          </w:p>
        </w:tc>
        <w:tc>
          <w:tcPr>
            <w:tcW w:w="4876" w:type="dxa"/>
            <w:tcBorders>
              <w:top w:val="nil"/>
              <w:left w:val="nil"/>
              <w:bottom w:val="nil"/>
              <w:right w:val="nil"/>
            </w:tcBorders>
          </w:tcPr>
          <w:p>
            <w:pPr>
              <w:pStyle w:val="Normal6a"/>
            </w:pPr>
            <w:r>
              <w:t>(2)</w:t>
            </w:r>
            <w:r>
              <w:tab/>
            </w:r>
            <w:r>
              <w:t>A komponens a következő támogatható tevékenységeket foglalja magában</w:t>
            </w:r>
            <w:r>
              <w:rPr>
                <w:b/>
                <w:i/>
              </w:rPr>
              <w:t>, amelyeket végrehajtás céljából az Ügynökségre (EUSPA) ruháznak át, és amelyeket az Ügynökség (EUSPA) végrehajtás céljából továbbruházhat az ESA-ra, amennyiben annak szakterületét érintik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3599</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komponens a következő támogatható tevékenységeket foglalja magában:</w:t>
            </w:r>
          </w:p>
        </w:tc>
        <w:tc>
          <w:tcPr>
            <w:tcW w:w="4876" w:type="dxa"/>
            <w:tcBorders>
              <w:top w:val="nil"/>
              <w:left w:val="nil"/>
              <w:bottom w:val="nil"/>
              <w:right w:val="nil"/>
            </w:tcBorders>
          </w:tcPr>
          <w:p>
            <w:pPr>
              <w:pStyle w:val="Normal6a"/>
            </w:pPr>
            <w:r>
              <w:t>(2)</w:t>
            </w:r>
            <w:r>
              <w:tab/>
            </w:r>
            <w:r>
              <w:t>A komponens a következő támogatható tevékenységeket foglalja magában</w:t>
            </w:r>
            <w:r>
              <w:rPr>
                <w:b/>
                <w:i/>
              </w:rPr>
              <w:t>, amelyek végrehajtására az ESA kap megbízást, amennyiben azok annak a szakterületét érintik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3600</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az Unió technológiai szuverenitásával kapcsolatos tevékenységek, például a kritikus űrtechnológiák kutatása, fejlesztése és </w:t>
            </w:r>
            <w:r>
              <w:rPr>
                <w:b/>
                <w:i/>
              </w:rPr>
              <w:t>alkalmazása</w:t>
            </w:r>
            <w:r>
              <w:t xml:space="preserve">, beleértve azokat is, amelyek közvetlenül reagálnak a Kritikus Technológiák </w:t>
            </w:r>
            <w:r>
              <w:rPr>
                <w:b/>
                <w:i/>
              </w:rPr>
              <w:t>Uniós Megfigyelőközpontjának megállapításaira</w:t>
            </w:r>
            <w:r>
              <w:t>, valamint a Megfigyelőközpont kapcsolódó ütemterveinek végrehajtása, amelyek csökkentik az Unió függőségeit és fokozzák az uniós űrökoszisztéma versenyképességét;</w:t>
            </w:r>
          </w:p>
        </w:tc>
        <w:tc>
          <w:tcPr>
            <w:tcW w:w="4876" w:type="dxa"/>
            <w:tcBorders>
              <w:top w:val="nil"/>
              <w:left w:val="nil"/>
              <w:bottom w:val="nil"/>
              <w:right w:val="nil"/>
            </w:tcBorders>
          </w:tcPr>
          <w:p>
            <w:pPr>
              <w:pStyle w:val="Normal6a"/>
            </w:pPr>
            <w:r>
              <w:t>a)</w:t>
            </w:r>
            <w:r>
              <w:tab/>
            </w:r>
            <w:r>
              <w:t xml:space="preserve">az Unió technológiai szuverenitásával kapcsolatos tevékenységek, például a kritikus űrtechnológiák kutatása, fejlesztése és </w:t>
            </w:r>
            <w:r>
              <w:rPr>
                <w:b/>
                <w:i/>
              </w:rPr>
              <w:t>elterjedése</w:t>
            </w:r>
            <w:r>
              <w:t xml:space="preserve">, beleértve azokat is, amelyek közvetlenül reagálnak </w:t>
            </w:r>
            <w:r>
              <w:rPr>
                <w:b/>
                <w:i/>
              </w:rPr>
              <w:t>az uniós űrágazatnak</w:t>
            </w:r>
            <w:r>
              <w:t xml:space="preserve"> a Kritikus Technológiák </w:t>
            </w:r>
            <w:r>
              <w:rPr>
                <w:b/>
                <w:i/>
              </w:rPr>
              <w:t>Európai Megfigyelőközpontja, a Bizottság, az Ügynökség, az ESA vagy az e szakaszban említett komponensek végrehajtásában részt vevő egyéb szervezetek által azonosított technológiai hiányosságaira és kritikus függőségeire, amelyek folyamatosan azonosítják és frissítik ezeket a hiányosságokat és függőségeket</w:t>
            </w:r>
            <w:r>
              <w:t>, valamint a Megfigyelőközpont kapcsolódó ütemterveinek végrehajtása, amelyek csökkentik az Unió függőségeit és fokozzák az uniós űrökoszisztéma versenyképességét;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Kritikus Technológiák Megfigyelőközpontjának proaktív szerepet kell játszania a technológiai függőségek azonosításában, nem csupán utólag kell rögzítenie azokat.</w:t>
      </w:r>
      <w:r>
        <w:t xml:space="preserve"> </w:t>
      </w:r>
      <w:r>
        <w:t>Ez a pontosság lehetővé teszi az ipari helyreállítási intézkedések kellő időben történő elindítását.</w:t>
      </w:r>
    </w:p>
    <w:p>
      <w:r>
        <w:rPr>
          <w:rStyle w:val="HideTWBExt"/>
        </w:rPr>
        <w:t>&lt;/Amend&gt;</w:t>
      </w:r>
    </w:p>
    <w:p>
      <w:pPr>
        <w:pStyle w:val="AmNumberTabs"/>
      </w:pPr>
      <w:r>
        <w:rPr>
          <w:rStyle w:val="HideTWBExt"/>
        </w:rPr>
        <w:t>&lt;Amend&gt;</w:t>
      </w:r>
      <w:r>
        <w:t>Módosítás</w:t>
      </w:r>
      <w:r>
        <w:tab/>
      </w:r>
      <w:r>
        <w:tab/>
      </w:r>
      <w:r>
        <w:rPr>
          <w:rStyle w:val="HideTWBExt"/>
        </w:rPr>
        <w:t>&lt;NumAm&gt;</w:t>
      </w:r>
      <w:r>
        <w:t>3601</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új </w:t>
            </w:r>
            <w:r>
              <w:rPr>
                <w:b/>
                <w:i/>
              </w:rPr>
              <w:t>uniós</w:t>
            </w:r>
            <w:r>
              <w:t xml:space="preserve"> űrképességek és az új űrgazdaságot előmozdító kapcsolódó alaptechnológiák kutatása és fejlesztése, különösen az űrbeli műveletek és szolgáltatások, valamint a kvantumérzékelési technológiák érettségének fokozása, illetve azok demonstrálása és működőképessé tétele révén;</w:t>
            </w:r>
          </w:p>
        </w:tc>
        <w:tc>
          <w:tcPr>
            <w:tcW w:w="4876" w:type="dxa"/>
            <w:tcBorders>
              <w:top w:val="nil"/>
              <w:left w:val="nil"/>
              <w:bottom w:val="nil"/>
              <w:right w:val="nil"/>
            </w:tcBorders>
          </w:tcPr>
          <w:p>
            <w:pPr>
              <w:pStyle w:val="Normal6a"/>
            </w:pPr>
            <w:r>
              <w:t>c)</w:t>
            </w:r>
            <w:r>
              <w:tab/>
            </w:r>
            <w:r>
              <w:t xml:space="preserve">új </w:t>
            </w:r>
            <w:r>
              <w:rPr>
                <w:b/>
                <w:i/>
              </w:rPr>
              <w:t>európai</w:t>
            </w:r>
            <w:r>
              <w:t xml:space="preserve"> űrképességek és az új űrgazdaságot előmozdító kapcsolódó alaptechnológiák kutatása és fejlesztése, különösen az űrbeli műveletek és szolgáltatások, valamint a kvantumérzékelési technológiák érettségének fokozása, illetve azok demonstrálása és működőképessé tétele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3602</w:t>
      </w:r>
      <w:r>
        <w:rPr>
          <w:rStyle w:val="HideTWBExt"/>
        </w:rPr>
        <w:t>&lt;/NumAm&gt;</w:t>
      </w:r>
    </w:p>
    <w:p>
      <w:pPr>
        <w:pStyle w:val="NormalBold"/>
      </w:pPr>
      <w:r>
        <w:rPr>
          <w:rStyle w:val="HideTWBExt"/>
          <w:b w:val="0"/>
        </w:rPr>
        <w:t>&lt;RepeatBlock-By&gt;</w:t>
      </w:r>
      <w:r>
        <w:rPr>
          <w:rStyle w:val="HideTWBExt"/>
          <w:b w:val="0"/>
        </w:rPr>
        <w:t>&lt;Members&gt;</w:t>
      </w:r>
      <w:r>
        <w:t>Jüri Ratas, Riho Terras, Sven Mikser, 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az olyan kiegészítő területekkel meglévő szinergiák feltárása és kiaknázása, mint a védelem és a mesterséges </w:t>
            </w:r>
            <w:r>
              <w:rPr>
                <w:b/>
                <w:i/>
              </w:rPr>
              <w:t>intelligenciához és a kiberbiztonsághoz hasonló kulcsfontosságú területek szempontjából fontos más ágazatok</w:t>
            </w:r>
            <w:r>
              <w:t>;</w:t>
            </w:r>
          </w:p>
        </w:tc>
        <w:tc>
          <w:tcPr>
            <w:tcW w:w="4876" w:type="dxa"/>
            <w:tcBorders>
              <w:top w:val="nil"/>
              <w:left w:val="nil"/>
              <w:bottom w:val="nil"/>
              <w:right w:val="nil"/>
            </w:tcBorders>
          </w:tcPr>
          <w:p>
            <w:pPr>
              <w:pStyle w:val="Normal6a"/>
            </w:pPr>
            <w:r>
              <w:t>e)</w:t>
            </w:r>
            <w:r>
              <w:tab/>
            </w:r>
            <w:r>
              <w:t xml:space="preserve">az olyan kiegészítő területekkel meglévő szinergiák feltárása és kiaknázása, mint a védelem és </w:t>
            </w:r>
            <w:r>
              <w:rPr>
                <w:b/>
                <w:i/>
              </w:rPr>
              <w:t>más érintett ágazatok, benne</w:t>
            </w:r>
            <w:r>
              <w:t xml:space="preserve"> a mesterséges </w:t>
            </w:r>
            <w:r>
              <w:rPr>
                <w:b/>
                <w:i/>
              </w:rPr>
              <w:t>intelligencia és a kiberbiztonság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3603</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az </w:t>
            </w:r>
            <w:r>
              <w:rPr>
                <w:b/>
                <w:i/>
              </w:rPr>
              <w:t>uniós</w:t>
            </w:r>
            <w:r>
              <w:t xml:space="preserve"> űrágazat szempontjából releváns szabványosítási és tanúsítási tevékenységek támogatása;</w:t>
            </w:r>
          </w:p>
        </w:tc>
        <w:tc>
          <w:tcPr>
            <w:tcW w:w="4876" w:type="dxa"/>
            <w:tcBorders>
              <w:top w:val="nil"/>
              <w:left w:val="nil"/>
              <w:bottom w:val="nil"/>
              <w:right w:val="nil"/>
            </w:tcBorders>
          </w:tcPr>
          <w:p>
            <w:pPr>
              <w:pStyle w:val="Normal6a"/>
            </w:pPr>
            <w:r>
              <w:t>f)</w:t>
            </w:r>
            <w:r>
              <w:tab/>
            </w:r>
            <w:r>
              <w:t xml:space="preserve">az </w:t>
            </w:r>
            <w:r>
              <w:rPr>
                <w:b/>
                <w:i/>
              </w:rPr>
              <w:t>európai</w:t>
            </w:r>
            <w:r>
              <w:t xml:space="preserve"> űrágazat szempontjából releváns szabványosítási és tanúsítási tevékenységek támogatása;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3604</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a Kopernikusz elterjedtebb használatának előmozdítása a Kopernikusz-alapfelhasználók körében piacfejlesztés és kapacitásépítés révén, beleértve a Kopernikusz-adatoknak és -szolgáltatásoknak, illetve a downstream alkalmazásoknak az előmozdítását és azok minden szinten történő fejlesztését a társadalmi-gazdasági előnyök maximalizálása érdekében, valamint a Kopernikusz-felhasználók igényeinek összegyűjtését és elemzését.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felhasználók általi elterjedés és a downstream alkalmazások támogatásával immár átfogóbban foglalkozik a piaci elterjedés komponense, és azt már nem kell megismételni a 67. cikkben.</w:t>
      </w:r>
    </w:p>
    <w:p>
      <w:r>
        <w:rPr>
          <w:rStyle w:val="HideTWBExt"/>
        </w:rPr>
        <w:t>&lt;/Amend&gt;</w:t>
      </w:r>
    </w:p>
    <w:p>
      <w:pPr>
        <w:pStyle w:val="AmNumberTabs"/>
      </w:pPr>
      <w:r>
        <w:rPr>
          <w:rStyle w:val="HideTWBExt"/>
        </w:rPr>
        <w:t>&lt;Amend&gt;</w:t>
      </w:r>
      <w:r>
        <w:t>Módosítás</w:t>
      </w:r>
      <w:r>
        <w:tab/>
      </w:r>
      <w:r>
        <w:tab/>
      </w:r>
      <w:r>
        <w:rPr>
          <w:rStyle w:val="HideTWBExt"/>
        </w:rPr>
        <w:t>&lt;NumAm&gt;</w:t>
      </w:r>
      <w:r>
        <w:t>3605</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 Kopernikusz </w:t>
            </w:r>
            <w:r>
              <w:rPr>
                <w:b/>
                <w:i/>
              </w:rPr>
              <w:t>elterjedtebb használatának</w:t>
            </w:r>
            <w:r>
              <w:t xml:space="preserve"> előmozdítása </w:t>
            </w:r>
            <w:r>
              <w:rPr>
                <w:b/>
                <w:i/>
              </w:rPr>
              <w:t>a Kopernikusz-alapfelhasználók körében</w:t>
            </w:r>
            <w:r>
              <w:t xml:space="preserve"> piacfejlesztés és kapacitásépítés </w:t>
            </w:r>
            <w:r>
              <w:rPr>
                <w:b/>
                <w:i/>
              </w:rPr>
              <w:t>révén</w:t>
            </w:r>
            <w:r>
              <w:t xml:space="preserve">, beleértve </w:t>
            </w:r>
            <w:r>
              <w:rPr>
                <w:b/>
                <w:i/>
              </w:rPr>
              <w:t>a Kopernikusz-adatoknak és -szolgáltatásoknak</w:t>
            </w:r>
            <w:r>
              <w:t xml:space="preserve">, </w:t>
            </w:r>
            <w:r>
              <w:rPr>
                <w:b/>
                <w:i/>
              </w:rPr>
              <w:t>illetve a</w:t>
            </w:r>
            <w:r>
              <w:t xml:space="preserve"> downstream </w:t>
            </w:r>
            <w:r>
              <w:rPr>
                <w:b/>
                <w:i/>
              </w:rPr>
              <w:t>alkalmazásoknak az</w:t>
            </w:r>
            <w:r>
              <w:t xml:space="preserve"> előmozdítását </w:t>
            </w:r>
            <w:r>
              <w:rPr>
                <w:b/>
                <w:i/>
              </w:rPr>
              <w:t>és azok</w:t>
            </w:r>
            <w:r>
              <w:t xml:space="preserve"> minden szinten </w:t>
            </w:r>
            <w:r>
              <w:rPr>
                <w:b/>
                <w:i/>
              </w:rPr>
              <w:t>történő fejlesztését</w:t>
            </w:r>
            <w:r>
              <w:t xml:space="preserve"> a társadalmi-gazdasági előnyök maximalizálása érdekében, valamint </w:t>
            </w:r>
            <w:r>
              <w:rPr>
                <w:b/>
                <w:i/>
              </w:rPr>
              <w:t>a Kopernikusz-felhasználók</w:t>
            </w:r>
            <w:r>
              <w:t xml:space="preserve"> igényeinek összegyűjtését és elemzését.</w:t>
            </w:r>
          </w:p>
        </w:tc>
        <w:tc>
          <w:tcPr>
            <w:tcW w:w="4876" w:type="dxa"/>
            <w:tcBorders>
              <w:top w:val="nil"/>
              <w:left w:val="nil"/>
              <w:bottom w:val="nil"/>
              <w:right w:val="nil"/>
            </w:tcBorders>
          </w:tcPr>
          <w:p>
            <w:pPr>
              <w:pStyle w:val="Normal6a"/>
            </w:pPr>
            <w:r>
              <w:t>h)</w:t>
            </w:r>
            <w:r>
              <w:tab/>
            </w:r>
            <w:r>
              <w:t xml:space="preserve">a Kopernikusz </w:t>
            </w:r>
            <w:r>
              <w:rPr>
                <w:b/>
                <w:i/>
              </w:rPr>
              <w:t>felhasználói elterjedésének</w:t>
            </w:r>
            <w:r>
              <w:t xml:space="preserve"> előmozdítása </w:t>
            </w:r>
            <w:r>
              <w:rPr>
                <w:b/>
                <w:i/>
              </w:rPr>
              <w:t>valamennyi komponens tekintetében,</w:t>
            </w:r>
            <w:r>
              <w:t xml:space="preserve"> piacfejlesztés és kapacitásépítés, beleértve </w:t>
            </w:r>
            <w:r>
              <w:rPr>
                <w:b/>
                <w:i/>
              </w:rPr>
              <w:t>az uniós adatok és szolgáltatások</w:t>
            </w:r>
            <w:r>
              <w:t xml:space="preserve">, downstream </w:t>
            </w:r>
            <w:r>
              <w:rPr>
                <w:b/>
                <w:i/>
              </w:rPr>
              <w:t>alkalmazások és azok fejlesztésének</w:t>
            </w:r>
            <w:r>
              <w:t xml:space="preserve"> előmozdítását minden szinten a társadalmi-gazdasági előnyök maximalizálása érdekében, valamint </w:t>
            </w:r>
            <w:r>
              <w:rPr>
                <w:b/>
                <w:i/>
              </w:rPr>
              <w:t>az uniós űrrendszer felhasználói</w:t>
            </w:r>
            <w:r>
              <w:t xml:space="preserve"> igényeinek összegyűjtését és elemzését.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3606</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 Kopernikusz </w:t>
            </w:r>
            <w:r>
              <w:rPr>
                <w:b/>
                <w:i/>
              </w:rPr>
              <w:t>elterjedtebb használatának</w:t>
            </w:r>
            <w:r>
              <w:t xml:space="preserve"> előmozdítása </w:t>
            </w:r>
            <w:r>
              <w:rPr>
                <w:b/>
                <w:i/>
              </w:rPr>
              <w:t>a Kopernikusz-alapfelhasználók körében</w:t>
            </w:r>
            <w:r>
              <w:t xml:space="preserve"> piacfejlesztés és kapacitásépítés </w:t>
            </w:r>
            <w:r>
              <w:rPr>
                <w:b/>
                <w:i/>
              </w:rPr>
              <w:t>révén</w:t>
            </w:r>
            <w:r>
              <w:t xml:space="preserve">, beleértve </w:t>
            </w:r>
            <w:r>
              <w:rPr>
                <w:b/>
                <w:i/>
              </w:rPr>
              <w:t>a Kopernikusz-adatoknak és -szolgáltatásoknak</w:t>
            </w:r>
            <w:r>
              <w:t xml:space="preserve">, </w:t>
            </w:r>
            <w:r>
              <w:rPr>
                <w:b/>
                <w:i/>
              </w:rPr>
              <w:t>illetve a</w:t>
            </w:r>
            <w:r>
              <w:t xml:space="preserve"> downstream </w:t>
            </w:r>
            <w:r>
              <w:rPr>
                <w:b/>
                <w:i/>
              </w:rPr>
              <w:t>alkalmazásoknak az</w:t>
            </w:r>
            <w:r>
              <w:t xml:space="preserve"> előmozdítását </w:t>
            </w:r>
            <w:r>
              <w:rPr>
                <w:b/>
                <w:i/>
              </w:rPr>
              <w:t>és azok</w:t>
            </w:r>
            <w:r>
              <w:t xml:space="preserve"> minden szinten </w:t>
            </w:r>
            <w:r>
              <w:rPr>
                <w:b/>
                <w:i/>
              </w:rPr>
              <w:t>történő fejlesztését</w:t>
            </w:r>
            <w:r>
              <w:t xml:space="preserve"> a társadalmi-gazdasági előnyök maximalizálása érdekében, valamint </w:t>
            </w:r>
            <w:r>
              <w:rPr>
                <w:b/>
                <w:i/>
              </w:rPr>
              <w:t>a Kopernikusz-felhasználók</w:t>
            </w:r>
            <w:r>
              <w:t xml:space="preserve"> igényeinek összegyűjtését és elemzését.</w:t>
            </w:r>
          </w:p>
        </w:tc>
        <w:tc>
          <w:tcPr>
            <w:tcW w:w="4876" w:type="dxa"/>
            <w:tcBorders>
              <w:top w:val="nil"/>
              <w:left w:val="nil"/>
              <w:bottom w:val="nil"/>
              <w:right w:val="nil"/>
            </w:tcBorders>
          </w:tcPr>
          <w:p>
            <w:pPr>
              <w:pStyle w:val="Normal6a"/>
            </w:pPr>
            <w:r>
              <w:t>h)</w:t>
            </w:r>
            <w:r>
              <w:tab/>
            </w:r>
            <w:r>
              <w:t xml:space="preserve">a Kopernikusz </w:t>
            </w:r>
            <w:r>
              <w:rPr>
                <w:b/>
                <w:i/>
              </w:rPr>
              <w:t>felhasználói elterjedésének</w:t>
            </w:r>
            <w:r>
              <w:t xml:space="preserve"> előmozdítása </w:t>
            </w:r>
            <w:r>
              <w:rPr>
                <w:b/>
                <w:i/>
              </w:rPr>
              <w:t>valamennyi komponens tekintetében,</w:t>
            </w:r>
            <w:r>
              <w:t xml:space="preserve"> piacfejlesztés és kapacitásépítés, beleértve </w:t>
            </w:r>
            <w:r>
              <w:rPr>
                <w:b/>
                <w:i/>
              </w:rPr>
              <w:t>az uniós adatok és szolgáltatások</w:t>
            </w:r>
            <w:r>
              <w:t xml:space="preserve">, downstream </w:t>
            </w:r>
            <w:r>
              <w:rPr>
                <w:b/>
                <w:i/>
              </w:rPr>
              <w:t>alkalmazások és azok fejlesztésének</w:t>
            </w:r>
            <w:r>
              <w:t xml:space="preserve"> előmozdítását minden szinten a társadalmi-gazdasági előnyök maximalizálása érdekében, valamint </w:t>
            </w:r>
            <w:r>
              <w:rPr>
                <w:b/>
                <w:i/>
              </w:rPr>
              <w:t>az uniós űrrendszer felhasználói</w:t>
            </w:r>
            <w:r>
              <w:t xml:space="preserve"> igényeinek összegyűjtését és elemzését.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3607</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 Kopernikusz </w:t>
            </w:r>
            <w:r>
              <w:rPr>
                <w:b/>
                <w:i/>
              </w:rPr>
              <w:t>elterjedtebb használatának</w:t>
            </w:r>
            <w:r>
              <w:t xml:space="preserve"> előmozdítása </w:t>
            </w:r>
            <w:r>
              <w:rPr>
                <w:b/>
                <w:i/>
              </w:rPr>
              <w:t>a Kopernikusz-alapfelhasználók körében</w:t>
            </w:r>
            <w:r>
              <w:t xml:space="preserve"> piacfejlesztés és kapacitásépítés </w:t>
            </w:r>
            <w:r>
              <w:rPr>
                <w:b/>
                <w:i/>
              </w:rPr>
              <w:t>révén</w:t>
            </w:r>
            <w:r>
              <w:t xml:space="preserve">, beleértve </w:t>
            </w:r>
            <w:r>
              <w:rPr>
                <w:b/>
                <w:i/>
              </w:rPr>
              <w:t>a Kopernikusz-adatoknak és -szolgáltatásoknak</w:t>
            </w:r>
            <w:r>
              <w:t xml:space="preserve">, </w:t>
            </w:r>
            <w:r>
              <w:rPr>
                <w:b/>
                <w:i/>
              </w:rPr>
              <w:t>illetve a</w:t>
            </w:r>
            <w:r>
              <w:t xml:space="preserve"> downstream </w:t>
            </w:r>
            <w:r>
              <w:rPr>
                <w:b/>
                <w:i/>
              </w:rPr>
              <w:t>alkalmazásoknak az</w:t>
            </w:r>
            <w:r>
              <w:t xml:space="preserve"> előmozdítását </w:t>
            </w:r>
            <w:r>
              <w:rPr>
                <w:b/>
                <w:i/>
              </w:rPr>
              <w:t>és azok</w:t>
            </w:r>
            <w:r>
              <w:t xml:space="preserve"> minden szinten </w:t>
            </w:r>
            <w:r>
              <w:rPr>
                <w:b/>
                <w:i/>
              </w:rPr>
              <w:t>történő fejlesztését</w:t>
            </w:r>
            <w:r>
              <w:t xml:space="preserve"> a társadalmi-gazdasági előnyök maximalizálása érdekében, valamint </w:t>
            </w:r>
            <w:r>
              <w:rPr>
                <w:b/>
                <w:i/>
              </w:rPr>
              <w:t>a Kopernikusz-felhasználók</w:t>
            </w:r>
            <w:r>
              <w:t xml:space="preserve"> igényeinek összegyűjtését és elemzését.</w:t>
            </w:r>
          </w:p>
        </w:tc>
        <w:tc>
          <w:tcPr>
            <w:tcW w:w="4876" w:type="dxa"/>
            <w:tcBorders>
              <w:top w:val="nil"/>
              <w:left w:val="nil"/>
              <w:bottom w:val="nil"/>
              <w:right w:val="nil"/>
            </w:tcBorders>
          </w:tcPr>
          <w:p>
            <w:pPr>
              <w:pStyle w:val="Normal6a"/>
            </w:pPr>
            <w:r>
              <w:t>h)</w:t>
            </w:r>
            <w:r>
              <w:tab/>
            </w:r>
            <w:r>
              <w:t xml:space="preserve">a Kopernikusz </w:t>
            </w:r>
            <w:r>
              <w:rPr>
                <w:b/>
                <w:i/>
              </w:rPr>
              <w:t>felhasználói elterjedésének</w:t>
            </w:r>
            <w:r>
              <w:t xml:space="preserve"> előmozdítása </w:t>
            </w:r>
            <w:r>
              <w:rPr>
                <w:b/>
                <w:i/>
              </w:rPr>
              <w:t>valamennyi komponens tekintetében,</w:t>
            </w:r>
            <w:r>
              <w:t xml:space="preserve"> piacfejlesztés és kapacitásépítés, beleértve </w:t>
            </w:r>
            <w:r>
              <w:rPr>
                <w:b/>
                <w:i/>
              </w:rPr>
              <w:t>az uniós adatok és szolgáltatások</w:t>
            </w:r>
            <w:r>
              <w:t xml:space="preserve">, downstream </w:t>
            </w:r>
            <w:r>
              <w:rPr>
                <w:b/>
                <w:i/>
              </w:rPr>
              <w:t>alkalmazások és azok fejlesztésének</w:t>
            </w:r>
            <w:r>
              <w:t xml:space="preserve"> előmozdítását minden szinten a társadalmi-gazdasági előnyök maximalizálása érdekében, valamint </w:t>
            </w:r>
            <w:r>
              <w:rPr>
                <w:b/>
                <w:i/>
              </w:rPr>
              <w:t>az uniós űrrendszer felhasználói</w:t>
            </w:r>
            <w:r>
              <w:t xml:space="preserve"> igényeinek összegyűjtését és elemzését.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3608</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h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az uniós űrszolgáltatások transzverzális uniós szabályozási keretekbe való integrálásának felgyorsítása, különös tekintettel az életbiztonságra, a polgári biztonságra, a kritikus infrastruktúrák védelmére és a környezeti fenntarthatóságra vonatkozó keretekre, valamint a felhasználói igények szisztematikus gyűjtése és elemzése valamennyi komponens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3609</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h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az uniós űrszolgáltatások transzverzális uniós szabályozási keretekbe való integrálásának felgyorsítása, különös tekintettel az életbiztonságra, a polgári biztonságra, a kritikus infrastruktúrák védelmére és a környezeti fenntarthatóságra vonatkozó keretekre, valamint a felhasználói igények szisztematikus gyűjtése és elemzése valamennyi komponens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3610</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bekezdés – h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az uniós űrszolgáltatások transzverzális uniós szabályozási keretekbe való integrálásának felgyorsítása, különös tekintettel az életbiztonságra, a polgári biztonságra, a kritikus infrastruktúrák védelmére és a környezeti fenntarthatóságra vonatkozó keretekre, valamint a felhasználói igények szisztematikus gyűjtése és elemzése valamennyi komponens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3611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67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Az 1. cikk (2) bekezdésének d) pontja szerinti, az űrbeli konnektivitási infrastruktúrával kapcsolatos tevékenységeket végrehajtó munkaprogramoknak biztosítaniuk kell, hogy a védelmi, nemzetbiztonsági, határigazgatási, válságkezelési és tengerfelügyeleti missziókat végrehajtó kormányzati felhasználók elsőbbségi hozzáférést kapjanak az IRIS2 keretében rendelkezésre bocsátott kapacitáshoz és az (EU) 2023/588 rendelet alapján létrehozott kormányzati műholdas kommunikációs szolgáltatáshoz.</w:t>
            </w:r>
            <w:r>
              <w:t xml:space="preserve"> </w:t>
            </w:r>
            <w:r>
              <w:rPr>
                <w:b/>
                <w:i/>
              </w:rPr>
              <w:t>A Bizottság az Európai Unió Űrprogramügynökségével és a tagállamokkal együttműködve legkésőbb 12 hónappal e rendelet hatálybalépését követően meghatározza a munkaprogramban az elsőbbségi hozzáférés feltételeit, beleértve az esetleges biztonsági akkreditációs követelményeket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IRIS² and GOVSATCOM were conceived as governmental secure connectivity services, with defence and national security as their primary use cases.</w:t>
      </w:r>
      <w:r>
        <w:t xml:space="preserve"> </w:t>
      </w:r>
      <w:r>
        <w:t>The Commission proposal funds them under Window 4 but does not secure priority access for defence users in the work programme architecture.</w:t>
      </w:r>
      <w:r>
        <w:t xml:space="preserve"> </w:t>
      </w:r>
      <w:r>
        <w:t>The amendment remedies this by establishing a priority-access obligation for governmental defence users, operationalising the White Paper for European Defence Readiness 2030's requirement for assured sovereign connectivity and reinforcing the Regulation's strategic-autonomy objective under Article 3(2)(d).</w:t>
      </w:r>
    </w:p>
    <w:p>
      <w:r>
        <w:rPr>
          <w:rStyle w:val="HideTWBExt"/>
        </w:rPr>
        <w:t>&lt;/Amend&gt;</w:t>
      </w:r>
    </w:p>
    <w:p>
      <w:pPr>
        <w:pStyle w:val="AmNumberTabs"/>
      </w:pPr>
      <w:r>
        <w:rPr>
          <w:rStyle w:val="HideTWBExt"/>
        </w:rPr>
        <w:t>&lt;Amend&gt;</w:t>
      </w:r>
      <w:r>
        <w:t>Módosítás</w:t>
      </w:r>
      <w:r>
        <w:tab/>
      </w:r>
      <w:r>
        <w:tab/>
      </w:r>
      <w:r>
        <w:rPr>
          <w:rStyle w:val="HideTWBExt"/>
        </w:rPr>
        <w:t>&lt;NumAm&gt;</w:t>
      </w:r>
      <w:r>
        <w:t>3612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69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Bizottság alkalmazza a (2) bekezdésben meghatározott, az e cím hatálya alá tartozó közbeszerzésre, vissza nem térítendő támogatásokra vagy pénzdíjakra vonatkozó jogosultsági és részvételi feltételeket</w:t>
            </w:r>
            <w:r>
              <w:rPr>
                <w:b/>
                <w:i/>
              </w:rPr>
              <w:t>, amennyiben úgy ítéli meg, hogy ez szükséges és helyénvaló</w:t>
            </w:r>
            <w:r>
              <w:t xml:space="preserve"> a működő uniós rendszerek biztonságának, sértetlenségének és rezilienciájának megőrzéséhez, figyelembe véve az Unió stratégiai autonómiájának előmozdítására vonatkozó célkitűzést, különösen a legfontosabb technológiákkal és értékláncokkal kapcsolatos technológia tekintetében, megőrizve ugyanakkor a nyitott gazdaságot.</w:t>
            </w:r>
          </w:p>
        </w:tc>
        <w:tc>
          <w:tcPr>
            <w:tcW w:w="4876" w:type="dxa"/>
            <w:tcBorders>
              <w:top w:val="nil"/>
              <w:left w:val="nil"/>
              <w:bottom w:val="nil"/>
              <w:right w:val="nil"/>
            </w:tcBorders>
          </w:tcPr>
          <w:p>
            <w:pPr>
              <w:pStyle w:val="Normal6a"/>
            </w:pPr>
            <w:r>
              <w:rPr>
                <w:b/>
                <w:i/>
              </w:rPr>
              <w:t>1.</w:t>
            </w:r>
            <w:r>
              <w:tab/>
            </w:r>
            <w:r>
              <w:t xml:space="preserve">A Bizottság alkalmazza a (2) bekezdésben meghatározott, az e cím hatálya alá tartozó közbeszerzésre, vissza nem térítendő támogatásokra vagy pénzdíjakra vonatkozó jogosultsági és részvételi feltételeket a működő uniós rendszerek biztonságának, sértetlenségének és rezilienciájának megőrzéséhez, figyelembe véve az Unió stratégiai autonómiájának előmozdítására vonatkozó célkitűzést, különösen a legfontosabb technológiákkal és értékláncokkal kapcsolatos technológia tekintetében, megőrizve ugyanakkor a nyitott gazdaságot. </w:t>
            </w:r>
            <w:r>
              <w:rPr>
                <w:b/>
                <w:i/>
              </w:rPr>
              <w:t>A Bizottság csak kellően indokolt, kivételes esetekben dönthet úgy, hogy nem alkalmazza ezeket a feltételeket, miután kockázatértékelés igazolta, hogy alkalmazásuk nem szükséges az operatív uniós rendszerek biztonságának, integritásának és rezilienciájának megőrzéséhez.</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biztonsággal kapcsolatos jogosultsági feltételeket alapértelmezés szerint alkalmazni kell.</w:t>
      </w:r>
      <w:r>
        <w:t xml:space="preserve"> </w:t>
      </w:r>
      <w:r>
        <w:t>Az eltéréseknek kivételeseknek és indokoltaknak kell maradniuk, és megfelelő kockázatértékelés tárgyát kell képezniük.</w:t>
      </w:r>
    </w:p>
    <w:p>
      <w:r>
        <w:rPr>
          <w:rStyle w:val="HideTWBExt"/>
        </w:rPr>
        <w:t>&lt;/Amend&gt;</w:t>
      </w:r>
    </w:p>
    <w:p>
      <w:pPr>
        <w:pStyle w:val="AmNumberTabs"/>
      </w:pPr>
      <w:r>
        <w:rPr>
          <w:rStyle w:val="HideTWBExt"/>
        </w:rPr>
        <w:t>&lt;Amend&gt;</w:t>
      </w:r>
      <w:r>
        <w:t>Módosítás</w:t>
      </w:r>
      <w:r>
        <w:tab/>
      </w:r>
      <w:r>
        <w:tab/>
      </w:r>
      <w:r>
        <w:rPr>
          <w:rStyle w:val="HideTWBExt"/>
        </w:rPr>
        <w:t>&lt;NumAm&gt;</w:t>
      </w:r>
      <w:r>
        <w:t>3613</w:t>
      </w:r>
      <w:r>
        <w:rPr>
          <w:rStyle w:val="HideTWBExt"/>
        </w:rPr>
        <w:t>&lt;/NumAm&gt;</w:t>
      </w:r>
    </w:p>
    <w:p>
      <w:pPr>
        <w:pStyle w:val="NormalBold"/>
      </w:pPr>
      <w:r>
        <w:rPr>
          <w:rStyle w:val="HideTWBExt"/>
          <w:b w:val="0"/>
        </w:rPr>
        <w:t>&lt;RepeatBlock-By&gt;</w:t>
      </w:r>
      <w:r>
        <w:rPr>
          <w:rStyle w:val="HideTWBExt"/>
          <w:b w:val="0"/>
        </w:rPr>
        <w:t>&lt;Members&gt;</w:t>
      </w:r>
      <w:r>
        <w:t>Yvan Verougstraete, Brigitte van den Berg,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69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Bizottság alkalmazza a (2) bekezdésben meghatározott, az e cím hatálya alá tartozó közbeszerzésre, vissza nem térítendő támogatásokra vagy pénzdíjakra vonatkozó jogosultsági és részvételi feltételeket</w:t>
            </w:r>
            <w:r>
              <w:rPr>
                <w:b/>
                <w:i/>
              </w:rPr>
              <w:t>, amennyiben úgy ítéli meg, hogy ez szükséges és helyénvaló</w:t>
            </w:r>
            <w:r>
              <w:t xml:space="preserve"> a működő uniós rendszerek biztonságának, sértetlenségének és rezilienciájának megőrzéséhez, figyelembe véve az Unió stratégiai autonómiájának előmozdítására vonatkozó célkitűzést, különösen a legfontosabb technológiákkal és értékláncokkal kapcsolatos technológia tekintetében, megőrizve ugyanakkor a nyitott gazdaságot.</w:t>
            </w:r>
          </w:p>
        </w:tc>
        <w:tc>
          <w:tcPr>
            <w:tcW w:w="4876" w:type="dxa"/>
            <w:tcBorders>
              <w:top w:val="nil"/>
              <w:left w:val="nil"/>
              <w:bottom w:val="nil"/>
              <w:right w:val="nil"/>
            </w:tcBorders>
          </w:tcPr>
          <w:p>
            <w:pPr>
              <w:pStyle w:val="Normal6a"/>
            </w:pPr>
            <w:r>
              <w:rPr>
                <w:b/>
                <w:i/>
              </w:rPr>
              <w:t>1.</w:t>
            </w:r>
            <w:r>
              <w:tab/>
            </w:r>
            <w:r>
              <w:t xml:space="preserve">A Bizottság alkalmazza a (2) bekezdésben meghatározott, az e cím hatálya alá tartozó közbeszerzésre, vissza nem térítendő támogatásokra vagy pénzdíjakra vonatkozó jogosultsági és részvételi feltételeket a működő uniós rendszerek biztonságának, sértetlenségének és rezilienciájának megőrzéséhez, figyelembe véve az Unió stratégiai autonómiájának előmozdítására vonatkozó célkitűzést, különösen a legfontosabb technológiákkal és értékláncokkal kapcsolatos technológia tekintetében, megőrizve ugyanakkor a nyitott gazdaságot. </w:t>
            </w:r>
            <w:r>
              <w:rPr>
                <w:b/>
                <w:i/>
              </w:rPr>
              <w:t>A Bizottság csak kellően indokolt, kivételes esetekben dönthet úgy, hogy nem alkalmazza ezeket a feltételeket, miután kockázatértékelés igazolta, hogy alkalmazásuk nem szükséges az operatív uniós rendszerek biztonságának, integritásának és rezilienciájának megőrzéséhez.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3614</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69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 jogosultsági és részvételi feltételeknek az (1) bekezdéssel összhangban való alkalmazását megelőzően a Bizottság tájékoztatja a 83. cikk (1) bekezdésének g) pontjában említett bizottságot és a lehető legnagyobb mértékben figyelembe veszi a tagállamoknak az említett jogosultsági és részvételi feltételek alkalmazási körével és indokolásával kapcsolatos véleményét.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 bekezdés törlése biztosítja, hogy a biztonsággal kapcsolatos támogathatósági feltételek alapértelmezett szabályként hatékonyan alkalmazhatók legyenek.</w:t>
      </w:r>
    </w:p>
    <w:p>
      <w:r>
        <w:rPr>
          <w:rStyle w:val="HideTWBExt"/>
        </w:rPr>
        <w:t>&lt;/Amend&gt;</w:t>
      </w:r>
    </w:p>
    <w:p>
      <w:pPr>
        <w:pStyle w:val="AmNumberTabs"/>
      </w:pPr>
      <w:r>
        <w:rPr>
          <w:rStyle w:val="HideTWBExt"/>
        </w:rPr>
        <w:t>&lt;Amend&gt;</w:t>
      </w:r>
      <w:r>
        <w:t>Módosítás</w:t>
      </w:r>
      <w:r>
        <w:tab/>
      </w:r>
      <w:r>
        <w:tab/>
      </w:r>
      <w:r>
        <w:rPr>
          <w:rStyle w:val="HideTWBExt"/>
        </w:rPr>
        <w:t>&lt;NumAm&gt;</w:t>
      </w:r>
      <w:r>
        <w:t>3615</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69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 jogosultsági és részvételi feltételeknek az (1) bekezdéssel összhangban való alkalmazását megelőzően a Bizottság tájékoztatja a 83. cikk (1) bekezdésének g) pontjában említett bizottságot és a lehető legnagyobb mértékben figyelembe veszi a tagállamoknak az említett jogosultsági és részvételi feltételek alkalmazási körével és indokolásával kapcsolatos véleményét.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3616</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69 cikk – 3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támogatható jogalanynak kötelezettséget kell vállalnia arra, hogy </w:t>
            </w:r>
            <w:r>
              <w:rPr>
                <w:b/>
                <w:i/>
              </w:rPr>
              <w:t>minden</w:t>
            </w:r>
            <w:r>
              <w:t xml:space="preserve"> kapcsolódó </w:t>
            </w:r>
            <w:r>
              <w:rPr>
                <w:b/>
                <w:i/>
              </w:rPr>
              <w:t>tevékenységet</w:t>
            </w:r>
            <w:r>
              <w:t xml:space="preserve"> egy vagy több tagállamban </w:t>
            </w:r>
            <w:r>
              <w:rPr>
                <w:b/>
                <w:i/>
              </w:rPr>
              <w:t>végez;</w:t>
            </w:r>
            <w:r>
              <w:t xml:space="preserve"> </w:t>
            </w:r>
            <w:r>
              <w:rPr>
                <w:b/>
                <w:i/>
              </w:rPr>
              <w:t>valamint</w:t>
            </w:r>
          </w:p>
        </w:tc>
        <w:tc>
          <w:tcPr>
            <w:tcW w:w="4876" w:type="dxa"/>
            <w:tcBorders>
              <w:top w:val="nil"/>
              <w:left w:val="nil"/>
              <w:bottom w:val="nil"/>
              <w:right w:val="nil"/>
            </w:tcBorders>
          </w:tcPr>
          <w:p>
            <w:pPr>
              <w:pStyle w:val="Normal6a"/>
            </w:pPr>
            <w:r>
              <w:t>b)</w:t>
            </w:r>
            <w:r>
              <w:tab/>
            </w:r>
            <w:r>
              <w:t xml:space="preserve">a támogatható jogalanynak kötelezettséget kell vállalnia arra, hogy </w:t>
            </w:r>
            <w:r>
              <w:rPr>
                <w:b/>
                <w:i/>
              </w:rPr>
              <w:t>a</w:t>
            </w:r>
            <w:r>
              <w:t xml:space="preserve"> kapcsolódó </w:t>
            </w:r>
            <w:r>
              <w:rPr>
                <w:b/>
                <w:i/>
              </w:rPr>
              <w:t>tevékenységeket túlnyomó részben</w:t>
            </w:r>
            <w:r>
              <w:t xml:space="preserve"> egy vagy több tagállamban </w:t>
            </w:r>
            <w:r>
              <w:rPr>
                <w:b/>
                <w:i/>
              </w:rPr>
              <w:t>végzi;</w:t>
            </w:r>
            <w:r>
              <w:t xml:space="preserve"> </w:t>
            </w:r>
            <w:r>
              <w:rPr>
                <w:b/>
                <w:i/>
              </w:rPr>
              <w:t>továbbá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3617</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69 cikk – 3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az EGT-tag társult országban működő olyan jogalany, amely igazodik az a), b) és c) pontban foglalt kritériumokhoz, az EGT-megállapodásban meghatározott feltételekkel összhangban szintén támogatható.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3618</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70 cikk – 2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kutatási és fejlesztési tevékenységek, szolgáltatási szerződések és társfinanszírozott eszközök.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3619</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Eltérő rendelkezés hiányában</w:t>
            </w:r>
            <w:r>
              <w:t xml:space="preserve"> az e szakasz szerinti komponensek és tevékenységek által nyújtott szolgáltatások</w:t>
            </w:r>
            <w:r>
              <w:rPr>
                <w:b/>
                <w:i/>
              </w:rPr>
              <w:t>, adatok és információk minőségére, pontosságára, elérhetőségére, megbízhatóságára, sebességére</w:t>
            </w:r>
            <w:r>
              <w:t xml:space="preserve"> és bármilyen célra való </w:t>
            </w:r>
            <w:r>
              <w:rPr>
                <w:b/>
                <w:i/>
              </w:rPr>
              <w:t>alkalmasságára nem nyújtható sem kifejezett, sem hallgatólagos szavatosság.</w:t>
            </w:r>
            <w:r>
              <w:t xml:space="preserve"> </w:t>
            </w:r>
            <w:r>
              <w:rPr>
                <w:b/>
                <w:i/>
              </w:rPr>
              <w:t>Az Unió, beleértve a Bizottságot és az Ügynökséget (EUSPA), nem tartozik felelősséggel</w:t>
            </w:r>
            <w:r>
              <w:t>.</w:t>
            </w:r>
          </w:p>
        </w:tc>
        <w:tc>
          <w:tcPr>
            <w:tcW w:w="4876" w:type="dxa"/>
            <w:tcBorders>
              <w:top w:val="nil"/>
              <w:left w:val="nil"/>
              <w:bottom w:val="nil"/>
              <w:right w:val="nil"/>
            </w:tcBorders>
          </w:tcPr>
          <w:p>
            <w:pPr>
              <w:pStyle w:val="Normal6a"/>
            </w:pPr>
            <w:r>
              <w:rPr>
                <w:b/>
                <w:i/>
              </w:rPr>
              <w:t>1.</w:t>
            </w:r>
            <w:r>
              <w:tab/>
            </w:r>
            <w:r>
              <w:t xml:space="preserve">Az e szakasz szerinti komponensek és tevékenységek által nyújtott </w:t>
            </w:r>
            <w:r>
              <w:rPr>
                <w:b/>
                <w:i/>
              </w:rPr>
              <w:t>szolgáltatásokra, adatokra és információkra a Bizottság által a 83. cikk (3) bekezdésében említett vizsgálóbizottsági eljárással összhangban végrehajtási jogi aktusok révén elfogadott minimális szolgáltatási kötelezettségek vonatkoznak az egyes komponensek minden egyes szolgáltatása, különösen az 59. cikk (3) bekezdésében, a 60. cikkben és a 61. cikkben említett egyes</w:t>
            </w:r>
            <w:r>
              <w:t xml:space="preserve"> szolgáltatások </w:t>
            </w:r>
            <w:r>
              <w:rPr>
                <w:b/>
                <w:i/>
              </w:rPr>
              <w:t>tekintetében, biztosítva azok minőségét, pontosságát, rendelkezésre állását, megbízhatóságát, sebességét</w:t>
            </w:r>
            <w:r>
              <w:t xml:space="preserve"> és bármilyen célra való </w:t>
            </w:r>
            <w:r>
              <w:rPr>
                <w:b/>
                <w:i/>
              </w:rPr>
              <w:t>alkalmasságát.</w:t>
            </w:r>
            <w:r>
              <w:t xml:space="preserve"> </w:t>
            </w:r>
            <w:r>
              <w:rPr>
                <w:b/>
                <w:i/>
              </w:rPr>
              <w:t>Ezek a kötelezettségek bármely műhold vagy más operatív eszköz meghibásodása vagy elvesztése esetén is alkalmazandók;</w:t>
            </w:r>
            <w:r>
              <w:t xml:space="preserve"> </w:t>
            </w:r>
            <w:r>
              <w:rPr>
                <w:b/>
                <w:i/>
              </w:rPr>
              <w:t>a 74. cikk szerint megkötött megbízási megállapodásoknak rendelkezniük kell az üzemeltetési szolgáltatási szintek ilyen körülmények közötti fenntartásáról, valamint a meghiúsult eszközök pótlására vonatkozó megfelelő rendelkezésekről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3620</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Eltérő rendelkezés hiányában az e szakasz szerinti komponensek és tevékenységek által nyújtott szolgáltatások, adatok és információk minőségére, pontosságára, elérhetőségére, megbízhatóságára, sebességére és bármilyen célra való alkalmasságára nem nyújtható sem kifejezett, sem hallgatólagos szavatosság. Az Unió, beleértve a Bizottságot és az Ügynökséget (EUSPA), nem tartozik felelősséggel.</w:t>
            </w:r>
          </w:p>
        </w:tc>
        <w:tc>
          <w:tcPr>
            <w:tcW w:w="4876" w:type="dxa"/>
            <w:tcBorders>
              <w:top w:val="nil"/>
              <w:left w:val="nil"/>
              <w:bottom w:val="nil"/>
              <w:right w:val="nil"/>
            </w:tcBorders>
          </w:tcPr>
          <w:p>
            <w:pPr>
              <w:pStyle w:val="Normal6a"/>
            </w:pPr>
            <w:r>
              <w:rPr>
                <w:i/>
              </w:rPr>
              <w:t>(A magyar változatot nem érinti.)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magyar változatot nem érinti.)</w:t>
      </w:r>
    </w:p>
    <w:p>
      <w:r>
        <w:rPr>
          <w:rStyle w:val="HideTWBExt"/>
        </w:rPr>
        <w:t>&lt;/Amend&gt;</w:t>
      </w:r>
    </w:p>
    <w:p>
      <w:pPr>
        <w:pStyle w:val="AmNumberTabs"/>
      </w:pPr>
      <w:r>
        <w:rPr>
          <w:rStyle w:val="HideTWBExt"/>
        </w:rPr>
        <w:t>&lt;Amend&gt;</w:t>
      </w:r>
      <w:r>
        <w:t>Módosítás</w:t>
      </w:r>
      <w:r>
        <w:tab/>
      </w:r>
      <w:r>
        <w:tab/>
      </w:r>
      <w:r>
        <w:rPr>
          <w:rStyle w:val="HideTWBExt"/>
        </w:rPr>
        <w:t>&lt;NumAm&gt;</w:t>
      </w:r>
      <w:r>
        <w:t>3621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Eltérő rendelkezés hiányában az e szakasz szerinti komponensek és tevékenységek</w:t>
            </w:r>
            <w:r>
              <w:t xml:space="preserve"> által nyújtott szolgáltatások, adatok </w:t>
            </w:r>
            <w:r>
              <w:rPr>
                <w:b/>
                <w:i/>
              </w:rPr>
              <w:t>és információk minőségére, pontosságára, elérhetőségére, megbízhatóságára, sebességére és bármilyen célra való alkalmasságára nem nyújtható sem kifejezett, sem hallgatólagos szavatosság.</w:t>
            </w:r>
            <w:r>
              <w:t xml:space="preserve"> </w:t>
            </w:r>
            <w:r>
              <w:rPr>
                <w:b/>
                <w:i/>
              </w:rPr>
              <w:t>Az Unió, beleértve a Bizottságot és az Ügynökséget (EUSPA), nem tartozik felelősséggel</w:t>
            </w:r>
            <w:r>
              <w:t>.</w:t>
            </w:r>
          </w:p>
        </w:tc>
        <w:tc>
          <w:tcPr>
            <w:tcW w:w="4876" w:type="dxa"/>
            <w:tcBorders>
              <w:top w:val="nil"/>
              <w:left w:val="nil"/>
              <w:bottom w:val="nil"/>
              <w:right w:val="nil"/>
            </w:tcBorders>
          </w:tcPr>
          <w:p>
            <w:pPr>
              <w:pStyle w:val="Normal6a"/>
            </w:pPr>
            <w:r>
              <w:rPr>
                <w:b/>
                <w:i/>
              </w:rPr>
              <w:t>1.</w:t>
            </w:r>
            <w:r>
              <w:tab/>
            </w:r>
            <w:r>
              <w:rPr>
                <w:b/>
                <w:i/>
              </w:rPr>
              <w:t>A rendszerek tulajdonosa nyilatkozik arról, hogy az e rendeletben említett műholdas rendszerek</w:t>
            </w:r>
            <w:r>
              <w:t xml:space="preserve"> által nyújtott </w:t>
            </w:r>
            <w:r>
              <w:rPr>
                <w:b/>
                <w:i/>
              </w:rPr>
              <w:t>adatok és</w:t>
            </w:r>
            <w:r>
              <w:t xml:space="preserve"> szolgáltatások </w:t>
            </w:r>
            <w:r>
              <w:rPr>
                <w:b/>
                <w:i/>
              </w:rPr>
              <w:t>megfelelnek a bejelentett szolgáltatási paramétereknek.</w:t>
            </w:r>
            <w:r>
              <w:t xml:space="preserve"> </w:t>
            </w:r>
            <w:r>
              <w:rPr>
                <w:b/>
                <w:i/>
              </w:rPr>
              <w:t>Abban az esetben</w:t>
            </w:r>
            <w:r>
              <w:t xml:space="preserve">, </w:t>
            </w:r>
            <w:r>
              <w:rPr>
                <w:b/>
                <w:i/>
              </w:rPr>
              <w:t>ha az</w:t>
            </w:r>
            <w:r>
              <w:t xml:space="preserve"> adatok </w:t>
            </w:r>
            <w:r>
              <w:rPr>
                <w:b/>
                <w:i/>
              </w:rPr>
              <w:t>vagy szolgáltatások nem felelnek meg a megadott paramétereknek, a rendszerek tulajdonosa vagy a tulajdonos által kijelölt szervezet – amennyiben műszakilag megvalósítható – haladéktalanul tájékoztatja erről a felhasználókat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3622</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71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 garanciáknak ki kell terjedniük legalább a következőkre: a) rendelkezésre állás; b) a szolgáltatás folyamatossága; c) pontosság és integritás; d) a beavatkozással, zavarással és kibertámadásokkal szembeni reziliencia.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minimális szolgáltatási kötelezettségeknek ki kell terjedniük azokra a kulcsfontosságú tulajdonságokra, amelyekre a felhasználók ténylegesen támaszkodnak:</w:t>
      </w:r>
      <w:r>
        <w:t xml:space="preserve"> </w:t>
      </w:r>
      <w:r>
        <w:t>rendelkezésre állás, folytonosság, pontosság, integritás és az ellenséges beavatkozással szembeni reziliencia.</w:t>
      </w:r>
    </w:p>
    <w:p>
      <w:r>
        <w:rPr>
          <w:rStyle w:val="HideTWBExt"/>
        </w:rPr>
        <w:t>&lt;/Amend&gt;</w:t>
      </w:r>
    </w:p>
    <w:p>
      <w:pPr>
        <w:pStyle w:val="AmNumberTabs"/>
      </w:pPr>
      <w:r>
        <w:rPr>
          <w:rStyle w:val="HideTWBExt"/>
        </w:rPr>
        <w:t>&lt;Amend&gt;</w:t>
      </w:r>
      <w:r>
        <w:t>Módosítás</w:t>
      </w:r>
      <w:r>
        <w:tab/>
      </w:r>
      <w:r>
        <w:tab/>
      </w:r>
      <w:r>
        <w:rPr>
          <w:rStyle w:val="HideTWBExt"/>
        </w:rPr>
        <w:t>&lt;NumAm&gt;</w:t>
      </w:r>
      <w:r>
        <w:t>3623</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71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 garanciáknak ki kell terjedniük legalább a következőkre: a) rendelkezésre állás; b) a szolgáltatás folyamatossága; c) pontosság és integritás; d) a beavatkozással, zavarással és kibertámadásokkal szembeni reziliencia.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3624</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71 cikk – 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Minden végrehajtó szervezet fenntart egy szolgáltatásfolytonossági tervet, amely meghatározza a biztonsági mentési intézkedéseket, a minimális korlátozott szolgáltatási képességet és a maximális helyreállítási határidőket.</w:t>
            </w:r>
            <w:r>
              <w:t xml:space="preserve"> </w:t>
            </w:r>
            <w:r>
              <w:rPr>
                <w:b/>
                <w:i/>
              </w:rPr>
              <w:t>A terveket évente felül kell vizsgálni és be kell nyújtani a Bizottságnak.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Minden végrehajtó szervezetnek rendelkeznie kell egy szolgáltatásfolytonossági tervvel annak biztosítása érdekében, hogy a meghibásodások vagy csökkent minőségű szolgáltatások ne szakítsák meg a kritikus uniós űrszolgáltatásokat.</w:t>
      </w:r>
    </w:p>
    <w:p>
      <w:r>
        <w:rPr>
          <w:rStyle w:val="HideTWBExt"/>
        </w:rPr>
        <w:t>&lt;/Amend&gt;</w:t>
      </w:r>
    </w:p>
    <w:p>
      <w:pPr>
        <w:pStyle w:val="AmNumberTabs"/>
      </w:pPr>
      <w:r>
        <w:rPr>
          <w:rStyle w:val="HideTWBExt"/>
        </w:rPr>
        <w:t>&lt;Amend&gt;</w:t>
      </w:r>
      <w:r>
        <w:t>Módosítás</w:t>
      </w:r>
      <w:r>
        <w:tab/>
      </w:r>
      <w:r>
        <w:tab/>
      </w:r>
      <w:r>
        <w:rPr>
          <w:rStyle w:val="HideTWBExt"/>
        </w:rPr>
        <w:t>&lt;NumAm&gt;</w:t>
      </w:r>
      <w:r>
        <w:t>3625</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71 cikk – 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Minden végrehajtó szervezet fenntart egy szolgáltatásfolytonossági tervet, amely meghatározza a biztonsági mentési intézkedéseket, a minimális korlátozott szolgáltatási képességet és a maximális helyreállítási határidőket.</w:t>
            </w:r>
            <w:r>
              <w:t xml:space="preserve"> </w:t>
            </w:r>
            <w:r>
              <w:rPr>
                <w:b/>
                <w:i/>
              </w:rPr>
              <w:t>A terveket évente felül kell vizsgálni és be kell nyújtani a Bizottságnak.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3626</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71 cikk – 1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Az alkalmazandó küszöbértékeket meghaladó üzemszüneteket vagy üzemzavarokat 24 órán belül jelenteni kell a Bizottságnak.</w:t>
            </w:r>
            <w:r>
              <w:t xml:space="preserve"> </w:t>
            </w:r>
            <w:r>
              <w:rPr>
                <w:b/>
                <w:i/>
              </w:rPr>
              <w:t>A Bizottság 48 órán belül értesíti az Európai Parlamentet, a Tanácsot és az érintett tagállamokat a súlyos váratlan eseményekről, és éves eseményjelentést tesz közzé, kivéve azokat az információkat, amelyek közzététele ellentétes lenne az Unió vagy tagállamai biztonsági érdekeivel.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jelentős üzemszüneteket gyorsan jelenteni kell az átláthatóság, a politikai felügyelet és az érintett tagállamok és intézmények időben történő tájékoztatásának biztosítása érdekében.</w:t>
      </w:r>
    </w:p>
    <w:p>
      <w:r>
        <w:rPr>
          <w:rStyle w:val="HideTWBExt"/>
        </w:rPr>
        <w:t>&lt;/Amend&gt;</w:t>
      </w:r>
    </w:p>
    <w:p>
      <w:pPr>
        <w:pStyle w:val="AmNumberTabs"/>
      </w:pPr>
      <w:r>
        <w:rPr>
          <w:rStyle w:val="HideTWBExt"/>
        </w:rPr>
        <w:t>&lt;Amend&gt;</w:t>
      </w:r>
      <w:r>
        <w:t>Módosítás</w:t>
      </w:r>
      <w:r>
        <w:tab/>
      </w:r>
      <w:r>
        <w:tab/>
      </w:r>
      <w:r>
        <w:rPr>
          <w:rStyle w:val="HideTWBExt"/>
        </w:rPr>
        <w:t>&lt;NumAm&gt;</w:t>
      </w:r>
      <w:r>
        <w:t>3627</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71 cikk – 1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Az alkalmazandó küszöbértékeket meghaladó üzemszüneteket vagy üzemzavarokat 24 órán belül jelenteni kell a Bizottságnak.</w:t>
            </w:r>
            <w:r>
              <w:t xml:space="preserve"> </w:t>
            </w:r>
            <w:r>
              <w:rPr>
                <w:b/>
                <w:i/>
              </w:rPr>
              <w:t>A Bizottság 48 órán belül értesíti az Európai Parlamentet, a Tanácsot és a tagállamokat a súlyos váratlan eseményekről, és éves jelentést tesz közzé a váratlan eseményekről.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3628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71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Az SST esetében az SST-alkomponensben részt vevő tagállamok nem vonhatók felelősségre a következőkért:</w:t>
            </w:r>
            <w:r>
              <w:t xml:space="preserve"> </w:t>
            </w:r>
            <w:r>
              <w:rPr>
                <w:b/>
                <w:i/>
              </w:rPr>
              <w:t>az SST-szolgáltatások nyújtásának hiányából, megszakadásából vagy késedelméből eredő károk;</w:t>
            </w:r>
            <w:r>
              <w:t xml:space="preserve"> </w:t>
            </w:r>
            <w:r>
              <w:rPr>
                <w:b/>
                <w:i/>
              </w:rPr>
              <w:t>az SST-szolgáltatásokon vagy az SST-szolgáltatások nyújtására válaszul hozott intézkedéseken keresztül szolgáltatott információk pontatlansága.</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3629</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71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rendszerek tulajdonosa nyilatkozik arról, hogy az e rendeletben említett műholdas rendszerek által nyújtott adatok és szolgáltatások megfelelnek a bejelentett szolgáltatási paramétereknek.</w:t>
            </w:r>
            <w:r>
              <w:t xml:space="preserve"> </w:t>
            </w:r>
            <w:r>
              <w:rPr>
                <w:b/>
                <w:i/>
              </w:rPr>
              <w:t>Abban az esetben, ha az adatok vagy szolgáltatások nem felelnek meg a megadott paramétereknek, a rendszerek tulajdonosa vagy a tulajdonos által kijelölt szervezet – amennyiben műszakilag megvalósítható – haladéktalanul tájékoztatja erről a felhasználókat.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3630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72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Unió autonómiájának védelme érdekében az ajánlatkérő szerv kérheti, hogy az ajánlattevő a szerződés egy részét versenyeztetés keretében adja ki megfelelő szintű alvállalkozásba olyan gazdasági társaságoknak, amelyek nem tartoznak az ajánlattevő vállalatcsoportjához. A 10 millió EUR-t meghaladó szerződések esetében az ajánlatkérő szervnek törekednie kell annak biztosítására, hogy a szerződés értékének legalább 30 %-át különböző szintű alvállalkozói versenyeztetéssel alvállalkozásba adják a fő ajánlattevő csoportján kívüli gazdasági társaságoknak, különösen a kkv-knak az űrökoszisztémában megvalósuló, határon átnyúló részvételének lehetővé tétele érdekében. Az ajánlattevőnek meg kell indokolnia, amennyiben nem teljesíti az alvállalkozásba adásra vonatkozó kérést, vagy ha eltér a </w:t>
            </w:r>
            <w:r>
              <w:rPr>
                <w:b/>
                <w:i/>
              </w:rPr>
              <w:t>30 %</w:t>
            </w:r>
            <w:r>
              <w:t>-os célértéktől. Az ajánlatkérő szerv konkrét követelményeket foglalhat bele az odaítélési eljárás dokumentációjába annak biztosítása érdekében, hogy a fővállalkozók a szerződés teljesítése során kövessék az e rendeletben meghatározott közbeszerzési elveket, különösen a kkv-k és az új belépők bevonása, a verseny, valamint a legjobb piaci feltételekkel való folyamatos összehasonlító teljesítményértékelés tekintetében.</w:t>
            </w:r>
          </w:p>
        </w:tc>
        <w:tc>
          <w:tcPr>
            <w:tcW w:w="4876" w:type="dxa"/>
            <w:tcBorders>
              <w:top w:val="nil"/>
              <w:left w:val="nil"/>
              <w:bottom w:val="nil"/>
              <w:right w:val="nil"/>
            </w:tcBorders>
          </w:tcPr>
          <w:p>
            <w:pPr>
              <w:pStyle w:val="Normal6a"/>
            </w:pPr>
            <w:r>
              <w:rPr>
                <w:b/>
                <w:i/>
              </w:rPr>
              <w:t>1.</w:t>
            </w:r>
            <w:r>
              <w:tab/>
            </w:r>
            <w:r>
              <w:t xml:space="preserve">Az Unió autonómiájának védelme érdekében az ajánlatkérő szerv kérheti, hogy az ajánlattevő a szerződés egy részét versenyeztetés keretében adja ki megfelelő szintű alvállalkozásba olyan gazdasági társaságoknak, amelyek nem tartoznak az ajánlattevő vállalatcsoportjához. A 10 millió EUR-t meghaladó szerződések esetében az ajánlatkérő szervnek törekednie kell annak biztosítására, hogy a szerződés értékének legalább 30 %-át különböző szintű alvállalkozói versenyeztetéssel alvállalkozásba adják a fő ajánlattevő csoportján kívüli gazdasági társaságoknak, különösen a kkv-knak az űrökoszisztémában megvalósuló, határon átnyúló részvételének lehetővé tétele érdekében. Az ajánlattevőnek meg kell indokolnia, amennyiben nem teljesíti az alvállalkozásba adásra vonatkozó kérést, vagy ha eltér a </w:t>
            </w:r>
            <w:r>
              <w:rPr>
                <w:b/>
                <w:i/>
              </w:rPr>
              <w:t>30%</w:t>
            </w:r>
            <w:r>
              <w:t>-os célértéktől</w:t>
            </w:r>
            <w:r>
              <w:rPr>
                <w:b/>
                <w:i/>
              </w:rPr>
              <w:t>, és igazolnia kell, hogy azt nem lehetett teljesíteni</w:t>
            </w:r>
            <w:r>
              <w:t>. Az ajánlatkérő szerv konkrét követelményeket foglalhat bele az odaítélési eljárás dokumentációjába annak biztosítása érdekében, hogy a fővállalkozók a szerződés teljesítése során kövessék az e rendeletben meghatározott közbeszerzési elveket, különösen a kkv-k és az új belépők bevonása, a verseny, valamint a legjobb piaci feltételekkel való folyamatos összehasonlító teljesítményértékelés tekintetében.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ajánlatkérő szerv lehetőség szerint a kért termék legalább két, különböző tagállamokban letelepedett beszállítóját választja ki.</w:t>
            </w:r>
            <w:r>
              <w:t xml:space="preserve"> </w:t>
            </w:r>
            <w:r>
              <w:rPr>
                <w:b/>
                <w:i/>
              </w:rPr>
              <w:t>A beszállítók kiválasztásakor figyelembe kell venni azt a célkitűzést is, hogy biztosítani kell a beszállítók széles körű földrajzi eloszlását az Unió tagállamaiban.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3631</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72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Unió autonómiájának védelme érdekében az ajánlatkérő szerv kérheti, hogy az ajánlattevő a szerződés egy részét versenyeztetés keretében adja ki megfelelő szintű alvállalkozásba olyan gazdasági társaságoknak, amelyek nem tartoznak az ajánlattevő vállalatcsoportjához. A 10 millió EUR-t meghaladó szerződések esetében az ajánlatkérő szervnek törekednie kell annak biztosítására, hogy a szerződés értékének legalább 30 %-át különböző szintű alvállalkozói versenyeztetéssel alvállalkozásba adják a fő ajánlattevő csoportján kívüli gazdasági társaságoknak, különösen a kkv-knak az űrökoszisztémában megvalósuló, határon átnyúló részvételének lehetővé tétele érdekében. Az ajánlattevőnek meg kell indokolnia, amennyiben nem teljesíti az alvállalkozásba adásra vonatkozó kérést, vagy ha eltér a </w:t>
            </w:r>
            <w:r>
              <w:rPr>
                <w:b/>
                <w:i/>
              </w:rPr>
              <w:t>30 %</w:t>
            </w:r>
            <w:r>
              <w:t>-os célértéktől. Az ajánlatkérő szerv konkrét követelményeket foglalhat bele az odaítélési eljárás dokumentációjába annak biztosítása érdekében, hogy a fővállalkozók a szerződés teljesítése során kövessék az e rendeletben meghatározott közbeszerzési elveket, különösen a kkv-k és az új belépők bevonása, a verseny, valamint a legjobb piaci feltételekkel való folyamatos összehasonlító teljesítményértékelés tekintetében.</w:t>
            </w:r>
          </w:p>
        </w:tc>
        <w:tc>
          <w:tcPr>
            <w:tcW w:w="4876" w:type="dxa"/>
            <w:tcBorders>
              <w:top w:val="nil"/>
              <w:left w:val="nil"/>
              <w:bottom w:val="nil"/>
              <w:right w:val="nil"/>
            </w:tcBorders>
          </w:tcPr>
          <w:p>
            <w:pPr>
              <w:pStyle w:val="Normal6a"/>
            </w:pPr>
            <w:r>
              <w:rPr>
                <w:b/>
                <w:i/>
              </w:rPr>
              <w:t>1.</w:t>
            </w:r>
            <w:r>
              <w:tab/>
            </w:r>
            <w:r>
              <w:t xml:space="preserve">Az Unió autonómiájának védelme érdekében az ajánlatkérő szerv kérheti, hogy az ajánlattevő a szerződés egy részét versenyeztetés keretében adja ki megfelelő szintű alvállalkozásba olyan gazdasági társaságoknak, amelyek nem tartoznak az ajánlattevő vállalatcsoportjához. A 10 millió EUR-t meghaladó szerződések esetében az ajánlatkérő szervnek törekednie kell annak biztosítására, hogy a szerződés értékének legalább 30 %-át különböző szintű alvállalkozói versenyeztetéssel alvállalkozásba adják a fő ajánlattevő csoportján kívüli gazdasági társaságoknak, különösen a kkv-knak az űrökoszisztémában megvalósuló, határon átnyúló részvételének lehetővé tétele érdekében. Az ajánlattevőnek meg kell indokolnia, amennyiben nem teljesíti az alvállalkozásba adásra vonatkozó kérést, vagy ha eltér a </w:t>
            </w:r>
            <w:r>
              <w:rPr>
                <w:b/>
                <w:i/>
              </w:rPr>
              <w:t>30%</w:t>
            </w:r>
            <w:r>
              <w:t>-os célértéktől</w:t>
            </w:r>
            <w:r>
              <w:rPr>
                <w:b/>
                <w:i/>
              </w:rPr>
              <w:t>, és igazolnia kell, hogy azt nem lehetett teljesíteni</w:t>
            </w:r>
            <w:r>
              <w:t>. Az ajánlatkérő szerv konkrét követelményeket foglalhat bele az odaítélési eljárás dokumentációjába annak biztosítása érdekében, hogy a fővállalkozók a szerződés teljesítése során kövessék az e rendeletben meghatározott közbeszerzési elveket, különösen a kkv-k és az új belépők bevonása, a verseny, valamint a legjobb piaci feltételekkel való folyamatos összehasonlító teljesítményértékelés tekintetében.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ajánlatkérő szerv lehetőség szerint a kért termék legalább két, különböző tagállamokban letelepedett beszállítóját választja ki.</w:t>
            </w:r>
            <w:r>
              <w:t xml:space="preserve"> </w:t>
            </w:r>
            <w:r>
              <w:rPr>
                <w:b/>
                <w:i/>
              </w:rPr>
              <w:t>A beszállítók kiválasztásakor figyelembe kell venni azt a célkitűzést is, hogy biztosítani kell a beszállítók széles körű földrajzi eloszlását az Unió tagállamaiban.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3632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72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Unió autonómiájának védelme érdekében az ajánlatkérő szerv kérheti, hogy az ajánlattevő a szerződés egy részét versenyeztetés keretében adja ki megfelelő szintű alvállalkozásba olyan gazdasági társaságoknak, amelyek nem tartoznak az ajánlattevő vállalatcsoportjához. A 10 millió EUR-t meghaladó szerződések esetében az ajánlatkérő szervnek </w:t>
            </w:r>
            <w:r>
              <w:rPr>
                <w:b/>
                <w:i/>
              </w:rPr>
              <w:t>törekednie kell annak biztosítására</w:t>
            </w:r>
            <w:r>
              <w:t xml:space="preserve">, hogy a szerződés értékének legalább </w:t>
            </w:r>
            <w:r>
              <w:rPr>
                <w:b/>
                <w:i/>
              </w:rPr>
              <w:t>30 %</w:t>
            </w:r>
            <w:r>
              <w:t xml:space="preserve">-át különböző szintű alvállalkozói versenyeztetéssel alvállalkozásba adják a fő ajánlattevő csoportján kívüli gazdasági társaságoknak, különösen a kkv-knak az űrökoszisztémában megvalósuló, határon átnyúló részvételének lehetővé tétele érdekében. Az ajánlattevőnek meg kell indokolnia, </w:t>
            </w:r>
            <w:r>
              <w:rPr>
                <w:b/>
                <w:i/>
              </w:rPr>
              <w:t>amennyiben nem teljesíti az alvállalkozásba adásra vonatkozó kérést, vagy ha eltér a 30 %-os célértéktől</w:t>
            </w:r>
            <w:r>
              <w:t>. Az ajánlatkérő szerv konkrét követelményeket foglalhat bele az odaítélési eljárás dokumentációjába annak biztosítása érdekében, hogy a fővállalkozók a szerződés teljesítése során kövessék az e rendeletben meghatározott közbeszerzési elveket, különösen a kkv-k és az új belépők bevonása, a verseny, valamint a legjobb piaci feltételekkel való folyamatos összehasonlító teljesítményértékelés tekintetében.</w:t>
            </w:r>
          </w:p>
        </w:tc>
        <w:tc>
          <w:tcPr>
            <w:tcW w:w="4876" w:type="dxa"/>
            <w:tcBorders>
              <w:top w:val="nil"/>
              <w:left w:val="nil"/>
              <w:bottom w:val="nil"/>
              <w:right w:val="nil"/>
            </w:tcBorders>
          </w:tcPr>
          <w:p>
            <w:pPr>
              <w:pStyle w:val="Normal6a"/>
            </w:pPr>
            <w:r>
              <w:rPr>
                <w:b/>
                <w:i/>
              </w:rPr>
              <w:t>1.</w:t>
            </w:r>
            <w:r>
              <w:tab/>
            </w:r>
            <w:r>
              <w:t xml:space="preserve">Az Unió autonómiájának védelme érdekében az ajánlatkérő szerv kérheti, hogy az ajánlattevő a szerződés egy részét versenyeztetés keretében adja ki megfelelő szintű alvállalkozásba olyan gazdasági társaságoknak, amelyek nem tartoznak az ajánlattevő vállalatcsoportjához. A 10 millió EUR-t meghaladó szerződések esetében az ajánlatkérő szervnek </w:t>
            </w:r>
            <w:r>
              <w:rPr>
                <w:b/>
                <w:i/>
              </w:rPr>
              <w:t>biztosítania kell</w:t>
            </w:r>
            <w:r>
              <w:t xml:space="preserve">, hogy a szerződés értékének legalább </w:t>
            </w:r>
            <w:r>
              <w:rPr>
                <w:b/>
                <w:i/>
              </w:rPr>
              <w:t>30%</w:t>
            </w:r>
            <w:r>
              <w:t xml:space="preserve">-át különböző szintű alvállalkozói versenyeztetéssel alvállalkozásba adják a fő ajánlattevő csoportján kívüli gazdasági társaságoknak, különösen a kkv-knak az űrökoszisztémában megvalósuló, határon átnyúló részvételének lehetővé tétele érdekében. </w:t>
            </w:r>
            <w:r>
              <w:rPr>
                <w:b/>
                <w:i/>
              </w:rPr>
              <w:t>Kivételes esetekben, ha a feltétel nem teljesíthető, és nincs működőképes alternatíva,</w:t>
            </w:r>
            <w:r>
              <w:t xml:space="preserve"> az ajánlattevőnek meg kell indokolnia, </w:t>
            </w:r>
            <w:r>
              <w:rPr>
                <w:b/>
                <w:i/>
              </w:rPr>
              <w:t>hogy miért nem tesz eleget az alvállalkozói szerződésre irányuló felkérésnek, vagy miért tér el a 30%-os céltól, és meg kell határoznia azokat a kiváltó okokat, amelyek uniós támogatással vagy az ajánlatkérő szerv intézkedéseivel tovább orvosolhatók</w:t>
            </w:r>
            <w:r>
              <w:t>. Az ajánlatkérő szerv konkrét követelményeket foglalhat bele az odaítélési eljárás dokumentációjába annak biztosítása érdekében, hogy a fővállalkozók a szerződés teljesítése során kövessék az e rendeletben meghatározott közbeszerzési elveket, különösen a kkv-k és az új belépők bevonása, a verseny, valamint a legjobb piaci feltételekkel való folyamatos összehasonlító teljesítményértékelés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3633</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72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 Bizottság tájékoztatja a 83. cikk (1) bekezdésének g) pontjában említett bizottságot az (1) bekezdésben említett célérték teljesítéséről.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3634</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az ECR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73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Az e rendelet alapján alkalmazandó általános társfinanszírozási szabályok ellenére 100%-os társfinanszírozási arány alkalmazandó kizárólag az űrprogram azon intézkedéseire, amelyeket a Bizottság a tagállamokkal a 14. cikk szerint elvégzett közös értékelés alapján kritikus stratégiai biztonsági jelentőségűként azonosított, beleértve az űrmegfigyeléssel és a Föld körüli pályán haladó objektumok nyomon követésével, a korai előrejelzéssel, a biztonságos kormányzati kommunikációval, a felbocsátási képesség megőrzésével és a kritikus űrinfrastruktúra védelmével kapcsolatos intézkedéseket.</w:t>
            </w:r>
            <w:r>
              <w:t xml:space="preserve"> </w:t>
            </w:r>
            <w:r>
              <w:rPr>
                <w:b/>
                <w:i/>
              </w:rPr>
              <w:t>A Bizottság a vonatkozó munkaprogramban közzéteszi az erre vonatkozó kritériumokat, és évente jelentést tesz az Európai Parlamentnek és a Tanácsnak e bekezdés alkalmazásáról.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The 100% co-financing rate applicable to certain space programme components under existing Union space legislation serves a specific purpose:</w:t>
      </w:r>
      <w:r>
        <w:t xml:space="preserve"> </w:t>
      </w:r>
      <w:r>
        <w:t>ensuring that actions of critical strategic importance are not hostage to national budgetary cycles.</w:t>
      </w:r>
      <w:r>
        <w:t xml:space="preserve"> </w:t>
      </w:r>
      <w:r>
        <w:t>The amendment preserves this logic while preventing its generalisation - which would dilute the leverage of Union funding and conflict with Member States' fiscal interest in programme discipline.</w:t>
      </w:r>
      <w:r>
        <w:t xml:space="preserve"> </w:t>
      </w:r>
      <w:r>
        <w:t>The criterion of "critical strategic security relevance", determined jointly with Member States via the governance body under Article 14, aligns with the Council's conclusions on space security and the Union Space Programme Regulation.</w:t>
      </w:r>
    </w:p>
    <w:p>
      <w:r>
        <w:rPr>
          <w:rStyle w:val="HideTWBExt"/>
        </w:rPr>
        <w:t>&lt;/Amend&gt;</w:t>
      </w:r>
    </w:p>
    <w:p>
      <w:pPr>
        <w:pStyle w:val="AmNumberTabs"/>
      </w:pPr>
      <w:r>
        <w:rPr>
          <w:rStyle w:val="HideTWBExt"/>
        </w:rPr>
        <w:t>&lt;Amend&gt;</w:t>
      </w:r>
      <w:r>
        <w:t>Módosítás</w:t>
      </w:r>
      <w:r>
        <w:tab/>
      </w:r>
      <w:r>
        <w:tab/>
      </w:r>
      <w:r>
        <w:rPr>
          <w:rStyle w:val="HideTWBExt"/>
        </w:rPr>
        <w:t>&lt;NumAm&gt;</w:t>
      </w:r>
      <w:r>
        <w:t>3635</w:t>
      </w:r>
      <w:r>
        <w:rPr>
          <w:rStyle w:val="HideTWBExt"/>
        </w:rPr>
        <w:t>&lt;/NumAm&gt;</w:t>
      </w:r>
    </w:p>
    <w:p>
      <w:pPr>
        <w:pStyle w:val="NormalBold"/>
      </w:pPr>
      <w:r>
        <w:rPr>
          <w:rStyle w:val="HideTWBExt"/>
          <w:b w:val="0"/>
        </w:rPr>
        <w:t>&lt;RepeatBlock-By&gt;</w:t>
      </w:r>
      <w:r>
        <w:rPr>
          <w:rStyle w:val="HideTWBExt"/>
          <w:b w:val="0"/>
        </w:rPr>
        <w:t>&lt;Members&gt;</w:t>
      </w:r>
      <w:r>
        <w:t>Ondřej Krutílek,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Amennyiben az Ügynökség </w:t>
            </w:r>
            <w:r>
              <w:rPr>
                <w:b/>
                <w:i/>
              </w:rPr>
              <w:t>vagy az Európai Űrügynökség</w:t>
            </w:r>
            <w:r>
              <w:t xml:space="preserve"> a háromoldalú megállapodás alapján lefolytatott közbeszerzés céljából bírálóbizottságot hoz létre, a Bizottság és adott esetben a másik megbízott szervezet szakértői fenntarthatják a jogot arra, hogy tagként részt vegyenek a bírálóbizottság ülésein, hozzáférjenek az összes eredményhez és részt vegyenek a felülvizsgálati üléseken. Ez a részvétel nem érinti a bírálóbizottság szakértői függetlenségét.</w:t>
            </w:r>
          </w:p>
        </w:tc>
        <w:tc>
          <w:tcPr>
            <w:tcW w:w="4876" w:type="dxa"/>
            <w:tcBorders>
              <w:top w:val="nil"/>
              <w:left w:val="nil"/>
              <w:bottom w:val="nil"/>
              <w:right w:val="nil"/>
            </w:tcBorders>
          </w:tcPr>
          <w:p>
            <w:pPr>
              <w:pStyle w:val="Normal6a"/>
            </w:pPr>
            <w:r>
              <w:t>(2)</w:t>
            </w:r>
            <w:r>
              <w:tab/>
            </w:r>
            <w:r>
              <w:t xml:space="preserve">Amennyiben az Ügynökség a háromoldalú megállapodás alapján lefolytatott közbeszerzés céljából bírálóbizottságot hoz létre </w:t>
            </w:r>
            <w:r>
              <w:rPr>
                <w:b/>
                <w:i/>
              </w:rPr>
              <w:t>vagy azt az Európai Űrügynökséghez tovább delegálják</w:t>
            </w:r>
            <w:r>
              <w:t>, a Bizottság és adott esetben a másik megbízott szervezet szakértői fenntarthatják a jogot arra, hogy tagként részt vegyenek a bírálóbizottság ülésein, hozzáférjenek az összes eredményhez és részt vegyenek a felülvizsgálati üléseken. Ez a részvétel nem érinti a bírálóbizottság szakértői függetlenségét.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3636</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Amennyiben az Ügynökség </w:t>
            </w:r>
            <w:r>
              <w:rPr>
                <w:b/>
                <w:i/>
              </w:rPr>
              <w:t>vagy az Európai Űrügynökség</w:t>
            </w:r>
            <w:r>
              <w:t xml:space="preserve"> a háromoldalú megállapodás alapján lefolytatott közbeszerzés céljából bírálóbizottságot hoz létre, a Bizottság és adott esetben a másik megbízott szervezet szakértői fenntarthatják a jogot arra, hogy tagként részt vegyenek a bírálóbizottság ülésein, hozzáférjenek az összes eredményhez és részt vegyenek a felülvizsgálati üléseken. Ez a részvétel nem érinti a bírálóbizottság szakértői függetlenségét.</w:t>
            </w:r>
          </w:p>
        </w:tc>
        <w:tc>
          <w:tcPr>
            <w:tcW w:w="4876" w:type="dxa"/>
            <w:tcBorders>
              <w:top w:val="nil"/>
              <w:left w:val="nil"/>
              <w:bottom w:val="nil"/>
              <w:right w:val="nil"/>
            </w:tcBorders>
          </w:tcPr>
          <w:p>
            <w:pPr>
              <w:pStyle w:val="Normal6a"/>
            </w:pPr>
            <w:r>
              <w:t>(2)</w:t>
            </w:r>
            <w:r>
              <w:tab/>
            </w:r>
            <w:r>
              <w:t xml:space="preserve">Amennyiben az Ügynökség a háromoldalú megállapodás alapján lefolytatott közbeszerzés céljából bírálóbizottságot hoz létre </w:t>
            </w:r>
            <w:r>
              <w:rPr>
                <w:b/>
                <w:i/>
              </w:rPr>
              <w:t>vagy azt az Európai Űrügynökséghez tovább delegálják</w:t>
            </w:r>
            <w:r>
              <w:t>, a Bizottság és adott esetben a másik megbízott szervezet szakértői fenntarthatják a jogot arra, hogy tagként részt vegyenek a bírálóbizottság ülésein, hozzáférjenek az összes eredményhez és részt vegyenek a felülvizsgálati üléseken. Ez a részvétel nem érinti a bírálóbizottság szakértői függetlenségét.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3637</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Amennyiben az Ügynökség </w:t>
            </w:r>
            <w:r>
              <w:rPr>
                <w:b/>
                <w:i/>
              </w:rPr>
              <w:t>vagy az Európai Űrügynökség</w:t>
            </w:r>
            <w:r>
              <w:t xml:space="preserve"> a háromoldalú megállapodás alapján lefolytatott közbeszerzés céljából bírálóbizottságot hoz létre, a Bizottság és adott esetben a másik megbízott szervezet szakértői fenntarthatják a jogot arra, hogy tagként részt vegyenek a bírálóbizottság ülésein, hozzáférjenek az összes eredményhez és részt vegyenek a felülvizsgálati üléseken. Ez a részvétel nem érinti a bírálóbizottság szakértői függetlenségét.</w:t>
            </w:r>
          </w:p>
        </w:tc>
        <w:tc>
          <w:tcPr>
            <w:tcW w:w="4876" w:type="dxa"/>
            <w:tcBorders>
              <w:top w:val="nil"/>
              <w:left w:val="nil"/>
              <w:bottom w:val="nil"/>
              <w:right w:val="nil"/>
            </w:tcBorders>
          </w:tcPr>
          <w:p>
            <w:pPr>
              <w:pStyle w:val="Normal6a"/>
            </w:pPr>
            <w:r>
              <w:t>(2)</w:t>
            </w:r>
            <w:r>
              <w:tab/>
            </w:r>
            <w:r>
              <w:t xml:space="preserve">Amennyiben az Ügynökség a háromoldalú megállapodás alapján lefolytatott közbeszerzés céljából bírálóbizottságot hoz létre </w:t>
            </w:r>
            <w:r>
              <w:rPr>
                <w:b/>
                <w:i/>
              </w:rPr>
              <w:t>vagy azt az Európai Űrügynökséghez tovább delegálják</w:t>
            </w:r>
            <w:r>
              <w:t>, a Bizottság és adott esetben a másik megbízott szervezet szakértői fenntarthatják a jogot arra, hogy tagként részt vegyenek a bírálóbizottság ülésein, hozzáférjenek az összes eredményhez és részt vegyenek a felülvizsgálati üléseken. Ez a részvétel nem érinti a bírálóbizottság szakértői függetlenségét.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788.904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176</w:t>
    </w:r>
    <w:r>
      <w:fldChar w:fldCharType="end"/>
    </w:r>
    <w:r>
      <w:t>/</w:t>
    </w:r>
    <w:r>
      <w:fldChar w:fldCharType="begin"/>
    </w:r>
    <w:r>
      <w:instrText xml:space="preserve"> NUMPAGES </w:instrText>
    </w:r>
    <w:r>
      <w:fldChar w:fldCharType="separate"/>
    </w:r>
    <w:r>
      <w:t>176</w:t>
    </w:r>
    <w:r>
      <w:fldChar w:fldCharType="end"/>
    </w:r>
    <w:r>
      <w:tab/>
    </w:r>
    <w:r>
      <w:rPr>
        <w:rStyle w:val="HideTWBExt"/>
      </w:rPr>
      <w:t>&lt;PathFdR&gt;</w:t>
    </w:r>
    <w:r>
      <w:t>AM\1344036HU.docx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AM\1344036HU.docx</w:t>
    </w:r>
    <w:r>
      <w:rPr>
        <w:rStyle w:val="HideTWBExt"/>
      </w:rPr>
      <w:t>&lt;/PathFdR&gt;</w:t>
    </w:r>
    <w:r>
      <w:tab/>
    </w:r>
    <w:r>
      <w:fldChar w:fldCharType="begin"/>
    </w:r>
    <w:r>
      <w:instrText xml:space="preserve"> PAGE </w:instrText>
    </w:r>
    <w:r>
      <w:fldChar w:fldCharType="separate"/>
    </w:r>
    <w:r>
      <w:t>175</w:t>
    </w:r>
    <w:r>
      <w:fldChar w:fldCharType="end"/>
    </w:r>
    <w:r>
      <w:t>/</w:t>
    </w:r>
    <w:r>
      <w:fldChar w:fldCharType="begin"/>
    </w:r>
    <w:r>
      <w:instrText xml:space="preserve"> NUMPAGES </w:instrText>
    </w:r>
    <w:r>
      <w:fldChar w:fldCharType="separate"/>
    </w:r>
    <w:r>
      <w:t>176</w:t>
    </w:r>
    <w:r>
      <w:fldChar w:fldCharType="end"/>
    </w:r>
    <w:r>
      <w:tab/>
    </w:r>
    <w:r>
      <w:t>PE</w:t>
    </w:r>
    <w:r>
      <w:rPr>
        <w:rStyle w:val="HideTWBExt"/>
      </w:rPr>
      <w:t>&lt;NoPE&gt;</w:t>
    </w:r>
    <w:r>
      <w:t>788.904</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AM\1344036HU.docx</w:t>
    </w:r>
    <w:r>
      <w:rPr>
        <w:rStyle w:val="HideTWBExt"/>
      </w:rPr>
      <w:t>&lt;/PathFdR&gt;</w:t>
    </w:r>
    <w:r>
      <w:tab/>
    </w:r>
    <w:r>
      <w:tab/>
    </w:r>
    <w:r>
      <w:t>PE</w:t>
    </w:r>
    <w:r>
      <w:rPr>
        <w:rStyle w:val="HideTWBExt"/>
      </w:rPr>
      <w:t>&lt;NoPE&gt;</w:t>
    </w:r>
    <w:r>
      <w:t>788.904</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176</Pages>
  <Words>33553</Words>
  <Characters>249405</Characters>
  <Application>Microsoft Office Word</Application>
  <DocSecurity>0</DocSecurity>
  <Lines>1</Lines>
  <Paragraphs>3026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1344036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547254</vt:lpwstr>
  </property>
  <property fmtid="{D5CDD505-2E9C-101B-9397-08002B2CF9AE}" pid="7" name="dmxml.render.traceId">
    <vt:lpwstr>6a3d454827b10cdf98a3301f379bfafa</vt:lpwstr>
  </property>
  <property fmtid="{D5CDD505-2E9C-101B-9397-08002B2CF9AE}" pid="8" name="FooterPath">
    <vt:lpwstr>AM\1344036HU.docx</vt:lpwstr>
  </property>
  <property fmtid="{D5CDD505-2E9C-101B-9397-08002B2CF9AE}" pid="9" name="PE Number">
    <vt:lpwstr>788.904</vt:lpwstr>
  </property>
  <property fmtid="{D5CDD505-2E9C-101B-9397-08002B2CF9AE}" pid="10" name="UID">
    <vt:lpwstr>eu.europa.europarl-DIN1-2026-0000140167_02.00-hu-01.00_text-xml</vt:lpwstr>
  </property>
</Properties>
</file>