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{ITRE}</w:t>
      </w:r>
      <w:r>
        <w:t>Committee on Industry, Research and Energy</w:t>
      </w:r>
      <w:r>
        <w:rPr>
          <w:rStyle w:val="HideTWBExt"/>
        </w:rPr>
        <w:t>&lt;/Commission&gt;</w:t>
      </w:r>
    </w:p>
    <w:p>
      <w:pPr>
        <w:pStyle w:val="LineBottom"/>
      </w:pPr>
      <w:r>
        <w:t xml:space="preserve"> </w:t>
      </w:r>
    </w:p>
    <w:p>
      <w:pPr>
        <w:pStyle w:val="CoverReference"/>
      </w:pPr>
      <w:r>
        <w:rPr>
          <w:rStyle w:val="HideTWBExt"/>
        </w:rPr>
        <w:t>&lt;RefProc&gt;</w:t>
      </w:r>
      <w:r>
        <w:t>2026/0011</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{13/10/2026}</w:t>
      </w:r>
      <w:r>
        <w:t>13.10.2026</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465</w:t>
      </w:r>
      <w:r>
        <w:t xml:space="preserve"> - </w:t>
      </w:r>
      <w:r>
        <w:t>764</w:t>
      </w:r>
      <w:r>
        <w:rPr>
          <w:rStyle w:val="HideTWBExt"/>
        </w:rPr>
        <w:t>&lt;/RangeAM&gt;</w:t>
      </w:r>
    </w:p>
    <w:p>
      <w:pPr>
        <w:pStyle w:val="CoverBold"/>
      </w:pPr>
      <w:r>
        <w:rPr>
          <w:rStyle w:val="HideTWBExt"/>
        </w:rPr>
        <w:t>&lt;TitreType&gt;</w:t>
      </w:r>
      <w:r>
        <w:t>Draft report</w:t>
      </w:r>
      <w:r>
        <w:rPr>
          <w:rStyle w:val="HideTWBExt"/>
        </w:rPr>
        <w:t>&lt;/TitreType&gt;</w:t>
      </w:r>
    </w:p>
    <w:p>
      <w:pPr>
        <w:pStyle w:val="CoverBold"/>
      </w:pPr>
      <w:r>
        <w:rPr>
          <w:rStyle w:val="HideTWBExt"/>
        </w:rPr>
        <w:t>&lt;Rapporteur&gt;</w:t>
      </w:r>
      <w:r>
        <w:t>Markéta Gregorová</w:t>
      </w:r>
      <w:r>
        <w:rPr>
          <w:rStyle w:val="HideTWBExt"/>
        </w:rPr>
        <w:t>&lt;/Rapporteur&gt;</w:t>
      </w:r>
    </w:p>
    <w:p>
      <w:pPr>
        <w:pStyle w:val="CoverNormal24a"/>
      </w:pPr>
      <w:r>
        <w:rPr>
          <w:rStyle w:val="HideTWBExt"/>
        </w:rPr>
        <w:t>&lt;DocRefPE&gt;</w:t>
      </w:r>
      <w:r>
        <w:t>(PE792.222v01-00)</w:t>
      </w:r>
      <w:r>
        <w:rPr>
          <w:rStyle w:val="HideTWBExt"/>
        </w:rPr>
        <w:t>&lt;/DocRefPE&gt;</w:t>
      </w:r>
    </w:p>
    <w:p>
      <w:pPr>
        <w:pStyle w:val="CoverNormal24a"/>
      </w:pPr>
      <w:r>
        <w:rPr>
          <w:rStyle w:val="HideTWBExt"/>
        </w:rPr>
        <w:t>&lt;Titre&gt;</w:t>
      </w:r>
      <w:r>
        <w:t>European Union Agency for Cybersecurity (ENISA), the European cybersecurity certification framework, and ICT supply chain security and repealing Regulation (EU) 2019/881 (The Cybersecurity Act 2)</w:t>
      </w:r>
      <w:r>
        <w:rPr>
          <w:rStyle w:val="HideTWBExt"/>
        </w:rPr>
        <w:t>&lt;/Titre&gt;</w:t>
      </w:r>
    </w:p>
    <w:p>
      <w:pPr>
        <w:pStyle w:val="CoverNormal"/>
      </w:pPr>
      <w:r>
        <w:rPr>
          <w:rStyle w:val="HideTWBExt"/>
        </w:rPr>
        <w:t>&lt;DocAmend&gt;</w:t>
      </w:r>
      <w:r>
        <w:t>Proposal for a regulation</w:t>
      </w:r>
      <w:r>
        <w:rPr>
          <w:rStyle w:val="HideTWBExt"/>
        </w:rPr>
        <w:t>&lt;/DocAmend&gt;</w:t>
      </w:r>
    </w:p>
    <w:p>
      <w:pPr>
        <w:pStyle w:val="CoverNormal24a"/>
      </w:pPr>
      <w:r>
        <w:rPr>
          <w:rStyle w:val="HideTWBExt"/>
        </w:rPr>
        <w:t>&lt;DocRef&gt;</w:t>
      </w:r>
      <w:r>
        <w:t>(COM(2026)0011 – 2026/0011(COD))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33 – 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In addition to the provision of art 34.2 the Administrative Board may define specific tasks of the Deputy Executive Director after having consulted the Executive Director. The tasks shall be designed to ensure efficient organisational management, sound financial management, and clear operational separation from the core duties reserved for the Executive Director, thereby avoiding any overlap of responsibilities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34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The Deputy Executive Director shall be responsible, under the authority of the Executive Director, for the operational tasks of ENISA, in particular: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the operational cooperation and the shared situational awareness referred to in Articles 10 and 11, including the early alert service referred to in Article 12;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the support in incident response referred to in Article 13, including the helpdesk referred to in Article 13(3);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the tools and platforms referred to in Article 15, the single entry point referred to in Article 15a and the EU Cybersecurity Testbed referred to in Article 6, point (16);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the vulnerability management services referred to in Article 16;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the European AI Security Evaluation Capability referred to in Article 16a, the framework for structured access referred to in Article 16b and the notifications referred to in Article 16c; (f) the structured cooperation with CERT-EU, the CSIRTs network and EU-CyCLONe.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The Deputy Executive Director shall carry out their tasks from the location at which the operational tasks referred to in paragraph 2 are performed, at the seat of ENISA or at a local office established pursuant to Article 32(7).</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The Deputy Executive Director shall report to the Management Board on the performance of the operational tasks at least twice a year and shall appear before the competent committee of the European Parliament when invited.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35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The Management Board, acting on a proposal from the Executive Director, shall establish in a transparent manner the ENISA Advisory Group. The ENISA Advisory Group shall be composed of recognised experts representing relevant stakeholders, such as the cybersecurity industry, ICT industry, SMEs, entities operating in sectors listed in Annexes I and II to Directive (EU) 2022/2555, manufacturers of products with digital elements and open-source software stewards within the meaning of Regulation (EU) 2024/2847, conformity assessment bodies notified under the European Cybersecurity Certification Framework referred to in Article 93 and Regulation (EU) 2024/2847, entities operating in the area of electronic identification means, consumer groups, academic experts in the field of cybersecurity, European standardisation organisations, as well as law enforcement and data protection supervisory authorities. </w:t>
            </w:r>
            <w:r>
              <w:rPr>
                <w:b/>
                <w:i/>
              </w:rPr>
              <w:t>Those</w:t>
            </w:r>
            <w:r>
              <w:t xml:space="preserve"> recognised experts shall be </w:t>
            </w:r>
            <w:r>
              <w:rPr>
                <w:b/>
                <w:i/>
              </w:rPr>
              <w:t>nationals of Member States</w:t>
            </w:r>
            <w:r>
              <w:t>. The Management Board shall aim to ensure an appropriate gender and geographical balance, as well as a balance between the different stakeholder groups.</w:t>
            </w:r>
          </w:p>
        </w:tc>
        <w:tc>
          <w:tcPr>
            <w:tcW w:w="4876" w:type="dxa"/>
            <w:tcBorders>
              <w:top w:val="nil"/>
              <w:left w:val="nil"/>
              <w:bottom w:val="nil"/>
              <w:right w:val="nil"/>
            </w:tcBorders>
          </w:tcPr>
          <w:p>
            <w:pPr>
              <w:pStyle w:val="Normal6a"/>
            </w:pPr>
            <w:r>
              <w:t>1.</w:t>
            </w:r>
            <w:r>
              <w:tab/>
            </w:r>
            <w:r>
              <w:t xml:space="preserve">The Management Board, acting on a proposal from the Executive Director, shall establish in a transparent manner the ENISA Advisory Group. The ENISA Advisory Group shall be composed of recognised experts representing relevant stakeholders, such as the cybersecurity industry, ICT industry, SMEs, entities operating in sectors listed in Annexes I and II to Directive (EU) 2022/2555, manufacturers of products with digital elements and open-source software stewards within the meaning of Regulation (EU) 2024/2847, conformity assessment bodies notified under the European Cybersecurity Certification Framework referred to in Article 93 and Regulation (EU) 2024/2847, entities operating in the area of electronic identification means, consumer groups, academic experts in the field of cybersecurity, European standardisation organisations, as well as law enforcement and data protection supervisory authorities. Recognised experts shall be </w:t>
            </w:r>
            <w:r>
              <w:rPr>
                <w:b/>
                <w:i/>
              </w:rPr>
              <w:t>selected on the basis of their relevant expertise, professional competence and integrity, taking due account of potential conflicts of interest and, where required by the nature of their tasks, appropriate security vetting. Nationality shall not constitute a selection criterion</w:t>
            </w:r>
            <w:r>
              <w:t>. The Management Board shall aim to ensure an appropriate gender and geographical balance, as well as a balance between the different stakeholder groups.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Membership of the ENISA Advisory Group should be based primarily on relevant expertise and professional competence. Removing the nationality requirement broadens the pool of specialised expertise available to ENISA while retaining safeguards concerning integrity, conflicts of interest and, where necessary, security vetting. Appropriate geographical and stakeholder balance remains an objective for the composition of the Group.</w:t>
      </w:r>
    </w:p>
    <w:p>
      <w:r>
        <w:rPr>
          <w:rStyle w:val="HideTWBExt"/>
        </w:rPr>
        <w:t>&lt;/Amend&gt;</w:t>
      </w:r>
    </w:p>
    <w:p>
      <w:pPr>
        <w:pStyle w:val="AmNumberTabs"/>
      </w:pPr>
      <w:r>
        <w:rPr>
          <w:rStyle w:val="HideTWBExt"/>
        </w:rPr>
        <w:t>&lt;Amend&gt;</w:t>
      </w:r>
      <w:r>
        <w:t>Amendment</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35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The Management Board, acting on a proposal from the Executive Director, shall establish in a transparent manner the ENISA Advisory Group. The ENISA Advisory Group shall be composed of recognised experts representing relevant stakeholders, such as the cybersecurity industry, ICT industry, SMEs, entities operating in sectors listed in Annexes I and II to Directive (EU) 2022/2555, manufacturers of products with digital elements and open-source software stewards within the meaning of Regulation (EU) 2024/2847, conformity assessment bodies notified under the European Cybersecurity Certification Framework referred to in Article 93 and Regulation (EU) 2024/2847, entities operating in the area of electronic identification means, consumer groups, academic experts in the field of cybersecurity, European standardisation organisations, as well as law enforcement and data protection supervisory authorities. Those recognised experts shall be nationals of Member States. The Management Board shall aim to ensure an appropriate gender and geographical balance, as well as a balance between the different stakeholder groups.</w:t>
            </w:r>
          </w:p>
        </w:tc>
        <w:tc>
          <w:tcPr>
            <w:tcW w:w="4876" w:type="dxa"/>
            <w:tcBorders>
              <w:top w:val="nil"/>
              <w:left w:val="nil"/>
              <w:bottom w:val="nil"/>
              <w:right w:val="nil"/>
            </w:tcBorders>
          </w:tcPr>
          <w:p>
            <w:pPr>
              <w:pStyle w:val="Normal6a"/>
            </w:pPr>
            <w:r>
              <w:t>1.</w:t>
            </w:r>
            <w:r>
              <w:tab/>
            </w:r>
            <w:r>
              <w:t xml:space="preserve">The Management Board, acting on a proposal from the Executive Director, shall establish in a transparent manner the ENISA Advisory Group. The ENISA Advisory Group shall be composed of recognised experts representing relevant stakeholders, such as the cybersecurity industry, ICT industry, SMEs, entities operating in sectors listed in Annexes I and II to Directive (EU) 2022/2555, manufacturers of products with digital elements and open-source software stewards within the meaning of Regulation (EU) 2024/2847, conformity assessment bodies notified under the European Cybersecurity Certification Framework referred to in Article 93 and Regulation (EU) 2024/2847, entities operating in the area of electronic identification means, consumer groups, academic experts in the field of cybersecurity, </w:t>
            </w:r>
            <w:r>
              <w:rPr>
                <w:b/>
                <w:i/>
              </w:rPr>
              <w:t>experts in countering foreign information manipulation and interference (FIMI),</w:t>
            </w:r>
            <w:r>
              <w:t xml:space="preserve"> European standardisation organisations, as well as law enforcement and data protection supervisory authorities. Those recognised experts shall be nationals of Member States. The Management Board shall aim to ensure an appropriate gender and geographical balance, as well as a balance between the different stakeholder groups.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35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The Management Board, acting on a proposal from the Executive Director, shall establish in a transparent manner the ENISA Advisory Group. The ENISA Advisory Group shall be composed of recognised experts representing relevant stakeholders, such as the cybersecurity industry, ICT industry, SMEs, entities operating in sectors listed in Annexes I and II to Directive (EU) 2022/2555, manufacturers of products with digital elements and open-source software stewards within the meaning of Regulation (EU) 2024/2847, conformity assessment bodies notified under the European Cybersecurity Certification Framework referred to in Article 93 and Regulation (EU) 2024/2847, entities operating in the area of electronic identification means, consumer groups, academic experts in the field of cybersecurity, European standardisation organisations, as well as law enforcement and data protection supervisory authorities. Those recognised experts shall be nationals of Member States. The Management Board shall aim to ensure an appropriate gender and geographical balance, as well as a balance between the different stakeholder groups.</w:t>
            </w:r>
          </w:p>
        </w:tc>
        <w:tc>
          <w:tcPr>
            <w:tcW w:w="4876" w:type="dxa"/>
            <w:tcBorders>
              <w:top w:val="nil"/>
              <w:left w:val="nil"/>
              <w:bottom w:val="nil"/>
              <w:right w:val="nil"/>
            </w:tcBorders>
          </w:tcPr>
          <w:p>
            <w:pPr>
              <w:pStyle w:val="Normal6a"/>
            </w:pPr>
            <w:r>
              <w:t>1.</w:t>
            </w:r>
            <w:r>
              <w:tab/>
            </w:r>
            <w:r>
              <w:t xml:space="preserve">The Management Board, acting on a proposal from the Executive Director, shall establish in a transparent manner the ENISA Advisory Group. The ENISA Advisory Group shall be composed of recognised experts representing relevant stakeholders, such as the cybersecurity industry, ICT industry, SMEs, entities operating in sectors listed in Annexes I and II to Directive (EU) 2022/2555, manufacturers of products with digital elements and open-source software stewards within the meaning of Regulation (EU) 2024/2847, conformity assessment bodies notified under the European Cybersecurity Certification Framework referred to in Article 93 and Regulation (EU) 2024/2847, entities operating in the area of electronic identification means, consumer groups, </w:t>
            </w:r>
            <w:r>
              <w:rPr>
                <w:b/>
                <w:i/>
              </w:rPr>
              <w:t>trade unions, digital rights and civil liberties organisations</w:t>
            </w:r>
            <w:r>
              <w:t xml:space="preserve"> academic experts in the field of cybersecurity, European standardisation organisations, as well as law enforcement and data protection supervisory authorities. Those recognised experts shall be nationals of Member States. The Management Board shall aim to ensure an appropriate gender and geographical balance, as well as a balance between the different stakeholder groups.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35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The Management Board, acting on a proposal from the Executive Director, shall establish in a transparent manner the ENISA Advisory Group. The ENISA Advisory Group shall be composed of recognised experts representing relevant stakeholders, such as the cybersecurity industry, ICT industry, SMEs, entities operating in sectors listed in Annexes I and II to Directive (EU) 2022/2555, manufacturers of products with digital elements and open-source software stewards within the meaning of Regulation (EU) 2024/2847, conformity assessment bodies notified under the European Cybersecurity Certification Framework referred to in Article 93 and Regulation (EU) 2024/2847, entities operating in the area of electronic identification means, consumer groups, academic experts in the field of cybersecurity, European standardisation organisations, as well as law enforcement and data protection supervisory authorities. Those recognised experts shall be nationals of Member States. The Management Board shall aim to ensure an appropriate gender and geographical balance, as well as a balance between the different stakeholder groups.</w:t>
            </w:r>
          </w:p>
        </w:tc>
        <w:tc>
          <w:tcPr>
            <w:tcW w:w="4876" w:type="dxa"/>
            <w:tcBorders>
              <w:top w:val="nil"/>
              <w:left w:val="nil"/>
              <w:bottom w:val="nil"/>
              <w:right w:val="nil"/>
            </w:tcBorders>
          </w:tcPr>
          <w:p>
            <w:pPr>
              <w:pStyle w:val="Normal6a"/>
            </w:pPr>
            <w:r>
              <w:t>1.</w:t>
            </w:r>
            <w:r>
              <w:tab/>
            </w:r>
            <w:r>
              <w:t xml:space="preserve">The Management Board, acting on a proposal from the Executive Director, shall establish in a transparent manner the ENISA Advisory Group. The ENISA Advisory Group shall be composed of recognised experts representing relevant stakeholders, such as the cybersecurity industry, ICT industry, SMEs, entities operating in sectors listed in Annexes I and II to Directive (EU) 2022/2555, manufacturers of products with digital elements and open-source software stewards within the meaning of Regulation (EU) 2024/2847, conformity assessment bodies notified under the European Cybersecurity Certification Framework referred to in Article 93 and Regulation (EU) 2024/2847, entities operating in the area of electronic identification means, consumer groups, academic experts in the field of cybersecurity, European standardisation organisations, </w:t>
            </w:r>
            <w:r>
              <w:rPr>
                <w:b/>
                <w:i/>
              </w:rPr>
              <w:t>relevant civil society organisations,</w:t>
            </w:r>
            <w:r>
              <w:t xml:space="preserve"> as well as law enforcement and data protection supervisory authorities. Those recognised experts shall be nationals of Member States. The Management Board shall aim to ensure an appropriate gender and geographical balance, as well as a balance between the different stakeholder groups.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35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The Management Board, acting on a proposal from the Executive Director, shall establish in a transparent manner the ENISA Advisory Group. The ENISA Advisory Group shall be composed of recognised experts representing relevant stakeholders, such as the cybersecurity industry, ICT industry, SMEs, entities operating in sectors listed in Annexes I and II to Directive (EU) 2022/2555, manufacturers of products with digital elements and open-source software stewards within the meaning of Regulation (EU) 2024/2847, conformity assessment bodies notified under the European Cybersecurity Certification Framework referred to in Article 93 and Regulation (EU) 2024/2847, entities operating in the area of electronic identification means, consumer groups, academic experts in the field of cybersecurity, European standardisation organisations, as well as law enforcement and data protection supervisory authorities. Those recognised experts shall be nationals of Member States. The Management Board shall aim to ensure an appropriate gender and geographical balance, as well as a balance between the different stakeholder groups.</w:t>
            </w:r>
          </w:p>
        </w:tc>
        <w:tc>
          <w:tcPr>
            <w:tcW w:w="4876" w:type="dxa"/>
            <w:tcBorders>
              <w:top w:val="nil"/>
              <w:left w:val="nil"/>
              <w:bottom w:val="nil"/>
              <w:right w:val="nil"/>
            </w:tcBorders>
          </w:tcPr>
          <w:p>
            <w:pPr>
              <w:pStyle w:val="Normal6a"/>
            </w:pPr>
            <w:r>
              <w:t>1.</w:t>
            </w:r>
            <w:r>
              <w:tab/>
            </w:r>
            <w:r>
              <w:t>The Management Board, acting on a proposal from the Executive Director, shall establish in a transparent manner the ENISA Advisory Group. The ENISA Advisory Group shall be composed of recognised experts representing relevant stakeholders, such as the cybersecurity industry, ICT industry, SMEs, entities operating in sectors listed in Annexes I and II to Directive (EU) 2022/2555, manufacturers of products with digital elements and open-source software stewards within the meaning of Regulation (EU) 2024/2847, conformity assessment bodies notified under the European Cybersecurity Certification Framework referred to in Article 93 and Regulation (EU) 2024/2847, entities operating in the area of electronic identification means, consumer groups, academic experts in the field of cybersecurity, European standardisation organisations, as well as law enforcement and data protection supervisory authorities. Those recognised experts shall be nationals of Member States. The Management Board shall aim to ensure an appropriate gender and geographical balance, as well as a balance between the different stakeholder groups</w:t>
            </w:r>
            <w:r>
              <w:rPr>
                <w:b/>
                <w:i/>
              </w:rPr>
              <w:t>, in particular ensuring adequate representation of SMEs</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Krzysztof Hetman, Mirosława Nykiel, Adam Jarubas, Kamila Gasiuk-Pihowicz,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Article35a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National Liaison Officers Network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 National Liaison Officers Network (the ‘NLO Network’) is established. The NLO Network shall be composed of representatives of all Member States (National Liaison Officers). Each Member State and Commission shall designate one National Liaison Officer [and one alternate] National Liaison Officers shall remain employed by, and embedded in, their national authority. The meetings of the NLO Network may be held in different expert formations.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National Liaison Officers shall act as points of contact between ENISA and their Member States. The NLO Network shall facilitate cooperation between ENISA and the Member States, as well as among the Member States. To that end, it shall in particular: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facilitate the exchange of information between ENISA and the Member States, including by conveying to ENISA the operational knowledge, needs and priorities of the Member States;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support ENISA in disseminating its activities, findings and recommendations to national competent authorities and other relevant stakeholders across the Union;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contribute to the preparation and implementation of the single programming document referred to in Article 44 and of ENISA’s initiatives that require strong engagement with national authorities;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facilitate the exchange among Member States of good practices in areas falling within ENISA’s mandate;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carry out any other tasks entrusted to it by the Management Board within ENISA’s mandate.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The NLO Network shall support the preparation of the meetings of the Management Board. To that end, the NLO Network shall in particular: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examine in advance the items on the draft agenda of Management Board meetings and provide technical expertise to the representatives of the Member States in the Management Board;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facilitate, where appropriate, the coordination of the positions of the Member States on matters to be submitted to the Management Board;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facilitate the implementation of decisions of the Management Board at national level, where relevant. ENISA shall make the draft agenda and supporting documents for Management Board meetings available to the NLO Network. The Management Board and the NLO Network shall hold at least one joint meeting per year.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National Liaison Officers shall cooperate closely with the representatives of their respective Member States in the Management Board. The NLO Network shall carry out its tasks without prejudice to the powers of the Management Board and to the tasks of the Executive Board under Article 30. It shall avoid duplicating the work of other Union networks and groups and shall seek synergies with them.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National Liaison Officers and the Technical Liaison Officers referred to in Article 35b shall be entitled to request and receive all relevant information from their Member States, as provided for by this Regulation, while fully respecting the national law and the Member State’s practices, in particular as regards data protection and confidentiality.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ENISA shall provide the secretariat of the NLO Network. [The NLO Network shall elect a Chairperson from among its members.] The procedures of the NLO Network shall be laid down in rules of procedure adopted by the Management Board after consulting the NLO Network. Those rules of procedure shall be made public.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44 – 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The single programming document shall set out, for each task assigned by this Regulation, the appropriations and posts allocated to its performance in the year concerned, presented so that changes against the previous year are identifiable. Where a proposed amendment to the single programming document would result in a substantial reallocation of financial or human resources to tasks under Title IV, the Executive Director shall transmit the proposed amendment to the European Parliament and to the Council at least four weeks before its adoption by the Management Board. The Management Board shall take due account of any observations submitted by the European Parliament or the Council within that period and shall provide a reasoned statement where the amendment as adopted departs substantially from those observations.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significant new tasks assigned to ENISA should be accompanied by transparent resource planning. Requiring task-level information on appropriations and posts makes changes in ENISA’s priorities visible, while prior scrutiny of substantial reallocations towards the trusted ICT supply-chain framework strengthens budgetary and political accountability without interfering with ENISA’s day-to-day management.</w:t>
      </w:r>
    </w:p>
    <w:p>
      <w:r>
        <w:rPr>
          <w:rStyle w:val="HideTWBExt"/>
        </w:rPr>
        <w:t>&lt;/Amend&gt;</w:t>
      </w:r>
    </w:p>
    <w:p>
      <w:pPr>
        <w:pStyle w:val="AmNumberTabs"/>
      </w:pPr>
      <w:r>
        <w:rPr>
          <w:rStyle w:val="HideTWBExt"/>
        </w:rPr>
        <w:t>&lt;Amend&gt;</w:t>
      </w:r>
      <w:r>
        <w:t>Amendment</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 João Cotrim De Figueiredo,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44 – 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The Executive Director shall report to the Management Board on the extent to which ENISA achieved, in the preceding year, the objectives, results and performance indicators set out in the annual work programme within the planned time and budget. The Management Board shall assess that report and shall forward it, together with the assessment, to the European Parliament, to the Council and to the Commission by 1 July.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ENISA sets annual objectives and KPIs as per the Commission proposal. The Management Board should evaluate whether those goals and KPIs were reached the following year.</w:t>
      </w:r>
    </w:p>
    <w:p>
      <w:r>
        <w:rPr>
          <w:rStyle w:val="HideTWBExt"/>
        </w:rPr>
        <w:t>&lt;/Amend&gt;</w:t>
      </w:r>
    </w:p>
    <w:p>
      <w:pPr>
        <w:pStyle w:val="AmNumberTabs"/>
      </w:pPr>
      <w:r>
        <w:rPr>
          <w:rStyle w:val="HideTWBExt"/>
        </w:rPr>
        <w:t>&lt;Amend&gt;</w:t>
      </w:r>
      <w:r>
        <w:t>Amendment</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45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The provisional draft estimate shall be based on the objectives and expected results of the annual work programme, and shall take into account the financial resources necessary to achieve those objectives and expected results, in accordance with the principle of sound financial management and performance.</w:t>
            </w:r>
          </w:p>
        </w:tc>
        <w:tc>
          <w:tcPr>
            <w:tcW w:w="4876" w:type="dxa"/>
            <w:tcBorders>
              <w:top w:val="nil"/>
              <w:left w:val="nil"/>
              <w:bottom w:val="nil"/>
              <w:right w:val="nil"/>
            </w:tcBorders>
          </w:tcPr>
          <w:p>
            <w:pPr>
              <w:pStyle w:val="Normal6a"/>
            </w:pPr>
            <w:r>
              <w:t>2.</w:t>
            </w:r>
            <w:r>
              <w:tab/>
            </w:r>
            <w:r>
              <w:t xml:space="preserve">The provisional draft estimate shall be based on the objectives and expected results of the annual work programme, and shall take into account the financial resources necessary to achieve those objectives and expected results, in accordance with the principle of sound financial management and performance. </w:t>
            </w:r>
            <w:r>
              <w:rPr>
                <w:b/>
                <w:i/>
              </w:rPr>
              <w:t>The financial and human resources foreseen shall be sufficient and commensurate with ENISA’s mandate, the tasks assigned to it under this Regulation and other Union law, taking into account the level of specialised technical, legal and policy expertise required for the performance of ENISA’s tasks. Whenever activities are entrusted to the Agency, appropriate financial, human and administrative resources shall be ensured for their implementation.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45 – 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The provisional draft estimate shall separately identify the financial and human resources necessary to ensure the security and resilience of ENISA’s own operational environment, in particular when carrying out the tasks referred to in Articles 11, 15 and 16. Those resources shall cover, as appropriate, secure communications, encryption, identity and access management, logging and auditability, segregated analysis environments, the secure development and maintenance of operational tools and platforms, independent security testing, vulnerability management and the recruitment and retention of specialised cybersecurity staff.</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ENISA’s expanded operational responsibilities require an appropriately secured and resilient technical environment. Its budget planning should therefore transparently identify the resources necessary to protect the systems, platforms and information used in carrying out sensitive operational tasks, including sufficient specialised personnel and independent security testing.</w:t>
      </w:r>
    </w:p>
    <w:p>
      <w:r>
        <w:rPr>
          <w:rStyle w:val="HideTWBExt"/>
        </w:rPr>
        <w:t>&lt;/Amend&gt;</w:t>
      </w:r>
    </w:p>
    <w:p>
      <w:pPr>
        <w:pStyle w:val="AmNumberTabs"/>
      </w:pPr>
      <w:r>
        <w:rPr>
          <w:rStyle w:val="HideTWBExt"/>
        </w:rPr>
        <w:t>&lt;Amend&gt;</w:t>
      </w:r>
      <w:r>
        <w:t>Amendment</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Krzysztof Hetman, Mirosława Nykiel, Adam Jarubas, Kamila Gasiuk-Pihowicz,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p>
        </w:tc>
        <w:tc>
          <w:tcPr>
            <w:tcW w:w="4876" w:type="dxa"/>
            <w:tcBorders>
              <w:top w:val="nil"/>
              <w:left w:val="nil"/>
              <w:bottom w:val="nil"/>
              <w:right w:val="nil"/>
            </w:tcBorders>
          </w:tcPr>
          <w:p>
            <w:pPr>
              <w:pStyle w:val="Normal6a"/>
            </w:pPr>
            <w: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47 – 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When setting the fees referred to in paragraphs 1 and 2, as well as the fees for the use of testing tools, ENISA shall take into account the interests of micro, small and medium-sized enterprises within the meaning of Recommendation 2003/361/EC, as well as small mid-cap enterprises within the meaning of Recommendation (EU) 2025/1099, and shall provide for reduced fees for these entities.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52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Members of the Management Board, the Executive Director, the Deputy Executive Director, and officials seconded by Member States on a temporary basis, shall each make a declaration of commitments and a declaration indicating the absence or presence of any direct or indirect interest which might be considered to be prejudicial to their independence. The declarations shall be accurate and complete, shall be made annually in writing, and shall be updated whenever necessary.</w:t>
            </w:r>
          </w:p>
        </w:tc>
        <w:tc>
          <w:tcPr>
            <w:tcW w:w="4876" w:type="dxa"/>
            <w:tcBorders>
              <w:top w:val="nil"/>
              <w:left w:val="nil"/>
              <w:bottom w:val="nil"/>
              <w:right w:val="nil"/>
            </w:tcBorders>
          </w:tcPr>
          <w:p>
            <w:pPr>
              <w:pStyle w:val="Normal6a"/>
            </w:pPr>
            <w:r>
              <w:t>1.</w:t>
            </w:r>
            <w:r>
              <w:tab/>
            </w:r>
            <w:r>
              <w:t xml:space="preserve">Members of the Management Board, the Executive Director, the Deputy Executive Director, and officials seconded by Member States on a temporary basis, </w:t>
            </w:r>
            <w:r>
              <w:rPr>
                <w:b/>
                <w:i/>
              </w:rPr>
              <w:t>shall not engage in any activity that might conflict with their independence of judgement or professional integrity throughout their mandate. To this end, they</w:t>
            </w:r>
            <w:r>
              <w:t xml:space="preserve"> shall each make a declaration of commitments and a declaration indicating the absence or presence of any direct or indirect interest which might be considered to be prejudicial to their independence. The declarations shall be accurate and complete, shall be made annually in writing, and shall be updated whenever necessary.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53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ENISA shall ensure that the public and any interested parties are provided with appropriate, objective, reliable and easily accessible information, in particular with regard to the results of its work. It shall also make publicly available the declarations of interest made in accordance with Article 52.</w:t>
            </w:r>
          </w:p>
        </w:tc>
        <w:tc>
          <w:tcPr>
            <w:tcW w:w="4876" w:type="dxa"/>
            <w:tcBorders>
              <w:top w:val="nil"/>
              <w:left w:val="nil"/>
              <w:bottom w:val="nil"/>
              <w:right w:val="nil"/>
            </w:tcBorders>
          </w:tcPr>
          <w:p>
            <w:pPr>
              <w:pStyle w:val="Normal6a"/>
            </w:pPr>
            <w:r>
              <w:t>2.</w:t>
            </w:r>
            <w:r>
              <w:tab/>
            </w:r>
            <w:r>
              <w:t>ENISA shall ensure that the public and any interested parties are provided with appropriate, objective, reliable</w:t>
            </w:r>
            <w:r>
              <w:rPr>
                <w:b/>
                <w:i/>
              </w:rPr>
              <w:t>, user-friendly</w:t>
            </w:r>
            <w:r>
              <w:t xml:space="preserve"> and easily accessible information, in particular with regard to the results of its work. It shall also make publicly available the declarations of interest made in accordance with Article 52.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53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The Management Board, acting on a proposal from the Executive Director, may authorise interested parties to observe the proceedings of some of ENISA’s activities.</w:t>
            </w:r>
          </w:p>
        </w:tc>
        <w:tc>
          <w:tcPr>
            <w:tcW w:w="4876" w:type="dxa"/>
            <w:tcBorders>
              <w:top w:val="nil"/>
              <w:left w:val="nil"/>
              <w:bottom w:val="nil"/>
              <w:right w:val="nil"/>
            </w:tcBorders>
          </w:tcPr>
          <w:p>
            <w:pPr>
              <w:pStyle w:val="Normal6a"/>
            </w:pPr>
            <w:r>
              <w:t>3.</w:t>
            </w:r>
            <w:r>
              <w:tab/>
            </w:r>
            <w:r>
              <w:t>The Management Board, acting on a proposal from the Executive Director, may</w:t>
            </w:r>
            <w:r>
              <w:rPr>
                <w:b/>
                <w:i/>
              </w:rPr>
              <w:t>, where appropriate and without prejudice to confidentiality and security requirements,</w:t>
            </w:r>
            <w:r>
              <w:t xml:space="preserve"> authorise interested parties to observe the proceedings of some of ENISA’s activities.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56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In establishing its staffing plan, the Agency shall give priority to recruiting and retaining permanent or temporary statutory staff for the performance of core operational tasks referred to in Article 4, and shall limit the use of externally contracted personnel to activities requiring specialised industrial expertise not available within the Agency, or of a genuinely temporary or ancillary nature.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56 – paragraph 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To attract high-level expertise and ensure efficient organisational performance, this article allows the Management Board to derogate from the applicable rules, and in particular the Staff Regulations of Officials and the Conditions of Employment of Other Servants, through specific derogations regarding teleworking and remote work arrangements. Such derogations may establish more flexible frameworks for remote work from locations outside the place of employment, exceeding standard practices of the European Commission, provided that such arrangements remain compatible with the operational needs of the Agency, secure information handling requirements, and sound financial management. Specific derogations shall be general in scope, applied objectively, and available to all members of staff meeting transparent and predefined criteria, thereby ensuring equal treatment.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58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Each Member State </w:t>
            </w:r>
            <w:r>
              <w:rPr>
                <w:b/>
                <w:i/>
              </w:rPr>
              <w:t>shall</w:t>
            </w:r>
            <w:r>
              <w:t xml:space="preserve"> designate </w:t>
            </w:r>
            <w:r>
              <w:rPr>
                <w:b/>
                <w:i/>
              </w:rPr>
              <w:t>at least</w:t>
            </w:r>
            <w:r>
              <w:t xml:space="preserve"> two liaison officers from a national competent authority designated pursuant to Article 8(1) of Directive (EU) 2022/2555 as seconded national experts to ENISA to work at its seat or its local office, in accordance with Article 59(2). The Commission may also designate a liaison officer.</w:t>
            </w:r>
          </w:p>
        </w:tc>
        <w:tc>
          <w:tcPr>
            <w:tcW w:w="4876" w:type="dxa"/>
            <w:tcBorders>
              <w:top w:val="nil"/>
              <w:left w:val="nil"/>
              <w:bottom w:val="nil"/>
              <w:right w:val="nil"/>
            </w:tcBorders>
          </w:tcPr>
          <w:p>
            <w:pPr>
              <w:pStyle w:val="Normal6a"/>
            </w:pPr>
            <w:r>
              <w:t>1.</w:t>
            </w:r>
            <w:r>
              <w:tab/>
            </w:r>
            <w:r>
              <w:t xml:space="preserve">Each Member State </w:t>
            </w:r>
            <w:r>
              <w:rPr>
                <w:b/>
                <w:i/>
              </w:rPr>
              <w:t>may</w:t>
            </w:r>
            <w:r>
              <w:t xml:space="preserve"> designate </w:t>
            </w:r>
            <w:r>
              <w:rPr>
                <w:b/>
                <w:i/>
              </w:rPr>
              <w:t>up to</w:t>
            </w:r>
            <w:r>
              <w:t xml:space="preserve"> two liaison officers from a national competent authority designated pursuant to Article 8(1) of Directive (EU) 2022/2555 as seconded national experts to ENISA to work at its seat or its local office, in accordance with Article 59(2). The Commission may also designate a liaison officer.</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58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Each Member State shall designate </w:t>
            </w:r>
            <w:r>
              <w:rPr>
                <w:b/>
                <w:i/>
              </w:rPr>
              <w:t>at least two</w:t>
            </w:r>
            <w:r>
              <w:t xml:space="preserve"> liaison officers from a national competent authority designated pursuant to Article 8(1) of Directive (EU) 2022/2555 as seconded national experts to ENISA to work at its seat or its local office, in accordance with Article 59(2). The Commission </w:t>
            </w:r>
            <w:r>
              <w:rPr>
                <w:b/>
                <w:i/>
              </w:rPr>
              <w:t>may</w:t>
            </w:r>
            <w:r>
              <w:t xml:space="preserve"> also designate a liaison officer.</w:t>
            </w:r>
          </w:p>
        </w:tc>
        <w:tc>
          <w:tcPr>
            <w:tcW w:w="4876" w:type="dxa"/>
            <w:tcBorders>
              <w:top w:val="nil"/>
              <w:left w:val="nil"/>
              <w:bottom w:val="nil"/>
              <w:right w:val="nil"/>
            </w:tcBorders>
          </w:tcPr>
          <w:p>
            <w:pPr>
              <w:pStyle w:val="Normal6a"/>
            </w:pPr>
            <w:r>
              <w:t>1.</w:t>
            </w:r>
            <w:r>
              <w:tab/>
            </w:r>
            <w:r>
              <w:t xml:space="preserve">Each Member State shall designate </w:t>
            </w:r>
            <w:r>
              <w:rPr>
                <w:b/>
                <w:i/>
              </w:rPr>
              <w:t>one or more</w:t>
            </w:r>
            <w:r>
              <w:t xml:space="preserve"> liaison officers from a national competent authority designated pursuant to Article 8(1) of Directive (EU) 2022/2555 as seconded national experts to ENISA to work at its seat or its local office, in accordance with Article 59(2). The Commission </w:t>
            </w:r>
            <w:r>
              <w:rPr>
                <w:b/>
                <w:i/>
              </w:rPr>
              <w:t>shall</w:t>
            </w:r>
            <w:r>
              <w:t xml:space="preserve"> also designate a liaison officer.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Katri Kulmuni,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58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Each Member State </w:t>
            </w:r>
            <w:r>
              <w:rPr>
                <w:b/>
                <w:i/>
              </w:rPr>
              <w:t>shall</w:t>
            </w:r>
            <w:r>
              <w:t xml:space="preserve"> designate </w:t>
            </w:r>
            <w:r>
              <w:rPr>
                <w:b/>
                <w:i/>
              </w:rPr>
              <w:t>at least two</w:t>
            </w:r>
            <w:r>
              <w:t xml:space="preserve"> liaison officers from a national competent authority designated pursuant to Article 8(1) of Directive (EU) 2022/2555 as seconded national experts to ENISA to work at its seat or its local office, in accordance with Article 59(2). The Commission may also designate a liaison officer.</w:t>
            </w:r>
          </w:p>
        </w:tc>
        <w:tc>
          <w:tcPr>
            <w:tcW w:w="4876" w:type="dxa"/>
            <w:tcBorders>
              <w:top w:val="nil"/>
              <w:left w:val="nil"/>
              <w:bottom w:val="nil"/>
              <w:right w:val="nil"/>
            </w:tcBorders>
          </w:tcPr>
          <w:p>
            <w:pPr>
              <w:pStyle w:val="Normal6a"/>
            </w:pPr>
            <w:r>
              <w:t>1.</w:t>
            </w:r>
            <w:r>
              <w:tab/>
            </w:r>
            <w:r>
              <w:t xml:space="preserve">Each Member State </w:t>
            </w:r>
            <w:r>
              <w:rPr>
                <w:b/>
                <w:i/>
              </w:rPr>
              <w:t>may</w:t>
            </w:r>
            <w:r>
              <w:t xml:space="preserve"> designate </w:t>
            </w:r>
            <w:r>
              <w:rPr>
                <w:b/>
                <w:i/>
              </w:rPr>
              <w:t>one or more</w:t>
            </w:r>
            <w:r>
              <w:t xml:space="preserve"> liaison officers from a national competent authority designated pursuant to Article 8(1) of Directive (EU) 2022/2555 as seconded national experts to ENISA to work at its seat or its local office, in accordance with Article 59(2). The Commission may also designate a liaison officer.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Designating at least two liaison officers from a national authority as seconded national experts to ENISA could place significant burden on the small Member States. Many Member States struggle already to secure adequate resources to national cybersecurity authorities. Therefore, it should be left to the Member States to assess whether seconding experts to ENISA would bring enough added value.</w:t>
      </w:r>
    </w:p>
    <w:p>
      <w:r>
        <w:rPr>
          <w:rStyle w:val="HideTWBExt"/>
        </w:rPr>
        <w:t>&lt;/Amend&gt;</w:t>
      </w:r>
    </w:p>
    <w:p>
      <w:pPr>
        <w:pStyle w:val="AmNumberTabs"/>
      </w:pPr>
      <w:r>
        <w:rPr>
          <w:rStyle w:val="HideTWBExt"/>
        </w:rPr>
        <w:t>&lt;Amend&gt;</w:t>
      </w:r>
      <w:r>
        <w:t>Amendment</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59 – 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By way of derogation from general rules governing secondment, the Management Board may adopt provisions allowing the Agency to cover, where necessary to ensure targeted expertise or geographical balance, the full costs of the remuneration and allowances of seconded national experts from the Agency's budget.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61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Depending on the needs, the Agency may establish local offices in the Member States in accordance with the procedure laid down in Article 32 (7).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67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In agreement with the Commission, ENISA shall adopt security rules applying the security principles contained in the Commission’s security rules for protecting sensitive non-classified information and EUCI, as set out in Decisions (EU, Euratom) 2015/443</w:t>
            </w:r>
            <w:r>
              <w:rPr>
                <w:vertAlign w:val="superscript"/>
              </w:rPr>
              <w:t>57</w:t>
            </w:r>
            <w:r>
              <w:t xml:space="preserve"> and 2015/444</w:t>
            </w:r>
            <w:r>
              <w:rPr>
                <w:vertAlign w:val="superscript"/>
              </w:rPr>
              <w:t>58</w:t>
            </w:r>
            <w:r>
              <w:t xml:space="preserve"> . Those security rules shall include provisions for the exchange, processing and storage of such information.</w:t>
            </w:r>
          </w:p>
        </w:tc>
        <w:tc>
          <w:tcPr>
            <w:tcW w:w="4876" w:type="dxa"/>
            <w:tcBorders>
              <w:top w:val="nil"/>
              <w:left w:val="nil"/>
              <w:bottom w:val="nil"/>
              <w:right w:val="nil"/>
            </w:tcBorders>
          </w:tcPr>
          <w:p>
            <w:pPr>
              <w:pStyle w:val="Normal6a"/>
            </w:pPr>
            <w:r>
              <w:t>In agreement with the Commission, ENISA shall adopt security rules applying the security principles contained in the Commission’s security rules for protecting sensitive non-classified information and EUCI, as set out in Decisions (EU, Euratom) 2015/443</w:t>
            </w:r>
            <w:r>
              <w:rPr>
                <w:vertAlign w:val="superscript"/>
              </w:rPr>
              <w:t>57</w:t>
            </w:r>
            <w:r>
              <w:t xml:space="preserve"> and 2015/444</w:t>
            </w:r>
            <w:r>
              <w:rPr>
                <w:vertAlign w:val="superscript"/>
              </w:rPr>
              <w:t>58</w:t>
            </w:r>
            <w:r>
              <w:t xml:space="preserve"> . Those security rules shall include provisions for the exchange, processing and storage of such information </w:t>
            </w:r>
            <w:r>
              <w:rPr>
                <w:b/>
                <w:i/>
              </w:rPr>
              <w:t>up to the level of EU top secret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57</w:t>
            </w:r>
            <w:r>
              <w:t xml:space="preserve"> </w:t>
            </w:r>
            <w:r>
              <w:t>Commission Decision (EU, Euratom) 2015/443 of 13 March 2015 on Security in the Commission (OJ L 72, 17.3.2015, p. 41, ELI: http://data.europa.eu/eli/dec/2015/443/oj).</w:t>
            </w:r>
          </w:p>
        </w:tc>
        <w:tc>
          <w:tcPr>
            <w:tcW w:w="4876" w:type="dxa"/>
            <w:tcBorders>
              <w:top w:val="nil"/>
              <w:left w:val="nil"/>
              <w:bottom w:val="nil"/>
              <w:right w:val="nil"/>
            </w:tcBorders>
          </w:tcPr>
          <w:p>
            <w:pPr>
              <w:pStyle w:val="Normal6a"/>
            </w:pPr>
            <w:r>
              <w:rPr>
                <w:vertAlign w:val="superscript"/>
              </w:rPr>
              <w:t>57</w:t>
            </w:r>
            <w:r>
              <w:t xml:space="preserve"> </w:t>
            </w:r>
            <w:r>
              <w:t>Commission Decision (EU, Euratom) 2015/443 of 13 March 2015 on Security in the Commission (OJ L 72, 17.3.2015, p. 41, ELI: http://data.europa.eu/eli/dec/2015/443/oj).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58</w:t>
            </w:r>
            <w:r>
              <w:t xml:space="preserve"> </w:t>
            </w:r>
            <w:r>
              <w:t>Commission Decision (EU, Euratom) 2015/444 of 13 March 2015 on the security rules for protecting EU classified information (OJ L 72, 17.3.2015, p. 53, ELI: http://data.europa.eu/eli/dec/2015/444/oj).</w:t>
            </w:r>
          </w:p>
        </w:tc>
        <w:tc>
          <w:tcPr>
            <w:tcW w:w="4876" w:type="dxa"/>
            <w:tcBorders>
              <w:top w:val="nil"/>
              <w:left w:val="nil"/>
              <w:bottom w:val="nil"/>
              <w:right w:val="nil"/>
            </w:tcBorders>
          </w:tcPr>
          <w:p>
            <w:pPr>
              <w:pStyle w:val="Normal6a"/>
            </w:pPr>
            <w:r>
              <w:rPr>
                <w:vertAlign w:val="superscript"/>
              </w:rPr>
              <w:t>58</w:t>
            </w:r>
            <w:r>
              <w:t xml:space="preserve"> </w:t>
            </w:r>
            <w:r>
              <w:t>Commission Decision (EU, Euratom) 2015/444 of 13 March 2015 on the security rules for protecting EU classified information (OJ L 72, 17.3.2015, p. 53, ELI: http://data.europa.eu/eli/dec/2015/444/oj).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68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To ensure consistency, create synergies and address issues of common concern, ENISA shall cooperate on matters related to cybersecurity with CERT-EU and relevant Union entities, including Europol, the European Cybersecurity Industrial, Technology and Research Competence Centre established pursuant to Regulation (EU) 2021/887, and the European Data Protection Board established pursuant to Article 68(1) of Regulation (EU) 2016/679.</w:t>
            </w:r>
          </w:p>
        </w:tc>
        <w:tc>
          <w:tcPr>
            <w:tcW w:w="4876" w:type="dxa"/>
            <w:tcBorders>
              <w:top w:val="nil"/>
              <w:left w:val="nil"/>
              <w:bottom w:val="nil"/>
              <w:right w:val="nil"/>
            </w:tcBorders>
          </w:tcPr>
          <w:p>
            <w:pPr>
              <w:pStyle w:val="Normal6a"/>
            </w:pPr>
            <w:r>
              <w:t>1.</w:t>
            </w:r>
            <w:r>
              <w:tab/>
            </w:r>
            <w:r>
              <w:t xml:space="preserve">To ensure consistency, create synergies and address issues of common concern, ENISA shall cooperate on matters related to cybersecurity with CERT-EU and relevant Union entities, including Europol, the European Cybersecurity Industrial, Technology and Research Competence Centre established pursuant to Regulation (EU) 2021/887, </w:t>
            </w:r>
            <w:r>
              <w:rPr>
                <w:b/>
                <w:i/>
              </w:rPr>
              <w:t>the European Artificial Intelligence Office, the European Data Protection Supervisor</w:t>
            </w:r>
            <w:r>
              <w:t xml:space="preserve"> and the European Data Protection Board established pursuant to Article 68(1) of Regulation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68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To ensure consistency, create synergies and address issues of common concern, ENISA shall cooperate on matters related to cybersecurity with CERT-EU and relevant Union entities, including Europol, the European Cybersecurity Industrial, Technology and Research Competence Centre established pursuant to Regulation (EU) 2021/887, and the European Data Protection Board established pursuant to Article 68(1) of Regulation (EU) 2016/679.</w:t>
            </w:r>
          </w:p>
        </w:tc>
        <w:tc>
          <w:tcPr>
            <w:tcW w:w="4876" w:type="dxa"/>
            <w:tcBorders>
              <w:top w:val="nil"/>
              <w:left w:val="nil"/>
              <w:bottom w:val="nil"/>
              <w:right w:val="nil"/>
            </w:tcBorders>
          </w:tcPr>
          <w:p>
            <w:pPr>
              <w:pStyle w:val="Normal6a"/>
            </w:pPr>
            <w:r>
              <w:t>1.</w:t>
            </w:r>
            <w:r>
              <w:tab/>
            </w:r>
            <w:r>
              <w:t>To ensure consistency, create synergies and address issues of common concern, ENISA shall cooperate on matters related to cybersecurity with CERT-EU and relevant Union entities, including Europol</w:t>
            </w:r>
            <w:r>
              <w:rPr>
                <w:b/>
                <w:i/>
              </w:rPr>
              <w:t>, the AI Office established by Commission Decision C(2024) 390</w:t>
            </w:r>
            <w:r>
              <w:t>, the European Cybersecurity Industrial, Technology and Research Competence Centre established pursuant to Regulation (EU) 2021/887, and the European Data Protection Board established pursuant to Article 68(1) of Regulation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68 – 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ENISA and the AI Office shall conclude, within [6] months of the date of entry into force of this Regulation, a working arrangement laying down: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the simultaneous transmission to ENISA and to the CSIRTs network of the information on serious incidents notified to the AI Office pursuant to Article 55(1), point (c), of Regulation (EU) 2024/1689 which concerns the security of network and information systems;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the transmission by ENISA to the AI Office of the notifications referred to in Article 16c and of the findings referred to in Article 16a;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the participation of the Capability in evaluations pursuant to Article 92 of Regulation (EU) 2024/1689;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the exchange with the scientific panel of independent experts established pursuant to Article 68 of Regulation (EU) 2024/1689, including on qualified alerts pursuant to Article 90 of that Regulation which have a cybersecurity dimension;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confidentiality and the handling of classified information. ENISA shall transmit the working arrangement to the European Parliament and to the Council.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68 – 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ENISA’s cooperation with Europol, in particular its European Cybercrime Centre, in relation to cybersecurity, cyber threats and cyber incidents of suspected criminal origin, with a particular focus on ransomware incidents, shall aim notably 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enhancing shared situational awareness of the cyber threat and incident landscape, in particular with respect to cyber threat intelligence;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improving cybersecurity preparedness, response to and recovery from ransomware incidents;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supporting effective coordination, the exchange of information and expertise, and the development of synergies between the cybersecurity and law enforcement communities.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68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Article 68a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Competent authorities' artificial intelligence capacities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By no later than ... [12 months after the date of entry into force of this Regulation], competent authorities designated or established pursuant to Article 8(1) of Directive (EU) 2022/2555 and CSIRTs shall equip themselves with AI-based tools to prevent, detect and respond to cyberattacks, including those using artificial intelligence, in the interests, among other matters, of identifying and remedying vulnerabilities, analysing cyber threats and handling incidents.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Individual Member States shall be free to determine which tools, the way in which they are acquired or developed, the conditions under which they are hosted and the way in which they are deployed.</w:t>
            </w:r>
            <w:r>
              <w:t xml:space="preserve"> </w:t>
            </w:r>
            <w:r>
              <w:rPr>
                <w:b/>
                <w:i/>
              </w:rPr>
              <w:t>For that purpose, Member States may draw on the list established by ENISA pursuant to Article 8(3)(a).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At the request of a Member State, ENISA shall support the deployment of those tools, including through technical advice and targeted training in accordance with Article 6, point (9).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This Article shall apply without prejudice to Article 1(4).</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 xml:space="preserve">In the wake of AI-powered attacks, human-led defences are often too slow. </w:t>
      </w:r>
      <w:r>
        <w:t>The relevant authorities and CSIRTs must have access to AI tools capable of detecting and rectifying vulnerabilities before they are exploited.</w:t>
      </w:r>
      <w:r>
        <w:t xml:space="preserve"> </w:t>
      </w:r>
      <w:r>
        <w:t>The choice of tools, their acquisition and hosting remain the sole responsibility of individual Member States.</w:t>
      </w:r>
    </w:p>
    <w:p>
      <w:r>
        <w:rPr>
          <w:rStyle w:val="HideTWBExt"/>
        </w:rPr>
        <w:t>&lt;/Amend&gt;</w:t>
      </w:r>
    </w:p>
    <w:p>
      <w:pPr>
        <w:pStyle w:val="AmNumberTabs"/>
      </w:pPr>
      <w:r>
        <w:rPr>
          <w:rStyle w:val="HideTWBExt"/>
        </w:rPr>
        <w:t>&lt;Amend&gt;</w:t>
      </w:r>
      <w:r>
        <w:t>Amendment</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68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Article 68b</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Use of European artificial intelligence models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By no later than ... [24 months after the date of entry into force of this Regulation], ENISA and the competent authorities and CSIRTs referred to in Article 68a(1) shall have at least one European artificial intelligence model among the tools that they use to prevent, detect and respond to cyberattacks.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For the purposes of this Article, ‘European artificial intelligence model’ means an artificial intelligence model whose provider is a legal entity established in the Union and controlled, as defined in Article 2, point (37), by Member States or by nationals of Member States.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The model referred to in paragraph 1 shall be deployed on infrastructure located in the Union, operated by the authority using it or by a legal entity meeting the conditions for establishment and control referred to in paragraph 2, and protected from any access to data processed by the authorities of a third country.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Individual Member States remain free to use national models, , including by reserving the processing of certain information for such models.</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It would be inconsistent to protect European infrastructure using tools controlled from third countries subject to extraterritorial laws.</w:t>
      </w:r>
    </w:p>
    <w:p>
      <w:r>
        <w:rPr>
          <w:rStyle w:val="HideTWBExt"/>
        </w:rPr>
        <w:t>&lt;/Amend&gt;</w:t>
      </w:r>
    </w:p>
    <w:p>
      <w:pPr>
        <w:pStyle w:val="AmNumberTabs"/>
      </w:pPr>
      <w:r>
        <w:rPr>
          <w:rStyle w:val="HideTWBExt"/>
        </w:rPr>
        <w:t>&lt;Amend&gt;</w:t>
      </w:r>
      <w:r>
        <w:t>Amendment</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András Gyürk,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69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Where necessary to achieve the objectives of this Regulation,</w:t>
            </w:r>
            <w:r>
              <w:t xml:space="preserve"> ENISA shall cooperate with relevant stakeholders, such as the cybersecurity industry, the ICT industry, SMEs, entities operating in sectors listed in Annexes I and II to Directive (EU) 2022/2555, manufacturers, importers or distributors of products with digital elements within the meaning of Regulation (EU) 2024/2847, conformity assessment bodies notified under the European cybersecurity certification framework and Regulation (EU) 2024/2847, entities operating in the area of electronic identification means, consumer groups, and academic experts in the field of cybersecurity. To that end, ENISA may establish public-private partnerships.</w:t>
            </w:r>
          </w:p>
        </w:tc>
        <w:tc>
          <w:tcPr>
            <w:tcW w:w="4876" w:type="dxa"/>
            <w:tcBorders>
              <w:top w:val="nil"/>
              <w:left w:val="nil"/>
              <w:bottom w:val="nil"/>
              <w:right w:val="nil"/>
            </w:tcBorders>
          </w:tcPr>
          <w:p>
            <w:pPr>
              <w:pStyle w:val="Normal6a"/>
            </w:pPr>
            <w:r>
              <w:t>1.</w:t>
            </w:r>
            <w:r>
              <w:tab/>
            </w:r>
            <w:r>
              <w:t>ENISA shall cooperate with relevant stakeholders, such as the cybersecurity industry, the ICT industry, SMEs, entities operating in sectors listed in Annexes I and II to Directive (EU) 2022/2555, manufacturers, importers or distributors of products with digital elements within the meaning of Regulation (EU) 2024/2847, conformity assessment bodies notified under the European cybersecurity certification framework and Regulation (EU) 2024/2847, entities operating in the area of electronic identification means, consumer groups, and academic experts in the field of cybersecurity. To that end, ENISA may establish public-private partnerships.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69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Where necessary to achieve the objectives of this Regulation, ENISA shall cooperate with relevant stakeholders, such as the cybersecurity industry, the ICT industry, SMEs, entities operating in sectors listed in Annexes I and II to Directive (EU) 2022/2555, manufacturers, importers or distributors of products with digital elements within the meaning of Regulation (EU) 2024/2847, conformity assessment bodies notified under the European cybersecurity certification framework and Regulation (EU) 2024/2847, entities operating in the area of electronic identification means, consumer groups, and academic experts in the field of cybersecurity. To that end, ENISA may establish public-private partnerships.</w:t>
            </w:r>
          </w:p>
        </w:tc>
        <w:tc>
          <w:tcPr>
            <w:tcW w:w="4876" w:type="dxa"/>
            <w:tcBorders>
              <w:top w:val="nil"/>
              <w:left w:val="nil"/>
              <w:bottom w:val="nil"/>
              <w:right w:val="nil"/>
            </w:tcBorders>
          </w:tcPr>
          <w:p>
            <w:pPr>
              <w:pStyle w:val="Normal6a"/>
            </w:pPr>
            <w:r>
              <w:t>1.</w:t>
            </w:r>
            <w:r>
              <w:tab/>
            </w:r>
            <w:r>
              <w:t xml:space="preserve">Where necessary to achieve the objectives of this Regulation, ENISA shall cooperate with relevant stakeholders, such as the cybersecurity industry, the ICT industry, SMEs, entities operating in sectors listed in Annexes I and II to Directive (EU) 2022/2555, manufacturers, importers or distributors of products with digital elements within the meaning of Regulation (EU) 2024/2847, </w:t>
            </w:r>
            <w:r>
              <w:rPr>
                <w:b/>
                <w:i/>
              </w:rPr>
              <w:t>standardisation bodies,</w:t>
            </w:r>
            <w:r>
              <w:t xml:space="preserve"> conformity assessment bodies notified under the European cybersecurity certification framework and Regulation (EU) 2024/2847, entities operating in the area of electronic identification means, consumer groups, and academic experts in the field of cybersecurity. To that end, ENISA may establish public-private partnerships.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69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Where ENISA establishes or participates in a public-private partnership for the exchange of cyber threat intelligence pursuant to paragraph 1, the arrangements governing that partnership shall provide, where appropriate, for reciprocal information-sharing, agreed formats and procedures for the exchange of information, appropriate confidentiality and security safeguards, and feedback to contributing stakeholders. ENISA shall, within the limits applicable to the information concerned, support the aggregation, analysis, enrichment and dissemination of actionable cyber threat intelligence to Member States, Union entities and relevant stakeholders. Any further sharing shall respect applicable Union and national law, confidentiality requirements, security classifications and restrictions imposed by the originator of the information. ENISA may use procurement, grants, contribution agreements or other instruments available under Union law to obtain or support cyber threat intelligence where this contributes effectively and securely to the objectives of the partnership.</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Effective public-private threat-intelligence partnerships depend on meaningful information flows in both directions. Contributors should receive appropriate feedback and actionable intelligence in return for the information they provide, subject to applicable confidentiality and security restrictions. Clear procedures and safeguards can strengthen private-sector participation while enabling ENISA to aggregate and enrich information for wider cybersecurity purposes.</w:t>
      </w:r>
    </w:p>
    <w:p>
      <w:r>
        <w:rPr>
          <w:rStyle w:val="HideTWBExt"/>
        </w:rPr>
        <w:t>&lt;/Amend&gt;</w:t>
      </w:r>
    </w:p>
    <w:p>
      <w:pPr>
        <w:pStyle w:val="AmNumberTabs"/>
      </w:pPr>
      <w:r>
        <w:rPr>
          <w:rStyle w:val="HideTWBExt"/>
        </w:rPr>
        <w:t>&lt;Amend&gt;</w:t>
      </w:r>
      <w:r>
        <w:t>Amendment</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70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To the extent necessary to achieve the objectives of this Regulation, ENISA may cooperate with the competent authorities of third countries or with international organisations or both, in line with the priorities of the Union. To that end, ENISA may establish working arrangements with the authorities of third countries and international organisations, subject to the prior approval of the Commission. Those working arrangements shall not create legal obligations incumbent on the Union and its Member States.</w:t>
            </w:r>
          </w:p>
        </w:tc>
        <w:tc>
          <w:tcPr>
            <w:tcW w:w="4876" w:type="dxa"/>
            <w:tcBorders>
              <w:top w:val="nil"/>
              <w:left w:val="nil"/>
              <w:bottom w:val="nil"/>
              <w:right w:val="nil"/>
            </w:tcBorders>
          </w:tcPr>
          <w:p>
            <w:pPr>
              <w:pStyle w:val="Normal6a"/>
            </w:pPr>
            <w:r>
              <w:t>1.</w:t>
            </w:r>
            <w:r>
              <w:tab/>
            </w:r>
            <w:r>
              <w:t xml:space="preserve">To the extent necessary to achieve the objectives of this Regulation, ENISA may cooperate with the competent authorities of third countries or with international organisations or both, in line with the priorities of the Union. To that end, ENISA may establish working arrangements with the authorities of third countries and international organisations, subject to the prior approval of the Commission. Those working arrangements shall not create legal obligations incumbent on the Union and its Member States. </w:t>
            </w:r>
            <w:r>
              <w:rPr>
                <w:b/>
                <w:i/>
              </w:rPr>
              <w:t>Cooperation of that kind shall be permitted provided that it does not undermine the security or strategic interests of the Member States or the Union.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70 – paragraph 3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growth and enhancement of the cybersecurity workforce, including by promoting the ECSF and the European individual cybersecurity skills attestation schemes, and providing learning and training activities;</w:t>
            </w:r>
          </w:p>
        </w:tc>
        <w:tc>
          <w:tcPr>
            <w:tcW w:w="4876" w:type="dxa"/>
            <w:tcBorders>
              <w:top w:val="nil"/>
              <w:left w:val="nil"/>
              <w:bottom w:val="nil"/>
              <w:right w:val="nil"/>
            </w:tcBorders>
          </w:tcPr>
          <w:p>
            <w:pPr>
              <w:pStyle w:val="Normal6a"/>
            </w:pPr>
            <w:r>
              <w:t>(b)</w:t>
            </w:r>
            <w:r>
              <w:tab/>
            </w:r>
            <w:r>
              <w:t xml:space="preserve">growth and enhancement of the cybersecurity workforce, including by promoting the ECSF and the European individual cybersecurity skills attestation schemes, and providing learning and training activities </w:t>
            </w:r>
            <w:r>
              <w:rPr>
                <w:b/>
                <w:i/>
              </w:rPr>
              <w:t>in an inclusive and accessible manner and with a view to supporting workforce mobility and facilitating the recognition of cybersecurity skills and relevant professional qualifications, vocational education and training (VET) credentials and degrees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501</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70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ENISA shall be open to the participation of third countries in ENISA’s work that have concluded agreements with the Union to that effect. Under the relevant provisions of agreements concluded between third countries and the Union, working arrangements shall be established, subject to prior approval of the Commission, specifying in particular the nature, extent and manner in which those third countries are to participate in ENISA’s work, and shall include provisions relating to participation in the initiatives undertaken by ENISA, to financial contributions and to staff. As regards staff matters, those working arrangements shall comply with the Staff Regulations and Conditions of Employment in any event.</w:t>
            </w:r>
          </w:p>
        </w:tc>
        <w:tc>
          <w:tcPr>
            <w:tcW w:w="4876" w:type="dxa"/>
            <w:tcBorders>
              <w:top w:val="nil"/>
              <w:left w:val="nil"/>
              <w:bottom w:val="nil"/>
              <w:right w:val="nil"/>
            </w:tcBorders>
          </w:tcPr>
          <w:p>
            <w:pPr>
              <w:pStyle w:val="Normal6a"/>
            </w:pPr>
            <w:r>
              <w:t>4.</w:t>
            </w:r>
            <w:r>
              <w:tab/>
            </w:r>
            <w:r>
              <w:t>ENISA shall be open to the participation of third countries in ENISA’s work that have concluded agreements with the Union to that effect</w:t>
            </w:r>
            <w:r>
              <w:rPr>
                <w:b/>
                <w:i/>
              </w:rPr>
              <w:t>, subject to the appropriate security and confidentiality measures</w:t>
            </w:r>
            <w:r>
              <w:t xml:space="preserve"> . Under the relevant provisions of agreements concluded between third countries and the Union, working arrangements shall be established, subject to prior approval of the Commission, specifying in particular the nature, extent and manner in which those third countries are to participate in ENISA’s work, and shall include provisions relating to participation in the initiatives undertaken by ENISA, to financial contributions and to staff. As regards staff matters, those working arrangements shall comply with the Staff Regulations and Conditions of Employment in any event.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502</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70 – 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Where there are serious grounds for considering that the participation of a third country in the work of ENISA is likely to affect the security of critical infrastructure or the essential security interests of the Union or of one or more Member States, the Management Board shall immediately suspend, as a precautionary measure, that participation and the application of the working arrangements referred to in paragraphs 1 and 4, until the requisite checks have been completed.</w:t>
            </w:r>
            <w:r>
              <w:rPr>
                <w:b/>
                <w:i/>
              </w:rPr>
              <w:t>During the suspension period, ENISA shall not communicate any information to the third country in question.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Where those checks confirm the existence of the risk, the Management Board shall immediately terminate any cooperation between ENISA and that third country, including the relevant working arrangements.</w:t>
            </w:r>
            <w:r>
              <w:t xml:space="preserve"> </w:t>
            </w:r>
            <w:r>
              <w:rPr>
                <w:b/>
                <w:i/>
              </w:rPr>
              <w:t>The Management Board shall inform the European Parliament, the Council and the Commission immediately of any decision adopted pursuant to this paragraph.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503</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Title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Le Titre III organise un transfert de compétence inacceptable au détriment des États membres dans un domaine touchant à la sécurité nationale, qui relève de leur seule responsabilité en vertu de l'article 4, paragraphe 2, du traité sur l'Union européenne.</w:t>
      </w:r>
      <w:r>
        <w:t xml:space="preserve"> </w:t>
      </w:r>
      <w:r>
        <w:t>En confiant à la Commission et à l'ENISA le pilotage des schémas de certification, il dépossède les autorités nationales compétentes — en France l'ANSSI — d'une prérogative régalienne.</w:t>
      </w:r>
      <w:r>
        <w:t xml:space="preserve"> </w:t>
      </w:r>
      <w:r>
        <w:t>Pire, la Commission l'a expurgé de tout critère d'immunité aux législations extraterritoriales :</w:t>
      </w:r>
      <w:r>
        <w:t xml:space="preserve"> </w:t>
      </w:r>
      <w:r>
        <w:t>il permettrait à des fournisseurs soumis au Cloud Act et à la section 702 du FISA américain d'obtenir la certification du plus haut niveau d'assurance, tout en exposant les schémas nationaux exigeants, telle la qualification française SecNumCloud, à un effacement sous couvert d'harmonisation.</w:t>
      </w:r>
      <w:r>
        <w:t xml:space="preserve"> </w:t>
      </w:r>
      <w:r>
        <w:t>Le dispositif est en outre inopérant et n'élèvera en rien la cybersécurité.</w:t>
      </w:r>
      <w:r>
        <w:t xml:space="preserve"> </w:t>
      </w:r>
      <w:r>
        <w:t>En certifiant la « posture de cybersécurité » des entités, il prétend figer dans un certificat un état de sécurité par nature dynamique, inadapté à la supervision continue des autorités nationales.</w:t>
      </w:r>
      <w:r>
        <w:t xml:space="preserve"> </w:t>
      </w:r>
      <w:r>
        <w:t>Superposé à la directive NIS 2, au règlement DORA et au CRA, il aggrave une insécurité juridique que la Commission reconnaît elle-même, sous peine de sanctions atteignant 7 % du chiffre d'affaires mondial.</w:t>
      </w:r>
      <w:r>
        <w:t xml:space="preserve"> </w:t>
      </w:r>
      <w:r>
        <w:t>Enfin, l'enlisement du schéma cloud EUCS depuis 2021 démontre qu'une certification centralisée ne produit que de la paralysie, des coûts et des délais, non la résilience.</w:t>
      </w:r>
      <w:r>
        <w:t xml:space="preserve"> </w:t>
      </w:r>
      <w:r>
        <w:t>La sécurité de l'Union sera mieux garantie par la consolidation des cadres nationaux souverains existants que par un dispositif harmonisé désarmé, inopérant et redondant.</w:t>
      </w:r>
      <w:r>
        <w:t xml:space="preserve"> </w:t>
      </w:r>
      <w:r>
        <w:t>Il convient en conséquence de supprimer le Titre III.</w:t>
      </w:r>
    </w:p>
    <w:p>
      <w:r>
        <w:rPr>
          <w:rStyle w:val="HideTWBExt"/>
        </w:rPr>
        <w:t>&lt;/Amend&gt;</w:t>
      </w:r>
    </w:p>
    <w:p>
      <w:pPr>
        <w:pStyle w:val="AmNumberTabs"/>
      </w:pPr>
      <w:r>
        <w:rPr>
          <w:rStyle w:val="HideTWBExt"/>
        </w:rPr>
        <w:t>&lt;Amend&gt;</w:t>
      </w:r>
      <w:r>
        <w:t>Amendment</w:t>
      </w:r>
      <w:r>
        <w:tab/>
      </w:r>
      <w:r>
        <w:tab/>
      </w:r>
      <w:r>
        <w:rPr>
          <w:rStyle w:val="HideTWBExt"/>
        </w:rPr>
        <w:t>&lt;NumAm&gt;</w:t>
      </w:r>
      <w:r>
        <w:t>504</w:t>
      </w:r>
      <w:r>
        <w:rPr>
          <w:rStyle w:val="HideTWBExt"/>
        </w:rPr>
        <w:t>&lt;/NumAm&gt;</w:t>
      </w:r>
    </w:p>
    <w:p>
      <w:pPr>
        <w:pStyle w:val="NormalBold"/>
      </w:pPr>
      <w:r>
        <w:rPr>
          <w:rStyle w:val="HideTWBExt"/>
          <w:b w:val="0"/>
        </w:rPr>
        <w:t>&lt;RepeatBlock-By&gt;</w:t>
      </w:r>
      <w:r>
        <w:rPr>
          <w:rStyle w:val="HideTWBExt"/>
          <w:b w:val="0"/>
        </w:rPr>
        <w:t>&lt;Members&gt;</w:t>
      </w:r>
      <w:r>
        <w:t>Elena Sancho Murillo, Jens Geier, Lina Gálvez,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71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The European cybersecurity certification framework shall be established with a view of creating a digital single market for ICT products, ICT services, ICT processes, managed security services and entities. To that end, it shall increase the level of cybersecurity within the Union and enable a harmonised approach to European cybersecurity certification schemes as well as leverage certification to facilitate compliance with applicable Union legislation.</w:t>
            </w:r>
          </w:p>
        </w:tc>
        <w:tc>
          <w:tcPr>
            <w:tcW w:w="4876" w:type="dxa"/>
            <w:tcBorders>
              <w:top w:val="nil"/>
              <w:left w:val="nil"/>
              <w:bottom w:val="nil"/>
              <w:right w:val="nil"/>
            </w:tcBorders>
          </w:tcPr>
          <w:p>
            <w:pPr>
              <w:pStyle w:val="Normal6a"/>
            </w:pPr>
            <w:r>
              <w:t>1.</w:t>
            </w:r>
            <w:r>
              <w:tab/>
            </w:r>
            <w:r>
              <w:t>The European cybersecurity certification framework shall be established with a view of creating a digital single market for ICT products, ICT services, ICT processes, managed security services and entities. To that end, it shall increase the level of cybersecurity within the Union and enable a harmonised approach to European cybersecurity certification schemes as well as leverage certification to facilitate compliance with applicable Union legislation.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In particular, the application of European cybersecurity certification schemes to public administration entities and public sector bodies, entities designated as critical, essential, vital or strategic under Union or national law, and providers supporting public functions, critical infrastructure, national security or national cybersecurity and resilience frameworks established by law, shall not affect the exercise of the powers of competent authorities under Directive (EU) 2022/2555 or restrict Member States’ ability to apply national cybersecurity requirements in accordance with that Directive. Where such schemes are intended to facilitate compliance with Directive (EU) 2022/2555, certification shall not, in itself, replace the supervision or other obligations applicable under that Directive.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amendment aims to ensure that the European cybersecurity certification framework does not create additional administrative or regulatory burdens for public administrations and other entities performing critical public functions.</w:t>
      </w:r>
    </w:p>
    <w:p>
      <w:r>
        <w:rPr>
          <w:rStyle w:val="HideTWBExt"/>
        </w:rPr>
        <w:t>&lt;/Amend&gt;</w:t>
      </w:r>
    </w:p>
    <w:p>
      <w:pPr>
        <w:pStyle w:val="AmNumberTabs"/>
      </w:pPr>
      <w:r>
        <w:rPr>
          <w:rStyle w:val="HideTWBExt"/>
        </w:rPr>
        <w:t>&lt;Amend&gt;</w:t>
      </w:r>
      <w:r>
        <w:t>Amendment</w:t>
      </w:r>
      <w:r>
        <w:tab/>
      </w:r>
      <w:r>
        <w:tab/>
      </w:r>
      <w:r>
        <w:rPr>
          <w:rStyle w:val="HideTWBExt"/>
        </w:rPr>
        <w:t>&lt;NumAm&gt;</w:t>
      </w:r>
      <w:r>
        <w:t>505</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71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The European cybersecurity certification framework </w:t>
            </w:r>
            <w:r>
              <w:rPr>
                <w:b/>
                <w:i/>
              </w:rPr>
              <w:t>shall be established with a view of creating a digital single market</w:t>
            </w:r>
            <w:r>
              <w:t xml:space="preserve"> for ICT products, ICT services, ICT processes</w:t>
            </w:r>
            <w:r>
              <w:rPr>
                <w:b/>
                <w:i/>
              </w:rPr>
              <w:t>, managed security services and entities.</w:t>
            </w:r>
            <w:r>
              <w:t xml:space="preserve"> </w:t>
            </w:r>
            <w:r>
              <w:rPr>
                <w:b/>
                <w:i/>
              </w:rPr>
              <w:t>To that end, it</w:t>
            </w:r>
            <w:r>
              <w:t xml:space="preserve"> shall increase the level of cybersecurity within the Union </w:t>
            </w:r>
            <w:r>
              <w:rPr>
                <w:b/>
                <w:i/>
              </w:rPr>
              <w:t>and enable a harmonised approach to European cybersecurity certification schemes as well as leverage certification to facilitate compliance with applicable Union legislation</w:t>
            </w:r>
            <w:r>
              <w:t>.</w:t>
            </w:r>
          </w:p>
        </w:tc>
        <w:tc>
          <w:tcPr>
            <w:tcW w:w="4876" w:type="dxa"/>
            <w:tcBorders>
              <w:top w:val="nil"/>
              <w:left w:val="nil"/>
              <w:bottom w:val="nil"/>
              <w:right w:val="nil"/>
            </w:tcBorders>
          </w:tcPr>
          <w:p>
            <w:pPr>
              <w:pStyle w:val="Normal6a"/>
            </w:pPr>
            <w:r>
              <w:t>1.</w:t>
            </w:r>
            <w:r>
              <w:tab/>
            </w:r>
            <w:r>
              <w:t xml:space="preserve">The European cybersecurity certification framework for ICT products, ICT services, ICT processes </w:t>
            </w:r>
            <w:r>
              <w:rPr>
                <w:b/>
                <w:i/>
              </w:rPr>
              <w:t>shall be non-binding and</w:t>
            </w:r>
            <w:r>
              <w:t xml:space="preserve"> shall </w:t>
            </w:r>
            <w:r>
              <w:rPr>
                <w:b/>
                <w:i/>
              </w:rPr>
              <w:t>seek to</w:t>
            </w:r>
            <w:r>
              <w:t xml:space="preserve"> increase the level of cybersecurity within the Union.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506</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71 – paragraph 2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that the cyber posture of an entity that has been evaluated in accordance with such schemes complies with specified cybersecurity requirements.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Since a cyber posture is something which, by nature, evolves, it cannot be validly assessed by means of a fixed certificate establishing compliance on a given date.</w:t>
      </w:r>
    </w:p>
    <w:p>
      <w:r>
        <w:rPr>
          <w:rStyle w:val="HideTWBExt"/>
        </w:rPr>
        <w:t>&lt;/Amend&gt;</w:t>
      </w:r>
    </w:p>
    <w:p>
      <w:pPr>
        <w:pStyle w:val="AmNumberTabs"/>
      </w:pPr>
      <w:r>
        <w:rPr>
          <w:rStyle w:val="HideTWBExt"/>
        </w:rPr>
        <w:t>&lt;Amend&gt;</w:t>
      </w:r>
      <w:r>
        <w:t>Amendment</w:t>
      </w:r>
      <w:r>
        <w:tab/>
      </w:r>
      <w:r>
        <w:tab/>
      </w:r>
      <w:r>
        <w:rPr>
          <w:rStyle w:val="HideTWBExt"/>
        </w:rPr>
        <w:t>&lt;NumAm&gt;</w:t>
      </w:r>
      <w:r>
        <w:t>507</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71 – 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Non-technical risks related to ICT supply chains shall be addressed in accordance with Title IV and not through security requirements in European cybersecurity certification schemes.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508</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71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European cybersecurity certification shall be voluntary, unless otherwise specified in Union </w:t>
            </w:r>
            <w:r>
              <w:rPr>
                <w:b/>
                <w:i/>
              </w:rPr>
              <w:t>or national</w:t>
            </w:r>
            <w:r>
              <w:t xml:space="preserve"> law.</w:t>
            </w:r>
          </w:p>
        </w:tc>
        <w:tc>
          <w:tcPr>
            <w:tcW w:w="4876" w:type="dxa"/>
            <w:tcBorders>
              <w:top w:val="nil"/>
              <w:left w:val="nil"/>
              <w:bottom w:val="nil"/>
              <w:right w:val="nil"/>
            </w:tcBorders>
          </w:tcPr>
          <w:p>
            <w:pPr>
              <w:pStyle w:val="Normal6a"/>
            </w:pPr>
            <w:r>
              <w:t>3.</w:t>
            </w:r>
            <w:r>
              <w:tab/>
            </w:r>
            <w:r>
              <w:t xml:space="preserve">European cybersecurity certification shall be voluntary, unless otherwise specified in </w:t>
            </w:r>
            <w:r>
              <w:rPr>
                <w:b/>
                <w:i/>
              </w:rPr>
              <w:t>this Regulation or other</w:t>
            </w:r>
            <w:r>
              <w:t xml:space="preserve"> Union law. </w:t>
            </w:r>
            <w:r>
              <w:rPr>
                <w:b/>
                <w:i/>
              </w:rPr>
              <w:t>Member States may require certification under a European cybersecurity certification scheme for ICT products, ICT services, ICT processes, managed security services or the cyber posture of entities where they are used by public authorities, in critical infrastructure or in activities subject to sector-specific regulatory requirements, provided that such a requirement is necessary and proportionate to an identified cybersecurity risk and does not go beyond what is necessary to address that risk.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Voluntary certification should remain the general rule in order to avoid unnecessary costs and barriers to market entry, particularly for SMEs and innovative providers. Member States should retain the ability to require European cybersecurity certification for clearly defined sensitive or regulated uses where justified by an identified cybersecurity risk, but such requirements should remain targeted, necessary and proportionate.</w:t>
      </w:r>
    </w:p>
    <w:p>
      <w:r>
        <w:rPr>
          <w:rStyle w:val="HideTWBExt"/>
        </w:rPr>
        <w:t>&lt;/Amend&gt;</w:t>
      </w:r>
    </w:p>
    <w:p>
      <w:pPr>
        <w:pStyle w:val="AmNumberTabs"/>
      </w:pPr>
      <w:r>
        <w:rPr>
          <w:rStyle w:val="HideTWBExt"/>
        </w:rPr>
        <w:t>&lt;Amend&gt;</w:t>
      </w:r>
      <w:r>
        <w:t>Amendment</w:t>
      </w:r>
      <w:r>
        <w:tab/>
      </w:r>
      <w:r>
        <w:tab/>
      </w:r>
      <w:r>
        <w:rPr>
          <w:rStyle w:val="HideTWBExt"/>
        </w:rPr>
        <w:t>&lt;NumAm&gt;</w:t>
      </w:r>
      <w:r>
        <w:t>509</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71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European cybersecurity certification shall be voluntary, unless otherwise </w:t>
            </w:r>
            <w:r>
              <w:rPr>
                <w:b/>
                <w:i/>
              </w:rPr>
              <w:t>specified</w:t>
            </w:r>
            <w:r>
              <w:t xml:space="preserve"> in Union or national law.</w:t>
            </w:r>
          </w:p>
        </w:tc>
        <w:tc>
          <w:tcPr>
            <w:tcW w:w="4876" w:type="dxa"/>
            <w:tcBorders>
              <w:top w:val="nil"/>
              <w:left w:val="nil"/>
              <w:bottom w:val="nil"/>
              <w:right w:val="nil"/>
            </w:tcBorders>
          </w:tcPr>
          <w:p>
            <w:pPr>
              <w:pStyle w:val="Normal6a"/>
            </w:pPr>
            <w:r>
              <w:t>3.</w:t>
            </w:r>
            <w:r>
              <w:tab/>
            </w:r>
            <w:r>
              <w:t xml:space="preserve">European cybersecurity certification shall be voluntary, unless otherwise </w:t>
            </w:r>
            <w:r>
              <w:rPr>
                <w:b/>
                <w:i/>
              </w:rPr>
              <w:t>specifically provided for</w:t>
            </w:r>
            <w:r>
              <w:t xml:space="preserve"> in Union or national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510</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71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European cybersecurity certification shall be </w:t>
            </w:r>
            <w:r>
              <w:rPr>
                <w:b/>
                <w:i/>
              </w:rPr>
              <w:t>voluntary</w:t>
            </w:r>
            <w:r>
              <w:t>, unless otherwise specified in Union or national law.</w:t>
            </w:r>
          </w:p>
        </w:tc>
        <w:tc>
          <w:tcPr>
            <w:tcW w:w="4876" w:type="dxa"/>
            <w:tcBorders>
              <w:top w:val="nil"/>
              <w:left w:val="nil"/>
              <w:bottom w:val="nil"/>
              <w:right w:val="nil"/>
            </w:tcBorders>
          </w:tcPr>
          <w:p>
            <w:pPr>
              <w:pStyle w:val="Normal6a"/>
            </w:pPr>
            <w:r>
              <w:t>3.</w:t>
            </w:r>
            <w:r>
              <w:tab/>
            </w:r>
            <w:r>
              <w:t xml:space="preserve">European cybersecurity certification shall be </w:t>
            </w:r>
            <w:r>
              <w:rPr>
                <w:b/>
                <w:i/>
              </w:rPr>
              <w:t>mandatory</w:t>
            </w:r>
            <w:r>
              <w:t>, unless otherwise specified in Union or national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511</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71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European cybersecurity certification shall be voluntary, unless otherwise specified in </w:t>
            </w:r>
            <w:r>
              <w:rPr>
                <w:b/>
                <w:i/>
              </w:rPr>
              <w:t>Union or</w:t>
            </w:r>
            <w:r>
              <w:t xml:space="preserve"> national law.</w:t>
            </w:r>
          </w:p>
        </w:tc>
        <w:tc>
          <w:tcPr>
            <w:tcW w:w="4876" w:type="dxa"/>
            <w:tcBorders>
              <w:top w:val="nil"/>
              <w:left w:val="nil"/>
              <w:bottom w:val="nil"/>
              <w:right w:val="nil"/>
            </w:tcBorders>
          </w:tcPr>
          <w:p>
            <w:pPr>
              <w:pStyle w:val="Normal6a"/>
            </w:pPr>
            <w:r>
              <w:t>3.</w:t>
            </w:r>
            <w:r>
              <w:tab/>
            </w:r>
            <w:r>
              <w:t>European cybersecurity certification shall be voluntary, unless otherwise specified in national law.</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512</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71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 European cybersecurity certificate and EU statement of conformity issued under the European cybersecurity certification framework shall be </w:t>
            </w:r>
            <w:r>
              <w:rPr>
                <w:b/>
                <w:i/>
              </w:rPr>
              <w:t>automatically recognised in all Member States</w:t>
            </w:r>
            <w:r>
              <w:t>.</w:t>
            </w:r>
          </w:p>
        </w:tc>
        <w:tc>
          <w:tcPr>
            <w:tcW w:w="4876" w:type="dxa"/>
            <w:tcBorders>
              <w:top w:val="nil"/>
              <w:left w:val="nil"/>
              <w:bottom w:val="nil"/>
              <w:right w:val="nil"/>
            </w:tcBorders>
          </w:tcPr>
          <w:p>
            <w:pPr>
              <w:pStyle w:val="Normal6a"/>
            </w:pPr>
            <w:r>
              <w:t>4.</w:t>
            </w:r>
            <w:r>
              <w:tab/>
            </w:r>
            <w:r>
              <w:rPr>
                <w:b/>
                <w:i/>
              </w:rPr>
              <w:t>The recognition of</w:t>
            </w:r>
            <w:r>
              <w:t xml:space="preserve"> a European cybersecurity certificate and EU statement of conformity issued under the European cybersecurity certification framework shall be </w:t>
            </w:r>
            <w:r>
              <w:rPr>
                <w:b/>
                <w:i/>
              </w:rPr>
              <w:t>subject to assessment and approval by the competent national authorities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Article 71a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Relation of technical testing to certification and conformity assessment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Technical testing, evaluations and vulnerability assessments carried out by ENISA through the EU Cybersecurity Testbed referred to in Article 6, point (16), shall be voluntary and shall not be binding on the users of the facility.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Activities carried out through the EU Cybersecurity Testbed shall be without prejudice to the tasks of national cybersecurity certification authorities, notified bodies and conformity assessment bodies, and shall not constitute conformity assessment or certification within the meaning of Title III of this Regulation or of Regulation (EU) 2024/2847.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514</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72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At least </w:t>
            </w:r>
            <w:r>
              <w:rPr>
                <w:b/>
                <w:i/>
              </w:rPr>
              <w:t>once</w:t>
            </w:r>
            <w:r>
              <w:t xml:space="preserve"> a year, the Commission shall organise, with the support of ENISA, a European Cybersecurity Certification Assembly, inviting ECCG members and other relevant experts from Member States, relevant experts from Union entities and relevant stakeholders to discuss strategic priorities for harmonisation in the area of cybersecurity certification.</w:t>
            </w:r>
          </w:p>
        </w:tc>
        <w:tc>
          <w:tcPr>
            <w:tcW w:w="4876" w:type="dxa"/>
            <w:tcBorders>
              <w:top w:val="nil"/>
              <w:left w:val="nil"/>
              <w:bottom w:val="nil"/>
              <w:right w:val="nil"/>
            </w:tcBorders>
          </w:tcPr>
          <w:p>
            <w:pPr>
              <w:pStyle w:val="Normal6a"/>
            </w:pPr>
            <w:r>
              <w:t>1.</w:t>
            </w:r>
            <w:r>
              <w:tab/>
            </w:r>
            <w:r>
              <w:t xml:space="preserve">At least </w:t>
            </w:r>
            <w:r>
              <w:rPr>
                <w:b/>
                <w:i/>
              </w:rPr>
              <w:t>twice</w:t>
            </w:r>
            <w:r>
              <w:t xml:space="preserve"> a year, the Commission shall organise, with the support of ENISA, a European Cybersecurity Certification Assembly, inviting ECCG members and other relevant experts from Member States, relevant experts from Union entities and relevant stakeholders</w:t>
            </w:r>
            <w:r>
              <w:rPr>
                <w:b/>
                <w:i/>
              </w:rPr>
              <w:t>, including civil society organisations, consumer organisations and SMEs, ensuring their balanced representation,</w:t>
            </w:r>
            <w:r>
              <w:t xml:space="preserve"> to discuss strategic priorities for harmonisation in the area of cybersecurity certification.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515</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72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At least once a year, the Commission shall organise, with the support of ENISA, a European Cybersecurity Certification Assembly, inviting ECCG members and other relevant experts from Member States, relevant experts from Union entities and relevant stakeholders to discuss strategic priorities for harmonisation in the area of cybersecurity certification.</w:t>
            </w:r>
          </w:p>
        </w:tc>
        <w:tc>
          <w:tcPr>
            <w:tcW w:w="4876" w:type="dxa"/>
            <w:tcBorders>
              <w:top w:val="nil"/>
              <w:left w:val="nil"/>
              <w:bottom w:val="nil"/>
              <w:right w:val="nil"/>
            </w:tcBorders>
          </w:tcPr>
          <w:p>
            <w:pPr>
              <w:pStyle w:val="Normal6a"/>
            </w:pPr>
            <w:r>
              <w:t>1.</w:t>
            </w:r>
            <w:r>
              <w:tab/>
            </w:r>
            <w:r>
              <w:t xml:space="preserve">At least once a year, the Commission shall organise, with the support of ENISA, a European Cybersecurity Certification Assembly, inviting ECCG members and other relevant experts from Member States, </w:t>
            </w:r>
            <w:r>
              <w:rPr>
                <w:b/>
                <w:i/>
              </w:rPr>
              <w:t>SCCG members,</w:t>
            </w:r>
            <w:r>
              <w:t xml:space="preserve"> relevant experts from Union entities and relevant stakeholders</w:t>
            </w:r>
            <w:r>
              <w:rPr>
                <w:b/>
                <w:i/>
              </w:rPr>
              <w:t>, including representatives from businesses of different sizes,</w:t>
            </w:r>
            <w:r>
              <w:t xml:space="preserve"> to discuss strategic priorities for harmonisation in the area of cybersecurity certification.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516</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72 – paragraph 2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The Commission shall maintain and regularly update a dedicated website providing information on the following aspects:</w:t>
            </w:r>
          </w:p>
        </w:tc>
        <w:tc>
          <w:tcPr>
            <w:tcW w:w="4876" w:type="dxa"/>
            <w:tcBorders>
              <w:top w:val="nil"/>
              <w:left w:val="nil"/>
              <w:bottom w:val="nil"/>
              <w:right w:val="nil"/>
            </w:tcBorders>
          </w:tcPr>
          <w:p>
            <w:pPr>
              <w:pStyle w:val="Normal6a"/>
            </w:pPr>
            <w:r>
              <w:t>2.</w:t>
            </w:r>
            <w:r>
              <w:tab/>
            </w:r>
            <w:r>
              <w:t xml:space="preserve">The Commission shall maintain and regularly update a dedicated website providing </w:t>
            </w:r>
            <w:r>
              <w:rPr>
                <w:b/>
                <w:i/>
              </w:rPr>
              <w:t>clear, transparent, user-friendly and easily accessible</w:t>
            </w:r>
            <w:r>
              <w:t xml:space="preserve"> information on the following aspects: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517</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72 – paragraph 2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strategic priorities for harmonisation of ICT products, ICT services, ICT processes</w:t>
            </w:r>
            <w:r>
              <w:rPr>
                <w:b/>
                <w:i/>
              </w:rPr>
              <w:t>, managed security services, cyber posture of entities</w:t>
            </w:r>
            <w:r>
              <w:t xml:space="preserve"> or security requirements of Union legislation, including potential areas for which a European cybersecurity certification scheme might be requested.</w:t>
            </w:r>
          </w:p>
        </w:tc>
        <w:tc>
          <w:tcPr>
            <w:tcW w:w="4876" w:type="dxa"/>
            <w:tcBorders>
              <w:top w:val="nil"/>
              <w:left w:val="nil"/>
              <w:bottom w:val="nil"/>
              <w:right w:val="nil"/>
            </w:tcBorders>
          </w:tcPr>
          <w:p>
            <w:pPr>
              <w:pStyle w:val="Normal6a"/>
            </w:pPr>
            <w:r>
              <w:t>(b)</w:t>
            </w:r>
            <w:r>
              <w:tab/>
            </w:r>
            <w:r>
              <w:t>strategic priorities for harmonisation of ICT products, ICT services, ICT processes or security requirements of Union legislation, including potential areas for which a European cybersecurity certification scheme might be requested.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(This deletion applies to each iteration of the term ‘managed security services [...] cybersecurity posture of entities’, throughout the text.)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518</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72 – paragraph 2 – point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for each candidate European cybersecurity certification scheme, the development plan referred to in Article 73(3), including the planned consultation timetable and key development milestones;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Stakeholders should be able to follow and contribute meaningfully to the development of European cybersecurity certification schemes before they are finalised. Publishing development milestones, consultation drafts and summaries of stakeholder feedback would improve transparency and predictability, while appropriate safeguards would protect cybersecurity-sensitive, confidential and commercially sensitive information.</w:t>
      </w:r>
    </w:p>
    <w:p>
      <w:r>
        <w:rPr>
          <w:rStyle w:val="HideTWBExt"/>
        </w:rPr>
        <w:t>&lt;/Amend&gt;</w:t>
      </w:r>
    </w:p>
    <w:p>
      <w:pPr>
        <w:pStyle w:val="AmNumberTabs"/>
      </w:pPr>
      <w:r>
        <w:rPr>
          <w:rStyle w:val="HideTWBExt"/>
        </w:rPr>
        <w:t>&lt;Amend&gt;</w:t>
      </w:r>
      <w:r>
        <w:t>Amendment</w:t>
      </w:r>
      <w:r>
        <w:tab/>
      </w:r>
      <w:r>
        <w:tab/>
      </w:r>
      <w:r>
        <w:rPr>
          <w:rStyle w:val="HideTWBExt"/>
        </w:rPr>
        <w:t>&lt;NumAm&gt;</w:t>
      </w:r>
      <w:r>
        <w:t>519</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72 – paragraph 2 – point b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successive substantive drafts of candidate European cybersecurity certification schemes and, where applicable, supporting technical specifications made available for stakeholder consultation, except to the extent that publication would undermine cybersecurity, the protection of confidential information, intellectual property rights or commercially sensitive information; where information is withheld, a non-confidential summary shall be made available where possible;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Stakeholders should be able to follow and contribute meaningfully to the development of European cybersecurity certification schemes before they are finalised. Publishing development milestones, consultation drafts and summaries of stakeholder feedback would improve transparency and predictability, while appropriate safeguards would protect cybersecurity-sensitive, confidential and commercially sensitive information.</w:t>
      </w:r>
    </w:p>
    <w:p>
      <w:r>
        <w:rPr>
          <w:rStyle w:val="HideTWBExt"/>
        </w:rPr>
        <w:t>&lt;/Amend&gt;</w:t>
      </w:r>
    </w:p>
    <w:p>
      <w:pPr>
        <w:pStyle w:val="AmNumberTabs"/>
      </w:pPr>
      <w:r>
        <w:rPr>
          <w:rStyle w:val="HideTWBExt"/>
        </w:rPr>
        <w:t>&lt;Amend&gt;</w:t>
      </w:r>
      <w:r>
        <w:t>Amendment</w:t>
      </w:r>
      <w:r>
        <w:tab/>
      </w:r>
      <w:r>
        <w:tab/>
      </w:r>
      <w:r>
        <w:rPr>
          <w:rStyle w:val="HideTWBExt"/>
        </w:rPr>
        <w:t>&lt;NumAm&gt;</w:t>
      </w:r>
      <w:r>
        <w:t>520</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72 – paragraph 2 – point b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summaries of stakeholder contributions received during the consultation process referred to in Article 74(4), together with an explanation of how the main issues raised have been taken into account in the preparation of the candidate scheme.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Stakeholders should be able to follow and contribute meaningfully to the development of European cybersecurity certification schemes before they are finalised. Publishing development milestones, consultation drafts and summaries of stakeholder feedback would improve transparency and predictability, while appropriate safeguards would protect cybersecurity-sensitive, confidential and commercially sensitive information.</w:t>
      </w:r>
    </w:p>
    <w:p>
      <w:r>
        <w:rPr>
          <w:rStyle w:val="HideTWBExt"/>
        </w:rPr>
        <w:t>&lt;/Amend&gt;</w:t>
      </w:r>
    </w:p>
    <w:p>
      <w:pPr>
        <w:pStyle w:val="AmNumberTabs"/>
      </w:pPr>
      <w:r>
        <w:rPr>
          <w:rStyle w:val="HideTWBExt"/>
        </w:rPr>
        <w:t>&lt;Amend&gt;</w:t>
      </w:r>
      <w:r>
        <w:t>Amendment</w:t>
      </w:r>
      <w:r>
        <w:tab/>
      </w:r>
      <w:r>
        <w:tab/>
      </w:r>
      <w:r>
        <w:rPr>
          <w:rStyle w:val="HideTWBExt"/>
        </w:rPr>
        <w:t>&lt;NumAm&gt;</w:t>
      </w:r>
      <w:r>
        <w:t>521</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72 – 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The Commission shall request ENISA to conduct feasibility studies to inform the requests for preparation of candidate European cybersecurity certification schemes referred to in Article 73(1). ENISA shall conduct such feasibility studies based on strategic priorities for harmonisation of certification. When conducting the feasibility studies, ENISA shall consult relevant stakeholders, including the ECCG. ENISA shall share the feasibility studies with the ECCG.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522</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73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The Commission may request ENISA to prepare a candidate European cybersecurity certification scheme for ICT products, ICT services, ICT processes, managed security services or cyber posture of entities.</w:t>
            </w:r>
          </w:p>
        </w:tc>
        <w:tc>
          <w:tcPr>
            <w:tcW w:w="4876" w:type="dxa"/>
            <w:tcBorders>
              <w:top w:val="nil"/>
              <w:left w:val="nil"/>
              <w:bottom w:val="nil"/>
              <w:right w:val="nil"/>
            </w:tcBorders>
          </w:tcPr>
          <w:p>
            <w:pPr>
              <w:pStyle w:val="Normal6a"/>
            </w:pPr>
            <w:r>
              <w:t>1.</w:t>
            </w:r>
            <w:r>
              <w:tab/>
            </w:r>
            <w:r>
              <w:t>The Commission may</w:t>
            </w:r>
            <w:r>
              <w:rPr>
                <w:b/>
                <w:i/>
              </w:rPr>
              <w:t>, where applicable following a request by the ECCG pursuant to paragraph 2,</w:t>
            </w:r>
            <w:r>
              <w:t xml:space="preserve"> request ENISA to prepare a candidate European cybersecurity certification scheme for ICT products, ICT services, ICT processes, managed security services or cyber posture of entities. </w:t>
            </w:r>
            <w:r>
              <w:rPr>
                <w:b/>
                <w:i/>
              </w:rPr>
              <w:t>ENISA Management Board may decide to refuse such request, in which case it will duly justify the refusal.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523</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73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The </w:t>
            </w:r>
            <w:r>
              <w:rPr>
                <w:b/>
                <w:i/>
              </w:rPr>
              <w:t>Commission</w:t>
            </w:r>
            <w:r>
              <w:t xml:space="preserve"> may request ENISA to prepare a candidate European cybersecurity certification scheme for ICT products, ICT services</w:t>
            </w:r>
            <w:r>
              <w:rPr>
                <w:b/>
                <w:i/>
              </w:rPr>
              <w:t>,</w:t>
            </w:r>
            <w:r>
              <w:t xml:space="preserve"> ICT processes</w:t>
            </w:r>
            <w:r>
              <w:rPr>
                <w:b/>
                <w:i/>
              </w:rPr>
              <w:t>, managed security services or cyber posture of entities</w:t>
            </w:r>
            <w:r>
              <w:t>.</w:t>
            </w:r>
          </w:p>
        </w:tc>
        <w:tc>
          <w:tcPr>
            <w:tcW w:w="4876" w:type="dxa"/>
            <w:tcBorders>
              <w:top w:val="nil"/>
              <w:left w:val="nil"/>
              <w:bottom w:val="nil"/>
              <w:right w:val="nil"/>
            </w:tcBorders>
          </w:tcPr>
          <w:p>
            <w:pPr>
              <w:pStyle w:val="Normal6a"/>
            </w:pPr>
            <w:r>
              <w:t>1.</w:t>
            </w:r>
            <w:r>
              <w:tab/>
            </w:r>
            <w:r>
              <w:t xml:space="preserve">The </w:t>
            </w:r>
            <w:r>
              <w:rPr>
                <w:b/>
                <w:i/>
              </w:rPr>
              <w:t>ECCG</w:t>
            </w:r>
            <w:r>
              <w:t xml:space="preserve"> may request ENISA to prepare a candidate European cybersecurity certification scheme for ICT products, ICT services </w:t>
            </w:r>
            <w:r>
              <w:rPr>
                <w:b/>
                <w:i/>
              </w:rPr>
              <w:t>or</w:t>
            </w:r>
            <w:r>
              <w:t xml:space="preserve"> ICT processes.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(Consequently, paragraph 2 of this Article is 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524</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73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In duly justified cases,</w:t>
            </w:r>
            <w:r>
              <w:t xml:space="preserve"> the ECCG may </w:t>
            </w:r>
            <w:r>
              <w:rPr>
                <w:b/>
                <w:i/>
              </w:rPr>
              <w:t>suggest to</w:t>
            </w:r>
            <w:r>
              <w:t xml:space="preserve"> the Commission to put forward a request referred to in paragraph 1.</w:t>
            </w:r>
          </w:p>
        </w:tc>
        <w:tc>
          <w:tcPr>
            <w:tcW w:w="4876" w:type="dxa"/>
            <w:tcBorders>
              <w:top w:val="nil"/>
              <w:left w:val="nil"/>
              <w:bottom w:val="nil"/>
              <w:right w:val="nil"/>
            </w:tcBorders>
          </w:tcPr>
          <w:p>
            <w:pPr>
              <w:pStyle w:val="Normal6a"/>
            </w:pPr>
            <w:r>
              <w:t>2.</w:t>
            </w:r>
            <w:r>
              <w:tab/>
            </w:r>
            <w:r>
              <w:t xml:space="preserve">The ECCG may </w:t>
            </w:r>
            <w:r>
              <w:rPr>
                <w:b/>
                <w:i/>
              </w:rPr>
              <w:t>request</w:t>
            </w:r>
            <w:r>
              <w:t xml:space="preserve"> the Commission to put forward a request referred to in paragraph 1. </w:t>
            </w:r>
            <w:r>
              <w:rPr>
                <w:b/>
                <w:i/>
              </w:rPr>
              <w:t>The Commission shall inform the ECCG within 30 days from the submission of such request about whether it intends to put it forward. Where the Commission decides not to put forward such a request, they shall duly justify that decision.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525</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73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The request referred to in paragraph 1 shall detail the purpose, scope and modalities of meeting relevant security objectives and elements set out in Articles 80 and 81. The request shall also specify the development plan of the candidate European cybersecurity certification scheme and relevant technical specifications to be referenced or defined in the scheme.</w:t>
            </w:r>
          </w:p>
        </w:tc>
        <w:tc>
          <w:tcPr>
            <w:tcW w:w="4876" w:type="dxa"/>
            <w:tcBorders>
              <w:top w:val="nil"/>
              <w:left w:val="nil"/>
              <w:bottom w:val="nil"/>
              <w:right w:val="nil"/>
            </w:tcBorders>
          </w:tcPr>
          <w:p>
            <w:pPr>
              <w:pStyle w:val="Normal6a"/>
            </w:pPr>
            <w:r>
              <w:t>3.</w:t>
            </w:r>
            <w:r>
              <w:tab/>
            </w:r>
            <w:r>
              <w:t>The request referred to in paragraph 1 shall detail the purpose, scope</w:t>
            </w:r>
            <w:r>
              <w:rPr>
                <w:b/>
                <w:i/>
              </w:rPr>
              <w:t>, development timeframe</w:t>
            </w:r>
            <w:r>
              <w:t xml:space="preserve"> and modalities of meeting relevant security objectives and elements set out in Articles 80 and 81</w:t>
            </w:r>
            <w:r>
              <w:rPr>
                <w:b/>
                <w:i/>
              </w:rPr>
              <w:t>. Where the development timeframe is longer than 12 months the reasons therefore shall be provided for in the request</w:t>
            </w:r>
            <w:r>
              <w:t xml:space="preserve">. The request shall also specify the development plan of the candidate European cybersecurity certification scheme and relevant technical specifications to be referenced or defined in the scheme. </w:t>
            </w:r>
            <w:r>
              <w:rPr>
                <w:b/>
                <w:i/>
              </w:rPr>
              <w:t>The Commission shall update the request where necessary, and publish the reasons therefore on the website referred to in Article 72(2).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526</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73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The request referred to in paragraph 1 shall detail the purpose, scope and modalities of meeting relevant security objectives and elements set out in Articles 80 and 81. The request shall also specify the development plan of the candidate European cybersecurity certification scheme </w:t>
            </w:r>
            <w:r>
              <w:rPr>
                <w:b/>
                <w:i/>
              </w:rPr>
              <w:t>and</w:t>
            </w:r>
            <w:r>
              <w:t xml:space="preserve"> relevant technical specifications to be referenced or defined in the scheme.</w:t>
            </w:r>
          </w:p>
        </w:tc>
        <w:tc>
          <w:tcPr>
            <w:tcW w:w="4876" w:type="dxa"/>
            <w:tcBorders>
              <w:top w:val="nil"/>
              <w:left w:val="nil"/>
              <w:bottom w:val="nil"/>
              <w:right w:val="nil"/>
            </w:tcBorders>
          </w:tcPr>
          <w:p>
            <w:pPr>
              <w:pStyle w:val="Normal6a"/>
            </w:pPr>
            <w:r>
              <w:t>3.</w:t>
            </w:r>
            <w:r>
              <w:tab/>
            </w:r>
            <w:r>
              <w:t>The request referred to in paragraph 1 shall detail the purpose, scope</w:t>
            </w:r>
            <w:r>
              <w:rPr>
                <w:b/>
                <w:i/>
              </w:rPr>
              <w:t>, justification of the necessity and proportionality of the candidate scheme</w:t>
            </w:r>
            <w:r>
              <w:t xml:space="preserve"> and modalities of meeting relevant security objectives and elements set out in Articles 80 and 81. The request shall also specify the development plan of the candidate European cybersecurity certification scheme</w:t>
            </w:r>
            <w:r>
              <w:rPr>
                <w:b/>
                <w:i/>
              </w:rPr>
              <w:t>, the applicable European or international standards to be referenced and, in the absence of such appropriate standards, the</w:t>
            </w:r>
            <w:r>
              <w:t xml:space="preserve"> relevant technical specifications to be referenced or defined in the scheme.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527</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73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When preparing the request referred to in paragraph 1, the Commission shall duly consult ENISA and the ECCG </w:t>
            </w:r>
            <w:r>
              <w:rPr>
                <w:b/>
                <w:i/>
              </w:rPr>
              <w:t>as well as</w:t>
            </w:r>
            <w:r>
              <w:t xml:space="preserve"> take into account the views of all relevant stakeholders and </w:t>
            </w:r>
            <w:r>
              <w:rPr>
                <w:b/>
                <w:i/>
              </w:rPr>
              <w:t>other</w:t>
            </w:r>
            <w:r>
              <w:t xml:space="preserve"> Union entities, including, where applicable, those that are relevant under Union legislation </w:t>
            </w:r>
            <w:r>
              <w:rPr>
                <w:b/>
                <w:i/>
              </w:rPr>
              <w:t>in</w:t>
            </w:r>
            <w:r>
              <w:t xml:space="preserve"> which a European cybersecurity certification scheme is demonstrating compliance and providing presumption of conformity.</w:t>
            </w:r>
          </w:p>
        </w:tc>
        <w:tc>
          <w:tcPr>
            <w:tcW w:w="4876" w:type="dxa"/>
            <w:tcBorders>
              <w:top w:val="nil"/>
              <w:left w:val="nil"/>
              <w:bottom w:val="nil"/>
              <w:right w:val="nil"/>
            </w:tcBorders>
          </w:tcPr>
          <w:p>
            <w:pPr>
              <w:pStyle w:val="Normal6a"/>
            </w:pPr>
            <w:r>
              <w:t>4.</w:t>
            </w:r>
            <w:r>
              <w:tab/>
            </w:r>
            <w:r>
              <w:t>When preparing the request referred to in paragraph 1, the Commission shall duly consult ENISA and the ECCG</w:t>
            </w:r>
            <w:r>
              <w:rPr>
                <w:b/>
                <w:i/>
              </w:rPr>
              <w:t>, and shall take due account of any relevant opinion adopted by the ECCG, providing reasons where that opinion is not followed. The Commission shall also</w:t>
            </w:r>
            <w:r>
              <w:t xml:space="preserve"> take into account </w:t>
            </w:r>
            <w:r>
              <w:rPr>
                <w:b/>
                <w:i/>
              </w:rPr>
              <w:t>existing standards and technical specifications, common specifications, national cybersecurity certification schemes and</w:t>
            </w:r>
            <w:r>
              <w:t xml:space="preserve"> the views of all relevant stakeholders</w:t>
            </w:r>
            <w:r>
              <w:rPr>
                <w:b/>
                <w:i/>
              </w:rPr>
              <w:t>,</w:t>
            </w:r>
            <w:r>
              <w:t xml:space="preserve"> and Union entities </w:t>
            </w:r>
            <w:r>
              <w:rPr>
                <w:b/>
                <w:i/>
              </w:rPr>
              <w:t>established pursuant to Union law</w:t>
            </w:r>
            <w:r>
              <w:t xml:space="preserve">, including, where applicable, those that are relevant under Union legislation </w:t>
            </w:r>
            <w:r>
              <w:rPr>
                <w:b/>
                <w:i/>
              </w:rPr>
              <w:t>within</w:t>
            </w:r>
            <w:r>
              <w:t xml:space="preserve"> which a European cybersecurity certification scheme is demonstrating compliance and providing presumption of conformity. </w:t>
            </w:r>
            <w:r>
              <w:rPr>
                <w:b/>
                <w:i/>
              </w:rPr>
              <w:t>The Commission shall also take into account the findings of the feasibility study conducted pursuant to Article 72 (2a).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528</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73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When preparing the request referred to in paragraph 1, the Commission shall duly consult ENISA and the ECCG as well as take into account the views of all relevant stakeholders and other Union entities, including, where applicable, those that are relevant under Union legislation in which a European cybersecurity certification scheme is demonstrating compliance and providing presumption of conformity.</w:t>
            </w:r>
          </w:p>
        </w:tc>
        <w:tc>
          <w:tcPr>
            <w:tcW w:w="4876" w:type="dxa"/>
            <w:tcBorders>
              <w:top w:val="nil"/>
              <w:left w:val="nil"/>
              <w:bottom w:val="nil"/>
              <w:right w:val="nil"/>
            </w:tcBorders>
          </w:tcPr>
          <w:p>
            <w:pPr>
              <w:pStyle w:val="Normal6a"/>
            </w:pPr>
            <w:r>
              <w:t>4.</w:t>
            </w:r>
            <w:r>
              <w:tab/>
            </w:r>
            <w:r>
              <w:t>When preparing the request referred to in paragraph 1, the Commission shall duly consult ENISA and the ECCG as well as take into account the views of all relevant stakeholders</w:t>
            </w:r>
            <w:r>
              <w:rPr>
                <w:b/>
                <w:i/>
              </w:rPr>
              <w:t>, including the SCCG,</w:t>
            </w:r>
            <w:r>
              <w:t xml:space="preserve"> and other Union entities, including, where applicable, those that are relevant under Union legislation in which a European cybersecurity certification scheme is demonstrating compliance and providing presumption of conformity.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529</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73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When preparing the request referred to in paragraph 1, the </w:t>
            </w:r>
            <w:r>
              <w:rPr>
                <w:b/>
                <w:i/>
              </w:rPr>
              <w:t>Commission</w:t>
            </w:r>
            <w:r>
              <w:t xml:space="preserve"> shall </w:t>
            </w:r>
            <w:r>
              <w:rPr>
                <w:b/>
                <w:i/>
              </w:rPr>
              <w:t>duly</w:t>
            </w:r>
            <w:r>
              <w:t xml:space="preserve"> consult ENISA and </w:t>
            </w:r>
            <w:r>
              <w:rPr>
                <w:b/>
                <w:i/>
              </w:rPr>
              <w:t>the ECCG as well as</w:t>
            </w:r>
            <w:r>
              <w:t xml:space="preserve"> take into account the views of all relevant stakeholders and other Union entities, including, where applicable, those that are relevant under Union legislation in which a European cybersecurity certification scheme is demonstrating compliance and providing presumption of conformity.</w:t>
            </w:r>
          </w:p>
        </w:tc>
        <w:tc>
          <w:tcPr>
            <w:tcW w:w="4876" w:type="dxa"/>
            <w:tcBorders>
              <w:top w:val="nil"/>
              <w:left w:val="nil"/>
              <w:bottom w:val="nil"/>
              <w:right w:val="nil"/>
            </w:tcBorders>
          </w:tcPr>
          <w:p>
            <w:pPr>
              <w:pStyle w:val="Normal6a"/>
            </w:pPr>
            <w:r>
              <w:t>4.</w:t>
            </w:r>
            <w:r>
              <w:tab/>
            </w:r>
            <w:r>
              <w:t xml:space="preserve">When preparing the request referred to in paragraph 1, the </w:t>
            </w:r>
            <w:r>
              <w:rPr>
                <w:b/>
                <w:i/>
              </w:rPr>
              <w:t>ECCG</w:t>
            </w:r>
            <w:r>
              <w:t xml:space="preserve"> shall consult ENISA and take into account the views of all relevant stakeholders and other Union entities, including, where applicable, those that are relevant under Union legislation in which a European cybersecurity certification scheme is demonstrating compliance and providing presumption of conformity.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530</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73 – 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Every request referred to in paragraph 1 shall be accompanied by a published assessment of the need for, proportionality and feasibility of the envisaged scheme. That assessment shall include: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the cybersecurity need or regulatory gap that the envisaged scheme is intended to address;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 mapping of relevant existing European and international standards, European and national cybersecurity certification schemes and applicable Union and national cybersecurity requirements, including, where relevant, those laid down in Directive (EU) 2022/2555, Regulation (EU) 2024/2847, Regulation (EU) 2022/2554 and sector-specific Union legislation;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an assessment of the expected effects on competition, innovation, market access and small and medium-sized enterprises;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an estimate of the implementation, certification, maintenance and renewal costs for the entities concerned; and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an assessment of the availability of sufficient conformity assessment capacity to implement the envisaged scheme within a reasonable period.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 new European cybersecurity certification scheme should be developed only where there is a demonstrated need and where the resulting requirements are proportionate and practically implementable. Prior assessment of existing standards and regulatory requirements can prevent unnecessary duplication, while consideration of market effects, costs and conformity assessment capacity can reduce avoidable burdens and implementation bottlenecks.</w:t>
      </w:r>
    </w:p>
    <w:p>
      <w:r>
        <w:rPr>
          <w:rStyle w:val="HideTWBExt"/>
        </w:rPr>
        <w:t>&lt;/Amend&gt;</w:t>
      </w:r>
    </w:p>
    <w:p>
      <w:pPr>
        <w:pStyle w:val="AmNumberTabs"/>
      </w:pPr>
      <w:r>
        <w:rPr>
          <w:rStyle w:val="HideTWBExt"/>
        </w:rPr>
        <w:t>&lt;Amend&gt;</w:t>
      </w:r>
      <w:r>
        <w:t>Amendment</w:t>
      </w:r>
      <w:r>
        <w:tab/>
      </w:r>
      <w:r>
        <w:tab/>
      </w:r>
      <w:r>
        <w:rPr>
          <w:rStyle w:val="HideTWBExt"/>
        </w:rPr>
        <w:t>&lt;NumAm&gt;</w:t>
      </w:r>
      <w:r>
        <w:t>531</w:t>
      </w:r>
      <w:r>
        <w:rPr>
          <w:rStyle w:val="HideTWBExt"/>
        </w:rPr>
        <w:t>&lt;/NumAm&gt;</w:t>
      </w:r>
    </w:p>
    <w:p>
      <w:pPr>
        <w:pStyle w:val="NormalBold"/>
      </w:pPr>
      <w:r>
        <w:rPr>
          <w:rStyle w:val="HideTWBExt"/>
          <w:b w:val="0"/>
        </w:rPr>
        <w:t>&lt;RepeatBlock-By&gt;</w:t>
      </w:r>
      <w:r>
        <w:rPr>
          <w:rStyle w:val="HideTWBExt"/>
          <w:b w:val="0"/>
        </w:rPr>
        <w:t>&lt;Members&gt;</w:t>
      </w:r>
      <w:r>
        <w:t>Krzysztof Hetman, Mirosława Nykiel, Adam Jarubas, Kamila Gasiuk-Pihowicz,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74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No later than </w:t>
            </w:r>
            <w:r>
              <w:rPr>
                <w:b/>
                <w:i/>
              </w:rPr>
              <w:t>12</w:t>
            </w:r>
            <w:r>
              <w:t xml:space="preserve"> months after receiving a request from the Commission pursuant to Article 73, unless otherwise specified in the request, ENISA shall prepare a candidate European cybersecurity certification scheme that meets the requirements set out in Articles 80 and 81.</w:t>
            </w:r>
          </w:p>
        </w:tc>
        <w:tc>
          <w:tcPr>
            <w:tcW w:w="4876" w:type="dxa"/>
            <w:tcBorders>
              <w:top w:val="nil"/>
              <w:left w:val="nil"/>
              <w:bottom w:val="nil"/>
              <w:right w:val="nil"/>
            </w:tcBorders>
          </w:tcPr>
          <w:p>
            <w:pPr>
              <w:pStyle w:val="Normal6a"/>
            </w:pPr>
            <w:r>
              <w:t>1.</w:t>
            </w:r>
            <w:r>
              <w:tab/>
            </w:r>
            <w:r>
              <w:t xml:space="preserve">No later than </w:t>
            </w:r>
            <w:r>
              <w:rPr>
                <w:b/>
                <w:i/>
              </w:rPr>
              <w:t>18</w:t>
            </w:r>
            <w:r>
              <w:t xml:space="preserve"> months after receiving a request from the Commission pursuant to Article 73</w:t>
            </w:r>
            <w:r>
              <w:rPr>
                <w:b/>
                <w:i/>
              </w:rPr>
              <w:t>, and without prejudice to underlying work of European Standardization Organization (ESO)</w:t>
            </w:r>
            <w:r>
              <w:t xml:space="preserve">, unless otherwise specified in the request, ENISA shall prepare a candidate European cybersecurity certification scheme that meets the requirements set out in Articles 80 and 81. </w:t>
            </w:r>
            <w:r>
              <w:rPr>
                <w:b/>
                <w:i/>
              </w:rPr>
              <w:t>ENISA shall provide for sufficient deadline to the (ESO) in order to provide for their effective contribution to the candidate scheme.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532</w:t>
      </w:r>
      <w:r>
        <w:rPr>
          <w:rStyle w:val="HideTWBExt"/>
        </w:rPr>
        <w:t>&lt;/NumAm&gt;</w:t>
      </w:r>
    </w:p>
    <w:p>
      <w:pPr>
        <w:pStyle w:val="NormalBold"/>
      </w:pPr>
      <w:r>
        <w:rPr>
          <w:rStyle w:val="HideTWBExt"/>
          <w:b w:val="0"/>
        </w:rPr>
        <w:t>&lt;RepeatBlock-By&gt;</w:t>
      </w:r>
      <w:r>
        <w:rPr>
          <w:rStyle w:val="HideTWBExt"/>
          <w:b w:val="0"/>
        </w:rPr>
        <w:t>&lt;Members&gt;</w:t>
      </w:r>
      <w:r>
        <w:t>Katri Kulmuni,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74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No later than 12 months after receiving a request from the Commission pursuant to Article 73, unless otherwise specified in the request, ENISA shall prepare a candidate European cybersecurity certification scheme that meets the requirements set out in Articles 80 and 81.</w:t>
            </w:r>
          </w:p>
        </w:tc>
        <w:tc>
          <w:tcPr>
            <w:tcW w:w="4876" w:type="dxa"/>
            <w:tcBorders>
              <w:top w:val="nil"/>
              <w:left w:val="nil"/>
              <w:bottom w:val="nil"/>
              <w:right w:val="nil"/>
            </w:tcBorders>
          </w:tcPr>
          <w:p>
            <w:pPr>
              <w:pStyle w:val="Normal6a"/>
            </w:pPr>
            <w:r>
              <w:t>1.</w:t>
            </w:r>
            <w:r>
              <w:tab/>
            </w:r>
            <w:r>
              <w:t>No later than 12 months</w:t>
            </w:r>
            <w:r>
              <w:rPr>
                <w:b/>
                <w:i/>
              </w:rPr>
              <w:t>, unless otherwise specified in the scheme,</w:t>
            </w:r>
            <w:r>
              <w:t xml:space="preserve"> after receiving a request from the Commission pursuant to Article 73, unless </w:t>
            </w:r>
            <w:r>
              <w:rPr>
                <w:b/>
                <w:i/>
              </w:rPr>
              <w:t>a longer period is</w:t>
            </w:r>
            <w:r>
              <w:t xml:space="preserve"> otherwise specified in the request, ENISA shall prepare a candidate European cybersecurity certification scheme that meets the requirements set out in Articles 80 and 81.</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To make sure that the preparation and development of certification schemes is efficient, the baseline for preparation should be 12 months in most cases. To allow some flexibility, a longer period could be considered in more complicated schemes.</w:t>
      </w:r>
    </w:p>
    <w:p>
      <w:r>
        <w:rPr>
          <w:rStyle w:val="HideTWBExt"/>
        </w:rPr>
        <w:t>&lt;/Amend&gt;</w:t>
      </w:r>
    </w:p>
    <w:p>
      <w:pPr>
        <w:pStyle w:val="AmNumberTabs"/>
      </w:pPr>
      <w:r>
        <w:rPr>
          <w:rStyle w:val="HideTWBExt"/>
        </w:rPr>
        <w:t>&lt;Amend&gt;</w:t>
      </w:r>
      <w:r>
        <w:t>Amendment</w:t>
      </w:r>
      <w:r>
        <w:tab/>
      </w:r>
      <w:r>
        <w:tab/>
      </w:r>
      <w:r>
        <w:rPr>
          <w:rStyle w:val="HideTWBExt"/>
        </w:rPr>
        <w:t>&lt;NumAm&gt;</w:t>
      </w:r>
      <w:r>
        <w:t>533</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74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No later than 12 months after receiving a request from the Commission pursuant to Article 73, unless otherwise specified in the request,</w:t>
            </w:r>
            <w:r>
              <w:t xml:space="preserve"> ENISA shall prepare a candidate European cybersecurity certification scheme that meets the requirements set out in Articles 80 and 81.</w:t>
            </w:r>
          </w:p>
        </w:tc>
        <w:tc>
          <w:tcPr>
            <w:tcW w:w="4876" w:type="dxa"/>
            <w:tcBorders>
              <w:top w:val="nil"/>
              <w:left w:val="nil"/>
              <w:bottom w:val="nil"/>
              <w:right w:val="nil"/>
            </w:tcBorders>
          </w:tcPr>
          <w:p>
            <w:pPr>
              <w:pStyle w:val="Normal6a"/>
            </w:pPr>
            <w:r>
              <w:t>1.</w:t>
            </w:r>
            <w:r>
              <w:tab/>
            </w:r>
            <w:r>
              <w:t xml:space="preserve">ENISA shall prepare </w:t>
            </w:r>
            <w:r>
              <w:rPr>
                <w:b/>
                <w:i/>
              </w:rPr>
              <w:t>and transmit to the Commission</w:t>
            </w:r>
            <w:r>
              <w:t xml:space="preserve"> a candidate European cybersecurity certification scheme that meets the requirements set out in Articles 80 and 81 </w:t>
            </w:r>
            <w:r>
              <w:rPr>
                <w:b/>
                <w:i/>
              </w:rPr>
              <w:t>within 12 months from the receipt of the request referred to in Article 73, unless the request specifies a different timeframe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534</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74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No later than </w:t>
            </w:r>
            <w:r>
              <w:rPr>
                <w:b/>
                <w:i/>
              </w:rPr>
              <w:t>12</w:t>
            </w:r>
            <w:r>
              <w:t xml:space="preserve"> months after receiving a request from the Commission pursuant to Article 73, unless otherwise specified in the request, ENISA shall prepare a candidate European cybersecurity certification scheme that meets the requirements set out in Articles 80 and 81.</w:t>
            </w:r>
          </w:p>
        </w:tc>
        <w:tc>
          <w:tcPr>
            <w:tcW w:w="4876" w:type="dxa"/>
            <w:tcBorders>
              <w:top w:val="nil"/>
              <w:left w:val="nil"/>
              <w:bottom w:val="nil"/>
              <w:right w:val="nil"/>
            </w:tcBorders>
          </w:tcPr>
          <w:p>
            <w:pPr>
              <w:pStyle w:val="Normal6a"/>
            </w:pPr>
            <w:r>
              <w:t>1.</w:t>
            </w:r>
            <w:r>
              <w:tab/>
            </w:r>
            <w:r>
              <w:t xml:space="preserve">No later than </w:t>
            </w:r>
            <w:r>
              <w:rPr>
                <w:b/>
                <w:i/>
              </w:rPr>
              <w:t>18</w:t>
            </w:r>
            <w:r>
              <w:t xml:space="preserve"> months after receiving a request from the Commission pursuant to Article 73, unless otherwise specified in the request, ENISA shall prepare a candidate European cybersecurity certification scheme that meets the requirements set out in Articles 80 and 81.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535</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74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No later than 12 months after receiving a request from the </w:t>
            </w:r>
            <w:r>
              <w:rPr>
                <w:b/>
                <w:i/>
              </w:rPr>
              <w:t>Commission</w:t>
            </w:r>
            <w:r>
              <w:t xml:space="preserve"> pursuant to Article 73, unless otherwise specified in the request, ENISA shall prepare a candidate European cybersecurity certification scheme that meets the requirements set out in Articles 80 and 81.</w:t>
            </w:r>
          </w:p>
        </w:tc>
        <w:tc>
          <w:tcPr>
            <w:tcW w:w="4876" w:type="dxa"/>
            <w:tcBorders>
              <w:top w:val="nil"/>
              <w:left w:val="nil"/>
              <w:bottom w:val="nil"/>
              <w:right w:val="nil"/>
            </w:tcBorders>
          </w:tcPr>
          <w:p>
            <w:pPr>
              <w:pStyle w:val="Normal6a"/>
            </w:pPr>
            <w:r>
              <w:t>1.</w:t>
            </w:r>
            <w:r>
              <w:tab/>
            </w:r>
            <w:r>
              <w:t xml:space="preserve">No later than 12 months after receiving a request from the </w:t>
            </w:r>
            <w:r>
              <w:rPr>
                <w:b/>
                <w:i/>
              </w:rPr>
              <w:t>ECCG</w:t>
            </w:r>
            <w:r>
              <w:t xml:space="preserve"> pursuant to Article 73, unless otherwise specified in the request, ENISA shall prepare a candidate European cybersecurity certification scheme that meets the requirements set out in Articles 80 and 81.</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536</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74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For the preparation of each candidate scheme, ENISA shall establish an ad hoc working group in accordance with Article 32(6) for the purpose of providing ENISA with expertise advice.</w:t>
            </w:r>
          </w:p>
        </w:tc>
        <w:tc>
          <w:tcPr>
            <w:tcW w:w="4876" w:type="dxa"/>
            <w:tcBorders>
              <w:top w:val="nil"/>
              <w:left w:val="nil"/>
              <w:bottom w:val="nil"/>
              <w:right w:val="nil"/>
            </w:tcBorders>
          </w:tcPr>
          <w:p>
            <w:pPr>
              <w:pStyle w:val="Normal6a"/>
            </w:pPr>
            <w:r>
              <w:t>2.</w:t>
            </w:r>
            <w:r>
              <w:tab/>
            </w:r>
            <w:r>
              <w:t xml:space="preserve">For the preparation of each candidate scheme, ENISA shall establish an ad hoc working group in accordance with Article 32(6) for the purpose of providing ENISA with expertise advice. </w:t>
            </w:r>
            <w:r>
              <w:rPr>
                <w:b/>
                <w:i/>
              </w:rPr>
              <w:t>The composition of the ad hoc working group shall ensure balanced and appropriate representation, having regard to the subject matter of the candidate scheme, of relevant public authorities, industry and users, including small and medium-sized enterprises, conformity assessment bodies, independent technical experts and European standardisation organisations, as well as, where relevant, sector-specific experts and representatives of free and open-source software communities. The ad hoc working group shall be consulted throughout the preparation of the candidate scheme and, where applicable, of supporting technical specifications.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Candidate certification schemes can have significant technical and market consequences and should therefore benefit from balanced expertise throughout their development. Appropriate representation of public authorities, industry, users, SMEs, conformity assessment bodies, standardisation organisations and relevant technical experts will help ensure that schemes are technically robust, practicable and responsive to market needs.</w:t>
      </w:r>
    </w:p>
    <w:p>
      <w:r>
        <w:rPr>
          <w:rStyle w:val="HideTWBExt"/>
        </w:rPr>
        <w:t>&lt;/Amend&gt;</w:t>
      </w:r>
    </w:p>
    <w:p>
      <w:pPr>
        <w:pStyle w:val="AmNumberTabs"/>
      </w:pPr>
      <w:r>
        <w:rPr>
          <w:rStyle w:val="HideTWBExt"/>
        </w:rPr>
        <w:t>&lt;Amend&gt;</w:t>
      </w:r>
      <w:r>
        <w:t>Amendment</w:t>
      </w:r>
      <w:r>
        <w:tab/>
      </w:r>
      <w:r>
        <w:tab/>
      </w:r>
      <w:r>
        <w:rPr>
          <w:rStyle w:val="HideTWBExt"/>
        </w:rPr>
        <w:t>&lt;NumAm&gt;</w:t>
      </w:r>
      <w:r>
        <w:t>537</w:t>
      </w:r>
      <w:r>
        <w:rPr>
          <w:rStyle w:val="HideTWBExt"/>
        </w:rPr>
        <w:t>&lt;/NumAm&gt;</w:t>
      </w:r>
    </w:p>
    <w:p>
      <w:pPr>
        <w:pStyle w:val="NormalBold"/>
      </w:pPr>
      <w:r>
        <w:rPr>
          <w:rStyle w:val="HideTWBExt"/>
          <w:b w:val="0"/>
        </w:rPr>
        <w:t>&lt;RepeatBlock-By&gt;</w:t>
      </w:r>
      <w:r>
        <w:rPr>
          <w:rStyle w:val="HideTWBExt"/>
          <w:b w:val="0"/>
        </w:rPr>
        <w:t>&lt;Members&gt;</w:t>
      </w:r>
      <w:r>
        <w:t>Bart Groothuis, Ivars Ijabs, Anna Stürgkh, Sigrid Friis, Morten Løkkegaard, Martin Hojsík, Barry Andrews, João Cotrim De Figueiredo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74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For the preparation of each candidate scheme, ENISA shall establish an ad hoc working group in accordance with Article 32(6) for the purpose of providing ENISA with expertise advice.</w:t>
            </w:r>
          </w:p>
        </w:tc>
        <w:tc>
          <w:tcPr>
            <w:tcW w:w="4876" w:type="dxa"/>
            <w:tcBorders>
              <w:top w:val="nil"/>
              <w:left w:val="nil"/>
              <w:bottom w:val="nil"/>
              <w:right w:val="nil"/>
            </w:tcBorders>
          </w:tcPr>
          <w:p>
            <w:pPr>
              <w:pStyle w:val="Normal6a"/>
            </w:pPr>
            <w:r>
              <w:t>2.</w:t>
            </w:r>
            <w:r>
              <w:tab/>
            </w:r>
            <w:r>
              <w:t xml:space="preserve">For the preparation of each candidate scheme, ENISA shall establish an ad hoc working group in accordance with Article 32(6) for the purpose of providing ENISA with expertise advice. </w:t>
            </w:r>
            <w:r>
              <w:rPr>
                <w:b/>
                <w:i/>
              </w:rPr>
              <w:t>The ad-hoc working group shall include relevant industry or non-governmental stakeholders, with a view to receiving practical and technical expertise in relation to the preparation of the scheme.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 lack of stakeholder engagement was one of the main shortcomings of the CSA certification process. Their participation brings practical and technical expertise into scheme preparation.</w:t>
      </w:r>
    </w:p>
    <w:p>
      <w:r>
        <w:rPr>
          <w:rStyle w:val="HideTWBExt"/>
        </w:rPr>
        <w:t>&lt;/Amend&gt;</w:t>
      </w:r>
    </w:p>
    <w:p>
      <w:pPr>
        <w:pStyle w:val="AmNumberTabs"/>
      </w:pPr>
      <w:r>
        <w:rPr>
          <w:rStyle w:val="HideTWBExt"/>
        </w:rPr>
        <w:t>&lt;Amend&gt;</w:t>
      </w:r>
      <w:r>
        <w:t>Amendment</w:t>
      </w:r>
      <w:r>
        <w:tab/>
      </w:r>
      <w:r>
        <w:tab/>
      </w:r>
      <w:r>
        <w:rPr>
          <w:rStyle w:val="HideTWBExt"/>
        </w:rPr>
        <w:t>&lt;NumAm&gt;</w:t>
      </w:r>
      <w:r>
        <w:t>538</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74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For the preparation of each candidate scheme, ENISA shall establish an ad hoc working group in accordance with Article 32(6) for the purpose of providing ENISA with expertise </w:t>
            </w:r>
            <w:r>
              <w:rPr>
                <w:b/>
                <w:i/>
              </w:rPr>
              <w:t>advice</w:t>
            </w:r>
            <w:r>
              <w:t>.</w:t>
            </w:r>
          </w:p>
        </w:tc>
        <w:tc>
          <w:tcPr>
            <w:tcW w:w="4876" w:type="dxa"/>
            <w:tcBorders>
              <w:top w:val="nil"/>
              <w:left w:val="nil"/>
              <w:bottom w:val="nil"/>
              <w:right w:val="nil"/>
            </w:tcBorders>
          </w:tcPr>
          <w:p>
            <w:pPr>
              <w:pStyle w:val="Normal6a"/>
            </w:pPr>
            <w:r>
              <w:t>2.</w:t>
            </w:r>
            <w:r>
              <w:tab/>
            </w:r>
            <w:r>
              <w:t>For the preparation of each candidate scheme, ENISA shall establish an ad hoc working group in accordance with Article 32(6) for the purpose of providing ENISA with expertise</w:t>
            </w:r>
            <w:r>
              <w:rPr>
                <w:b/>
                <w:i/>
              </w:rPr>
              <w:t>. Each such ad hoc working group shall seek to include experts from the private sector, including SMEs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539</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74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For the preparation of each candidate scheme, ENISA shall establish an ad hoc working group in accordance with Article 32(6) for the purpose of providing ENISA with expertise advice.</w:t>
            </w:r>
          </w:p>
        </w:tc>
        <w:tc>
          <w:tcPr>
            <w:tcW w:w="4876" w:type="dxa"/>
            <w:tcBorders>
              <w:top w:val="nil"/>
              <w:left w:val="nil"/>
              <w:bottom w:val="nil"/>
              <w:right w:val="nil"/>
            </w:tcBorders>
          </w:tcPr>
          <w:p>
            <w:pPr>
              <w:pStyle w:val="Normal6a"/>
            </w:pPr>
            <w:r>
              <w:t>2.</w:t>
            </w:r>
            <w:r>
              <w:tab/>
            </w:r>
            <w:r>
              <w:t>For the preparation of each candidate scheme, ENISA shall</w:t>
            </w:r>
            <w:r>
              <w:rPr>
                <w:b/>
                <w:i/>
              </w:rPr>
              <w:t>, as soon as possible, and within three months at the latest,</w:t>
            </w:r>
            <w:r>
              <w:t xml:space="preserve"> establish an ad hoc working group in accordance with Article 32(6) for the purpose of providing ENISA with expertise advice.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540</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74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When preparing the candidate scheme, ENISA shall closely cooperate with the ECCG</w:t>
            </w:r>
            <w:r>
              <w:rPr>
                <w:b/>
                <w:i/>
              </w:rPr>
              <w:t>. The ECCG</w:t>
            </w:r>
            <w:r>
              <w:t xml:space="preserve"> shall provide ENISA with assistance and expert advice in relation to the preparation of the candidate scheme and, where applicable, supporting technical specifications.</w:t>
            </w:r>
          </w:p>
        </w:tc>
        <w:tc>
          <w:tcPr>
            <w:tcW w:w="4876" w:type="dxa"/>
            <w:tcBorders>
              <w:top w:val="nil"/>
              <w:left w:val="nil"/>
              <w:bottom w:val="nil"/>
              <w:right w:val="nil"/>
            </w:tcBorders>
          </w:tcPr>
          <w:p>
            <w:pPr>
              <w:pStyle w:val="Normal6a"/>
            </w:pPr>
            <w:r>
              <w:t>3.</w:t>
            </w:r>
            <w:r>
              <w:tab/>
            </w:r>
            <w:r>
              <w:t xml:space="preserve">When preparing the candidate scheme, ENISA shall closely cooperate with the ECCG </w:t>
            </w:r>
            <w:r>
              <w:rPr>
                <w:b/>
                <w:i/>
              </w:rPr>
              <w:t>and the ad-hoc working group. Both groups</w:t>
            </w:r>
            <w:r>
              <w:t xml:space="preserve"> shall provide ENISA with assistance and expert advice in relation to the preparation of the candidate scheme and, where applicable, supporting technical specifications.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 lack of stakeholder engagement was one of the main shortcomings of the CSA certification process. Their participation brings practical and technical expertise into scheme preparation.</w:t>
      </w:r>
    </w:p>
    <w:p>
      <w:r>
        <w:rPr>
          <w:rStyle w:val="HideTWBExt"/>
        </w:rPr>
        <w:t>&lt;/Amend&gt;</w:t>
      </w:r>
    </w:p>
    <w:p>
      <w:pPr>
        <w:pStyle w:val="AmNumberTabs"/>
      </w:pPr>
      <w:r>
        <w:rPr>
          <w:rStyle w:val="HideTWBExt"/>
        </w:rPr>
        <w:t>&lt;Amend&gt;</w:t>
      </w:r>
      <w:r>
        <w:t>Amendment</w:t>
      </w:r>
      <w:r>
        <w:tab/>
      </w:r>
      <w:r>
        <w:tab/>
      </w:r>
      <w:r>
        <w:rPr>
          <w:rStyle w:val="HideTWBExt"/>
        </w:rPr>
        <w:t>&lt;NumAm&gt;</w:t>
      </w:r>
      <w:r>
        <w:t>541</w:t>
      </w:r>
      <w:r>
        <w:rPr>
          <w:rStyle w:val="HideTWBExt"/>
        </w:rPr>
        <w:t>&lt;/NumAm&gt;</w:t>
      </w:r>
    </w:p>
    <w:p>
      <w:pPr>
        <w:pStyle w:val="NormalBold"/>
      </w:pPr>
      <w:r>
        <w:rPr>
          <w:rStyle w:val="HideTWBExt"/>
          <w:b w:val="0"/>
        </w:rPr>
        <w:t>&lt;RepeatBlock-By&gt;</w:t>
      </w:r>
      <w:r>
        <w:rPr>
          <w:rStyle w:val="HideTWBExt"/>
          <w:b w:val="0"/>
        </w:rPr>
        <w:t>&lt;Members&gt;</w:t>
      </w:r>
      <w:r>
        <w:t>Bart Groothuis, Ivars Ijabs, Anna Stürgkh, Sigrid Friis, Morten Løkkegaard, Martin Hojsík, Barry Andrews, João Cotrim De Figueiredo,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74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When preparing the candidate scheme, including, where applicable, supporting technical specifications, ENISA shall consult stakeholders in a timely manner by means of a formal, open, transparent and inclusive consultation process. ENISA shall also cooperate with relevant public authorities in the Member States and with relevant Union entities to gather their expert advice in relation to the preparation of the candidate scheme and, where applicable, supporting technical specifications. When transmitting the candidate scheme to the Commission pursuant to paragraph 6, ENISA shall describe the manner in which it has complied with this paragraph.</w:t>
            </w:r>
          </w:p>
        </w:tc>
        <w:tc>
          <w:tcPr>
            <w:tcW w:w="4876" w:type="dxa"/>
            <w:tcBorders>
              <w:top w:val="nil"/>
              <w:left w:val="nil"/>
              <w:bottom w:val="nil"/>
              <w:right w:val="nil"/>
            </w:tcBorders>
          </w:tcPr>
          <w:p>
            <w:pPr>
              <w:pStyle w:val="Normal6a"/>
            </w:pPr>
            <w:r>
              <w:t>4.</w:t>
            </w:r>
            <w:r>
              <w:tab/>
            </w:r>
            <w:r>
              <w:t xml:space="preserve">When preparing the candidate scheme, including, where applicable, supporting technical specifications, ENISA shall consult stakeholders in a timely manner by means of </w:t>
            </w:r>
            <w:r>
              <w:rPr>
                <w:b/>
                <w:i/>
              </w:rPr>
              <w:t>the ad-hoc working group established in Paragraph 2 and by means of</w:t>
            </w:r>
            <w:r>
              <w:t xml:space="preserve"> a formal, open, transparent and inclusive consultation process</w:t>
            </w:r>
            <w:r>
              <w:rPr>
                <w:b/>
                <w:i/>
              </w:rPr>
              <w:t>, including an open public consultation</w:t>
            </w:r>
            <w:r>
              <w:t>. ENISA shall also cooperate with relevant public authorities in the Member States and with relevant Union entities to gather their expert advice in relation to the preparation of the candidate scheme and, where applicable, supporting technical specifications. When transmitting the candidate scheme to the Commission pursuant to paragraph 6, ENISA shall describe the manner in which it has complied with this paragraph.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 lack of stakeholder engagement was one of the main shortcomings of the CSA certification process. Their participation brings practical and technical expertise into scheme preparation.</w:t>
      </w:r>
    </w:p>
    <w:p>
      <w:r>
        <w:rPr>
          <w:rStyle w:val="HideTWBExt"/>
        </w:rPr>
        <w:t>&lt;/Amend&gt;</w:t>
      </w:r>
    </w:p>
    <w:p>
      <w:pPr>
        <w:pStyle w:val="AmNumberTabs"/>
      </w:pPr>
      <w:r>
        <w:rPr>
          <w:rStyle w:val="HideTWBExt"/>
        </w:rPr>
        <w:t>&lt;Amend&gt;</w:t>
      </w:r>
      <w:r>
        <w:t>Amendment</w:t>
      </w:r>
      <w:r>
        <w:tab/>
      </w:r>
      <w:r>
        <w:tab/>
      </w:r>
      <w:r>
        <w:rPr>
          <w:rStyle w:val="HideTWBExt"/>
        </w:rPr>
        <w:t>&lt;NumAm&gt;</w:t>
      </w:r>
      <w:r>
        <w:t>542</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András Gyürk,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74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When preparing the candidate scheme, including, where applicable, supporting technical specifications, ENISA shall consult stakeholders in a timely manner by means of a formal, open, transparent and inclusive consultation process. ENISA shall also cooperate with relevant public authorities in the Member States and with relevant Union entities to gather their expert advice in relation to the preparation of the candidate scheme and, where applicable, supporting technical specifications. When transmitting the candidate scheme to the Commission pursuant to paragraph 6, ENISA shall describe the manner in which it has complied with this paragraph.</w:t>
            </w:r>
          </w:p>
        </w:tc>
        <w:tc>
          <w:tcPr>
            <w:tcW w:w="4876" w:type="dxa"/>
            <w:tcBorders>
              <w:top w:val="nil"/>
              <w:left w:val="nil"/>
              <w:bottom w:val="nil"/>
              <w:right w:val="nil"/>
            </w:tcBorders>
          </w:tcPr>
          <w:p>
            <w:pPr>
              <w:pStyle w:val="Normal6a"/>
            </w:pPr>
            <w:r>
              <w:t>4.</w:t>
            </w:r>
            <w:r>
              <w:tab/>
            </w:r>
            <w:r>
              <w:t>When preparing the candidate scheme, including, where applicable, supporting technical specifications, ENISA shall consult stakeholders in a timely manner by means of a formal, open, transparent and inclusive consultation process. ENISA shall also cooperate with relevant public authorities in the Member States</w:t>
            </w:r>
            <w:r>
              <w:rPr>
                <w:b/>
                <w:i/>
              </w:rPr>
              <w:t>, the competent European standardisation organisations</w:t>
            </w:r>
            <w:r>
              <w:t xml:space="preserve"> and with relevant Union entities to gather their expert advice in relation to the preparation of the candidate scheme and, where applicable, supporting technical specifications. When transmitting the candidate scheme to the Commission pursuant to paragraph 6, ENISA shall describe the manner in which it has complied with this paragraph.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543</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 João Cotrim De Figueiredo,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74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Before transmitting the candidate scheme and, where applicable, supporting technical specifications, to the Commission, ENISA shall request members of the ECCG to provide written opinions on the candidate scheme. The opinions shall be provided no later than 30 days from date of the request. ENISA shall take the utmost account of the opinions of the ECCG members. The absence of such opinions shall not prevent ENISA from transmitting the candidate scheme to the Commission.</w:t>
            </w:r>
          </w:p>
        </w:tc>
        <w:tc>
          <w:tcPr>
            <w:tcW w:w="4876" w:type="dxa"/>
            <w:tcBorders>
              <w:top w:val="nil"/>
              <w:left w:val="nil"/>
              <w:bottom w:val="nil"/>
              <w:right w:val="nil"/>
            </w:tcBorders>
          </w:tcPr>
          <w:p>
            <w:pPr>
              <w:pStyle w:val="Normal6a"/>
            </w:pPr>
            <w:r>
              <w:t>5.</w:t>
            </w:r>
            <w:r>
              <w:tab/>
            </w:r>
            <w:r>
              <w:t>Before transmitting the candidate scheme and, where applicable, supporting technical specifications, to the Commission, ENISA shall request members of the ECCG to provide written opinions on the candidate scheme</w:t>
            </w:r>
            <w:r>
              <w:rPr>
                <w:b/>
                <w:i/>
              </w:rPr>
              <w:t>. The members of the ECCG may consult stakeholders in a timely manner by means of a formal, open, transparent and inclusive consultation process</w:t>
            </w:r>
            <w:r>
              <w:t xml:space="preserve">. The opinions shall be provided no later than 30 days from date of the request. ENISA shall take the utmost account of the opinions of the ECCG members. The absence of such opinions shall not prevent ENISA from transmitting the candidate scheme to the Commission. </w:t>
            </w:r>
            <w:r>
              <w:rPr>
                <w:b/>
                <w:i/>
              </w:rPr>
              <w:t>When transmitting the candidate scheme to the Commission pursuant to paragraph 6, ENISA shall describe the manner in which it incorporated the feedback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 lack of stakeholder engagement was one of the main shortcomings of the CSA certification process. Their participation brings practical and technical expertise into scheme preparation.</w:t>
      </w:r>
    </w:p>
    <w:p>
      <w:r>
        <w:rPr>
          <w:rStyle w:val="HideTWBExt"/>
        </w:rPr>
        <w:t>&lt;/Amend&gt;</w:t>
      </w:r>
    </w:p>
    <w:p>
      <w:pPr>
        <w:pStyle w:val="AmNumberTabs"/>
      </w:pPr>
      <w:r>
        <w:rPr>
          <w:rStyle w:val="HideTWBExt"/>
        </w:rPr>
        <w:t>&lt;Amend&gt;</w:t>
      </w:r>
      <w:r>
        <w:t>Amendment</w:t>
      </w:r>
      <w:r>
        <w:tab/>
      </w:r>
      <w:r>
        <w:tab/>
      </w:r>
      <w:r>
        <w:rPr>
          <w:rStyle w:val="HideTWBExt"/>
        </w:rPr>
        <w:t>&lt;NumAm&gt;</w:t>
      </w:r>
      <w:r>
        <w:t>544</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74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Before transmitting the candidate scheme and, where applicable, supporting technical specifications, to the Commission, ENISA shall request members of the ECCG to provide written opinions on the candidate scheme. The opinions shall be provided no later than 30 days from date of the request. ENISA shall take the utmost account of the opinions of the ECCG members</w:t>
            </w:r>
            <w:r>
              <w:rPr>
                <w:b/>
                <w:i/>
              </w:rPr>
              <w:t>.</w:t>
            </w:r>
            <w:r>
              <w:t xml:space="preserve"> </w:t>
            </w:r>
            <w:r>
              <w:rPr>
                <w:b/>
                <w:i/>
              </w:rPr>
              <w:t>The absence of such</w:t>
            </w:r>
            <w:r>
              <w:t xml:space="preserve"> opinions </w:t>
            </w:r>
            <w:r>
              <w:rPr>
                <w:b/>
                <w:i/>
              </w:rPr>
              <w:t>shall not prevent ENISA from transmitting</w:t>
            </w:r>
            <w:r>
              <w:t xml:space="preserve"> the candidate scheme to the Commission.</w:t>
            </w:r>
          </w:p>
        </w:tc>
        <w:tc>
          <w:tcPr>
            <w:tcW w:w="4876" w:type="dxa"/>
            <w:tcBorders>
              <w:top w:val="nil"/>
              <w:left w:val="nil"/>
              <w:bottom w:val="nil"/>
              <w:right w:val="nil"/>
            </w:tcBorders>
          </w:tcPr>
          <w:p>
            <w:pPr>
              <w:pStyle w:val="Normal6a"/>
            </w:pPr>
            <w:r>
              <w:t>5.</w:t>
            </w:r>
            <w:r>
              <w:tab/>
            </w:r>
            <w:r>
              <w:t xml:space="preserve">Before transmitting the candidate scheme and, where applicable, supporting technical specifications, to the Commission, ENISA shall request members of the ECCG to provide written opinions on the candidate scheme. The opinions shall be provided no later than 30 days from date of the request. ENISA shall take the utmost account of the opinions of the ECCG members </w:t>
            </w:r>
            <w:r>
              <w:rPr>
                <w:b/>
                <w:i/>
              </w:rPr>
              <w:t>and provide reasons for any substantial divergence from those</w:t>
            </w:r>
            <w:r>
              <w:t xml:space="preserve"> opinions </w:t>
            </w:r>
            <w:r>
              <w:rPr>
                <w:b/>
                <w:i/>
              </w:rPr>
              <w:t>in writing.</w:t>
            </w:r>
            <w:r>
              <w:t xml:space="preserve"> The candidate scheme </w:t>
            </w:r>
            <w:r>
              <w:rPr>
                <w:b/>
                <w:i/>
              </w:rPr>
              <w:t>may not be transmitted</w:t>
            </w:r>
            <w:r>
              <w:t xml:space="preserve"> to the Commission </w:t>
            </w:r>
            <w:r>
              <w:rPr>
                <w:b/>
                <w:i/>
              </w:rPr>
              <w:t>until after the expiry of that period</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545</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74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Before transmitting the candidate scheme and, where applicable, supporting technical specifications, to the Commission, ENISA shall request </w:t>
            </w:r>
            <w:r>
              <w:rPr>
                <w:b/>
                <w:i/>
              </w:rPr>
              <w:t>members of</w:t>
            </w:r>
            <w:r>
              <w:t xml:space="preserve"> the ECCG to provide written </w:t>
            </w:r>
            <w:r>
              <w:rPr>
                <w:b/>
                <w:i/>
              </w:rPr>
              <w:t>opinions</w:t>
            </w:r>
            <w:r>
              <w:t xml:space="preserve"> on the candidate scheme. The </w:t>
            </w:r>
            <w:r>
              <w:rPr>
                <w:b/>
                <w:i/>
              </w:rPr>
              <w:t>opinions</w:t>
            </w:r>
            <w:r>
              <w:t xml:space="preserve"> shall be provided no later than </w:t>
            </w:r>
            <w:r>
              <w:rPr>
                <w:b/>
                <w:i/>
              </w:rPr>
              <w:t>30</w:t>
            </w:r>
            <w:r>
              <w:t xml:space="preserve"> days from date of the request. ENISA shall take the utmost account of the </w:t>
            </w:r>
            <w:r>
              <w:rPr>
                <w:b/>
                <w:i/>
              </w:rPr>
              <w:t>opinions</w:t>
            </w:r>
            <w:r>
              <w:t xml:space="preserve"> of the ECCG </w:t>
            </w:r>
            <w:r>
              <w:rPr>
                <w:b/>
                <w:i/>
              </w:rPr>
              <w:t>members</w:t>
            </w:r>
            <w:r>
              <w:t xml:space="preserve">. The absence of such </w:t>
            </w:r>
            <w:r>
              <w:rPr>
                <w:b/>
                <w:i/>
              </w:rPr>
              <w:t>opinions</w:t>
            </w:r>
            <w:r>
              <w:t xml:space="preserve"> shall not prevent ENISA from transmitting the candidate scheme to the Commission.</w:t>
            </w:r>
          </w:p>
        </w:tc>
        <w:tc>
          <w:tcPr>
            <w:tcW w:w="4876" w:type="dxa"/>
            <w:tcBorders>
              <w:top w:val="nil"/>
              <w:left w:val="nil"/>
              <w:bottom w:val="nil"/>
              <w:right w:val="nil"/>
            </w:tcBorders>
          </w:tcPr>
          <w:p>
            <w:pPr>
              <w:pStyle w:val="Normal6a"/>
            </w:pPr>
            <w:r>
              <w:t>5.</w:t>
            </w:r>
            <w:r>
              <w:tab/>
            </w:r>
            <w:r>
              <w:t xml:space="preserve">Before transmitting the candidate scheme and, where applicable, supporting technical specifications, to the Commission, ENISA shall request the ECCG to provide </w:t>
            </w:r>
            <w:r>
              <w:rPr>
                <w:b/>
                <w:i/>
              </w:rPr>
              <w:t>a</w:t>
            </w:r>
            <w:r>
              <w:t xml:space="preserve"> written </w:t>
            </w:r>
            <w:r>
              <w:rPr>
                <w:b/>
                <w:i/>
              </w:rPr>
              <w:t>opinion</w:t>
            </w:r>
            <w:r>
              <w:t xml:space="preserve"> on the candidate scheme. The </w:t>
            </w:r>
            <w:r>
              <w:rPr>
                <w:b/>
                <w:i/>
              </w:rPr>
              <w:t>opinion</w:t>
            </w:r>
            <w:r>
              <w:t xml:space="preserve"> shall be provided no later than </w:t>
            </w:r>
            <w:r>
              <w:rPr>
                <w:b/>
                <w:i/>
              </w:rPr>
              <w:t>45</w:t>
            </w:r>
            <w:r>
              <w:t xml:space="preserve"> days from </w:t>
            </w:r>
            <w:r>
              <w:rPr>
                <w:b/>
                <w:i/>
              </w:rPr>
              <w:t>the</w:t>
            </w:r>
            <w:r>
              <w:t xml:space="preserve"> date of the request. ENISA shall take the utmost account of the </w:t>
            </w:r>
            <w:r>
              <w:rPr>
                <w:b/>
                <w:i/>
              </w:rPr>
              <w:t>opinion</w:t>
            </w:r>
            <w:r>
              <w:t xml:space="preserve"> of the ECCG. The absence of such </w:t>
            </w:r>
            <w:r>
              <w:rPr>
                <w:b/>
                <w:i/>
              </w:rPr>
              <w:t>an opinion</w:t>
            </w:r>
            <w:r>
              <w:t xml:space="preserve"> shall not prevent ENISA from transmitting the candidate scheme to the Commission.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546</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74 – 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ENISA shall transmit the candidate scheme to the Commission no later than </w:t>
            </w:r>
            <w:r>
              <w:rPr>
                <w:b/>
                <w:i/>
              </w:rPr>
              <w:t>60</w:t>
            </w:r>
            <w:r>
              <w:t xml:space="preserve"> days from the date of the request referred to in paragraph 5.</w:t>
            </w:r>
          </w:p>
        </w:tc>
        <w:tc>
          <w:tcPr>
            <w:tcW w:w="4876" w:type="dxa"/>
            <w:tcBorders>
              <w:top w:val="nil"/>
              <w:left w:val="nil"/>
              <w:bottom w:val="nil"/>
              <w:right w:val="nil"/>
            </w:tcBorders>
          </w:tcPr>
          <w:p>
            <w:pPr>
              <w:pStyle w:val="Normal6a"/>
            </w:pPr>
            <w:r>
              <w:t>6.</w:t>
            </w:r>
            <w:r>
              <w:tab/>
            </w:r>
            <w:r>
              <w:t xml:space="preserve">ENISA shall transmit the candidate scheme to the Commission no later than </w:t>
            </w:r>
            <w:r>
              <w:rPr>
                <w:b/>
                <w:i/>
              </w:rPr>
              <w:t>75</w:t>
            </w:r>
            <w:r>
              <w:t xml:space="preserve"> days from the date of the request referred to in paragraph 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547</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74 – paragraph 7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When receiving the candidate scheme, the </w:t>
            </w:r>
            <w:r>
              <w:rPr>
                <w:b/>
                <w:i/>
              </w:rPr>
              <w:t>Commission</w:t>
            </w:r>
            <w:r>
              <w:t xml:space="preserve"> shall evaluate whether the scheme corresponds to the request made in accordance with Article 73. Within 30 days of the date of transmission of that candidate scheme the </w:t>
            </w:r>
            <w:r>
              <w:rPr>
                <w:b/>
                <w:i/>
              </w:rPr>
              <w:t>Commission</w:t>
            </w:r>
            <w:r>
              <w:t xml:space="preserve"> shall take one of the following actions:</w:t>
            </w:r>
          </w:p>
        </w:tc>
        <w:tc>
          <w:tcPr>
            <w:tcW w:w="4876" w:type="dxa"/>
            <w:tcBorders>
              <w:top w:val="nil"/>
              <w:left w:val="nil"/>
              <w:bottom w:val="nil"/>
              <w:right w:val="nil"/>
            </w:tcBorders>
          </w:tcPr>
          <w:p>
            <w:pPr>
              <w:pStyle w:val="Normal6a"/>
            </w:pPr>
            <w:r>
              <w:t>7.</w:t>
            </w:r>
            <w:r>
              <w:tab/>
            </w:r>
            <w:r>
              <w:t xml:space="preserve">When receiving the candidate scheme, the </w:t>
            </w:r>
            <w:r>
              <w:rPr>
                <w:b/>
                <w:i/>
              </w:rPr>
              <w:t>ECCG</w:t>
            </w:r>
            <w:r>
              <w:t xml:space="preserve"> shall evaluate whether the scheme corresponds to the request made in accordance with Article 73. Within 30 days of the date of transmission of that candidate scheme the </w:t>
            </w:r>
            <w:r>
              <w:rPr>
                <w:b/>
                <w:i/>
              </w:rPr>
              <w:t>ECCG</w:t>
            </w:r>
            <w:r>
              <w:t xml:space="preserve"> shall take one of the following actions: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548</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74 – paragraph 7 – point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duly justified cases suspend the candidate scheme for a period of time defined in the decision and after that, within 30 days return the candidate scheme to ENISA for revision in accordance with point (b). The Commission shall inform all relevant parties, including the ECCG, and provide the reasons therefore to the ECCG;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549</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João Cotrim De Figueiredo,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74 – paragraph 7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discontinue the candidate scheme.</w:t>
            </w:r>
          </w:p>
        </w:tc>
        <w:tc>
          <w:tcPr>
            <w:tcW w:w="4876" w:type="dxa"/>
            <w:tcBorders>
              <w:top w:val="nil"/>
              <w:left w:val="nil"/>
              <w:bottom w:val="nil"/>
              <w:right w:val="nil"/>
            </w:tcBorders>
          </w:tcPr>
          <w:p>
            <w:pPr>
              <w:pStyle w:val="Normal6a"/>
            </w:pPr>
            <w:r>
              <w:t>(c)</w:t>
            </w:r>
            <w:r>
              <w:tab/>
            </w:r>
            <w:r>
              <w:t xml:space="preserve">discontinue the candidate scheme </w:t>
            </w:r>
            <w:r>
              <w:rPr>
                <w:b/>
                <w:i/>
              </w:rPr>
              <w:t>on a duly justified basis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550</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74 – 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Where the </w:t>
            </w:r>
            <w:r>
              <w:rPr>
                <w:b/>
                <w:i/>
              </w:rPr>
              <w:t>Commission</w:t>
            </w:r>
            <w:r>
              <w:t xml:space="preserve"> returns a candidate scheme to ENISA for revision in accordance with paragraph 7, point (b), paragraphs 4, 5 and 7 shall apply accordingly.</w:t>
            </w:r>
          </w:p>
        </w:tc>
        <w:tc>
          <w:tcPr>
            <w:tcW w:w="4876" w:type="dxa"/>
            <w:tcBorders>
              <w:top w:val="nil"/>
              <w:left w:val="nil"/>
              <w:bottom w:val="nil"/>
              <w:right w:val="nil"/>
            </w:tcBorders>
          </w:tcPr>
          <w:p>
            <w:pPr>
              <w:pStyle w:val="Normal6a"/>
            </w:pPr>
            <w:r>
              <w:t>8.</w:t>
            </w:r>
            <w:r>
              <w:tab/>
            </w:r>
            <w:r>
              <w:t xml:space="preserve">Where the </w:t>
            </w:r>
            <w:r>
              <w:rPr>
                <w:b/>
                <w:i/>
              </w:rPr>
              <w:t>ECCG</w:t>
            </w:r>
            <w:r>
              <w:t xml:space="preserve"> returns a candidate scheme to ENISA for revision in accordance with paragraph 7, point (b), paragraphs 4, 5 and 7 shall apply accordingly.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551</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74 – 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The Commission, based on the accepted candidate scheme prepared by ENISA, is empowered to adopt implementing acts providing for a European cybersecurity certification scheme for ICT products, ICT services, ICT processes, managed security services or cyber posture of entities that meets the requirements set out in Articles 80 and 81. That implementing act shall be adopted in accordance with the examination procedure referred to in Article 118(2).</w:t>
            </w:r>
          </w:p>
        </w:tc>
        <w:tc>
          <w:tcPr>
            <w:tcW w:w="4876" w:type="dxa"/>
            <w:tcBorders>
              <w:top w:val="nil"/>
              <w:left w:val="nil"/>
              <w:bottom w:val="nil"/>
              <w:right w:val="nil"/>
            </w:tcBorders>
          </w:tcPr>
          <w:p>
            <w:pPr>
              <w:pStyle w:val="Normal6a"/>
            </w:pPr>
            <w:r>
              <w:t>9.</w:t>
            </w:r>
            <w:r>
              <w:tab/>
            </w:r>
            <w:r>
              <w:t xml:space="preserve">The Commission, based on the accepted candidate scheme prepared by ENISA, is empowered to adopt implementing acts providing for a European cybersecurity certification scheme for ICT products, ICT services, ICT processes, managed security services or cyber posture of entities that meets the requirements set out in Articles 80 and 81. That implementing act shall be adopted </w:t>
            </w:r>
            <w:r>
              <w:rPr>
                <w:b/>
                <w:i/>
              </w:rPr>
              <w:t>within 6 months and</w:t>
            </w:r>
            <w:r>
              <w:t xml:space="preserve"> in accordance with the examination procedure referred to in Article 118(2).</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lack of schemes adopted (only one) since the CSA came into force in 2019 is one of its main shortcomings. The Commission proposal sets a deadline to ENISA for the development of a candidate scheme. To ensure timely delivery of schemes, the Commission should therefore also be given a deadline for transposing the scheme (delivered by ENISA) into an implementing act.</w:t>
      </w:r>
    </w:p>
    <w:p>
      <w:r>
        <w:rPr>
          <w:rStyle w:val="HideTWBExt"/>
        </w:rPr>
        <w:t>&lt;/Amend&gt;</w:t>
      </w:r>
    </w:p>
    <w:p>
      <w:pPr>
        <w:pStyle w:val="AmNumberTabs"/>
      </w:pPr>
      <w:r>
        <w:rPr>
          <w:rStyle w:val="HideTWBExt"/>
        </w:rPr>
        <w:t>&lt;Amend&gt;</w:t>
      </w:r>
      <w:r>
        <w:t>Amendment</w:t>
      </w:r>
      <w:r>
        <w:tab/>
      </w:r>
      <w:r>
        <w:tab/>
      </w:r>
      <w:r>
        <w:rPr>
          <w:rStyle w:val="HideTWBExt"/>
        </w:rPr>
        <w:t>&lt;NumAm&gt;</w:t>
      </w:r>
      <w:r>
        <w:t>552</w:t>
      </w:r>
      <w:r>
        <w:rPr>
          <w:rStyle w:val="HideTWBExt"/>
        </w:rPr>
        <w:t>&lt;/NumAm&gt;</w:t>
      </w:r>
    </w:p>
    <w:p>
      <w:pPr>
        <w:pStyle w:val="NormalBold"/>
      </w:pPr>
      <w:r>
        <w:rPr>
          <w:rStyle w:val="HideTWBExt"/>
          <w:b w:val="0"/>
        </w:rPr>
        <w:t>&lt;RepeatBlock-By&gt;</w:t>
      </w:r>
      <w:r>
        <w:rPr>
          <w:rStyle w:val="HideTWBExt"/>
          <w:b w:val="0"/>
        </w:rPr>
        <w:t>&lt;Members&gt;</w:t>
      </w:r>
      <w:r>
        <w:t>Elena Sancho Murillo, Jens Geier, Lina Gálvez,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74 – 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The Commission, based on the accepted candidate scheme prepared by ENISA, is empowered to adopt </w:t>
            </w:r>
            <w:r>
              <w:rPr>
                <w:b/>
                <w:i/>
              </w:rPr>
              <w:t>implementing</w:t>
            </w:r>
            <w:r>
              <w:t xml:space="preserve"> acts providing for a European cybersecurity certification scheme for ICT products, ICT services, ICT processes, managed security services or cyber posture of entities that meets the requirements set out in Articles 80 and 81. That </w:t>
            </w:r>
            <w:r>
              <w:rPr>
                <w:b/>
                <w:i/>
              </w:rPr>
              <w:t>implementing</w:t>
            </w:r>
            <w:r>
              <w:t xml:space="preserve"> act shall be adopted in accordance with the examination procedure referred to in Article 118(2).</w:t>
            </w:r>
          </w:p>
        </w:tc>
        <w:tc>
          <w:tcPr>
            <w:tcW w:w="4876" w:type="dxa"/>
            <w:tcBorders>
              <w:top w:val="nil"/>
              <w:left w:val="nil"/>
              <w:bottom w:val="nil"/>
              <w:right w:val="nil"/>
            </w:tcBorders>
          </w:tcPr>
          <w:p>
            <w:pPr>
              <w:pStyle w:val="Normal6a"/>
            </w:pPr>
            <w:r>
              <w:t>9.</w:t>
            </w:r>
            <w:r>
              <w:tab/>
            </w:r>
            <w:r>
              <w:t xml:space="preserve">The Commission, based on the accepted candidate scheme prepared by ENISA, is empowered to adopt </w:t>
            </w:r>
            <w:r>
              <w:rPr>
                <w:b/>
                <w:i/>
              </w:rPr>
              <w:t>delegated</w:t>
            </w:r>
            <w:r>
              <w:t xml:space="preserve"> acts providing for a European cybersecurity certification scheme for ICT products, ICT services, ICT processes, managed security services or cyber posture of entities that meets the requirements set out in Articles 80 and 81. That </w:t>
            </w:r>
            <w:r>
              <w:rPr>
                <w:b/>
                <w:i/>
              </w:rPr>
              <w:t>delegated</w:t>
            </w:r>
            <w:r>
              <w:t xml:space="preserve"> act shall be adopted in accordance with the examination procedure referred to in Article 118(2).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553</w:t>
      </w:r>
      <w:r>
        <w:rPr>
          <w:rStyle w:val="HideTWBExt"/>
        </w:rPr>
        <w:t>&lt;/NumAm&gt;</w:t>
      </w:r>
    </w:p>
    <w:p>
      <w:pPr>
        <w:pStyle w:val="NormalBold"/>
      </w:pPr>
      <w:r>
        <w:rPr>
          <w:rStyle w:val="HideTWBExt"/>
          <w:b w:val="0"/>
        </w:rPr>
        <w:t>&lt;RepeatBlock-By&gt;</w:t>
      </w:r>
      <w:r>
        <w:rPr>
          <w:rStyle w:val="HideTWBExt"/>
          <w:b w:val="0"/>
        </w:rPr>
        <w:t>&lt;Members&gt;</w:t>
      </w:r>
      <w:r>
        <w:t>Elena Sancho Murillo, Jens Geier, Lina Gálvez,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74 – paragraph 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The Commission shall specify, in the delegated acts referred to in paragraph 9, the conditions and arrangements for the transition from existing national cybersecurity certification schemes to the corresponding European cybersecurity certification scheme, after consultation of the ECCG and shall take into account the scope, legal effects, level of assurance, number and duration of existing certificates, investments already made, supervisory arrangements and implementation capacities in the Member States concerned.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Those transition arrangements shall ensure legal and operational continuity, avoid regulatory, certification or assurance gaps and unnecessary duplication, and provide for appropriate and proportionate transition periods. Existing national schemes and related procedures shall continue to produce their existing effects until the corresponding European cybersecurity certification scheme is effectively operational.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For this purpose, account shall be taken, in particular, of the availability of sufficient certification and assessment capacity, including an adequate number of accredited or, where applicable, authorised conformity assessment bodies capable of operating under the European scheme; the continuity and legal effects of existing national certificates and ongoing assessment procedures; and the time reasonably necessary for entities, conformity assessment bodies and competent authorities to transition to the European scheme.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Transition arrangements shall avoid regulatory, certification or assurance gaps and unnecessary duplication of assessment activities.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The date established pursuant to Article 86(1) for the cessation of effects of a national cybersecurity certification scheme shall not precede the date on which the corresponding European cybersecurity certification scheme is effectively operational. Existing certificates shall remain subject to Article 86(3).</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amendment aims to ensure that the transition from national to European certification schemes takes place only when the European scheme is fully operational and effective. Transitional periods should take into account existing certification procedures and conformity assessment capacities, allowing sufficient time for entities, conformity assessment bodies and competent authorities to adapt while avoiding unnecessary duplication of costs. Consultation with the ECCG would help ensure that transition periods are practical and proportionate.</w:t>
      </w:r>
    </w:p>
    <w:p>
      <w:r>
        <w:rPr>
          <w:rStyle w:val="HideTWBExt"/>
        </w:rPr>
        <w:t>&lt;/Amend&gt;</w:t>
      </w:r>
    </w:p>
    <w:p>
      <w:pPr>
        <w:pStyle w:val="AmNumberTabs"/>
      </w:pPr>
      <w:r>
        <w:rPr>
          <w:rStyle w:val="HideTWBExt"/>
        </w:rPr>
        <w:t>&lt;Amend&gt;</w:t>
      </w:r>
      <w:r>
        <w:t>Amendment</w:t>
      </w:r>
      <w:r>
        <w:tab/>
      </w:r>
      <w:r>
        <w:tab/>
      </w:r>
      <w:r>
        <w:rPr>
          <w:rStyle w:val="HideTWBExt"/>
        </w:rPr>
        <w:t>&lt;NumAm&gt;</w:t>
      </w:r>
      <w:r>
        <w:t>554</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74 – paragraph 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Before adopting an implementing act pursuant to paragraph 9, the Commission shall publish an impact assessment which assesses, in particular, the compliance costs for businesses, including SMEs and small mid-cap companies, the impact on market access and compatibility with the Union’s international trade obligations.</w:t>
            </w:r>
            <w:r>
              <w:t xml:space="preserve"> </w:t>
            </w:r>
            <w:r>
              <w:rPr>
                <w:b/>
                <w:i/>
              </w:rPr>
              <w:t>The Commission shall submit the candidate scheme and the impact assessment to the European Parliament and the Council simultaneously.</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555</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75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ENISA, in cooperation with </w:t>
            </w:r>
            <w:r>
              <w:rPr>
                <w:b/>
                <w:i/>
              </w:rPr>
              <w:t>the Commission and supported by</w:t>
            </w:r>
            <w:r>
              <w:t xml:space="preserve"> the ECCG and its relevant maintenance sub-group, shall ensure the maintenance of European cybersecurity certification schemes, including in view of the possible review of such schemes by the </w:t>
            </w:r>
            <w:r>
              <w:rPr>
                <w:b/>
                <w:i/>
              </w:rPr>
              <w:t>Commission</w:t>
            </w:r>
            <w:r>
              <w:t>. ENISA shall cooperate and exchange information with relevant Union entities and groups in relation to maintenance activities.</w:t>
            </w:r>
          </w:p>
        </w:tc>
        <w:tc>
          <w:tcPr>
            <w:tcW w:w="4876" w:type="dxa"/>
            <w:tcBorders>
              <w:top w:val="nil"/>
              <w:left w:val="nil"/>
              <w:bottom w:val="nil"/>
              <w:right w:val="nil"/>
            </w:tcBorders>
          </w:tcPr>
          <w:p>
            <w:pPr>
              <w:pStyle w:val="Normal6a"/>
            </w:pPr>
            <w:r>
              <w:t>2.</w:t>
            </w:r>
            <w:r>
              <w:tab/>
            </w:r>
            <w:r>
              <w:t xml:space="preserve">ENISA, in cooperation with the ECCG and its relevant maintenance sub-group, shall ensure the maintenance of European cybersecurity certification schemes, including in view of the possible review of such schemes by the </w:t>
            </w:r>
            <w:r>
              <w:rPr>
                <w:b/>
                <w:i/>
              </w:rPr>
              <w:t>ECCG</w:t>
            </w:r>
            <w:r>
              <w:t>. ENISA shall cooperate and exchange information with relevant Union entities and groups in relation to maintenance activities.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556</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75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ENISA </w:t>
            </w:r>
            <w:r>
              <w:rPr>
                <w:b/>
                <w:i/>
              </w:rPr>
              <w:t>may</w:t>
            </w:r>
            <w:r>
              <w:t xml:space="preserve"> organise the involvement of the private sector for the maintenance of a scheme in the form of an ad hoc working group in accordance with the maintenance strategy referred to in paragraph 1.</w:t>
            </w:r>
          </w:p>
        </w:tc>
        <w:tc>
          <w:tcPr>
            <w:tcW w:w="4876" w:type="dxa"/>
            <w:tcBorders>
              <w:top w:val="nil"/>
              <w:left w:val="nil"/>
              <w:bottom w:val="nil"/>
              <w:right w:val="nil"/>
            </w:tcBorders>
          </w:tcPr>
          <w:p>
            <w:pPr>
              <w:pStyle w:val="Normal6a"/>
            </w:pPr>
            <w:r>
              <w:t>3.</w:t>
            </w:r>
            <w:r>
              <w:tab/>
            </w:r>
            <w:r>
              <w:t xml:space="preserve">ENISA </w:t>
            </w:r>
            <w:r>
              <w:rPr>
                <w:b/>
                <w:i/>
              </w:rPr>
              <w:t>shall</w:t>
            </w:r>
            <w:r>
              <w:t xml:space="preserve"> organise the involvement of the private sector for the maintenance of a scheme in the form of an ad hoc working group in accordance with the maintenance strategy referred to in paragraph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557</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75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ENISA </w:t>
            </w:r>
            <w:r>
              <w:rPr>
                <w:b/>
                <w:i/>
              </w:rPr>
              <w:t>may</w:t>
            </w:r>
            <w:r>
              <w:t xml:space="preserve"> organise the involvement of the private sector for the maintenance of a scheme in the form of an ad hoc working group in accordance with the maintenance strategy referred to in paragraph 1.</w:t>
            </w:r>
          </w:p>
        </w:tc>
        <w:tc>
          <w:tcPr>
            <w:tcW w:w="4876" w:type="dxa"/>
            <w:tcBorders>
              <w:top w:val="nil"/>
              <w:left w:val="nil"/>
              <w:bottom w:val="nil"/>
              <w:right w:val="nil"/>
            </w:tcBorders>
          </w:tcPr>
          <w:p>
            <w:pPr>
              <w:pStyle w:val="Normal6a"/>
            </w:pPr>
            <w:r>
              <w:t>3.</w:t>
            </w:r>
            <w:r>
              <w:tab/>
            </w:r>
            <w:r>
              <w:t xml:space="preserve">ENISA </w:t>
            </w:r>
            <w:r>
              <w:rPr>
                <w:b/>
                <w:i/>
              </w:rPr>
              <w:t>shall</w:t>
            </w:r>
            <w:r>
              <w:t xml:space="preserve"> organise the involvement of the private sector for the maintenance of a scheme in the form of an ad hoc working group in accordance with the maintenance strategy referred to in paragraph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558</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75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The ECCG </w:t>
            </w:r>
            <w:r>
              <w:rPr>
                <w:b/>
                <w:i/>
              </w:rPr>
              <w:t>may issue an opinion on</w:t>
            </w:r>
            <w:r>
              <w:t xml:space="preserve"> the maintenance </w:t>
            </w:r>
            <w:r>
              <w:rPr>
                <w:b/>
                <w:i/>
              </w:rPr>
              <w:t>of</w:t>
            </w:r>
            <w:r>
              <w:t xml:space="preserve"> European cybersecurity certification schemes.</w:t>
            </w:r>
          </w:p>
        </w:tc>
        <w:tc>
          <w:tcPr>
            <w:tcW w:w="4876" w:type="dxa"/>
            <w:tcBorders>
              <w:top w:val="nil"/>
              <w:left w:val="nil"/>
              <w:bottom w:val="nil"/>
              <w:right w:val="nil"/>
            </w:tcBorders>
          </w:tcPr>
          <w:p>
            <w:pPr>
              <w:pStyle w:val="Normal6a"/>
            </w:pPr>
            <w:r>
              <w:t>5.</w:t>
            </w:r>
            <w:r>
              <w:tab/>
            </w:r>
            <w:r>
              <w:t xml:space="preserve">The ECCG </w:t>
            </w:r>
            <w:r>
              <w:rPr>
                <w:b/>
                <w:i/>
              </w:rPr>
              <w:t>shall be informed of</w:t>
            </w:r>
            <w:r>
              <w:t xml:space="preserve"> the maintenance </w:t>
            </w:r>
            <w:r>
              <w:rPr>
                <w:b/>
                <w:i/>
              </w:rPr>
              <w:t>activities carried out by ENISA and may make observations concerning necessary improvements or updates to</w:t>
            </w:r>
            <w:r>
              <w:t xml:space="preserve"> European cybersecurity certification schemes.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559</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76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At least every </w:t>
            </w:r>
            <w:r>
              <w:rPr>
                <w:b/>
                <w:i/>
              </w:rPr>
              <w:t>four</w:t>
            </w:r>
            <w:r>
              <w:t xml:space="preserve"> years following the entry into application of a European cybersecurity certification scheme, ENISA shall evaluate the impact and effectiveness of that scheme, in cooperation with the relevant maintenance sub-group of the ECCG, and by taking into account the feedback received from stakeholders. ENISA </w:t>
            </w:r>
            <w:r>
              <w:rPr>
                <w:b/>
                <w:i/>
              </w:rPr>
              <w:t>shall conduct the</w:t>
            </w:r>
            <w:r>
              <w:t xml:space="preserve"> evaluation </w:t>
            </w:r>
            <w:r>
              <w:rPr>
                <w:b/>
                <w:i/>
              </w:rPr>
              <w:t>by carrying out the market analysis in accordance with Article 8(1)</w:t>
            </w:r>
            <w:r>
              <w:t>.</w:t>
            </w:r>
          </w:p>
        </w:tc>
        <w:tc>
          <w:tcPr>
            <w:tcW w:w="4876" w:type="dxa"/>
            <w:tcBorders>
              <w:top w:val="nil"/>
              <w:left w:val="nil"/>
              <w:bottom w:val="nil"/>
              <w:right w:val="nil"/>
            </w:tcBorders>
          </w:tcPr>
          <w:p>
            <w:pPr>
              <w:pStyle w:val="Normal6a"/>
            </w:pPr>
            <w:r>
              <w:t>1.</w:t>
            </w:r>
            <w:r>
              <w:tab/>
            </w:r>
            <w:r>
              <w:t xml:space="preserve">At least every </w:t>
            </w:r>
            <w:r>
              <w:rPr>
                <w:b/>
                <w:i/>
              </w:rPr>
              <w:t>two</w:t>
            </w:r>
            <w:r>
              <w:t xml:space="preserve"> years following the entry into application of a European cybersecurity certification scheme, ENISA shall evaluate the impact and effectiveness of that scheme, in cooperation with the relevant maintenance sub-group of the ECCG, and by taking into account the feedback received from stakeholders. </w:t>
            </w:r>
            <w:r>
              <w:rPr>
                <w:b/>
                <w:i/>
              </w:rPr>
              <w:t>The ECCG may ask</w:t>
            </w:r>
            <w:r>
              <w:t xml:space="preserve"> ENISA </w:t>
            </w:r>
            <w:r>
              <w:rPr>
                <w:b/>
                <w:i/>
              </w:rPr>
              <w:t>to carry out an early</w:t>
            </w:r>
            <w:r>
              <w:t xml:space="preserve"> evaluation </w:t>
            </w:r>
            <w:r>
              <w:rPr>
                <w:b/>
                <w:i/>
              </w:rPr>
              <w:t>where justified by changes in risks, vulnerabilities, technologies, applicable standards or the applicable legal framework</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560</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76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When reviewing or withdrawing European cybersecurity certification schemes, the Commission shall consult ENISA, the ECCG and its relevant maintenance sub-group, as well as take into account the views of relevant stakeholders and other Union entities.</w:t>
            </w:r>
          </w:p>
        </w:tc>
        <w:tc>
          <w:tcPr>
            <w:tcW w:w="4876" w:type="dxa"/>
            <w:tcBorders>
              <w:top w:val="nil"/>
              <w:left w:val="nil"/>
              <w:bottom w:val="nil"/>
              <w:right w:val="nil"/>
            </w:tcBorders>
          </w:tcPr>
          <w:p>
            <w:pPr>
              <w:pStyle w:val="Normal6a"/>
            </w:pPr>
            <w:r>
              <w:t>3.</w:t>
            </w:r>
            <w:r>
              <w:tab/>
            </w:r>
            <w:r>
              <w:t xml:space="preserve">When reviewing or withdrawing European cybersecurity certification schemes, the Commission shall consult ENISA, the ECCG and its relevant maintenance sub-group, as well as take into account the views of </w:t>
            </w:r>
            <w:r>
              <w:rPr>
                <w:b/>
                <w:i/>
              </w:rPr>
              <w:t>the SCCG,</w:t>
            </w:r>
            <w:r>
              <w:t xml:space="preserve"> relevant stakeholders and other Union entities.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561</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András Gyürk,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76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When reviewing or withdrawing European cybersecurity certification schemes, the Commission shall consult ENISA, the ECCG and its relevant maintenance sub-group, as well as take into account the views of relevant stakeholders and other Union entities.</w:t>
            </w:r>
          </w:p>
        </w:tc>
        <w:tc>
          <w:tcPr>
            <w:tcW w:w="4876" w:type="dxa"/>
            <w:tcBorders>
              <w:top w:val="nil"/>
              <w:left w:val="nil"/>
              <w:bottom w:val="nil"/>
              <w:right w:val="nil"/>
            </w:tcBorders>
          </w:tcPr>
          <w:p>
            <w:pPr>
              <w:pStyle w:val="Normal6a"/>
            </w:pPr>
            <w:r>
              <w:t>3.</w:t>
            </w:r>
            <w:r>
              <w:tab/>
            </w:r>
            <w:r>
              <w:t xml:space="preserve">When reviewing or withdrawing European cybersecurity certification schemes, the Commission shall consult ENISA, the ECCG and its relevant maintenance sub-group, as well as </w:t>
            </w:r>
            <w:r>
              <w:rPr>
                <w:b/>
                <w:i/>
              </w:rPr>
              <w:t>duly </w:t>
            </w:r>
            <w:r>
              <w:t>take into account the views of relevant stakeholders and other Union entities.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562</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76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The ECCG </w:t>
            </w:r>
            <w:r>
              <w:rPr>
                <w:b/>
                <w:i/>
              </w:rPr>
              <w:t>may</w:t>
            </w:r>
            <w:r>
              <w:t xml:space="preserve"> issue </w:t>
            </w:r>
            <w:r>
              <w:rPr>
                <w:b/>
                <w:i/>
              </w:rPr>
              <w:t>an</w:t>
            </w:r>
            <w:r>
              <w:t xml:space="preserve"> opinion on the review or withdrawal of a European cybersecurity certification scheme. The Commission shall take due account of it when reviewing or withdrawing the European cybersecurity certification scheme.</w:t>
            </w:r>
          </w:p>
        </w:tc>
        <w:tc>
          <w:tcPr>
            <w:tcW w:w="4876" w:type="dxa"/>
            <w:tcBorders>
              <w:top w:val="nil"/>
              <w:left w:val="nil"/>
              <w:bottom w:val="nil"/>
              <w:right w:val="nil"/>
            </w:tcBorders>
          </w:tcPr>
          <w:p>
            <w:pPr>
              <w:pStyle w:val="Normal6a"/>
            </w:pPr>
            <w:r>
              <w:t>4.</w:t>
            </w:r>
            <w:r>
              <w:tab/>
            </w:r>
            <w:r>
              <w:t xml:space="preserve">The ECCG </w:t>
            </w:r>
            <w:r>
              <w:rPr>
                <w:b/>
                <w:i/>
              </w:rPr>
              <w:t>shall</w:t>
            </w:r>
            <w:r>
              <w:t xml:space="preserve"> issue </w:t>
            </w:r>
            <w:r>
              <w:rPr>
                <w:b/>
                <w:i/>
              </w:rPr>
              <w:t>a prior</w:t>
            </w:r>
            <w:r>
              <w:t xml:space="preserve"> opinion on the review or withdrawal of a European cybersecurity certification scheme. The Commission shall take due account of it when reviewing or withdrawing the European cybersecurity certification scheme.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563</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77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ENISA may develop technical specifications in view of a future European cybersecurity certification scheme or in support of the maintenance of a European cybersecurity certification scheme.</w:t>
            </w:r>
          </w:p>
        </w:tc>
        <w:tc>
          <w:tcPr>
            <w:tcW w:w="4876" w:type="dxa"/>
            <w:tcBorders>
              <w:top w:val="nil"/>
              <w:left w:val="nil"/>
              <w:bottom w:val="nil"/>
              <w:right w:val="nil"/>
            </w:tcBorders>
          </w:tcPr>
          <w:p>
            <w:pPr>
              <w:pStyle w:val="Normal6a"/>
            </w:pPr>
            <w:r>
              <w:t>1.</w:t>
            </w:r>
            <w:r>
              <w:tab/>
            </w:r>
            <w:r>
              <w:t xml:space="preserve">ENISA may develop technical specifications in view of a future European cybersecurity certification scheme or in support of the maintenance of a European cybersecurity certification scheme </w:t>
            </w:r>
            <w:r>
              <w:rPr>
                <w:b/>
                <w:i/>
              </w:rPr>
              <w:t>only where no European standard or harmonised standard adequately covering the requirements concerned exists or is expected to become available within the timeframe necessary for the development or maintenance of the scheme</w:t>
            </w:r>
            <w:r>
              <w:t xml:space="preserve">. </w:t>
            </w:r>
            <w:r>
              <w:rPr>
                <w:b/>
                <w:i/>
              </w:rPr>
              <w:t>Before such technical specifications are developed, the Commission shall, after consulting the relevant European standardisation organisations, adopt a reasoned and published decision establishing that those conditions are fulfilled. ENISA shall take existing European and international standards as the basis for its technical specifications to the greatest extent possible. Where no standardisation request covering the relevant requirements has been made, the Commission shall, without undue delay, request one or more European standardisation organisations, in accordance with Regulation (EU) No 1025/2012, to develop a European standard covering those requirements. Upon the citation of the resulting standard, the corresponding ENISA technical specification shall cease to apply for new certifications at the latest 12 months thereafter, and the relevant European cybersecurity certification scheme shall be updated accordingly.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ENISA technical specifications should provide a temporary solution where the European standardisation system cannot deliver an appropriate standard within the timeframe required for a certification scheme. They should build on existing standards wherever possible and should not develop into a permanent parallel standardisation system. Once the corresponding European standard becomes available, the certification scheme should transition to that standard within a defined period.</w:t>
      </w:r>
    </w:p>
    <w:p>
      <w:r>
        <w:rPr>
          <w:rStyle w:val="HideTWBExt"/>
        </w:rPr>
        <w:t>&lt;/Amend&gt;</w:t>
      </w:r>
    </w:p>
    <w:p>
      <w:pPr>
        <w:pStyle w:val="AmNumberTabs"/>
      </w:pPr>
      <w:r>
        <w:rPr>
          <w:rStyle w:val="HideTWBExt"/>
        </w:rPr>
        <w:t>&lt;Amend&gt;</w:t>
      </w:r>
      <w:r>
        <w:t>Amendment</w:t>
      </w:r>
      <w:r>
        <w:tab/>
      </w:r>
      <w:r>
        <w:tab/>
      </w:r>
      <w:r>
        <w:rPr>
          <w:rStyle w:val="HideTWBExt"/>
        </w:rPr>
        <w:t>&lt;NumAm&gt;</w:t>
      </w:r>
      <w:r>
        <w:t>564</w:t>
      </w:r>
      <w:r>
        <w:rPr>
          <w:rStyle w:val="HideTWBExt"/>
        </w:rPr>
        <w:t>&lt;/NumAm&gt;</w:t>
      </w:r>
    </w:p>
    <w:p>
      <w:pPr>
        <w:pStyle w:val="NormalBold"/>
      </w:pPr>
      <w:r>
        <w:rPr>
          <w:rStyle w:val="HideTWBExt"/>
          <w:b w:val="0"/>
        </w:rPr>
        <w:t>&lt;RepeatBlock-By&gt;</w:t>
      </w:r>
      <w:r>
        <w:rPr>
          <w:rStyle w:val="HideTWBExt"/>
          <w:b w:val="0"/>
        </w:rPr>
        <w:t>&lt;Members&gt;</w:t>
      </w:r>
      <w:r>
        <w:t>Krzysztof Hetman, Mirosława Nykiel, Adam Jarubas, Kamila Gasiuk-Pihowicz,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77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ENISA may develop technical specifications in view of a future European cybersecurity certification scheme or in support of the maintenance of a European cybersecurity certification scheme.</w:t>
            </w:r>
          </w:p>
        </w:tc>
        <w:tc>
          <w:tcPr>
            <w:tcW w:w="4876" w:type="dxa"/>
            <w:tcBorders>
              <w:top w:val="nil"/>
              <w:left w:val="nil"/>
              <w:bottom w:val="nil"/>
              <w:right w:val="nil"/>
            </w:tcBorders>
          </w:tcPr>
          <w:p>
            <w:pPr>
              <w:pStyle w:val="Normal6a"/>
            </w:pPr>
            <w:r>
              <w:t>1.</w:t>
            </w:r>
            <w:r>
              <w:tab/>
            </w:r>
            <w:r>
              <w:t>ENISA may develop technical specifications in view of a future European cybersecurity certification scheme or in support of the maintenance of a European cybersecurity certification scheme.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When developing such technical specifications, ENISA shall work with the ESOs on these technical specifications. Moreover, any technical specification developed by ENISA should be replaced by ESO based specifications, once these are adopted. Any such development should be subject to analysis of necessity, duly justified and proportionate.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565</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77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ENISA may develop technical specifications in view of a future European cybersecurity certification scheme or in support of the maintenance of a European cybersecurity certification scheme.</w:t>
            </w:r>
          </w:p>
        </w:tc>
        <w:tc>
          <w:tcPr>
            <w:tcW w:w="4876" w:type="dxa"/>
            <w:tcBorders>
              <w:top w:val="nil"/>
              <w:left w:val="nil"/>
              <w:bottom w:val="nil"/>
              <w:right w:val="nil"/>
            </w:tcBorders>
          </w:tcPr>
          <w:p>
            <w:pPr>
              <w:pStyle w:val="Normal6a"/>
            </w:pPr>
            <w:r>
              <w:t>1.</w:t>
            </w:r>
            <w:r>
              <w:tab/>
            </w:r>
            <w:r>
              <w:t xml:space="preserve">ENISA may develop technical specifications in view of a future European cybersecurity certification scheme or in support of the maintenance of a European cybersecurity certification scheme. </w:t>
            </w:r>
            <w:r>
              <w:rPr>
                <w:b/>
                <w:i/>
              </w:rPr>
              <w:t>ENISA may develop technical specifications pursuant to this Article only where suitable European or international standards or other technical specifications are not available or appropriate and where timely action is necessary.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566</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77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ENISA may develop technical specifications in view of a future European cybersecurity certification scheme or in support of the maintenance of a European cybersecurity certification scheme.</w:t>
            </w:r>
          </w:p>
        </w:tc>
        <w:tc>
          <w:tcPr>
            <w:tcW w:w="4876" w:type="dxa"/>
            <w:tcBorders>
              <w:top w:val="nil"/>
              <w:left w:val="nil"/>
              <w:bottom w:val="nil"/>
              <w:right w:val="nil"/>
            </w:tcBorders>
          </w:tcPr>
          <w:p>
            <w:pPr>
              <w:pStyle w:val="Normal6a"/>
            </w:pPr>
            <w:r>
              <w:t>1.</w:t>
            </w:r>
            <w:r>
              <w:tab/>
            </w:r>
            <w:r>
              <w:t xml:space="preserve">ENISA may develop technical specifications in view of a future European cybersecurity certification scheme or in support of the maintenance of a European cybersecurity certification scheme </w:t>
            </w:r>
            <w:r>
              <w:rPr>
                <w:b/>
                <w:i/>
              </w:rPr>
              <w:t>only exceptionally and as a last resort, where no relevant harmonised standards exist or are likely to be available within a timeframe compatible with the requirements of the scheme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567</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77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ENISA may develop technical specifications in view of a future European cybersecurity certification scheme or in support of the maintenance of a European cybersecurity certification scheme</w:t>
            </w:r>
            <w:r>
              <w:rPr>
                <w:b/>
                <w:i/>
              </w:rPr>
              <w:t>.</w:t>
            </w:r>
          </w:p>
        </w:tc>
        <w:tc>
          <w:tcPr>
            <w:tcW w:w="4876" w:type="dxa"/>
            <w:tcBorders>
              <w:top w:val="nil"/>
              <w:left w:val="nil"/>
              <w:bottom w:val="nil"/>
              <w:right w:val="nil"/>
            </w:tcBorders>
          </w:tcPr>
          <w:p>
            <w:pPr>
              <w:pStyle w:val="Normal6a"/>
            </w:pPr>
            <w:r>
              <w:t>1.</w:t>
            </w:r>
            <w:r>
              <w:tab/>
            </w:r>
            <w:r>
              <w:t xml:space="preserve">ENISA may develop technical specifications in view of a future European cybersecurity certification scheme or in support of the maintenance of a European cybersecurity certification scheme </w:t>
            </w:r>
            <w:r>
              <w:rPr>
                <w:b/>
                <w:i/>
              </w:rPr>
              <w:t>only where one of the following conditions is met: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568</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77 – paragraph 1 – point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European or international standards or established common specifications which cover the relevant security requirements do not exist;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569</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77 – paragraph 1 – point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w:t>
            </w:r>
            <w:r>
              <w:tab/>
            </w:r>
            <w:r>
              <w:rPr>
                <w:b/>
                <w:i/>
              </w:rPr>
              <w:t>the existing European or international standards or established common specifications do not adequately cover those requirements;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570</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77 – paragraph 1 – point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w:t>
            </w:r>
            <w:r>
              <w:tab/>
            </w:r>
            <w:r>
              <w:rPr>
                <w:b/>
                <w:i/>
              </w:rPr>
              <w:t>a relevant European or international standard is under development but is not expected to be available within the timeframe set out in the request referred to in Article 73 or in the maintenance strategy referred to in Article 75(1).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571</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77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In duly justified cases, in particular where the technical specifications contain information that could compromise the security of certified ICT products, ICT services</w:t>
            </w:r>
            <w:r>
              <w:rPr>
                <w:b/>
                <w:i/>
              </w:rPr>
              <w:t>,</w:t>
            </w:r>
            <w:r>
              <w:t xml:space="preserve"> ICT processes</w:t>
            </w:r>
            <w:r>
              <w:rPr>
                <w:b/>
                <w:i/>
              </w:rPr>
              <w:t>, managed security services or cyber posture of entities</w:t>
            </w:r>
            <w:r>
              <w:t>, they shall be distributed only to those stakeholders concerned by the requirements of the scheme. Such technical specifications shall not be referenced in a European cybersecurity certification scheme as referred to in Article 74(10).</w:t>
            </w:r>
          </w:p>
        </w:tc>
        <w:tc>
          <w:tcPr>
            <w:tcW w:w="4876" w:type="dxa"/>
            <w:tcBorders>
              <w:top w:val="nil"/>
              <w:left w:val="nil"/>
              <w:bottom w:val="nil"/>
              <w:right w:val="nil"/>
            </w:tcBorders>
          </w:tcPr>
          <w:p>
            <w:pPr>
              <w:pStyle w:val="Normal6a"/>
            </w:pPr>
            <w:r>
              <w:t>4.</w:t>
            </w:r>
            <w:r>
              <w:tab/>
            </w:r>
            <w:r>
              <w:t xml:space="preserve">In duly justified cases, in particular where the technical specifications contain information that could compromise the security of certified ICT products, ICT services </w:t>
            </w:r>
            <w:r>
              <w:rPr>
                <w:b/>
                <w:i/>
              </w:rPr>
              <w:t>or</w:t>
            </w:r>
            <w:r>
              <w:t xml:space="preserve"> ICT processes, they shall be distributed only to those stakeholders concerned by the requirements of the scheme. Such technical specifications shall not be referenced in a European cybersecurity certification scheme as referred to in Article 74(10).</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572</w:t>
      </w:r>
      <w:r>
        <w:rPr>
          <w:rStyle w:val="HideTWBExt"/>
        </w:rPr>
        <w:t>&lt;/NumAm&gt;</w:t>
      </w:r>
    </w:p>
    <w:p>
      <w:pPr>
        <w:pStyle w:val="NormalBold"/>
      </w:pPr>
      <w:r>
        <w:rPr>
          <w:rStyle w:val="HideTWBExt"/>
          <w:b w:val="0"/>
        </w:rPr>
        <w:t>&lt;RepeatBlock-By&gt;</w:t>
      </w:r>
      <w:r>
        <w:rPr>
          <w:rStyle w:val="HideTWBExt"/>
          <w:b w:val="0"/>
        </w:rPr>
        <w:t>&lt;Members&gt;</w:t>
      </w:r>
      <w:r>
        <w:t>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78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Where a specific Union legal act so provides, a certificate issued under a European cybersecurity certification scheme shall demonstrate compliance and confer a presumption of conformity with corresponding requirements set out in that legal act.</w:t>
            </w:r>
          </w:p>
        </w:tc>
        <w:tc>
          <w:tcPr>
            <w:tcW w:w="4876" w:type="dxa"/>
            <w:tcBorders>
              <w:top w:val="nil"/>
              <w:left w:val="nil"/>
              <w:bottom w:val="nil"/>
              <w:right w:val="nil"/>
            </w:tcBorders>
          </w:tcPr>
          <w:p>
            <w:pPr>
              <w:pStyle w:val="Normal6a"/>
            </w:pPr>
            <w:r>
              <w:t>1.</w:t>
            </w:r>
            <w:r>
              <w:tab/>
            </w:r>
            <w:r>
              <w:rPr>
                <w:b/>
                <w:i/>
              </w:rPr>
              <w:t>“</w:t>
            </w:r>
            <w:r>
              <w:t xml:space="preserve">Where a specific Union legal act so provides, a certificate issued under a European cybersecurity certification scheme shall demonstrate compliance and confer a presumption of conformity with corresponding requirements set out in that legal act </w:t>
            </w:r>
            <w:r>
              <w:rPr>
                <w:b/>
                <w:i/>
              </w:rPr>
              <w:t>“, including, where applicable, requirements under Directive (EU) 2022/2555 and Regulation (EU) 2024/2847, in order to reduce unnecessary duplication and strengthen coherence across overlapping Union cybersecurity obligations</w:t>
            </w:r>
            <w:r>
              <w:t>.</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573</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78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Where a specific Union legal act so provides, a certificate issued under a European cybersecurity certification scheme shall demonstrate compliance and confer a presumption of conformity with corresponding requirements set out in that legal act.</w:t>
            </w:r>
          </w:p>
        </w:tc>
        <w:tc>
          <w:tcPr>
            <w:tcW w:w="4876" w:type="dxa"/>
            <w:tcBorders>
              <w:top w:val="nil"/>
              <w:left w:val="nil"/>
              <w:bottom w:val="nil"/>
              <w:right w:val="nil"/>
            </w:tcBorders>
          </w:tcPr>
          <w:p>
            <w:pPr>
              <w:pStyle w:val="Normal6a"/>
            </w:pPr>
            <w:r>
              <w:t>1.</w:t>
            </w:r>
            <w:r>
              <w:tab/>
            </w:r>
            <w:r>
              <w:t xml:space="preserve">Where a specific Union legal act so </w:t>
            </w:r>
            <w:r>
              <w:rPr>
                <w:b/>
                <w:i/>
              </w:rPr>
              <w:t>explicitly</w:t>
            </w:r>
            <w:r>
              <w:t xml:space="preserve"> provides, a certificate issued under a European cybersecurity certification scheme shall demonstrate compliance and confer a presumption of conformity with corresponding requirements set out in that legal 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574</w:t>
      </w:r>
      <w:r>
        <w:rPr>
          <w:rStyle w:val="HideTWBExt"/>
        </w:rPr>
        <w:t>&lt;/NumAm&gt;</w:t>
      </w:r>
    </w:p>
    <w:p>
      <w:pPr>
        <w:pStyle w:val="NormalBold"/>
      </w:pPr>
      <w:r>
        <w:rPr>
          <w:rStyle w:val="HideTWBExt"/>
          <w:b w:val="0"/>
        </w:rPr>
        <w:t>&lt;RepeatBlock-By&gt;</w:t>
      </w:r>
      <w:r>
        <w:rPr>
          <w:rStyle w:val="HideTWBExt"/>
          <w:b w:val="0"/>
        </w:rPr>
        <w:t>&lt;Members&gt;</w:t>
      </w:r>
      <w:r>
        <w:t>Elena Sancho Murillo, Jens Geier, Lina Gálvez,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78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Evaluation activities undertaken for the European cybersecurity certification of the cyber posture of an entity shall, where relevant, take into account and, to the extent appropriate, reuse evidence and assessment results already obtained under European cybersecurity certification schemes covering corresponding cybersecurity requirements for ICT products, ICT services, ICT processes or managed security services, in order to avoid unnecessary duplication of assessment activities and evidence requirements. Where relevant evidence or assessment results have already been obtained under national cybersecurity certification schemes, assurance frameworks or conformity assessment arrangements established in accordance with Union or national law, such evidence and results may also be taken into account and reused, where appropriate, for the purposes of the European cybersecurity certification scheme.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amendment aims to reduce unnecessary costs and administrative burdens by allowing the reuse of existing cybersecurity requirements, evidence and assessment results where appropriate. This should apply to evidence obtained under other European cybersecurity certification schemes or national certification schemes, assurance frameworks and conformity assessment mechanisms established under applicable Union or national law, avoiding repetitive assessments and unnecessary duplication of efforts.</w:t>
      </w:r>
    </w:p>
    <w:p>
      <w:r>
        <w:rPr>
          <w:rStyle w:val="HideTWBExt"/>
        </w:rPr>
        <w:t>&lt;/Amend&gt;</w:t>
      </w:r>
    </w:p>
    <w:p>
      <w:pPr>
        <w:pStyle w:val="AmNumberTabs"/>
      </w:pPr>
      <w:r>
        <w:rPr>
          <w:rStyle w:val="HideTWBExt"/>
        </w:rPr>
        <w:t>&lt;Amend&gt;</w:t>
      </w:r>
      <w:r>
        <w:t>Amendment</w:t>
      </w:r>
      <w:r>
        <w:tab/>
      </w:r>
      <w:r>
        <w:tab/>
      </w:r>
      <w:r>
        <w:rPr>
          <w:rStyle w:val="HideTWBExt"/>
        </w:rPr>
        <w:t>&lt;NumAm&gt;</w:t>
      </w:r>
      <w:r>
        <w:t>575</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78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Where a certificate issued under a European cybersecurity certification scheme demonstrates compliance and confers a presumption of conformity pursuant to paragraph 1, competent and supervisory authorities shall not require renewed assessment or verification of the same requirements unless there are specific indications of non-conformity.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Where compliance with specific requirements has already been demonstrated through European cybersecurity certification, the same requirements should not be assessed again without a concrete reason. This avoids unnecessary duplication and reduces compliance costs.</w:t>
      </w:r>
    </w:p>
    <w:p>
      <w:r>
        <w:rPr>
          <w:rStyle w:val="HideTWBExt"/>
        </w:rPr>
        <w:t>&lt;/Amend&gt;</w:t>
      </w:r>
    </w:p>
    <w:p>
      <w:pPr>
        <w:pStyle w:val="AmNumberTabs"/>
      </w:pPr>
      <w:r>
        <w:rPr>
          <w:rStyle w:val="HideTWBExt"/>
        </w:rPr>
        <w:t>&lt;Amend&gt;</w:t>
      </w:r>
      <w:r>
        <w:t>Amendment</w:t>
      </w:r>
      <w:r>
        <w:tab/>
      </w:r>
      <w:r>
        <w:tab/>
      </w:r>
      <w:r>
        <w:rPr>
          <w:rStyle w:val="HideTWBExt"/>
        </w:rPr>
        <w:t>&lt;NumAm&gt;</w:t>
      </w:r>
      <w:r>
        <w:t>576</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78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In the absence of harmonised Union legislation,</w:t>
            </w:r>
            <w:r>
              <w:t xml:space="preserve"> national law may also provide that a European cybersecurity certification scheme may be used for demonstrating the compliance and establishing the presumption of conformity with specific legal requirements set out in national law.</w:t>
            </w:r>
          </w:p>
        </w:tc>
        <w:tc>
          <w:tcPr>
            <w:tcW w:w="4876" w:type="dxa"/>
            <w:tcBorders>
              <w:top w:val="nil"/>
              <w:left w:val="nil"/>
              <w:bottom w:val="nil"/>
              <w:right w:val="nil"/>
            </w:tcBorders>
          </w:tcPr>
          <w:p>
            <w:pPr>
              <w:pStyle w:val="Normal6a"/>
            </w:pPr>
            <w:r>
              <w:t>3.</w:t>
            </w:r>
            <w:r>
              <w:tab/>
            </w:r>
            <w:r>
              <w:t xml:space="preserve">National law may also provide that a European cybersecurity certification scheme may be used for demonstrating the compliance and establishing the presumption of conformity with specific legal requirements set out in national law. </w:t>
            </w:r>
            <w:r>
              <w:rPr>
                <w:b/>
                <w:i/>
              </w:rPr>
              <w:t>National law shall determine the conditions and scope of this presumption and may make it conditional upon additional safeguards, in particular as regards protection against third-country legislation with extraterritorial application.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577</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 João Cotrim De Figueiredo,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79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ENISA shall organise activities to promote the uptake of adopted European cybersecurity certification schemes, including by maintaining the website referred to in paragraph 2 of this Article.</w:t>
            </w:r>
          </w:p>
        </w:tc>
        <w:tc>
          <w:tcPr>
            <w:tcW w:w="4876" w:type="dxa"/>
            <w:tcBorders>
              <w:top w:val="nil"/>
              <w:left w:val="nil"/>
              <w:bottom w:val="nil"/>
              <w:right w:val="nil"/>
            </w:tcBorders>
          </w:tcPr>
          <w:p>
            <w:pPr>
              <w:pStyle w:val="Normal6a"/>
            </w:pPr>
            <w:r>
              <w:t>1.</w:t>
            </w:r>
            <w:r>
              <w:tab/>
            </w:r>
            <w:r>
              <w:t>ENISA shall organise activities to promote the uptake of adopted European cybersecurity certification schemes, including by maintaining the website referred to in paragraph 2 of this Article</w:t>
            </w:r>
            <w:r>
              <w:rPr>
                <w:b/>
                <w:i/>
              </w:rPr>
              <w:t>, as well as by preparing an uptake roadmap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578</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 João Cotrim De Figueiredo,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79 – paragraph 2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ENISA shall maintain and regularly update a dedicated website </w:t>
            </w:r>
            <w:r>
              <w:rPr>
                <w:b/>
                <w:i/>
              </w:rPr>
              <w:t>providing public information on</w:t>
            </w:r>
            <w:r>
              <w:t xml:space="preserve"> the following:</w:t>
            </w:r>
          </w:p>
        </w:tc>
        <w:tc>
          <w:tcPr>
            <w:tcW w:w="4876" w:type="dxa"/>
            <w:tcBorders>
              <w:top w:val="nil"/>
              <w:left w:val="nil"/>
              <w:bottom w:val="nil"/>
              <w:right w:val="nil"/>
            </w:tcBorders>
          </w:tcPr>
          <w:p>
            <w:pPr>
              <w:pStyle w:val="Normal6a"/>
            </w:pPr>
            <w:r>
              <w:t>2.</w:t>
            </w:r>
            <w:r>
              <w:tab/>
            </w:r>
            <w:r>
              <w:t xml:space="preserve">ENISA shall maintain and regularly update a dedicated website </w:t>
            </w:r>
            <w:r>
              <w:rPr>
                <w:b/>
                <w:i/>
              </w:rPr>
              <w:t>that provides a clear and understandable overview of</w:t>
            </w:r>
            <w:r>
              <w:t xml:space="preserve"> the following </w:t>
            </w:r>
            <w:r>
              <w:rPr>
                <w:b/>
                <w:i/>
              </w:rPr>
              <w:t>information, presented in plain language and easy to access and use, in particular for small and medium-sized enterprises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579</w:t>
      </w:r>
      <w:r>
        <w:rPr>
          <w:rStyle w:val="HideTWBExt"/>
        </w:rPr>
        <w:t>&lt;/NumAm&gt;</w:t>
      </w:r>
    </w:p>
    <w:p>
      <w:pPr>
        <w:pStyle w:val="NormalBold"/>
      </w:pPr>
      <w:r>
        <w:rPr>
          <w:rStyle w:val="HideTWBExt"/>
          <w:b w:val="0"/>
        </w:rPr>
        <w:t>&lt;RepeatBlock-By&gt;</w:t>
      </w:r>
      <w:r>
        <w:rPr>
          <w:rStyle w:val="HideTWBExt"/>
          <w:b w:val="0"/>
        </w:rPr>
        <w:t>&lt;Members&gt;</w:t>
      </w:r>
      <w:r>
        <w:t>Krzysztof Hetman, Mirosława Nykiel, Adam Jarubas, Kamila Gasiuk-Pihowicz,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79 – paragraph 2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the fees associated with the maintenance of each European cybersecurity certification scheme;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580</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79 – paragraph 2 – point g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Progress update on the development of a scheme, its uptake, the members of its ad hoc working group, the information submitted to it, and possible publications.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581</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80 – paragraph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to identify and document components and vulnerabilities</w:t>
            </w:r>
            <w:r>
              <w:rPr>
                <w:b/>
                <w:i/>
              </w:rPr>
              <w:t>, including, where appropriate,</w:t>
            </w:r>
            <w:r>
              <w:t xml:space="preserve"> by drawing up a software bill of materials covering at the very least the top-level dependencies;</w:t>
            </w:r>
          </w:p>
        </w:tc>
        <w:tc>
          <w:tcPr>
            <w:tcW w:w="4876" w:type="dxa"/>
            <w:tcBorders>
              <w:top w:val="nil"/>
              <w:left w:val="nil"/>
              <w:bottom w:val="nil"/>
              <w:right w:val="nil"/>
            </w:tcBorders>
          </w:tcPr>
          <w:p>
            <w:pPr>
              <w:pStyle w:val="Normal6a"/>
            </w:pPr>
            <w:r>
              <w:t>(e)</w:t>
            </w:r>
            <w:r>
              <w:tab/>
            </w:r>
            <w:r>
              <w:t xml:space="preserve">to identify and document components and vulnerabilities by drawing up a software bill of materials covering at the very least the top-level dependencies </w:t>
            </w:r>
            <w:r>
              <w:rPr>
                <w:b/>
                <w:i/>
              </w:rPr>
              <w:t>and any further dependencies identified as security-relevant in accordance with the criteria established by the scheme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582</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80 – paragraph 1 – point w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(wa)</w:t>
            </w:r>
            <w:r>
              <w:tab/>
            </w:r>
            <w:r>
              <w:rPr>
                <w:b/>
                <w:i/>
              </w:rPr>
              <w:t>to ensure, where relevant to the scope of the European cybersecurity certification scheme, that ICT products, ICT services, ICT processes, managed security services and the network and information systems of certified entities can securely integrate and interoperate with other ICT products, ICT services, ICT processes, managed security services and network and information systems, including through secure and documented interfaces and, where appropriate, European or international standards or openly specified interfaces enabling machine-readable exchange, while preserving the availability, authenticity, integrity and confidentiality of data and services.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Secure interoperability should be reflected among the security objectives of European cybersecurity certification schemes where relevant to their scope. Certification should facilitate secure integration between products, services and systems from different providers and avoid creating unnecessary technical barriers or certification silos. Interoperability should be supported through documented interfaces and, where appropriate, recognised standards or open specifications, while preserving the security properties protected by the certification framework.</w:t>
      </w:r>
    </w:p>
    <w:p>
      <w:r>
        <w:rPr>
          <w:rStyle w:val="HideTWBExt"/>
        </w:rPr>
        <w:t>&lt;/Amend&gt;</w:t>
      </w:r>
    </w:p>
    <w:p>
      <w:pPr>
        <w:pStyle w:val="AmNumberTabs"/>
      </w:pPr>
      <w:r>
        <w:rPr>
          <w:rStyle w:val="HideTWBExt"/>
        </w:rPr>
        <w:t>&lt;Amend&gt;</w:t>
      </w:r>
      <w:r>
        <w:t>Amendment</w:t>
      </w:r>
      <w:r>
        <w:tab/>
      </w:r>
      <w:r>
        <w:tab/>
      </w:r>
      <w:r>
        <w:rPr>
          <w:rStyle w:val="HideTWBExt"/>
        </w:rPr>
        <w:t>&lt;NumAm&gt;</w:t>
      </w:r>
      <w:r>
        <w:t>583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80 – paragraph 1 – point w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(wa)</w:t>
            </w:r>
            <w:r>
              <w:tab/>
            </w:r>
            <w:r>
              <w:rPr>
                <w:b/>
                <w:i/>
              </w:rPr>
              <w:t>to ensure that AI systems, including agentic AI systems, remain under the control of their operator, including the ability to stop their operation promptly and to confine their actions and communications to the scope authorised by the operator;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584</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80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For the purposes of the first paragraph, the security objectives shall also include the identification, prevention and mitigation of risks resulting from third-country legislation, administrative decisions or practices with extraterritorial application likely to compromise the availability, authenticity, integrity or confidentiality of the data, services, processing or certified functions.</w:t>
            </w:r>
            <w:r>
              <w:t xml:space="preserve"> </w:t>
            </w:r>
            <w:r>
              <w:rPr>
                <w:b/>
                <w:i/>
              </w:rPr>
              <w:t>If the European cybersecurity certification scheme provides for an assurance level of ‘high’, these objectives shall include specific requirements aimed at guaranteeing effective protection against these risks, in particular as regards disclosure or transfer obligations, non-disclosure injunctions, takeovers, remote deactivations or service interruptions, as well as risks resulting from the ownership structure, effective control, governance or contractual chain of the provider.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585</w:t>
      </w:r>
      <w:r>
        <w:rPr>
          <w:rStyle w:val="HideTWBExt"/>
        </w:rPr>
        <w:t>&lt;/NumAm&gt;</w:t>
      </w:r>
    </w:p>
    <w:p>
      <w:pPr>
        <w:pStyle w:val="NormalBold"/>
      </w:pPr>
      <w:r>
        <w:rPr>
          <w:rStyle w:val="HideTWBExt"/>
          <w:b w:val="0"/>
        </w:rPr>
        <w:t>&lt;RepeatBlock-By&gt;</w:t>
      </w:r>
      <w:r>
        <w:rPr>
          <w:rStyle w:val="HideTWBExt"/>
          <w:b w:val="0"/>
        </w:rPr>
        <w:t>&lt;Members&gt;</w:t>
      </w:r>
      <w:r>
        <w:t>Krzysztof Hetman, Mirosława Nykiel, Adam Jarubas, Kamila Gasiuk-Pihowicz,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80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The Commission is empowered to adopt delegated acts in accordance with Article 119 to amend paragraph 1 of this Article by adding or modifying security objectives in order to ensure that they reflect the latest technological development and new related threats as well as adoption of new Union legislation setting out the demonstration of compliance and the presumption of conformity through European cybersecurity certification with relevant cybersecurity requirements of that legislation.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586</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80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The Commission is empowered to adopt delegated acts in accordance with Article 119 to amend paragraph 1 of this Article by adding or modifying security objectives in order to ensure that they reflect the latest technological development and new related threats as well as adoption of new Union legislation setting out the demonstration of compliance and the presumption of conformity through European cybersecurity certification with relevant cybersecurity requirements of that legislation.</w:t>
            </w:r>
          </w:p>
        </w:tc>
        <w:tc>
          <w:tcPr>
            <w:tcW w:w="4876" w:type="dxa"/>
            <w:tcBorders>
              <w:top w:val="nil"/>
              <w:left w:val="nil"/>
              <w:bottom w:val="nil"/>
              <w:right w:val="nil"/>
            </w:tcBorders>
          </w:tcPr>
          <w:p>
            <w:pPr>
              <w:pStyle w:val="Normal6a"/>
            </w:pPr>
            <w:r>
              <w:rPr>
                <w:b/>
                <w:i/>
              </w:rPr>
              <w:t>(2)</w:t>
            </w:r>
            <w:r>
              <w:tab/>
            </w:r>
            <w:r>
              <w:t xml:space="preserve">The Commission is empowered to adopt delegated acts in accordance with Article 119 to amend paragraph 1 of this Article by adding or modifying security objectives in order to ensure that they reflect the latest technological development and new related threats as well as adoption of new Union legislation setting out the demonstration of compliance and the presumption of conformity through European cybersecurity certification with relevant cybersecurity requirements of that legislation. </w:t>
            </w:r>
            <w:r>
              <w:rPr>
                <w:b/>
                <w:i/>
              </w:rPr>
              <w:t>Delegated acts adopted pursuant to this paragraph may relate solely to technical safety objectives.</w:t>
            </w:r>
            <w:r>
              <w:t xml:space="preserve"> </w:t>
            </w:r>
            <w:r>
              <w:rPr>
                <w:b/>
                <w:i/>
              </w:rPr>
              <w:t>They must not impose any obligation to obtain certification, nor introduce any requirements based on a provider’s place of establishment, ownership structure or control.</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587</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80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The Commission is empowered to adopt </w:t>
            </w:r>
            <w:r>
              <w:rPr>
                <w:b/>
                <w:i/>
              </w:rPr>
              <w:t>delegated</w:t>
            </w:r>
            <w:r>
              <w:t xml:space="preserve"> acts in accordance with Article 119 to amend paragraph 1 of this Article by adding or modifying security objectives in order to ensure that they reflect the latest technological development and new related threats as well as adoption of new Union legislation setting out the demonstration of compliance and the presumption of conformity through European cybersecurity certification with relevant cybersecurity requirements of that legislation.</w:t>
            </w:r>
          </w:p>
        </w:tc>
        <w:tc>
          <w:tcPr>
            <w:tcW w:w="4876" w:type="dxa"/>
            <w:tcBorders>
              <w:top w:val="nil"/>
              <w:left w:val="nil"/>
              <w:bottom w:val="nil"/>
              <w:right w:val="nil"/>
            </w:tcBorders>
          </w:tcPr>
          <w:p>
            <w:pPr>
              <w:pStyle w:val="Normal6a"/>
            </w:pPr>
            <w:r>
              <w:t>2.</w:t>
            </w:r>
            <w:r>
              <w:tab/>
            </w:r>
            <w:r>
              <w:t xml:space="preserve">The Commission is empowered to adopt </w:t>
            </w:r>
            <w:r>
              <w:rPr>
                <w:b/>
                <w:i/>
              </w:rPr>
              <w:t>implementing</w:t>
            </w:r>
            <w:r>
              <w:t xml:space="preserve"> acts in accordance with Article 119 to amend paragraph 1 of this Article by adding or modifying security objectives in order to ensure that they reflect the latest technological development and new related threats as well as adoption of new Union legislation setting out the demonstration of compliance and the presumption of conformity through European cybersecurity certification with relevant cybersecurity requirements of that legislation. </w:t>
            </w:r>
            <w:r>
              <w:rPr>
                <w:b/>
                <w:i/>
              </w:rPr>
              <w:t>When preparing implementing acts updating security objectives, the Commission shall consult ENISA and the ECCG.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588</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80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The Commission is empowered to adopt delegated acts in accordance with Article 119 to amend paragraph 1 of this Article by adding or modifying security objectives in order to ensure that they reflect the latest</w:t>
            </w:r>
            <w:r>
              <w:t xml:space="preserve"> technological </w:t>
            </w:r>
            <w:r>
              <w:rPr>
                <w:b/>
                <w:i/>
              </w:rPr>
              <w:t>development and</w:t>
            </w:r>
            <w:r>
              <w:t xml:space="preserve"> new related threats </w:t>
            </w:r>
            <w:r>
              <w:rPr>
                <w:b/>
                <w:i/>
              </w:rPr>
              <w:t>as well as</w:t>
            </w:r>
            <w:r>
              <w:t xml:space="preserve"> adoption of new Union legislation </w:t>
            </w:r>
            <w:r>
              <w:rPr>
                <w:b/>
                <w:i/>
              </w:rPr>
              <w:t>setting out the demonstration of compliance</w:t>
            </w:r>
            <w:r>
              <w:t xml:space="preserve"> and the </w:t>
            </w:r>
            <w:r>
              <w:rPr>
                <w:b/>
                <w:i/>
              </w:rPr>
              <w:t>presumption of conformity through European cybersecurity certification with relevant cybersecurity requirements of that</w:t>
            </w:r>
            <w:r>
              <w:t xml:space="preserve"> legislation.</w:t>
            </w:r>
          </w:p>
        </w:tc>
        <w:tc>
          <w:tcPr>
            <w:tcW w:w="4876" w:type="dxa"/>
            <w:tcBorders>
              <w:top w:val="nil"/>
              <w:left w:val="nil"/>
              <w:bottom w:val="nil"/>
              <w:right w:val="nil"/>
            </w:tcBorders>
          </w:tcPr>
          <w:p>
            <w:pPr>
              <w:pStyle w:val="Normal6a"/>
            </w:pPr>
            <w:r>
              <w:t>2.</w:t>
            </w:r>
            <w:r>
              <w:tab/>
            </w:r>
            <w:r>
              <w:rPr>
                <w:b/>
                <w:i/>
              </w:rPr>
              <w:t>Where so warranted by</w:t>
            </w:r>
            <w:r>
              <w:t xml:space="preserve"> technological </w:t>
            </w:r>
            <w:r>
              <w:rPr>
                <w:b/>
                <w:i/>
              </w:rPr>
              <w:t>developments,</w:t>
            </w:r>
            <w:r>
              <w:t xml:space="preserve"> new related threats </w:t>
            </w:r>
            <w:r>
              <w:rPr>
                <w:b/>
                <w:i/>
              </w:rPr>
              <w:t>or the</w:t>
            </w:r>
            <w:r>
              <w:t xml:space="preserve"> adoption of new Union legislation</w:t>
            </w:r>
            <w:r>
              <w:rPr>
                <w:b/>
                <w:i/>
              </w:rPr>
              <w:t>, the Commission, in cooperation with ENISA</w:t>
            </w:r>
            <w:r>
              <w:t xml:space="preserve"> and the </w:t>
            </w:r>
            <w:r>
              <w:rPr>
                <w:b/>
                <w:i/>
              </w:rPr>
              <w:t>ECCG, shall assess the need to amend the security objectives referred to in paragraph 1 and, where applicable, shall put forward a legislative proposal.</w:t>
            </w:r>
            <w:r>
              <w:t xml:space="preserve"> </w:t>
            </w:r>
            <w:r>
              <w:rPr>
                <w:b/>
                <w:i/>
              </w:rPr>
              <w:t>Those amendments shall not result in a reduction in the level of protection against loss of confidentiality, integrity, availability or effective control of data, services or certified infrastructures, including where those losses are the outcome of third-country</w:t>
            </w:r>
            <w:r>
              <w:t xml:space="preserve"> legislation </w:t>
            </w:r>
            <w:r>
              <w:rPr>
                <w:b/>
                <w:i/>
              </w:rPr>
              <w:t>with extraterritorial application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589</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80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 European cybersecurity certification scheme addressing products with digital elements as defined in Article 3, point (1), of Regulation (EU) 2024/2847 shall be designed in alignment with the essential cybersecurity requirements set out in Annex I that Regulation and take into account available harmonised standards.</w:t>
            </w:r>
          </w:p>
        </w:tc>
        <w:tc>
          <w:tcPr>
            <w:tcW w:w="4876" w:type="dxa"/>
            <w:tcBorders>
              <w:top w:val="nil"/>
              <w:left w:val="nil"/>
              <w:bottom w:val="nil"/>
              <w:right w:val="nil"/>
            </w:tcBorders>
          </w:tcPr>
          <w:p>
            <w:pPr>
              <w:pStyle w:val="Normal6a"/>
            </w:pPr>
            <w:r>
              <w:t>3.</w:t>
            </w:r>
            <w:r>
              <w:tab/>
            </w:r>
            <w:r>
              <w:t xml:space="preserve">A European cybersecurity certification scheme addressing products with digital elements as defined in Article 3, point (1), of Regulation (EU) 2024/2847 shall be designed in alignment with the essential cybersecurity requirements set out in Annex I </w:t>
            </w:r>
            <w:r>
              <w:rPr>
                <w:b/>
                <w:i/>
              </w:rPr>
              <w:t>of</w:t>
            </w:r>
            <w:r>
              <w:t xml:space="preserve"> that Regulation and take into account available harmonised standards</w:t>
            </w:r>
            <w:r>
              <w:rPr>
                <w:b/>
                <w:i/>
              </w:rPr>
              <w:t>, without prejudice to the security objectives referred to in paragraph 1 of this Article or the additional requirements necessary to achieve the assurance level provided for by the relevant scheme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590</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 João Cotrim De Figueiredo,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81 – paragraph 1 – point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the uptake roadmap specifying the actions to increase uptake of the certification scheme.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591</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81 – paragraph 1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the specific cybersecurity requirements, evaluation criteria and methods to be used for evaluation of ICT products, ICT services, ICT processes, managed security services or cyber posture of entities, and references to the international, European or national standards applied in the evaluation of ICT products, ICT services, ICT processes, managed security services or cyber posture of entities or, where such standards are not available or </w:t>
            </w:r>
            <w:r>
              <w:rPr>
                <w:b/>
                <w:i/>
              </w:rPr>
              <w:t>appropriate</w:t>
            </w:r>
            <w:r>
              <w:t>, to technical specifications drawn up by ENISA pursuant to Article 77 or, if such specifications are not available, to other technical specifications;</w:t>
            </w:r>
          </w:p>
        </w:tc>
        <w:tc>
          <w:tcPr>
            <w:tcW w:w="4876" w:type="dxa"/>
            <w:tcBorders>
              <w:top w:val="nil"/>
              <w:left w:val="nil"/>
              <w:bottom w:val="nil"/>
              <w:right w:val="nil"/>
            </w:tcBorders>
          </w:tcPr>
          <w:p>
            <w:pPr>
              <w:pStyle w:val="Normal6a"/>
            </w:pPr>
            <w:r>
              <w:t>(d)</w:t>
            </w:r>
            <w:r>
              <w:tab/>
            </w:r>
            <w:r>
              <w:t xml:space="preserve">the specific cybersecurity requirements, evaluation criteria and methods to be used for evaluation of ICT products, ICT services, ICT processes, managed security services or cyber posture of entities, and references to the international, European or national standards applied in the evaluation of ICT products, ICT services, ICT processes, managed security services or cyber posture of entities or, where such standards are not available or </w:t>
            </w:r>
            <w:r>
              <w:rPr>
                <w:b/>
                <w:i/>
              </w:rPr>
              <w:t>do not adequately cover the relevant security requirements</w:t>
            </w:r>
            <w:r>
              <w:t>, to technical specifications drawn up by ENISA pursuant to Article 77 or, if such specifications are not available, to other technical specifications;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592</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81 – paragraph 1 – point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for schemes covering the cyber posture of entities, tiered sets of security controls proportionate to the size, sector and risk profile of the entity, including a simplified entry-level profile with a limited and prioritised set of controls for microenterprises and small enterprises;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Cyber posture certification should reflect the different risk profiles and capacities of entities. A simplified entry-level profile for microenterprises and small enterprises would provide a proportionate route into certification without imposing the same requirements and costs as those applicable to larger or higher-risk entities.</w:t>
      </w:r>
    </w:p>
    <w:p>
      <w:r>
        <w:rPr>
          <w:rStyle w:val="HideTWBExt"/>
        </w:rPr>
        <w:t>&lt;/Amend&gt;</w:t>
      </w:r>
    </w:p>
    <w:p>
      <w:pPr>
        <w:pStyle w:val="AmNumberTabs"/>
      </w:pPr>
      <w:r>
        <w:rPr>
          <w:rStyle w:val="HideTWBExt"/>
        </w:rPr>
        <w:t>&lt;Amend&gt;</w:t>
      </w:r>
      <w:r>
        <w:t>Amendment</w:t>
      </w:r>
      <w:r>
        <w:tab/>
      </w:r>
      <w:r>
        <w:tab/>
      </w:r>
      <w:r>
        <w:rPr>
          <w:rStyle w:val="HideTWBExt"/>
        </w:rPr>
        <w:t>&lt;NumAm&gt;</w:t>
      </w:r>
      <w:r>
        <w:t>593</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81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European cybersecurity certification schemes consist exclusively of technical, objectively verifiable security requirements.</w:t>
            </w:r>
            <w:r>
              <w:t xml:space="preserve"> </w:t>
            </w:r>
            <w:r>
              <w:rPr>
                <w:b/>
                <w:i/>
              </w:rPr>
              <w:t>Requirements relating to a provider’s place of establishment, ownership structure or control may be laid down only by a legislative act of the Union.</w:t>
            </w:r>
            <w:r>
              <w:t xml:space="preserve"> </w:t>
            </w:r>
            <w:r>
              <w:rPr>
                <w:b/>
                <w:i/>
              </w:rPr>
              <w:t>Article 100(4)(b) shall remain unchanged.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594</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 João Cotrim De Figueiredo,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81 – paragraph 2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how previously undetected cybersecurity vulnerabilities in ICT products, ICT services and ICT processes are to be reported and dealt with;</w:t>
            </w:r>
          </w:p>
        </w:tc>
        <w:tc>
          <w:tcPr>
            <w:tcW w:w="4876" w:type="dxa"/>
            <w:tcBorders>
              <w:top w:val="nil"/>
              <w:left w:val="nil"/>
              <w:bottom w:val="nil"/>
              <w:right w:val="nil"/>
            </w:tcBorders>
          </w:tcPr>
          <w:p>
            <w:pPr>
              <w:pStyle w:val="Normal6a"/>
            </w:pPr>
            <w:r>
              <w:t>(d)</w:t>
            </w:r>
            <w:r>
              <w:tab/>
            </w:r>
            <w:r>
              <w:t>how previously undetected cybersecurity vulnerabilities in ICT products, ICT services and ICT processes are to be reported and dealt with</w:t>
            </w:r>
            <w:r>
              <w:rPr>
                <w:b/>
                <w:i/>
              </w:rPr>
              <w:t>, in line with the already established reporting requirements in Regulation (EU) 2024/2847 and Directive (EU) 2022/2555</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To enhance coherent reporting requirements.</w:t>
      </w:r>
    </w:p>
    <w:p>
      <w:r>
        <w:rPr>
          <w:rStyle w:val="HideTWBExt"/>
        </w:rPr>
        <w:t>&lt;/Amend&gt;</w:t>
      </w:r>
    </w:p>
    <w:p>
      <w:pPr>
        <w:pStyle w:val="AmNumberTabs"/>
      </w:pPr>
      <w:r>
        <w:rPr>
          <w:rStyle w:val="HideTWBExt"/>
        </w:rPr>
        <w:t>&lt;Amend&gt;</w:t>
      </w:r>
      <w:r>
        <w:t>Amendment</w:t>
      </w:r>
      <w:r>
        <w:tab/>
      </w:r>
      <w:r>
        <w:tab/>
      </w:r>
      <w:r>
        <w:rPr>
          <w:rStyle w:val="HideTWBExt"/>
        </w:rPr>
        <w:t>&lt;NumAm&gt;</w:t>
      </w:r>
      <w:r>
        <w:t>595</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81 – paragraph 2 – point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any peer assessment mechanisms established under the scheme for authorities or bodies issuing European cybersecurity certificates pursuant to Article </w:t>
            </w:r>
            <w:r>
              <w:rPr>
                <w:b/>
                <w:i/>
              </w:rPr>
              <w:t>85(4)</w:t>
            </w:r>
            <w:r>
              <w:t xml:space="preserve">, which shall be without prejudice to the peer review provided for in Article </w:t>
            </w:r>
            <w:r>
              <w:rPr>
                <w:b/>
                <w:i/>
              </w:rPr>
              <w:t>90</w:t>
            </w:r>
            <w:r>
              <w:t>;</w:t>
            </w:r>
          </w:p>
        </w:tc>
        <w:tc>
          <w:tcPr>
            <w:tcW w:w="4876" w:type="dxa"/>
            <w:tcBorders>
              <w:top w:val="nil"/>
              <w:left w:val="nil"/>
              <w:bottom w:val="nil"/>
              <w:right w:val="nil"/>
            </w:tcBorders>
          </w:tcPr>
          <w:p>
            <w:pPr>
              <w:pStyle w:val="Normal6a"/>
            </w:pPr>
            <w:r>
              <w:t>(g)</w:t>
            </w:r>
            <w:r>
              <w:tab/>
            </w:r>
            <w:r>
              <w:t xml:space="preserve">any peer assessment mechanisms established under the scheme for authorities or bodies issuing European cybersecurity certificates pursuant to Article </w:t>
            </w:r>
            <w:r>
              <w:rPr>
                <w:b/>
                <w:i/>
              </w:rPr>
              <w:t>85(3)</w:t>
            </w:r>
            <w:r>
              <w:t xml:space="preserve">, which shall be without prejudice to the peer review provided for in Article </w:t>
            </w:r>
            <w:r>
              <w:rPr>
                <w:b/>
                <w:i/>
              </w:rPr>
              <w:t>89</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596</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81 – paragraph 2 – point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the confidentiality of information and data obtained by all parties in carrying out tasks and activities related to the implementation of the provisions set out in this Title;</w:t>
            </w:r>
          </w:p>
        </w:tc>
        <w:tc>
          <w:tcPr>
            <w:tcW w:w="4876" w:type="dxa"/>
            <w:tcBorders>
              <w:top w:val="nil"/>
              <w:left w:val="nil"/>
              <w:bottom w:val="nil"/>
              <w:right w:val="nil"/>
            </w:tcBorders>
          </w:tcPr>
          <w:p>
            <w:pPr>
              <w:pStyle w:val="Normal6a"/>
            </w:pPr>
            <w:r>
              <w:t>(h)</w:t>
            </w:r>
            <w:r>
              <w:tab/>
            </w:r>
            <w:r>
              <w:t>the confidentiality of information and data obtained by all parties in carrying out tasks and activities related to the implementation of the provisions set out in this Title</w:t>
            </w:r>
            <w:r>
              <w:rPr>
                <w:b/>
                <w:i/>
              </w:rPr>
              <w:t>, including the protection of said information and data against any access, disclosure or use prescribed by third-country legislation with extraterritorial application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597</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81 – paragraph 3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extension profiles to set out additional security requirements, including, where applicable, security requirements set out in national provisions transposing Union law;</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European cybersecurity certification should provide a harmonised framework across the internal market. Allowing national extension profiles risks creating different certification requirements between Member States and undermining the objective of a genuinely European certification scheme.</w:t>
      </w:r>
    </w:p>
    <w:p>
      <w:r>
        <w:rPr>
          <w:rStyle w:val="HideTWBExt"/>
        </w:rPr>
        <w:t>&lt;/Amend&gt;</w:t>
      </w:r>
    </w:p>
    <w:p>
      <w:pPr>
        <w:pStyle w:val="AmNumberTabs"/>
      </w:pPr>
      <w:r>
        <w:rPr>
          <w:rStyle w:val="HideTWBExt"/>
        </w:rPr>
        <w:t>&lt;Amend&gt;</w:t>
      </w:r>
      <w:r>
        <w:t>Amendment</w:t>
      </w:r>
      <w:r>
        <w:tab/>
      </w:r>
      <w:r>
        <w:tab/>
      </w:r>
      <w:r>
        <w:rPr>
          <w:rStyle w:val="HideTWBExt"/>
        </w:rPr>
        <w:t>&lt;NumAm&gt;</w:t>
      </w:r>
      <w:r>
        <w:t>598</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81 – paragraph 3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extension profiles to set out additional security requirements, including, where applicable, security requirements set out in national provisions transposing Union law;</w:t>
            </w:r>
          </w:p>
        </w:tc>
        <w:tc>
          <w:tcPr>
            <w:tcW w:w="4876" w:type="dxa"/>
            <w:tcBorders>
              <w:top w:val="nil"/>
              <w:left w:val="nil"/>
              <w:bottom w:val="nil"/>
              <w:right w:val="nil"/>
            </w:tcBorders>
          </w:tcPr>
          <w:p>
            <w:pPr>
              <w:pStyle w:val="Normal6a"/>
            </w:pPr>
            <w:r>
              <w:t>(c)</w:t>
            </w:r>
            <w:r>
              <w:tab/>
            </w:r>
            <w:r>
              <w:t xml:space="preserve">extension profiles to set out additional security requirements, including, where applicable, security requirements set out in national provisions transposing Union law </w:t>
            </w:r>
            <w:r>
              <w:rPr>
                <w:b/>
                <w:i/>
              </w:rPr>
              <w:t>or security requirements needed to protect the essential national security interests of the Member States, including requirements aimed at guaranteeing immunity to third-country legislation with extraterritorial application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599</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81 – paragraph 3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clarification on which conformity assessment activities, including calibration, testing, certification and inspection, for assurance level ‘high’, or for the purpose of demonstrating compliance and granting presumption of conformity, are </w:t>
            </w:r>
            <w:r>
              <w:rPr>
                <w:b/>
                <w:i/>
              </w:rPr>
              <w:t>permitted outside</w:t>
            </w:r>
            <w:r>
              <w:t xml:space="preserve"> the European Economic Area (EEA);</w:t>
            </w:r>
          </w:p>
        </w:tc>
        <w:tc>
          <w:tcPr>
            <w:tcW w:w="4876" w:type="dxa"/>
            <w:tcBorders>
              <w:top w:val="nil"/>
              <w:left w:val="nil"/>
              <w:bottom w:val="nil"/>
              <w:right w:val="nil"/>
            </w:tcBorders>
          </w:tcPr>
          <w:p>
            <w:pPr>
              <w:pStyle w:val="Normal6a"/>
            </w:pPr>
            <w:r>
              <w:t>(d)</w:t>
            </w:r>
            <w:r>
              <w:tab/>
            </w:r>
            <w:r>
              <w:t xml:space="preserve">clarification on which conformity assessment activities, including calibration, testing, certification and inspection, for assurance level ‘high’, or for the purpose of demonstrating compliance and granting presumption of conformity, are </w:t>
            </w:r>
            <w:r>
              <w:rPr>
                <w:b/>
                <w:i/>
              </w:rPr>
              <w:t>carried out exclusively within</w:t>
            </w:r>
            <w:r>
              <w:t xml:space="preserve"> the European Economic Area (EEA);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600</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81 – paragraph 3 – point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an indication of whether conformity self-assessment is permitted under the scheme;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601</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81 – paragraph 3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the identification of national or international cybersecurity certification schemes covering the same type or categories of ICT products, ICT services, ICT processes, managed security services or cyber posture of entities;</w:t>
            </w:r>
          </w:p>
        </w:tc>
        <w:tc>
          <w:tcPr>
            <w:tcW w:w="4876" w:type="dxa"/>
            <w:tcBorders>
              <w:top w:val="nil"/>
              <w:left w:val="nil"/>
              <w:bottom w:val="nil"/>
              <w:right w:val="nil"/>
            </w:tcBorders>
          </w:tcPr>
          <w:p>
            <w:pPr>
              <w:pStyle w:val="Normal6a"/>
            </w:pPr>
            <w:r>
              <w:t>(e)</w:t>
            </w:r>
            <w:r>
              <w:tab/>
            </w:r>
            <w:r>
              <w:t>the identification of national or international cybersecurity certification schemes covering the same type or categories of ICT products, ICT services, ICT processes, managed security services or cyber posture of entities</w:t>
            </w:r>
            <w:r>
              <w:rPr>
                <w:b/>
                <w:i/>
              </w:rPr>
              <w:t>, and, where appropriate, a mapping of corresponding requirements, controls and evaluation methods, including the identification of evidence generated under those schemes that may be accepted for the purposes of the European cybersecurity certification scheme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Where comparable certification already exists, equivalent evidence should be reusable rather than requiring the same testing or assessment to be repeated. Mapping comparable requirements and evaluation methods can reduce unnecessary certification costs while preserving the assurance requirements of the European scheme.</w:t>
      </w:r>
    </w:p>
    <w:p>
      <w:r>
        <w:rPr>
          <w:rStyle w:val="HideTWBExt"/>
        </w:rPr>
        <w:t>&lt;/Amend&gt;</w:t>
      </w:r>
    </w:p>
    <w:p>
      <w:pPr>
        <w:pStyle w:val="AmNumberTabs"/>
      </w:pPr>
      <w:r>
        <w:rPr>
          <w:rStyle w:val="HideTWBExt"/>
        </w:rPr>
        <w:t>&lt;Amend&gt;</w:t>
      </w:r>
      <w:r>
        <w:t>Amendment</w:t>
      </w:r>
      <w:r>
        <w:tab/>
      </w:r>
      <w:r>
        <w:tab/>
      </w:r>
      <w:r>
        <w:rPr>
          <w:rStyle w:val="HideTWBExt"/>
        </w:rPr>
        <w:t>&lt;NumAm&gt;</w:t>
      </w:r>
      <w:r>
        <w:t>602</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81 – paragraph 3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the identification of national or international cybersecurity certification schemes covering the same type or categories of ICT products, ICT services</w:t>
            </w:r>
            <w:r>
              <w:rPr>
                <w:b/>
                <w:i/>
              </w:rPr>
              <w:t>,</w:t>
            </w:r>
            <w:r>
              <w:t xml:space="preserve"> ICT processes</w:t>
            </w:r>
            <w:r>
              <w:rPr>
                <w:b/>
                <w:i/>
              </w:rPr>
              <w:t>, managed security services or cyber posture of entities</w:t>
            </w:r>
            <w:r>
              <w:t>;</w:t>
            </w:r>
          </w:p>
        </w:tc>
        <w:tc>
          <w:tcPr>
            <w:tcW w:w="4876" w:type="dxa"/>
            <w:tcBorders>
              <w:top w:val="nil"/>
              <w:left w:val="nil"/>
              <w:bottom w:val="nil"/>
              <w:right w:val="nil"/>
            </w:tcBorders>
          </w:tcPr>
          <w:p>
            <w:pPr>
              <w:pStyle w:val="Normal6a"/>
            </w:pPr>
            <w:r>
              <w:t>(e)</w:t>
            </w:r>
            <w:r>
              <w:tab/>
            </w:r>
            <w:r>
              <w:t xml:space="preserve">the identification of national or international cybersecurity certification schemes covering the same type or categories of ICT products, ICT services </w:t>
            </w:r>
            <w:r>
              <w:rPr>
                <w:b/>
                <w:i/>
              </w:rPr>
              <w:t>or</w:t>
            </w:r>
            <w:r>
              <w:t xml:space="preserve"> ICT processes;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603</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81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The specified requirements of the European cybersecurity certification scheme shall be consistent with the requirements of Union legislation.</w:t>
            </w:r>
          </w:p>
        </w:tc>
        <w:tc>
          <w:tcPr>
            <w:tcW w:w="4876" w:type="dxa"/>
            <w:tcBorders>
              <w:top w:val="nil"/>
              <w:left w:val="nil"/>
              <w:bottom w:val="nil"/>
              <w:right w:val="nil"/>
            </w:tcBorders>
          </w:tcPr>
          <w:p>
            <w:pPr>
              <w:pStyle w:val="Normal6a"/>
            </w:pPr>
            <w:r>
              <w:t>4.</w:t>
            </w:r>
            <w:r>
              <w:tab/>
            </w:r>
            <w:r>
              <w:t xml:space="preserve">The specified requirements of the European cybersecurity certification scheme shall be consistent with the requirements of Union legislation </w:t>
            </w:r>
            <w:r>
              <w:rPr>
                <w:b/>
                <w:i/>
              </w:rPr>
              <w:t>and shall be without prejudice to the national security responsibilities of the Member States, in particular where they justify more stringent requirements in terms of protection against third-country legislation with extraterritorial application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604</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81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The Commission is empowered to adopt implementing acts laying down common principles and model provisions for elements set out in paragraphs 1, 2 and 3 across European cybersecurity certification schemes. Where appropriate and available, a European cybersecurity certification scheme may include references to those principles and model provisions.</w:t>
            </w:r>
          </w:p>
        </w:tc>
        <w:tc>
          <w:tcPr>
            <w:tcW w:w="4876" w:type="dxa"/>
            <w:tcBorders>
              <w:top w:val="nil"/>
              <w:left w:val="nil"/>
              <w:bottom w:val="nil"/>
              <w:right w:val="nil"/>
            </w:tcBorders>
          </w:tcPr>
          <w:p>
            <w:pPr>
              <w:pStyle w:val="Normal6a"/>
            </w:pPr>
            <w:r>
              <w:t>5.</w:t>
            </w:r>
            <w:r>
              <w:tab/>
            </w:r>
            <w:r>
              <w:t xml:space="preserve">The Commission is empowered to adopt implementing acts laying down common principles and model provisions for elements set out in paragraphs 1, 2 and 3 across European cybersecurity certification schemes. Where appropriate and available, a European cybersecurity certification scheme may include references to those principles and model provisions. </w:t>
            </w:r>
            <w:r>
              <w:rPr>
                <w:b/>
                <w:i/>
              </w:rPr>
              <w:t>These common principles and model provisions shall not result in a reduction in the level of protection against losses of confidentiality, integrity, availability or effective control of data, services or certified infrastructures, including where such losses are the outcome of third-country legislation with extraterritorial application.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605</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81 – 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The implementing acts referred to in paragraph 5 shall be adopted in accordance with the examination procedure referred to in Article 118(2). When developing or revising the common principles and model provisions for the elements of European cybersecurity certification schemes, the Commission shall consult ENISA </w:t>
            </w:r>
            <w:r>
              <w:rPr>
                <w:b/>
                <w:i/>
              </w:rPr>
              <w:t>and take into account</w:t>
            </w:r>
            <w:r>
              <w:t xml:space="preserve">, </w:t>
            </w:r>
            <w:r>
              <w:rPr>
                <w:b/>
                <w:i/>
              </w:rPr>
              <w:t>as appropriate, views expressed by</w:t>
            </w:r>
            <w:r>
              <w:t xml:space="preserve"> the ECCG, relevant stakeholders and </w:t>
            </w:r>
            <w:r>
              <w:rPr>
                <w:b/>
                <w:i/>
              </w:rPr>
              <w:t>other relevant bodies</w:t>
            </w:r>
            <w:r>
              <w:t>.</w:t>
            </w:r>
          </w:p>
        </w:tc>
        <w:tc>
          <w:tcPr>
            <w:tcW w:w="4876" w:type="dxa"/>
            <w:tcBorders>
              <w:top w:val="nil"/>
              <w:left w:val="nil"/>
              <w:bottom w:val="nil"/>
              <w:right w:val="nil"/>
            </w:tcBorders>
          </w:tcPr>
          <w:p>
            <w:pPr>
              <w:pStyle w:val="Normal6a"/>
            </w:pPr>
            <w:r>
              <w:t>6.</w:t>
            </w:r>
            <w:r>
              <w:tab/>
            </w:r>
            <w:r>
              <w:t xml:space="preserve">The implementing acts referred to in paragraph 5 shall be adopted in accordance with the examination procedure referred to in Article 118(2). When developing or revising the common principles and model provisions for the elements of European cybersecurity certification schemes, the Commission shall consult ENISA, the ECCG, </w:t>
            </w:r>
            <w:r>
              <w:rPr>
                <w:b/>
                <w:i/>
              </w:rPr>
              <w:t>the national competent authorities and</w:t>
            </w:r>
            <w:r>
              <w:t xml:space="preserve"> relevant stakeholders and </w:t>
            </w:r>
            <w:r>
              <w:rPr>
                <w:b/>
                <w:i/>
              </w:rPr>
              <w:t>shall take due account of their views</w:t>
            </w:r>
            <w:r>
              <w:t xml:space="preserve">. </w:t>
            </w:r>
            <w:r>
              <w:rPr>
                <w:b/>
                <w:i/>
              </w:rPr>
              <w:t>If these common principles or model provisions are likely to have an impact on critical infrastructure, on essential or important entities within the meaning of Directive (EU) 2022/2555, or on the national security responsibilities of Member States, the Commission shall also consult the national competent authorities in question.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606</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81 – 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The implementing acts referred to in paragraph 5 shall be adopted in accordance with the examination procedure referred to in Article 118(2). When developing or revising the common principles and model provisions for the elements of European cybersecurity certification schemes, the Commission shall consult ENISA and take into account, as appropriate, views expressed by the ECCG, relevant stakeholders and other relevant bodies.</w:t>
            </w:r>
          </w:p>
        </w:tc>
        <w:tc>
          <w:tcPr>
            <w:tcW w:w="4876" w:type="dxa"/>
            <w:tcBorders>
              <w:top w:val="nil"/>
              <w:left w:val="nil"/>
              <w:bottom w:val="nil"/>
              <w:right w:val="nil"/>
            </w:tcBorders>
          </w:tcPr>
          <w:p>
            <w:pPr>
              <w:pStyle w:val="Normal6a"/>
            </w:pPr>
            <w:r>
              <w:t>6.</w:t>
            </w:r>
            <w:r>
              <w:tab/>
            </w:r>
            <w:r>
              <w:t xml:space="preserve">The implementing acts referred to in paragraph 5 shall be adopted in accordance with the examination procedure referred to in Article 118(2). When developing or revising the common principles and model provisions for the elements of European cybersecurity certification schemes, the Commission shall consult ENISA and take into account, as appropriate, views expressed by the ECCG, </w:t>
            </w:r>
            <w:r>
              <w:rPr>
                <w:b/>
                <w:i/>
              </w:rPr>
              <w:t>the SCCG,</w:t>
            </w:r>
            <w:r>
              <w:t xml:space="preserve"> relevant stakeholders and other relevant bodies.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607</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82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 European cybersecurity certification scheme may specify one or more of the following assurance levels for ICT products, ICT services</w:t>
            </w:r>
            <w:r>
              <w:rPr>
                <w:b/>
                <w:i/>
              </w:rPr>
              <w:t>,</w:t>
            </w:r>
            <w:r>
              <w:t xml:space="preserve"> ICT processes</w:t>
            </w:r>
            <w:r>
              <w:rPr>
                <w:b/>
                <w:i/>
              </w:rPr>
              <w:t>, managed security services or cyber posture of entities</w:t>
            </w:r>
            <w:r>
              <w:t>: “basic”, “substantial” or “high”. Those assurance levels shall be commensurate with the level of the risk associated with the intended use of the ICT product, ICT service</w:t>
            </w:r>
            <w:r>
              <w:rPr>
                <w:b/>
                <w:i/>
              </w:rPr>
              <w:t>,</w:t>
            </w:r>
            <w:r>
              <w:t xml:space="preserve"> ICT process</w:t>
            </w:r>
            <w:r>
              <w:rPr>
                <w:b/>
                <w:i/>
              </w:rPr>
              <w:t>, managed security service, or with the nature of entities, the cyber posture of which is subject to certification,</w:t>
            </w:r>
            <w:r>
              <w:t xml:space="preserve"> and their operational environment, in terms of the probability and impact of an incident.</w:t>
            </w:r>
          </w:p>
        </w:tc>
        <w:tc>
          <w:tcPr>
            <w:tcW w:w="4876" w:type="dxa"/>
            <w:tcBorders>
              <w:top w:val="nil"/>
              <w:left w:val="nil"/>
              <w:bottom w:val="nil"/>
              <w:right w:val="nil"/>
            </w:tcBorders>
          </w:tcPr>
          <w:p>
            <w:pPr>
              <w:pStyle w:val="Normal6a"/>
            </w:pPr>
            <w:r>
              <w:t>1.</w:t>
            </w:r>
            <w:r>
              <w:tab/>
            </w:r>
            <w:r>
              <w:t xml:space="preserve">A European cybersecurity certification scheme may specify one or more of the following assurance levels for ICT products, ICT services </w:t>
            </w:r>
            <w:r>
              <w:rPr>
                <w:b/>
                <w:i/>
              </w:rPr>
              <w:t>or</w:t>
            </w:r>
            <w:r>
              <w:t xml:space="preserve"> ICT processes: “basic”, “substantial” or “high”. Those assurance levels shall be commensurate with the level of the risk associated with the intended use of the ICT product, ICT service </w:t>
            </w:r>
            <w:r>
              <w:rPr>
                <w:b/>
                <w:i/>
              </w:rPr>
              <w:t>or</w:t>
            </w:r>
            <w:r>
              <w:t xml:space="preserve"> ICT process and their operational environment, in terms of the probability and impact of an incident</w:t>
            </w:r>
            <w:r>
              <w:rPr>
                <w:b/>
                <w:i/>
              </w:rPr>
              <w:t>, including risks relating to the confidentiality, integrity, availability or effective control of the relevant data, services or infrastructures</w:t>
            </w:r>
            <w:r>
              <w:t xml:space="preserve"> .</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608</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82 – paragraph 7 – subparagraph 1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 European cybersecurity certificate that refers to assurance level “high” shall provide assurance that the ICT products, ICT services, ICT processes, managed security services or cyber posture of entities for which that certificate is issued meet the corresponding security requirements, including security controls, and that they have been evaluated at a level intended to minimise the risk of incidents and state-of-the-art cyberattacks carried out by actors with significant skills and resources. The evaluation activities to be undertaken shall include at least the following:</w:t>
            </w:r>
          </w:p>
        </w:tc>
        <w:tc>
          <w:tcPr>
            <w:tcW w:w="4876" w:type="dxa"/>
            <w:tcBorders>
              <w:top w:val="nil"/>
              <w:left w:val="nil"/>
              <w:bottom w:val="nil"/>
              <w:right w:val="nil"/>
            </w:tcBorders>
          </w:tcPr>
          <w:p>
            <w:pPr>
              <w:pStyle w:val="Normal6a"/>
            </w:pPr>
            <w:r>
              <w:t xml:space="preserve">A European cybersecurity certificate that refers to assurance level “high” shall provide assurance that the ICT products, ICT services, ICT processes, managed security services or cyber posture of entities for which that certificate is issued meet the corresponding security requirements, including security controls, and that they have been evaluated at a level intended to minimise the risk of incidents and state-of-the-art cyberattacks carried out by actors with significant skills and resources </w:t>
            </w:r>
            <w:r>
              <w:rPr>
                <w:b/>
                <w:i/>
              </w:rPr>
              <w:t>as well as the risks resulting from vulnerability to third-country legislation with extraterritorial application, in particular as regards the confidentiality, integrity, availability or effective control of the relevant data, services or infrastructures</w:t>
            </w:r>
            <w:r>
              <w:t>. The evaluation activities to be undertaken shall include at least the following: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609</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82 – paragraph 7 – subparagraph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testing to demonstrate that the ICT products, ICT services</w:t>
            </w:r>
            <w:r>
              <w:rPr>
                <w:b/>
                <w:i/>
              </w:rPr>
              <w:t>,</w:t>
            </w:r>
            <w:r>
              <w:t xml:space="preserve"> ICT processes</w:t>
            </w:r>
            <w:r>
              <w:rPr>
                <w:b/>
                <w:i/>
              </w:rPr>
              <w:t>, managed security services or entities</w:t>
            </w:r>
            <w:r>
              <w:t xml:space="preserve"> correctly implement the necessary security controls at the state of the art;</w:t>
            </w:r>
          </w:p>
        </w:tc>
        <w:tc>
          <w:tcPr>
            <w:tcW w:w="4876" w:type="dxa"/>
            <w:tcBorders>
              <w:top w:val="nil"/>
              <w:left w:val="nil"/>
              <w:bottom w:val="nil"/>
              <w:right w:val="nil"/>
            </w:tcBorders>
          </w:tcPr>
          <w:p>
            <w:pPr>
              <w:pStyle w:val="Normal6a"/>
            </w:pPr>
            <w:r>
              <w:t>(b)</w:t>
            </w:r>
            <w:r>
              <w:tab/>
            </w:r>
            <w:r>
              <w:t xml:space="preserve">testing to demonstrate that the ICT products, ICT services </w:t>
            </w:r>
            <w:r>
              <w:rPr>
                <w:b/>
                <w:i/>
              </w:rPr>
              <w:t>or</w:t>
            </w:r>
            <w:r>
              <w:t xml:space="preserve"> ICT processes correctly implement the necessary security controls at the state of the art;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610</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82 – paragraph 7 – subparagraph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an assessment of the resistance of the ICT products, ICT services</w:t>
            </w:r>
            <w:r>
              <w:rPr>
                <w:b/>
                <w:i/>
              </w:rPr>
              <w:t>,</w:t>
            </w:r>
            <w:r>
              <w:t xml:space="preserve"> ICT processes, managed security services or entities to skilled attackers, using, where relevant, penetration testing.</w:t>
            </w:r>
          </w:p>
        </w:tc>
        <w:tc>
          <w:tcPr>
            <w:tcW w:w="4876" w:type="dxa"/>
            <w:tcBorders>
              <w:top w:val="nil"/>
              <w:left w:val="nil"/>
              <w:bottom w:val="nil"/>
              <w:right w:val="nil"/>
            </w:tcBorders>
          </w:tcPr>
          <w:p>
            <w:pPr>
              <w:pStyle w:val="Normal6a"/>
            </w:pPr>
            <w:r>
              <w:t>(c)</w:t>
            </w:r>
            <w:r>
              <w:tab/>
            </w:r>
            <w:r>
              <w:t xml:space="preserve">an assessment of the resistance of the ICT products, ICT services </w:t>
            </w:r>
            <w:r>
              <w:rPr>
                <w:b/>
                <w:i/>
              </w:rPr>
              <w:t>or</w:t>
            </w:r>
            <w:r>
              <w:t xml:space="preserve"> ICT processes, managed security services or entities to skilled attackers, using, where relevant, penetration testing.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611</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82 – paragraph 7 – subparagraph 1 – point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an assessment of the vulnerability of the ICT products, ICT services or ICT processes to legal obligations resulting from third-country legislation with extraterritorial application.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612</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82 – paragraph 7 – subparagraph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Where any such evaluation activities are not appropriate, substitute activities with equivalent effect shall be undertaken. Any conformity assessment activities, including calibration, testing, certification and inspection, for assurance level ‘high’ shall be undertaken in the European Economic Area</w:t>
            </w:r>
            <w:r>
              <w:rPr>
                <w:b/>
                <w:i/>
              </w:rPr>
              <w:t>, unless otherwise provided for in a European cybersecurity certification scheme</w:t>
            </w:r>
            <w:r>
              <w:t>.</w:t>
            </w:r>
          </w:p>
        </w:tc>
        <w:tc>
          <w:tcPr>
            <w:tcW w:w="4876" w:type="dxa"/>
            <w:tcBorders>
              <w:top w:val="nil"/>
              <w:left w:val="nil"/>
              <w:bottom w:val="nil"/>
              <w:right w:val="nil"/>
            </w:tcBorders>
          </w:tcPr>
          <w:p>
            <w:pPr>
              <w:pStyle w:val="Normal6a"/>
            </w:pPr>
            <w:r>
              <w:t xml:space="preserve">Where any such evaluation activities are not appropriate, substitute </w:t>
            </w:r>
            <w:r>
              <w:rPr>
                <w:b/>
                <w:i/>
              </w:rPr>
              <w:t>evaluation</w:t>
            </w:r>
            <w:r>
              <w:t xml:space="preserve"> activities with equivalent effect shall be undertaken. Any conformity assessment activities, including calibration, testing, certification and inspection, for assurance level ‘high’ shall be undertaken in the European Economic Area.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613</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82 – 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Where a European cybersecurity certification scheme is designed to demonstrate compliance and grant presumption of conformity with a specific Union legal act, a European cybersecurity certificate shall provide assurance that the certified ICT products, ICT services, ICT processes, managed security services or cyber posture of entities meet the corresponding cybersecurity requirements of that legal act. Any conformity assessment activities, including calibration, testing, certification and inspection, for the purpose of presumption of conformity shall be undertaken in the European Economic Area</w:t>
            </w:r>
            <w:r>
              <w:rPr>
                <w:b/>
                <w:i/>
              </w:rPr>
              <w:t>, unless otherwise provided for in a European cybersecurity certification scheme</w:t>
            </w:r>
            <w:r>
              <w:t>.</w:t>
            </w:r>
          </w:p>
        </w:tc>
        <w:tc>
          <w:tcPr>
            <w:tcW w:w="4876" w:type="dxa"/>
            <w:tcBorders>
              <w:top w:val="nil"/>
              <w:left w:val="nil"/>
              <w:bottom w:val="nil"/>
              <w:right w:val="nil"/>
            </w:tcBorders>
          </w:tcPr>
          <w:p>
            <w:pPr>
              <w:pStyle w:val="Normal6a"/>
            </w:pPr>
            <w:r>
              <w:t>8.</w:t>
            </w:r>
            <w:r>
              <w:tab/>
            </w:r>
            <w:r>
              <w:t>Where a European cybersecurity certification scheme is designed to demonstrate compliance and grant presumption of conformity with a specific Union legal act, a European cybersecurity certificate shall provide assurance that the certified ICT products, ICT services, ICT processes, managed security services or cyber posture of entities meet the corresponding cybersecurity requirements of that legal act. Any conformity assessment activities, including calibration, testing, certification and inspection, for the purpose of presumption of conformity shall be undertaken in the European Economic Area.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614</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Article 83</w:t>
            </w:r>
            <w:r>
              <w:tab/>
            </w:r>
          </w:p>
        </w:tc>
        <w:tc>
          <w:tcPr>
            <w:tcW w:w="4876" w:type="dxa"/>
            <w:tcBorders>
              <w:top w:val="nil"/>
              <w:left w:val="nil"/>
              <w:bottom w:val="nil"/>
              <w:right w:val="nil"/>
            </w:tcBorders>
          </w:tcPr>
          <w:p>
            <w:pPr>
              <w:pStyle w:val="Normal6a"/>
            </w:pPr>
            <w:r>
              <w:rPr>
                <w:b/>
                <w:i/>
              </w:rPr>
              <w:t>deleted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Conformity self-assessment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A European cybersecurity certification scheme may allow for conformity self-assessment under the sole responsibility of the manufacturer or provider of ICT products, ICT services, ICT processes, managed security services or the entity the cyber posture of which is subject to certification.</w:t>
            </w:r>
            <w:r>
              <w:rPr>
                <w:b/>
                <w:i/>
              </w:rPr>
              <w:t xml:space="preserve"> </w:t>
            </w:r>
            <w:r>
              <w:rPr>
                <w:b/>
                <w:i/>
              </w:rPr>
              <w:t>Conformity self-assessment shall be permitted only in relation to ICT products, ICT services, ICT processes, managed security services or cyber posture of entities that present a low risk corresponding to assurance level “basic”.</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The manufacturer or provider of ICT products, ICT services, ICT processes, managed security services or the entity the cyber posture of which is subject to certification may issue an EU statement of conformity stating that the fulfilment of the requirements set out in the European cybersecurity certification scheme has been demonstrated.</w:t>
            </w:r>
            <w:r>
              <w:rPr>
                <w:b/>
                <w:i/>
              </w:rPr>
              <w:t xml:space="preserve"> </w:t>
            </w:r>
            <w:r>
              <w:rPr>
                <w:b/>
                <w:i/>
              </w:rPr>
              <w:t>By issuing such a statement, that manufacturer or provider or entity assumes responsibility for the compliance of the ICT product, ICT service, ICT process, managed security service or cyber posture with the requirements set out in that scheme.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The manufacturer or provider of ICT products, ICT services, ICT processes, managed security services or the entity the cyber posture of which is subject to certification shall make the EU statement of conformity, technical documentation, and all other relevant information relating to the conformity of the ICT products, ICT services, ICT processes, managed security services or cyber posture with the European cybersecurity certification scheme available to the national cybersecurity certification authority designated pursuant to Article 89 for the period provided for in that scheme.</w:t>
            </w:r>
            <w:r>
              <w:rPr>
                <w:b/>
                <w:i/>
              </w:rPr>
              <w:t xml:space="preserve"> </w:t>
            </w:r>
            <w:r>
              <w:rPr>
                <w:b/>
                <w:i/>
              </w:rPr>
              <w:t>A copy of the EU statement of conformity shall be submitted without undue delay to the national cybersecurity certification authority and to ENISA.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615</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83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 European cybersecurity certification scheme may allow for conformity self-assessment under the sole responsibility of the manufacturer or provider of ICT products, ICT services, ICT processes, managed security services or the entity the cyber posture of which is subject to certification. Conformity self-assessment shall be permitted only in relation to ICT products, ICT services</w:t>
            </w:r>
            <w:r>
              <w:rPr>
                <w:b/>
                <w:i/>
              </w:rPr>
              <w:t>,</w:t>
            </w:r>
            <w:r>
              <w:t xml:space="preserve"> ICT processes</w:t>
            </w:r>
            <w:r>
              <w:rPr>
                <w:b/>
                <w:i/>
              </w:rPr>
              <w:t>, managed security services or cyber posture of entities</w:t>
            </w:r>
            <w:r>
              <w:t xml:space="preserve"> that present a low risk corresponding to assurance level “basic”.</w:t>
            </w:r>
          </w:p>
        </w:tc>
        <w:tc>
          <w:tcPr>
            <w:tcW w:w="4876" w:type="dxa"/>
            <w:tcBorders>
              <w:top w:val="nil"/>
              <w:left w:val="nil"/>
              <w:bottom w:val="nil"/>
              <w:right w:val="nil"/>
            </w:tcBorders>
          </w:tcPr>
          <w:p>
            <w:pPr>
              <w:pStyle w:val="Normal6a"/>
            </w:pPr>
            <w:r>
              <w:t>1.</w:t>
            </w:r>
            <w:r>
              <w:tab/>
            </w:r>
            <w:r>
              <w:t xml:space="preserve">A European cybersecurity certification scheme may allow for conformity self-assessment under the sole responsibility of the manufacturer or provider of ICT products, ICT services, ICT processes, managed security services or the entity the cyber posture of which is subject to certification. Conformity self-assessment shall be permitted only in relation to ICT products, ICT services </w:t>
            </w:r>
            <w:r>
              <w:rPr>
                <w:b/>
                <w:i/>
              </w:rPr>
              <w:t>or</w:t>
            </w:r>
            <w:r>
              <w:t xml:space="preserve"> ICT processes that present a low risk corresponding to assurance level “basic” </w:t>
            </w:r>
            <w:r>
              <w:rPr>
                <w:b/>
                <w:i/>
              </w:rPr>
              <w:t>and that are not intended for critical uses or used by essential or important entities within the meaning of Directive (EU) 2022/2555</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616</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83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The manufacturer or provider of ICT products, ICT services</w:t>
            </w:r>
            <w:r>
              <w:rPr>
                <w:b/>
                <w:i/>
              </w:rPr>
              <w:t>,</w:t>
            </w:r>
            <w:r>
              <w:t xml:space="preserve"> ICT processes</w:t>
            </w:r>
            <w:r>
              <w:rPr>
                <w:b/>
                <w:i/>
              </w:rPr>
              <w:t>, managed security services or the entity the cyber posture of which is subject to certification</w:t>
            </w:r>
            <w:r>
              <w:t xml:space="preserve"> shall make the EU statement of conformity, technical documentation, and all other relevant information relating to the conformity of the ICT products, ICT services</w:t>
            </w:r>
            <w:r>
              <w:rPr>
                <w:b/>
                <w:i/>
              </w:rPr>
              <w:t>,</w:t>
            </w:r>
            <w:r>
              <w:t xml:space="preserve"> ICT processes</w:t>
            </w:r>
            <w:r>
              <w:rPr>
                <w:b/>
                <w:i/>
              </w:rPr>
              <w:t>, managed security services or cyber posture</w:t>
            </w:r>
            <w:r>
              <w:t xml:space="preserve"> with the European cybersecurity certification scheme available to the national cybersecurity certification authority designated pursuant to Article 89 for the period provided for in that scheme. A copy of the EU statement of conformity shall be submitted without undue delay to the national cybersecurity certification authority </w:t>
            </w:r>
            <w:r>
              <w:rPr>
                <w:b/>
                <w:i/>
              </w:rPr>
              <w:t>and to ENISA</w:t>
            </w:r>
            <w:r>
              <w:t>.</w:t>
            </w:r>
          </w:p>
        </w:tc>
        <w:tc>
          <w:tcPr>
            <w:tcW w:w="4876" w:type="dxa"/>
            <w:tcBorders>
              <w:top w:val="nil"/>
              <w:left w:val="nil"/>
              <w:bottom w:val="nil"/>
              <w:right w:val="nil"/>
            </w:tcBorders>
          </w:tcPr>
          <w:p>
            <w:pPr>
              <w:pStyle w:val="Normal6a"/>
            </w:pPr>
            <w:r>
              <w:t>3.</w:t>
            </w:r>
            <w:r>
              <w:tab/>
            </w:r>
            <w:r>
              <w:t xml:space="preserve">The manufacturer or provider of ICT products, ICT services </w:t>
            </w:r>
            <w:r>
              <w:rPr>
                <w:b/>
                <w:i/>
              </w:rPr>
              <w:t>or</w:t>
            </w:r>
            <w:r>
              <w:t xml:space="preserve"> ICT processes shall make the EU statement of conformity, technical documentation, and all other relevant information relating to the conformity of the ICT products, ICT services </w:t>
            </w:r>
            <w:r>
              <w:rPr>
                <w:b/>
                <w:i/>
              </w:rPr>
              <w:t>or</w:t>
            </w:r>
            <w:r>
              <w:t xml:space="preserve"> ICT processes with the European cybersecurity certification scheme available to the national cybersecurity certification authority designated pursuant to Article 89 for the period provided for in that scheme. A copy of the EU statement of conformity shall be submitted without undue delay to the national cybersecurity certification authority.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617</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83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The manufacturer or provider of ICT products, ICT services, ICT processes, managed security services or the entity the cyber posture of which is subject to certification shall make the EU statement of conformity, technical documentation, and all other relevant information relating to the conformity of the ICT products, ICT services, ICT processes, managed security services or cyber posture with the European cybersecurity certification scheme available to the national cybersecurity certification authority designated pursuant to Article </w:t>
            </w:r>
            <w:r>
              <w:rPr>
                <w:b/>
                <w:i/>
              </w:rPr>
              <w:t>89</w:t>
            </w:r>
            <w:r>
              <w:t xml:space="preserve"> for the period provided for in that scheme. A copy of the EU statement of conformity shall be submitted without undue delay to the national cybersecurity certification authority and to ENISA.</w:t>
            </w:r>
          </w:p>
        </w:tc>
        <w:tc>
          <w:tcPr>
            <w:tcW w:w="4876" w:type="dxa"/>
            <w:tcBorders>
              <w:top w:val="nil"/>
              <w:left w:val="nil"/>
              <w:bottom w:val="nil"/>
              <w:right w:val="nil"/>
            </w:tcBorders>
          </w:tcPr>
          <w:p>
            <w:pPr>
              <w:pStyle w:val="Normal6a"/>
            </w:pPr>
            <w:r>
              <w:t>3.</w:t>
            </w:r>
            <w:r>
              <w:tab/>
            </w:r>
            <w:r>
              <w:t xml:space="preserve">The manufacturer or provider of ICT products, ICT services, ICT processes, managed security services or the entity the cyber posture of which is subject to certification shall make the EU statement of conformity, technical documentation, and all other relevant information relating to the conformity of the ICT products, ICT services, ICT processes, managed security services or cyber posture with the European cybersecurity certification scheme available to the national cybersecurity certification authority designated pursuant to Article </w:t>
            </w:r>
            <w:r>
              <w:rPr>
                <w:b/>
                <w:i/>
              </w:rPr>
              <w:t>88</w:t>
            </w:r>
            <w:r>
              <w:t xml:space="preserve"> for the period provided for in that scheme. A copy of the EU statement of conformity shall be submitted without undue delay to the national cybersecurity certification authority and to ENISA.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618</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84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The obligations set out in </w:t>
            </w:r>
            <w:r>
              <w:rPr>
                <w:b/>
                <w:i/>
              </w:rPr>
              <w:t>paragraphs 1 and</w:t>
            </w:r>
            <w:r>
              <w:t xml:space="preserve"> 2 shall not apply where the security of the relevant ICT product, ICT service or ICT process might be compromised if the information is made publicly available.</w:t>
            </w:r>
          </w:p>
        </w:tc>
        <w:tc>
          <w:tcPr>
            <w:tcW w:w="4876" w:type="dxa"/>
            <w:tcBorders>
              <w:top w:val="nil"/>
              <w:left w:val="nil"/>
              <w:bottom w:val="nil"/>
              <w:right w:val="nil"/>
            </w:tcBorders>
          </w:tcPr>
          <w:p>
            <w:pPr>
              <w:pStyle w:val="Normal6a"/>
            </w:pPr>
            <w:r>
              <w:t>4.</w:t>
            </w:r>
            <w:r>
              <w:tab/>
            </w:r>
            <w:r>
              <w:t xml:space="preserve">The obligations set out in </w:t>
            </w:r>
            <w:r>
              <w:rPr>
                <w:b/>
                <w:i/>
              </w:rPr>
              <w:t>paragraph</w:t>
            </w:r>
            <w:r>
              <w:t xml:space="preserve"> 2 shall not apply where the security of the relevant ICT product, ICT service or ICT process might be compromised if the information is made publicly available. </w:t>
            </w:r>
            <w:r>
              <w:rPr>
                <w:b/>
                <w:i/>
              </w:rPr>
              <w:t>In such cases, the manufacturer or provider shall make this information available to the competent national cybersecurity certification authority, under conditions which guarantee its confidentiality.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619</w:t>
      </w:r>
      <w:r>
        <w:rPr>
          <w:rStyle w:val="HideTWBExt"/>
        </w:rPr>
        <w:t>&lt;/NumAm&gt;</w:t>
      </w:r>
    </w:p>
    <w:p>
      <w:pPr>
        <w:pStyle w:val="NormalBold"/>
      </w:pPr>
      <w:r>
        <w:rPr>
          <w:rStyle w:val="HideTWBExt"/>
          <w:b w:val="0"/>
        </w:rPr>
        <w:t>&lt;RepeatBlock-By&gt;</w:t>
      </w:r>
      <w:r>
        <w:rPr>
          <w:rStyle w:val="HideTWBExt"/>
          <w:b w:val="0"/>
        </w:rPr>
        <w:t>&lt;Members&gt;</w:t>
      </w:r>
      <w:r>
        <w:t>Krzysztof Hetman, Mirosława Nykiel, Adam Jarubas, Kamila Gasiuk-Pihowicz,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84 – 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The obligations laid down in paragraph 2 shall not apply where the remediation of vulnerabilities would be disproportionately difficult due to the nature or intended purpose of the ICT product.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620</w:t>
      </w:r>
      <w:r>
        <w:rPr>
          <w:rStyle w:val="HideTWBExt"/>
        </w:rPr>
        <w:t>&lt;/NumAm&gt;</w:t>
      </w:r>
    </w:p>
    <w:p>
      <w:pPr>
        <w:pStyle w:val="NormalBold"/>
      </w:pPr>
      <w:r>
        <w:rPr>
          <w:rStyle w:val="HideTWBExt"/>
          <w:b w:val="0"/>
        </w:rPr>
        <w:t>&lt;RepeatBlock-By&gt;</w:t>
      </w:r>
      <w:r>
        <w:rPr>
          <w:rStyle w:val="HideTWBExt"/>
          <w:b w:val="0"/>
        </w:rPr>
        <w:t>&lt;Members&gt;</w:t>
      </w:r>
      <w:r>
        <w:t>Krzysztof Hetman, Mirosława Nykiel, Adam Jarubas, Kamila Gasiuk-Pihowicz,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84 – paragraph 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Where responsibility for managing cybersecurity risks associated with an ICT product rests with an entity other than the user or manufacturer, the information referred to in paragraphs 1 and 2 may be provided to that entity.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621</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85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ICT products, ICT services</w:t>
            </w:r>
            <w:r>
              <w:rPr>
                <w:b/>
                <w:i/>
              </w:rPr>
              <w:t>,</w:t>
            </w:r>
            <w:r>
              <w:t xml:space="preserve"> ICT processes</w:t>
            </w:r>
            <w:r>
              <w:rPr>
                <w:b/>
                <w:i/>
              </w:rPr>
              <w:t>, managed security services or cyber posture of entities</w:t>
            </w:r>
            <w:r>
              <w:t xml:space="preserve"> that have been certified under a European cybersecurity certification scheme shall be presumed to comply with the requirements of such scheme.</w:t>
            </w:r>
          </w:p>
        </w:tc>
        <w:tc>
          <w:tcPr>
            <w:tcW w:w="4876" w:type="dxa"/>
            <w:tcBorders>
              <w:top w:val="nil"/>
              <w:left w:val="nil"/>
              <w:bottom w:val="nil"/>
              <w:right w:val="nil"/>
            </w:tcBorders>
          </w:tcPr>
          <w:p>
            <w:pPr>
              <w:pStyle w:val="Normal6a"/>
            </w:pPr>
            <w:r>
              <w:t>1.</w:t>
            </w:r>
            <w:r>
              <w:tab/>
            </w:r>
            <w:r>
              <w:t xml:space="preserve">ICT products, ICT services </w:t>
            </w:r>
            <w:r>
              <w:rPr>
                <w:b/>
                <w:i/>
              </w:rPr>
              <w:t>or</w:t>
            </w:r>
            <w:r>
              <w:t xml:space="preserve"> ICT processes that have been certified under a European cybersecurity certification scheme shall be presumed to comply with the requirements of such scheme.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622</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85 – paragraph 3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By way of derogation from paragraph 2, a European cybersecurity certification scheme </w:t>
            </w:r>
            <w:r>
              <w:rPr>
                <w:b/>
                <w:i/>
              </w:rPr>
              <w:t>may provide that</w:t>
            </w:r>
            <w:r>
              <w:t xml:space="preserve"> European cybersecurity certificates </w:t>
            </w:r>
            <w:r>
              <w:rPr>
                <w:b/>
                <w:i/>
              </w:rPr>
              <w:t>resulting from</w:t>
            </w:r>
            <w:r>
              <w:t xml:space="preserve"> that scheme </w:t>
            </w:r>
            <w:r>
              <w:rPr>
                <w:b/>
                <w:i/>
              </w:rPr>
              <w:t>are to</w:t>
            </w:r>
            <w:r>
              <w:t xml:space="preserve"> be issued only by </w:t>
            </w:r>
            <w:r>
              <w:rPr>
                <w:b/>
                <w:i/>
              </w:rPr>
              <w:t>one of the following public bodies</w:t>
            </w:r>
            <w:r>
              <w:t>:</w:t>
            </w:r>
          </w:p>
        </w:tc>
        <w:tc>
          <w:tcPr>
            <w:tcW w:w="4876" w:type="dxa"/>
            <w:tcBorders>
              <w:top w:val="nil"/>
              <w:left w:val="nil"/>
              <w:bottom w:val="nil"/>
              <w:right w:val="nil"/>
            </w:tcBorders>
          </w:tcPr>
          <w:p>
            <w:pPr>
              <w:pStyle w:val="Normal6a"/>
            </w:pPr>
            <w:r>
              <w:t>3.</w:t>
            </w:r>
            <w:r>
              <w:tab/>
            </w:r>
            <w:r>
              <w:t xml:space="preserve">By way of derogation from paragraph 2, </w:t>
            </w:r>
            <w:r>
              <w:rPr>
                <w:b/>
                <w:i/>
              </w:rPr>
              <w:t>where</w:t>
            </w:r>
            <w:r>
              <w:t xml:space="preserve"> a European cybersecurity certification scheme </w:t>
            </w:r>
            <w:r>
              <w:rPr>
                <w:b/>
                <w:i/>
              </w:rPr>
              <w:t>establishes assurance level ‘high’ or where such scheme so provides,</w:t>
            </w:r>
            <w:r>
              <w:t xml:space="preserve"> European cybersecurity certificates </w:t>
            </w:r>
            <w:r>
              <w:rPr>
                <w:b/>
                <w:i/>
              </w:rPr>
              <w:t>under</w:t>
            </w:r>
            <w:r>
              <w:t xml:space="preserve"> that scheme </w:t>
            </w:r>
            <w:r>
              <w:rPr>
                <w:b/>
                <w:i/>
              </w:rPr>
              <w:t>shall</w:t>
            </w:r>
            <w:r>
              <w:t xml:space="preserve"> be issued only 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623</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85 – paragraph 3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 national cybersecurity certification authority referred to in Article 88 that is accredited as a conformity assessment body pursuant to Article 91(1);</w:t>
            </w:r>
          </w:p>
        </w:tc>
        <w:tc>
          <w:tcPr>
            <w:tcW w:w="4876" w:type="dxa"/>
            <w:tcBorders>
              <w:top w:val="nil"/>
              <w:left w:val="nil"/>
              <w:bottom w:val="nil"/>
              <w:right w:val="nil"/>
            </w:tcBorders>
          </w:tcPr>
          <w:p>
            <w:pPr>
              <w:pStyle w:val="Normal6a"/>
            </w:pPr>
            <w:r>
              <w:t>(a)</w:t>
            </w:r>
            <w:r>
              <w:tab/>
            </w:r>
            <w:r>
              <w:t xml:space="preserve">a national cybersecurity certification authority referred to in Article 88 that is accredited as a conformity assessment body pursuant to Article 91(1); </w:t>
            </w:r>
            <w:r>
              <w:rPr>
                <w:b/>
                <w:i/>
              </w:rPr>
              <w: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624</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85 – paragraph 3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 public </w:t>
            </w:r>
            <w:r>
              <w:rPr>
                <w:b/>
                <w:i/>
              </w:rPr>
              <w:t>body that is accredited as a</w:t>
            </w:r>
            <w:r>
              <w:t xml:space="preserve"> conformity assessment body pursuant to Article 91(1).</w:t>
            </w:r>
          </w:p>
        </w:tc>
        <w:tc>
          <w:tcPr>
            <w:tcW w:w="4876" w:type="dxa"/>
            <w:tcBorders>
              <w:top w:val="nil"/>
              <w:left w:val="nil"/>
              <w:bottom w:val="nil"/>
              <w:right w:val="nil"/>
            </w:tcBorders>
          </w:tcPr>
          <w:p>
            <w:pPr>
              <w:pStyle w:val="Normal6a"/>
            </w:pPr>
            <w:r>
              <w:t>(b)</w:t>
            </w:r>
            <w:r>
              <w:tab/>
            </w:r>
            <w:r>
              <w:t xml:space="preserve">a public </w:t>
            </w:r>
            <w:r>
              <w:rPr>
                <w:b/>
                <w:i/>
              </w:rPr>
              <w:t>or private</w:t>
            </w:r>
            <w:r>
              <w:t xml:space="preserve"> conformity assessment body </w:t>
            </w:r>
            <w:r>
              <w:rPr>
                <w:b/>
                <w:i/>
              </w:rPr>
              <w:t>accredited</w:t>
            </w:r>
            <w:r>
              <w:t xml:space="preserve"> pursuant to Article 91(1)</w:t>
            </w:r>
            <w:r>
              <w:rPr>
                <w:b/>
                <w:i/>
              </w:rPr>
              <w:t>, on the basis of a prior approval model or a general delegation model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625</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85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Where a European cybersecurity certification scheme adopted pursuant to Article 74 establishes assurance level ‘high’ or where such scheme specifies otherwise, the European cybersecurity certificate under that scheme is to be issued only by a national cybersecurity certification authority as referred to in Article 88 that is accredited as a conformity assessment body pursuant to Article 91(1) or, in the following cases:</w:t>
            </w:r>
          </w:p>
        </w:tc>
        <w:tc>
          <w:tcPr>
            <w:tcW w:w="4876" w:type="dxa"/>
            <w:tcBorders>
              <w:top w:val="nil"/>
              <w:left w:val="nil"/>
              <w:bottom w:val="nil"/>
              <w:right w:val="nil"/>
            </w:tcBorders>
          </w:tcPr>
          <w:p>
            <w:pPr>
              <w:pStyle w:val="Normal6a"/>
            </w:pPr>
            <w:r>
              <w:rPr>
                <w:b/>
                <w:i/>
              </w:rPr>
              <w:t>deleted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by a conformity assessment body on the basis of a prior approval model; or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by a conformity assessment body on the basis of a general delegation model.</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626</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85 – paragraph 4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Where a European cybersecurity certification scheme adopted pursuant to Article 74 establishes assurance level ‘high’ or where such scheme specifies otherwise, the European cybersecurity certificate under that scheme is to be issued only by a national cybersecurity certification authority as referred to in Article 88 that is accredited as a conformity assessment body pursuant to Article 91(1) </w:t>
            </w:r>
            <w:r>
              <w:rPr>
                <w:b/>
                <w:i/>
              </w:rPr>
              <w:t>or, in the following cases:</w:t>
            </w:r>
          </w:p>
        </w:tc>
        <w:tc>
          <w:tcPr>
            <w:tcW w:w="4876" w:type="dxa"/>
            <w:tcBorders>
              <w:top w:val="nil"/>
              <w:left w:val="nil"/>
              <w:bottom w:val="nil"/>
              <w:right w:val="nil"/>
            </w:tcBorders>
          </w:tcPr>
          <w:p>
            <w:pPr>
              <w:pStyle w:val="Normal6a"/>
            </w:pPr>
            <w:r>
              <w:t>4.</w:t>
            </w:r>
            <w:r>
              <w:tab/>
            </w:r>
            <w:r>
              <w:t>Where a European cybersecurity certification scheme adopted pursuant to Article 74 establishes assurance level ‘high’ or where such scheme specifies otherwise, the European cybersecurity certificate under that scheme is to be issued only by a national cybersecurity certification authority as referred to in Article 88 that is accredited as a conformity assessment body pursuant to Article 91(1)</w:t>
            </w:r>
            <w:r>
              <w:rPr>
                <w:b/>
                <w:i/>
              </w:rPr>
              <w:t>. The issuing of certificates with a level of 'high' may not be delegated to private conformity assessment bodies.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627</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85 – paragraph 4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by a conformity assessment body on the basis of a prior approval model;</w:t>
            </w:r>
            <w:r>
              <w:t xml:space="preserve"> </w:t>
            </w:r>
            <w:r>
              <w:rPr>
                <w:b/>
                <w:i/>
              </w:rPr>
              <w:t>or</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628</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85 – paragraph 4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by a conformity assessment body on the basis of a general delegation model.</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629</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85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The Commission is empowered to adopt implementing acts specifying procedures for prior approval </w:t>
            </w:r>
            <w:r>
              <w:rPr>
                <w:b/>
                <w:i/>
              </w:rPr>
              <w:t>or general delegation models referred to in paragraph 4 of this Article</w:t>
            </w:r>
            <w:r>
              <w:t>. In the preparation process for those implementing acts, the Commission shall consult the ECCG. Those implementing acts shall be adopted in accordance with the examination procedure referred to in Article 118(2).</w:t>
            </w:r>
          </w:p>
        </w:tc>
        <w:tc>
          <w:tcPr>
            <w:tcW w:w="4876" w:type="dxa"/>
            <w:tcBorders>
              <w:top w:val="nil"/>
              <w:left w:val="nil"/>
              <w:bottom w:val="nil"/>
              <w:right w:val="nil"/>
            </w:tcBorders>
          </w:tcPr>
          <w:p>
            <w:pPr>
              <w:pStyle w:val="Normal6a"/>
            </w:pPr>
            <w:r>
              <w:t>5.</w:t>
            </w:r>
            <w:r>
              <w:tab/>
            </w:r>
            <w:r>
              <w:t>The Commission is empowered to adopt implementing acts specifying procedures for prior approval. In the preparation process for those implementing acts, the Commission shall consult the ECCG. Those implementing acts shall be adopted in accordance with the examination procedure referred to in Article 118(2).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630</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85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The Commission is empowered to adopt implementing acts specifying procedures for prior approval or general delegation models referred to in paragraph </w:t>
            </w:r>
            <w:r>
              <w:rPr>
                <w:b/>
                <w:i/>
              </w:rPr>
              <w:t>4</w:t>
            </w:r>
            <w:r>
              <w:t xml:space="preserve"> of this Article. In the preparation process for those implementing acts, the Commission shall consult the ECCG. Those implementing acts shall be adopted in accordance with the examination procedure referred to in Article 118(2).</w:t>
            </w:r>
          </w:p>
        </w:tc>
        <w:tc>
          <w:tcPr>
            <w:tcW w:w="4876" w:type="dxa"/>
            <w:tcBorders>
              <w:top w:val="nil"/>
              <w:left w:val="nil"/>
              <w:bottom w:val="nil"/>
              <w:right w:val="nil"/>
            </w:tcBorders>
          </w:tcPr>
          <w:p>
            <w:pPr>
              <w:pStyle w:val="Normal6a"/>
            </w:pPr>
            <w:r>
              <w:t>5.</w:t>
            </w:r>
            <w:r>
              <w:tab/>
            </w:r>
            <w:r>
              <w:t xml:space="preserve">The Commission is empowered to adopt implementing acts specifying procedures for prior approval or general delegation models referred to in paragraph </w:t>
            </w:r>
            <w:r>
              <w:rPr>
                <w:b/>
                <w:i/>
              </w:rPr>
              <w:t>3, point (b)</w:t>
            </w:r>
            <w:r>
              <w:t xml:space="preserve"> of this Article. In the preparation process for those implementing acts, the Commission shall consult the ECCG. Those implementing acts shall be adopted in accordance with the examination procedure referred to in Article 118(2).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631</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85 – 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Where a conformity assessment body issues a European cybersecurity certificate under the prior approval model or the general delegation model, the national cybersecurity certification authority shall not repeat the certification activities already carried out by that conformity assessment body. This paragraph is without prejudice to the supervisory tasks and powers of the national cybersecurity certification authority pursuant to Article 88(6) and (7).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632</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85 – 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The natural or legal person who submits ICT products, ICT services</w:t>
            </w:r>
            <w:r>
              <w:rPr>
                <w:b/>
                <w:i/>
              </w:rPr>
              <w:t>,</w:t>
            </w:r>
            <w:r>
              <w:t xml:space="preserve"> ICT processes </w:t>
            </w:r>
            <w:r>
              <w:rPr>
                <w:b/>
                <w:i/>
              </w:rPr>
              <w:t>or managed security services</w:t>
            </w:r>
            <w:r>
              <w:t xml:space="preserve"> for certification</w:t>
            </w:r>
            <w:r>
              <w:rPr>
                <w:b/>
                <w:i/>
              </w:rPr>
              <w:t>, or the entity which applies for certification of its cyber posture,</w:t>
            </w:r>
            <w:r>
              <w:t xml:space="preserve"> shall make available all information necessary to conduct the certification to the national cybersecurity certification authority designated pursuant to Article 89, where that authority is the body issuing the European cybersecurity certificate, or to the conformity assessment body referred to in Article 91.</w:t>
            </w:r>
          </w:p>
        </w:tc>
        <w:tc>
          <w:tcPr>
            <w:tcW w:w="4876" w:type="dxa"/>
            <w:tcBorders>
              <w:top w:val="nil"/>
              <w:left w:val="nil"/>
              <w:bottom w:val="nil"/>
              <w:right w:val="nil"/>
            </w:tcBorders>
          </w:tcPr>
          <w:p>
            <w:pPr>
              <w:pStyle w:val="Normal6a"/>
            </w:pPr>
            <w:r>
              <w:t>6.</w:t>
            </w:r>
            <w:r>
              <w:tab/>
            </w:r>
            <w:r>
              <w:t xml:space="preserve">The natural or legal person who submits ICT products, ICT services </w:t>
            </w:r>
            <w:r>
              <w:rPr>
                <w:b/>
                <w:i/>
              </w:rPr>
              <w:t>or</w:t>
            </w:r>
            <w:r>
              <w:t xml:space="preserve"> ICT processes for certification shall make available all information necessary to conduct the certification to the national cybersecurity certification authority designated pursuant to Article 89, where that authority is the body issuing the European cybersecurity certificate, or to the conformity assessment body referred to in Article 91.</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633</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85 – 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The natural or legal person who submits ICT products, ICT services, ICT processes or managed security services for certification, or the entity which applies for certification of its cyber posture, shall make available all information necessary to conduct the certification to the national cybersecurity certification authority designated pursuant to Article </w:t>
            </w:r>
            <w:r>
              <w:rPr>
                <w:b/>
                <w:i/>
              </w:rPr>
              <w:t>89</w:t>
            </w:r>
            <w:r>
              <w:t>, where that authority is the body issuing the European cybersecurity certificate, or to the conformity assessment body referred to in Article 91.</w:t>
            </w:r>
          </w:p>
        </w:tc>
        <w:tc>
          <w:tcPr>
            <w:tcW w:w="4876" w:type="dxa"/>
            <w:tcBorders>
              <w:top w:val="nil"/>
              <w:left w:val="nil"/>
              <w:bottom w:val="nil"/>
              <w:right w:val="nil"/>
            </w:tcBorders>
          </w:tcPr>
          <w:p>
            <w:pPr>
              <w:pStyle w:val="Normal6a"/>
            </w:pPr>
            <w:r>
              <w:t>6.</w:t>
            </w:r>
            <w:r>
              <w:tab/>
            </w:r>
            <w:r>
              <w:t xml:space="preserve">The natural or legal person who submits ICT products, ICT services, ICT processes or managed security services for certification, or the entity which applies for certification of its cyber posture, shall make available all information necessary to conduct the certification to the national cybersecurity certification authority designated pursuant to Article </w:t>
            </w:r>
            <w:r>
              <w:rPr>
                <w:b/>
                <w:i/>
              </w:rPr>
              <w:t>88</w:t>
            </w:r>
            <w:r>
              <w:t>, where that authority is the body issuing the European cybersecurity certificate, or to the conformity assessment body referred to in Article 91.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634</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85 – 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For their certified ICT products, ICT services, ICT processes or managed security services identified, for their entirety or parts thereof, as key assets pursuant to Article 102, the holders of a European cybersecurity certificate shall not use, install or otherwise integrate ICT components or components that include ICT components from high-risk suppliers in certified ICT products, ICT services, ICT processes or managed security services.</w:t>
            </w:r>
          </w:p>
        </w:tc>
        <w:tc>
          <w:tcPr>
            <w:tcW w:w="4876" w:type="dxa"/>
            <w:tcBorders>
              <w:top w:val="nil"/>
              <w:left w:val="nil"/>
              <w:bottom w:val="nil"/>
              <w:right w:val="nil"/>
            </w:tcBorders>
          </w:tcPr>
          <w:p>
            <w:pPr>
              <w:pStyle w:val="Normal6a"/>
            </w:pPr>
            <w:r>
              <w:t>9.</w:t>
            </w:r>
            <w:r>
              <w:tab/>
            </w:r>
            <w:r>
              <w:t xml:space="preserve">For their certified ICT products, ICT services, ICT processes or managed security services identified, for their entirety or parts thereof, as key </w:t>
            </w:r>
            <w:r>
              <w:rPr>
                <w:b/>
                <w:i/>
              </w:rPr>
              <w:t>ICT</w:t>
            </w:r>
            <w:r>
              <w:t xml:space="preserve"> assets pursuant to Article 102 </w:t>
            </w:r>
            <w:r>
              <w:rPr>
                <w:b/>
                <w:i/>
              </w:rPr>
              <w:t>or listed as key ICT assets in an Annex to this Regulation</w:t>
            </w:r>
            <w:r>
              <w:t>, the holders of a European cybersecurity certificate shall not use, install or otherwise integrate ICT components or components that include ICT components from high-risk suppliers in certified ICT products, ICT services, ICT processes or managed security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635</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85 – 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For their certified ICT products, ICT services, ICT processes or managed security services identified, for their entirety or parts thereof, as key assets pursuant to Article 102, the holders of a European cybersecurity certificate shall not use, install or otherwise integrate ICT components or components that include ICT components from high-risk suppliers in certified ICT products, ICT services, ICT processes or managed security services.</w:t>
            </w:r>
          </w:p>
        </w:tc>
        <w:tc>
          <w:tcPr>
            <w:tcW w:w="4876" w:type="dxa"/>
            <w:tcBorders>
              <w:top w:val="nil"/>
              <w:left w:val="nil"/>
              <w:bottom w:val="nil"/>
              <w:right w:val="nil"/>
            </w:tcBorders>
          </w:tcPr>
          <w:p>
            <w:pPr>
              <w:pStyle w:val="Normal6a"/>
            </w:pPr>
            <w:r>
              <w:t>9.</w:t>
            </w:r>
            <w:r>
              <w:tab/>
            </w:r>
            <w:r>
              <w:t xml:space="preserve">For their certified ICT products, ICT services, ICT processes or managed security services identified, for their entirety or parts thereof, as key assets pursuant to Article 102, the holders of a European cybersecurity certificate shall not use, install or otherwise integrate ICT components or components that include ICT components from </w:t>
            </w:r>
            <w:r>
              <w:rPr>
                <w:b/>
                <w:i/>
              </w:rPr>
              <w:t>direct source</w:t>
            </w:r>
            <w:r>
              <w:t xml:space="preserve"> high-risk suppliers in certified ICT products, ICT services, ICT processes or managed security services.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This amendment is necessary to achieve, and consistent with, the justification set out in respect of Amendment 001. Requiring certificate holders to trace, verify and police the origin of every ICT component throughout all upstream stages of the ICT supply chain would impose a disproportionate and, in many cases, unworkable burden, without a commensurate gain in cybersecurity.</w:t>
      </w:r>
    </w:p>
    <w:p>
      <w:r>
        <w:rPr>
          <w:rStyle w:val="HideTWBExt"/>
        </w:rPr>
        <w:t>&lt;/Amend&gt;</w:t>
      </w:r>
    </w:p>
    <w:p>
      <w:pPr>
        <w:pStyle w:val="AmNumberTabs"/>
      </w:pPr>
      <w:r>
        <w:rPr>
          <w:rStyle w:val="HideTWBExt"/>
        </w:rPr>
        <w:t>&lt;Amend&gt;</w:t>
      </w:r>
      <w:r>
        <w:t>Amendment</w:t>
      </w:r>
      <w:r>
        <w:tab/>
      </w:r>
      <w:r>
        <w:tab/>
      </w:r>
      <w:r>
        <w:rPr>
          <w:rStyle w:val="HideTWBExt"/>
        </w:rPr>
        <w:t>&lt;NumAm&gt;</w:t>
      </w:r>
      <w:r>
        <w:t>636</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85 – 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The Commission shall cooperate with Member States to ensure the application of provisions related to the issuance of European cybersecurity certificates also in a view application of Article 100(4), point (b). The conformity assessment body and, where relevant, the national cybersecurity certification authority </w:t>
            </w:r>
            <w:r>
              <w:rPr>
                <w:b/>
                <w:i/>
              </w:rPr>
              <w:t>shall</w:t>
            </w:r>
            <w:r>
              <w:t xml:space="preserve"> provide the Commission</w:t>
            </w:r>
            <w:r>
              <w:rPr>
                <w:b/>
                <w:i/>
              </w:rPr>
              <w:t>, on request and without undue delay, with all</w:t>
            </w:r>
            <w:r>
              <w:t xml:space="preserve"> information relating to the issuance of the relevant European cybersecurity certificates or EU statements of conformity.</w:t>
            </w:r>
          </w:p>
        </w:tc>
        <w:tc>
          <w:tcPr>
            <w:tcW w:w="4876" w:type="dxa"/>
            <w:tcBorders>
              <w:top w:val="nil"/>
              <w:left w:val="nil"/>
              <w:bottom w:val="nil"/>
              <w:right w:val="nil"/>
            </w:tcBorders>
          </w:tcPr>
          <w:p>
            <w:pPr>
              <w:pStyle w:val="Normal6a"/>
            </w:pPr>
            <w:r>
              <w:t>11.</w:t>
            </w:r>
            <w:r>
              <w:tab/>
            </w:r>
            <w:r>
              <w:t xml:space="preserve">The Commission shall cooperate with Member States to ensure the application of provisions related to the issuance of European cybersecurity certificates also in a view application of Article 100(4), point (b). The conformity assessment body and, where relevant, the national cybersecurity certification authority </w:t>
            </w:r>
            <w:r>
              <w:rPr>
                <w:b/>
                <w:i/>
              </w:rPr>
              <w:t>may</w:t>
            </w:r>
            <w:r>
              <w:t xml:space="preserve"> provide the Commission </w:t>
            </w:r>
            <w:r>
              <w:rPr>
                <w:b/>
                <w:i/>
              </w:rPr>
              <w:t>with</w:t>
            </w:r>
            <w:r>
              <w:t xml:space="preserve"> information relating to the issuance of the relevant European cybersecurity certificates or EU statements of conformity.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637</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86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National cybersecurity certification schemes, and the related procedures for the ICT products, ICT services, ICT processes, managed security services and cyber posture of entities that are covered by the subject matter and scope of a European cybersecurity certification scheme shall cease to produce effects from the date established in the implementing act adopted pursuant to Article 74(9).</w:t>
            </w:r>
            <w:r>
              <w:t xml:space="preserve"> </w:t>
            </w:r>
            <w:r>
              <w:rPr>
                <w:b/>
                <w:i/>
              </w:rPr>
              <w:t>National cybersecurity certification schemes and the related procedures for the ICT products, ICT services, ICT processes, managed security services and cyber posture of entities that are not covered by the subject matter and scope of a European cybersecurity certification scheme may continue to exist.</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638</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86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National cybersecurity certification schemes, and the related procedures for the ICT products, ICT services</w:t>
            </w:r>
            <w:r>
              <w:rPr>
                <w:b/>
                <w:i/>
              </w:rPr>
              <w:t>,</w:t>
            </w:r>
            <w:r>
              <w:t xml:space="preserve"> ICT processes</w:t>
            </w:r>
            <w:r>
              <w:rPr>
                <w:b/>
                <w:i/>
              </w:rPr>
              <w:t>, managed</w:t>
            </w:r>
            <w:r>
              <w:t xml:space="preserve"> security </w:t>
            </w:r>
            <w:r>
              <w:rPr>
                <w:b/>
                <w:i/>
              </w:rPr>
              <w:t>services and cyber posture of</w:t>
            </w:r>
            <w:r>
              <w:t xml:space="preserve"> entities that are covered by the subject matter and scope of a European cybersecurity certification scheme shall cease to produce effects from the date established in the implementing act adopted pursuant to Article 74(9). National cybersecurity certification schemes and the related procedures for the ICT products, ICT services</w:t>
            </w:r>
            <w:r>
              <w:rPr>
                <w:b/>
                <w:i/>
              </w:rPr>
              <w:t>,</w:t>
            </w:r>
            <w:r>
              <w:t xml:space="preserve"> ICT processes</w:t>
            </w:r>
            <w:r>
              <w:rPr>
                <w:b/>
                <w:i/>
              </w:rPr>
              <w:t>, managed security services and cyber posture of entities</w:t>
            </w:r>
            <w:r>
              <w:t xml:space="preserve"> that are not covered by the subject matter and scope of a European cybersecurity certification scheme may continue to exist.</w:t>
            </w:r>
          </w:p>
        </w:tc>
        <w:tc>
          <w:tcPr>
            <w:tcW w:w="4876" w:type="dxa"/>
            <w:tcBorders>
              <w:top w:val="nil"/>
              <w:left w:val="nil"/>
              <w:bottom w:val="nil"/>
              <w:right w:val="nil"/>
            </w:tcBorders>
          </w:tcPr>
          <w:p>
            <w:pPr>
              <w:pStyle w:val="Normal6a"/>
            </w:pPr>
            <w:r>
              <w:t>1.</w:t>
            </w:r>
            <w:r>
              <w:tab/>
            </w:r>
            <w:r>
              <w:t xml:space="preserve">National cybersecurity certification schemes, and the related procedures for the ICT products, ICT services </w:t>
            </w:r>
            <w:r>
              <w:rPr>
                <w:b/>
                <w:i/>
              </w:rPr>
              <w:t>or</w:t>
            </w:r>
            <w:r>
              <w:t xml:space="preserve"> ICT processes </w:t>
            </w:r>
            <w:r>
              <w:rPr>
                <w:b/>
                <w:i/>
              </w:rPr>
              <w:t>that are covered by the subject matter and scope of a European cybersecurity certification scheme may continue to produce effects if they provide for stricter requirements necessary for the protection of national</w:t>
            </w:r>
            <w:r>
              <w:t xml:space="preserve"> security</w:t>
            </w:r>
            <w:r>
              <w:rPr>
                <w:b/>
                <w:i/>
              </w:rPr>
              <w:t>, critical infrastructures or essential or important</w:t>
            </w:r>
            <w:r>
              <w:t xml:space="preserve"> entities </w:t>
            </w:r>
            <w:r>
              <w:rPr>
                <w:b/>
                <w:i/>
              </w:rPr>
              <w:t>within the meaning of Directive (EU) 2022/2555, in particular requirements aimed at guaranteeing immunity to third-country legislation with extraterritorial application.</w:t>
            </w:r>
            <w:r>
              <w:t xml:space="preserve"> </w:t>
            </w:r>
            <w:r>
              <w:rPr>
                <w:b/>
                <w:i/>
              </w:rPr>
              <w:t>The other national cybersecurity certification schemes and the related procedures</w:t>
            </w:r>
            <w:r>
              <w:t xml:space="preserve"> that are covered by the subject matter and scope of a European cybersecurity certification scheme shall cease to produce effects from the date established in the implementing act adopted pursuant to Article 74(9). National cybersecurity certification schemes and the related procedures for the ICT products, ICT services </w:t>
            </w:r>
            <w:r>
              <w:rPr>
                <w:b/>
                <w:i/>
              </w:rPr>
              <w:t>or</w:t>
            </w:r>
            <w:r>
              <w:t xml:space="preserve"> ICT processes that are not covered by the subject matter and scope of a European cybersecurity certification scheme may continue to exist.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639</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86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Member States </w:t>
            </w:r>
            <w:r>
              <w:rPr>
                <w:b/>
                <w:i/>
              </w:rPr>
              <w:t>shall not</w:t>
            </w:r>
            <w:r>
              <w:t xml:space="preserve"> introduce new national cybersecurity certification schemes or related procedures for the ICT products, ICT services</w:t>
            </w:r>
            <w:r>
              <w:rPr>
                <w:b/>
                <w:i/>
              </w:rPr>
              <w:t>,</w:t>
            </w:r>
            <w:r>
              <w:t xml:space="preserve"> ICT processes</w:t>
            </w:r>
            <w:r>
              <w:rPr>
                <w:b/>
                <w:i/>
              </w:rPr>
              <w:t>, managed security services and cyber posture of entities</w:t>
            </w:r>
            <w:r>
              <w:t xml:space="preserve"> already covered by the subject matter and scope of a European cybersecurity certification scheme.</w:t>
            </w:r>
          </w:p>
        </w:tc>
        <w:tc>
          <w:tcPr>
            <w:tcW w:w="4876" w:type="dxa"/>
            <w:tcBorders>
              <w:top w:val="nil"/>
              <w:left w:val="nil"/>
              <w:bottom w:val="nil"/>
              <w:right w:val="nil"/>
            </w:tcBorders>
          </w:tcPr>
          <w:p>
            <w:pPr>
              <w:pStyle w:val="Normal6a"/>
            </w:pPr>
            <w:r>
              <w:t>2.</w:t>
            </w:r>
            <w:r>
              <w:tab/>
            </w:r>
            <w:r>
              <w:t xml:space="preserve">Member States </w:t>
            </w:r>
            <w:r>
              <w:rPr>
                <w:b/>
                <w:i/>
              </w:rPr>
              <w:t>may maintain or</w:t>
            </w:r>
            <w:r>
              <w:t xml:space="preserve"> introduce new national cybersecurity certification schemes or related procedures for the ICT products, ICT services </w:t>
            </w:r>
            <w:r>
              <w:rPr>
                <w:b/>
                <w:i/>
              </w:rPr>
              <w:t>or</w:t>
            </w:r>
            <w:r>
              <w:t xml:space="preserve"> ICT processes already covered by the subject matter and scope of a European cybersecurity certification scheme </w:t>
            </w:r>
            <w:r>
              <w:rPr>
                <w:b/>
                <w:i/>
              </w:rPr>
              <w:t>if these schemes or procedures provide for stricter requirements necessary for the protection of national security, critical infrastructures or essential or important entities within the meaning of Directive (EU) 2022/2555, in particular requirements aimed at guaranteeing immunity against third-country legislation with extraterritorial application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640</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86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Member States shall not introduce new national cybersecurity certification schemes or related procedures for the ICT products, ICT services, ICT processes, managed security services and cyber posture of entities already covered by the subject matter and scope of a European cybersecurity certification scheme.</w:t>
            </w:r>
          </w:p>
        </w:tc>
        <w:tc>
          <w:tcPr>
            <w:tcW w:w="4876" w:type="dxa"/>
            <w:tcBorders>
              <w:top w:val="nil"/>
              <w:left w:val="nil"/>
              <w:bottom w:val="nil"/>
              <w:right w:val="nil"/>
            </w:tcBorders>
          </w:tcPr>
          <w:p>
            <w:pPr>
              <w:pStyle w:val="Normal6a"/>
            </w:pPr>
            <w:r>
              <w:t>2.</w:t>
            </w:r>
            <w:r>
              <w:tab/>
            </w:r>
            <w:r>
              <w:t xml:space="preserve">Member States shall not introduce new national cybersecurity certification schemes or related procedures for the ICT products, ICT services, ICT processes, managed security services and cyber posture of entities already covered by the subject matter and scope of a European cybersecurity certification scheme. </w:t>
            </w:r>
            <w:r>
              <w:rPr>
                <w:b/>
                <w:i/>
              </w:rPr>
              <w:t>This paragraph shall not apply to national cybersecurity certification schemes concerning information systems handling classified information or procurement falling within the scope of Directive 2009/81/EC or to which Article 346 TFEU applies.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Member States should retain the ability to maintain specific certification requirements for classified information and defence and security procurement. At the same time, a clear three-month notification period for new national schemes gives the Commission and the ECCG sufficient time to assess potential fragmentation of the internal market.</w:t>
      </w:r>
    </w:p>
    <w:p>
      <w:r>
        <w:rPr>
          <w:rStyle w:val="HideTWBExt"/>
        </w:rPr>
        <w:t>&lt;/Amend&gt;</w:t>
      </w:r>
    </w:p>
    <w:p>
      <w:pPr>
        <w:pStyle w:val="AmNumberTabs"/>
      </w:pPr>
      <w:r>
        <w:rPr>
          <w:rStyle w:val="HideTWBExt"/>
        </w:rPr>
        <w:t>&lt;Amend&gt;</w:t>
      </w:r>
      <w:r>
        <w:t>Amendment</w:t>
      </w:r>
      <w:r>
        <w:tab/>
      </w:r>
      <w:r>
        <w:tab/>
      </w:r>
      <w:r>
        <w:rPr>
          <w:rStyle w:val="HideTWBExt"/>
        </w:rPr>
        <w:t>&lt;NumAm&gt;</w:t>
      </w:r>
      <w:r>
        <w:t>641</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86 – 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Notwithstanding paragraphs 1 and 2, Member States may retain or introduce national cybersecurity certification schemes insofar as this is necessary to safeguard national security or for procurement by public sector bodies.</w:t>
            </w:r>
            <w:r>
              <w:t xml:space="preserve"> </w:t>
            </w:r>
            <w:r>
              <w:rPr>
                <w:b/>
                <w:i/>
              </w:rPr>
              <w:t>They shall inform the Commission and the ECCG thereof.</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642</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86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Existing certificates that were issued under national cybersecurity certification schemes and are covered by the subject matter and scope of a European cybersecurity certification scheme shall remain valid until their expiry date.</w:t>
            </w:r>
          </w:p>
        </w:tc>
        <w:tc>
          <w:tcPr>
            <w:tcW w:w="4876" w:type="dxa"/>
            <w:tcBorders>
              <w:top w:val="nil"/>
              <w:left w:val="nil"/>
              <w:bottom w:val="nil"/>
              <w:right w:val="nil"/>
            </w:tcBorders>
          </w:tcPr>
          <w:p>
            <w:pPr>
              <w:pStyle w:val="Normal6a"/>
            </w:pPr>
            <w:r>
              <w:t>3.</w:t>
            </w:r>
            <w:r>
              <w:tab/>
            </w:r>
            <w:r>
              <w:t xml:space="preserve">Existing certificates that were issued under national cybersecurity certification schemes and are covered by the subject matter and scope of a European cybersecurity certification scheme shall remain valid until their expiry date. </w:t>
            </w:r>
            <w:r>
              <w:rPr>
                <w:b/>
                <w:i/>
              </w:rPr>
              <w:t>The relevant body who issued the certificate may take any action necessary to their maintenance but shall not extend the expiry date beyond the end of the transition period specified in the implementing act adopted pursuant to Article 74(9). The transition period shall take due account of relevant realities of the market, certificate holders’ legitimate expectations, market availability of conformity assessment capacity and continuity of critical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643</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86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Existing certificates that were issued under national cybersecurity certification schemes and are covered by the subject matter and scope of a European cybersecurity certification scheme shall remain valid </w:t>
            </w:r>
            <w:r>
              <w:rPr>
                <w:b/>
                <w:i/>
              </w:rPr>
              <w:t>until their expiry date</w:t>
            </w:r>
            <w:r>
              <w:t>.</w:t>
            </w:r>
          </w:p>
        </w:tc>
        <w:tc>
          <w:tcPr>
            <w:tcW w:w="4876" w:type="dxa"/>
            <w:tcBorders>
              <w:top w:val="nil"/>
              <w:left w:val="nil"/>
              <w:bottom w:val="nil"/>
              <w:right w:val="nil"/>
            </w:tcBorders>
          </w:tcPr>
          <w:p>
            <w:pPr>
              <w:pStyle w:val="Normal6a"/>
            </w:pPr>
            <w:r>
              <w:t>3.</w:t>
            </w:r>
            <w:r>
              <w:tab/>
            </w:r>
            <w:r>
              <w:t>Existing certificates that were issued under national cybersecurity certification schemes and are covered by the subject matter and scope of a European cybersecurity certification scheme shall remain valid.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644</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86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Member States shall notify the Commission and the ECCG </w:t>
            </w:r>
            <w:r>
              <w:rPr>
                <w:b/>
                <w:i/>
              </w:rPr>
              <w:t>before adopting new</w:t>
            </w:r>
            <w:r>
              <w:t xml:space="preserve"> national cybersecurity certification </w:t>
            </w:r>
            <w:r>
              <w:rPr>
                <w:b/>
                <w:i/>
              </w:rPr>
              <w:t>schemes for ICT products, ICT services, ICT processes, managed security services and cyber posture of entities</w:t>
            </w:r>
            <w:r>
              <w:t>.</w:t>
            </w:r>
          </w:p>
        </w:tc>
        <w:tc>
          <w:tcPr>
            <w:tcW w:w="4876" w:type="dxa"/>
            <w:tcBorders>
              <w:top w:val="nil"/>
              <w:left w:val="nil"/>
              <w:bottom w:val="nil"/>
              <w:right w:val="nil"/>
            </w:tcBorders>
          </w:tcPr>
          <w:p>
            <w:pPr>
              <w:pStyle w:val="Normal6a"/>
            </w:pPr>
            <w:r>
              <w:t>4.</w:t>
            </w:r>
            <w:r>
              <w:tab/>
            </w:r>
            <w:r>
              <w:t xml:space="preserve">Member States shall notify the Commission and the ECCG </w:t>
            </w:r>
            <w:r>
              <w:rPr>
                <w:b/>
                <w:i/>
              </w:rPr>
              <w:t>of any draft</w:t>
            </w:r>
            <w:r>
              <w:t xml:space="preserve"> national cybersecurity certification </w:t>
            </w:r>
            <w:r>
              <w:rPr>
                <w:b/>
                <w:i/>
              </w:rPr>
              <w:t>scheme at least three months before adopting such a scheme. The Commission and the ECCG may issue an opinion within that period, which the Member State concerned shall take into account</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Member States should retain the ability to maintain specific certification requirements for classified information and defence and security procurement. At the same time, a clear three-month notification period for new national schemes gives the Commission and the ECCG sufficient time to assess potential fragmentation of the internal market.</w:t>
      </w:r>
    </w:p>
    <w:p>
      <w:r>
        <w:rPr>
          <w:rStyle w:val="HideTWBExt"/>
        </w:rPr>
        <w:t>&lt;/Amend&gt;</w:t>
      </w:r>
    </w:p>
    <w:p>
      <w:pPr>
        <w:pStyle w:val="AmNumberTabs"/>
      </w:pPr>
      <w:r>
        <w:rPr>
          <w:rStyle w:val="HideTWBExt"/>
        </w:rPr>
        <w:t>&lt;Amend&gt;</w:t>
      </w:r>
      <w:r>
        <w:t>Amendment</w:t>
      </w:r>
      <w:r>
        <w:tab/>
      </w:r>
      <w:r>
        <w:tab/>
      </w:r>
      <w:r>
        <w:rPr>
          <w:rStyle w:val="HideTWBExt"/>
        </w:rPr>
        <w:t>&lt;NumAm&gt;</w:t>
      </w:r>
      <w:r>
        <w:t>645</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86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Member States shall notify </w:t>
            </w:r>
            <w:r>
              <w:rPr>
                <w:b/>
                <w:i/>
              </w:rPr>
              <w:t>the Commission and</w:t>
            </w:r>
            <w:r>
              <w:t xml:space="preserve"> the ECCG before adopting new national cybersecurity certification schemes for ICT products, ICT services</w:t>
            </w:r>
            <w:r>
              <w:rPr>
                <w:b/>
                <w:i/>
              </w:rPr>
              <w:t>,</w:t>
            </w:r>
            <w:r>
              <w:t xml:space="preserve"> ICT processes</w:t>
            </w:r>
            <w:r>
              <w:rPr>
                <w:b/>
                <w:i/>
              </w:rPr>
              <w:t>, managed security services and cyber posture of entities</w:t>
            </w:r>
            <w:r>
              <w:t>.</w:t>
            </w:r>
          </w:p>
        </w:tc>
        <w:tc>
          <w:tcPr>
            <w:tcW w:w="4876" w:type="dxa"/>
            <w:tcBorders>
              <w:top w:val="nil"/>
              <w:left w:val="nil"/>
              <w:bottom w:val="nil"/>
              <w:right w:val="nil"/>
            </w:tcBorders>
          </w:tcPr>
          <w:p>
            <w:pPr>
              <w:pStyle w:val="Normal6a"/>
            </w:pPr>
            <w:r>
              <w:t>4.</w:t>
            </w:r>
            <w:r>
              <w:tab/>
            </w:r>
            <w:r>
              <w:t xml:space="preserve">Member States shall notify the ECCG before adopting new national cybersecurity certification schemes for ICT products, ICT services </w:t>
            </w:r>
            <w:r>
              <w:rPr>
                <w:b/>
                <w:i/>
              </w:rPr>
              <w:t>or</w:t>
            </w:r>
            <w:r>
              <w:t xml:space="preserve"> ICT processes.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646</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86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The Commission may suggest to a Member State to withdraw a national cybersecurity certification scheme for ICT products, ICT services, ICT processes, managed security services or cyber posture of entities, where the development of a European cybersecurity certification scheme covering such products, services, processes or cyber posture has already been requested in accordance with Article 73, taking into account the development plan of such scheme.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647</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86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The Commission may </w:t>
            </w:r>
            <w:r>
              <w:rPr>
                <w:b/>
                <w:i/>
              </w:rPr>
              <w:t>suggest to</w:t>
            </w:r>
            <w:r>
              <w:t xml:space="preserve"> a Member State to withdraw a national cybersecurity certification scheme for ICT products, ICT services, ICT processes, managed security services or cyber posture of entities, where the development of a European cybersecurity certification scheme covering such products, services, processes or cyber posture has already been requested in accordance with Article 73, taking into account the development plan of such scheme.</w:t>
            </w:r>
          </w:p>
        </w:tc>
        <w:tc>
          <w:tcPr>
            <w:tcW w:w="4876" w:type="dxa"/>
            <w:tcBorders>
              <w:top w:val="nil"/>
              <w:left w:val="nil"/>
              <w:bottom w:val="nil"/>
              <w:right w:val="nil"/>
            </w:tcBorders>
          </w:tcPr>
          <w:p>
            <w:pPr>
              <w:pStyle w:val="Normal6a"/>
            </w:pPr>
            <w:r>
              <w:t>5.</w:t>
            </w:r>
            <w:r>
              <w:tab/>
            </w:r>
            <w:r>
              <w:t xml:space="preserve">The Commission may </w:t>
            </w:r>
            <w:r>
              <w:rPr>
                <w:b/>
                <w:i/>
              </w:rPr>
              <w:t>require</w:t>
            </w:r>
            <w:r>
              <w:t xml:space="preserve"> a Member State to withdraw a national cybersecurity certification scheme for ICT products, ICT services, ICT processes, managed security services or cyber posture of entities, where the development of a European cybersecurity certification scheme covering such products, services, processes or cyber posture has already been requested in accordance with Article 73, taking into account the development plan of such scheme.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Prevents fragmentation once a European scheme is under development and strengthens the single market objective.</w:t>
      </w:r>
    </w:p>
    <w:p>
      <w:r>
        <w:rPr>
          <w:rStyle w:val="HideTWBExt"/>
        </w:rPr>
        <w:t>&lt;/Amend&gt;</w:t>
      </w:r>
    </w:p>
    <w:p>
      <w:pPr>
        <w:pStyle w:val="AmNumberTabs"/>
      </w:pPr>
      <w:r>
        <w:rPr>
          <w:rStyle w:val="HideTWBExt"/>
        </w:rPr>
        <w:t>&lt;Amend&gt;</w:t>
      </w:r>
      <w:r>
        <w:t>Amendment</w:t>
      </w:r>
      <w:r>
        <w:tab/>
      </w:r>
      <w:r>
        <w:tab/>
      </w:r>
      <w:r>
        <w:rPr>
          <w:rStyle w:val="HideTWBExt"/>
        </w:rPr>
        <w:t>&lt;NumAm&gt;</w:t>
      </w:r>
      <w:r>
        <w:t>648</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87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Third country certificates of ICT products, ICT services</w:t>
            </w:r>
            <w:r>
              <w:rPr>
                <w:b/>
                <w:i/>
              </w:rPr>
              <w:t>,</w:t>
            </w:r>
            <w:r>
              <w:t xml:space="preserve"> ICT processes</w:t>
            </w:r>
            <w:r>
              <w:rPr>
                <w:b/>
                <w:i/>
              </w:rPr>
              <w:t>, managed security services and cyber posture of entities</w:t>
            </w:r>
            <w:r>
              <w:t xml:space="preserve"> may be recognised, by means of an implementing act or through the conclusion of an agreement between the Union and the third country in question or an international organisation, as equivalent to European cybersecurity certificates if the requirements of the relevant third country scheme or international organisation scheme are </w:t>
            </w:r>
            <w:r>
              <w:rPr>
                <w:b/>
                <w:i/>
              </w:rPr>
              <w:t>considered</w:t>
            </w:r>
            <w:r>
              <w:t xml:space="preserve"> equivalent </w:t>
            </w:r>
            <w:r>
              <w:rPr>
                <w:b/>
                <w:i/>
              </w:rPr>
              <w:t>to those in European cybersecurity certification schemes</w:t>
            </w:r>
            <w:r>
              <w:t>. The Commission is empowered to adopt such implementing acts. The implementing acts shall be adopted in accordance with the examination procedure referred to in Article 118(2).</w:t>
            </w:r>
          </w:p>
        </w:tc>
        <w:tc>
          <w:tcPr>
            <w:tcW w:w="4876" w:type="dxa"/>
            <w:tcBorders>
              <w:top w:val="nil"/>
              <w:left w:val="nil"/>
              <w:bottom w:val="nil"/>
              <w:right w:val="nil"/>
            </w:tcBorders>
          </w:tcPr>
          <w:p>
            <w:pPr>
              <w:pStyle w:val="Normal6a"/>
            </w:pPr>
            <w:r>
              <w:t>1.</w:t>
            </w:r>
            <w:r>
              <w:tab/>
            </w:r>
            <w:r>
              <w:t xml:space="preserve">Third country certificates of ICT products, ICT services </w:t>
            </w:r>
            <w:r>
              <w:rPr>
                <w:b/>
                <w:i/>
              </w:rPr>
              <w:t>or</w:t>
            </w:r>
            <w:r>
              <w:t xml:space="preserve"> ICT processes may be recognised, by means of an implementing act or through the conclusion of an agreement between the Union and the third country in question or an international organisation, as equivalent to European cybersecurity certificates if the requirements of the relevant third country scheme or international organisation scheme are </w:t>
            </w:r>
            <w:r>
              <w:rPr>
                <w:b/>
                <w:i/>
              </w:rPr>
              <w:t>at least</w:t>
            </w:r>
            <w:r>
              <w:t xml:space="preserve"> equivalent</w:t>
            </w:r>
            <w:r>
              <w:rPr>
                <w:b/>
                <w:i/>
              </w:rPr>
              <w:t>, including as regards immunity to extraterritorial legislation, and if no Member State objects on grounds relating to national security, economic security, the protection of critical infrastructures or the resilience of essential or important entities within the meaning of Directive (EU) 2022/2555.</w:t>
            </w:r>
            <w:r>
              <w:t xml:space="preserve"> </w:t>
            </w:r>
            <w:r>
              <w:rPr>
                <w:b/>
                <w:i/>
              </w:rPr>
              <w:t>Recognition shall be precluded if the third country in question, or a provider under its jurisdiction, is the subject of measures or a designation under Article 100</w:t>
            </w:r>
            <w:r>
              <w:t>. The Commission is empowered to adopt such implementing acts. The implementing acts shall be adopted in accordance with the examination procedure referred to in Article 118(2).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649</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87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The</w:t>
            </w:r>
            <w:r>
              <w:t xml:space="preserve"> implementing acts </w:t>
            </w:r>
            <w:r>
              <w:rPr>
                <w:b/>
                <w:i/>
              </w:rPr>
              <w:t>and the agreements referred to in paragraph 1</w:t>
            </w:r>
            <w:r>
              <w:t xml:space="preserve"> shall </w:t>
            </w:r>
            <w:r>
              <w:rPr>
                <w:b/>
                <w:i/>
              </w:rPr>
              <w:t>be based</w:t>
            </w:r>
            <w:r>
              <w:t xml:space="preserve"> on the </w:t>
            </w:r>
            <w:r>
              <w:rPr>
                <w:b/>
                <w:i/>
              </w:rPr>
              <w:t>conditions for international recognition of European cybersecurity certificates set out in accordance with Article 74(11)</w:t>
            </w:r>
            <w:r>
              <w:t>.</w:t>
            </w:r>
          </w:p>
        </w:tc>
        <w:tc>
          <w:tcPr>
            <w:tcW w:w="4876" w:type="dxa"/>
            <w:tcBorders>
              <w:top w:val="nil"/>
              <w:left w:val="nil"/>
              <w:bottom w:val="nil"/>
              <w:right w:val="nil"/>
            </w:tcBorders>
          </w:tcPr>
          <w:p>
            <w:pPr>
              <w:pStyle w:val="Normal6a"/>
            </w:pPr>
            <w:r>
              <w:t>2.</w:t>
            </w:r>
            <w:r>
              <w:tab/>
            </w:r>
            <w:r>
              <w:rPr>
                <w:b/>
                <w:i/>
              </w:rPr>
              <w:t>When preparing those</w:t>
            </w:r>
            <w:r>
              <w:t xml:space="preserve"> implementing acts</w:t>
            </w:r>
            <w:r>
              <w:rPr>
                <w:b/>
                <w:i/>
              </w:rPr>
              <w:t>, the Commission</w:t>
            </w:r>
            <w:r>
              <w:t xml:space="preserve"> shall </w:t>
            </w:r>
            <w:r>
              <w:rPr>
                <w:b/>
                <w:i/>
              </w:rPr>
              <w:t>take due account opinion of the ECCG</w:t>
            </w:r>
            <w:r>
              <w:t xml:space="preserve"> on the </w:t>
            </w:r>
            <w:r>
              <w:rPr>
                <w:b/>
                <w:i/>
              </w:rPr>
              <w:t>matter. Where the Commission does not follow these opinions, it shall duly justify its decision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650</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87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Agreements on the recognition of third country certificates or the international organisation certificates referred to in paragraph 1 shall only be concluded if they also recognize European cybersecurity certificates as equivalent to the third country certificates.</w:t>
            </w:r>
          </w:p>
        </w:tc>
        <w:tc>
          <w:tcPr>
            <w:tcW w:w="4876" w:type="dxa"/>
            <w:tcBorders>
              <w:top w:val="nil"/>
              <w:left w:val="nil"/>
              <w:bottom w:val="nil"/>
              <w:right w:val="nil"/>
            </w:tcBorders>
          </w:tcPr>
          <w:p>
            <w:pPr>
              <w:pStyle w:val="Normal6a"/>
            </w:pPr>
            <w:r>
              <w:t>3.</w:t>
            </w:r>
            <w:r>
              <w:tab/>
            </w:r>
            <w:r>
              <w:t xml:space="preserve">Agreements on the recognition of third country certificates or the international organisation certificates referred to in paragraph 1 shall only be concluded if they also recognize European cybersecurity certificates as equivalent to the third country certificates </w:t>
            </w:r>
            <w:r>
              <w:rPr>
                <w:b/>
                <w:i/>
              </w:rPr>
              <w:t>and guarantee effective, verifiable and long-term reciprocity for manufacturers and providers based in the Union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651</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88 – 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Recognition of the certificates referred to in this Article shall be without prejudice to Article 86.</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652</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88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The activities of the national cybersecurity certification authorities that relate to the issuance of European cybersecurity certificates under this Regulation shall be strictly separated from their supervisory activities set out in this Article and in Article </w:t>
            </w:r>
            <w:r>
              <w:rPr>
                <w:b/>
                <w:i/>
              </w:rPr>
              <w:t>85(4), points (a) and</w:t>
            </w:r>
            <w:r>
              <w:t xml:space="preserve"> (b), and that those activities are carried out independently from each other.</w:t>
            </w:r>
          </w:p>
        </w:tc>
        <w:tc>
          <w:tcPr>
            <w:tcW w:w="4876" w:type="dxa"/>
            <w:tcBorders>
              <w:top w:val="nil"/>
              <w:left w:val="nil"/>
              <w:bottom w:val="nil"/>
              <w:right w:val="nil"/>
            </w:tcBorders>
          </w:tcPr>
          <w:p>
            <w:pPr>
              <w:pStyle w:val="Normal6a"/>
            </w:pPr>
            <w:r>
              <w:t>4.</w:t>
            </w:r>
            <w:r>
              <w:tab/>
            </w:r>
            <w:r>
              <w:t xml:space="preserve">The activities of the national cybersecurity certification authorities that relate to the issuance of European cybersecurity certificates under this Regulation shall be strictly separated from their supervisory activities set out in this Article and in Article </w:t>
            </w:r>
            <w:r>
              <w:rPr>
                <w:b/>
                <w:i/>
              </w:rPr>
              <w:t>85(3), point</w:t>
            </w:r>
            <w:r>
              <w:t xml:space="preserve"> (b), and that those activities are carried out independently from each other.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653</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88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The activities of the national cybersecurity certification authorities that relate to the issuance of European cybersecurity certificates under this Regulation shall be strictly separated from their supervisory activities set out in this Article and in Article 85(4), </w:t>
            </w:r>
            <w:r>
              <w:rPr>
                <w:b/>
                <w:i/>
              </w:rPr>
              <w:t>points (a) and (b),</w:t>
            </w:r>
            <w:r>
              <w:t xml:space="preserve"> and that those activities are carried out independently from each other.</w:t>
            </w:r>
          </w:p>
        </w:tc>
        <w:tc>
          <w:tcPr>
            <w:tcW w:w="4876" w:type="dxa"/>
            <w:tcBorders>
              <w:top w:val="nil"/>
              <w:left w:val="nil"/>
              <w:bottom w:val="nil"/>
              <w:right w:val="nil"/>
            </w:tcBorders>
          </w:tcPr>
          <w:p>
            <w:pPr>
              <w:pStyle w:val="Normal6a"/>
            </w:pPr>
            <w:r>
              <w:t>4.</w:t>
            </w:r>
            <w:r>
              <w:tab/>
            </w:r>
            <w:r>
              <w:t>The activities of the national cybersecurity certification authorities that relate to the issuance of European cybersecurity certificates under this Regulation shall be strictly separated from their supervisory activities set out in this Article and in Article 85(4), and that those activities are carried out independently from each other.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654</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88 – paragraph 6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monitor and supervise the activities of the </w:t>
            </w:r>
            <w:r>
              <w:rPr>
                <w:b/>
                <w:i/>
              </w:rPr>
              <w:t>public</w:t>
            </w:r>
            <w:r>
              <w:t xml:space="preserve"> bodies referred to in Article 85(3);</w:t>
            </w:r>
          </w:p>
        </w:tc>
        <w:tc>
          <w:tcPr>
            <w:tcW w:w="4876" w:type="dxa"/>
            <w:tcBorders>
              <w:top w:val="nil"/>
              <w:left w:val="nil"/>
              <w:bottom w:val="nil"/>
              <w:right w:val="nil"/>
            </w:tcBorders>
          </w:tcPr>
          <w:p>
            <w:pPr>
              <w:pStyle w:val="Normal6a"/>
            </w:pPr>
            <w:r>
              <w:t>(f)</w:t>
            </w:r>
            <w:r>
              <w:tab/>
            </w:r>
            <w:r>
              <w:t xml:space="preserve">monitor and supervise the activities of the </w:t>
            </w:r>
            <w:r>
              <w:rPr>
                <w:b/>
                <w:i/>
              </w:rPr>
              <w:t>conformity assessment</w:t>
            </w:r>
            <w:r>
              <w:t xml:space="preserve"> bodies referred to in Article 85(3)</w:t>
            </w:r>
            <w:r>
              <w:rPr>
                <w:b/>
                <w:i/>
              </w:rPr>
              <w:t>, point (b)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655</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88 – paragraph 6 – point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where applicable, authorise conformity assessment bodies in accordance with Article 93, monitor compliance with and enforce the obligations of conformity assessment bodies with the additional or specific requirements set out in European cybersecurity certification schemes pursuant to Article 81(3), point (f), and restrict, suspend or withdraw existing authorisation where conformity assessment bodies do not meet the requirements of this Regulation;</w:t>
            </w:r>
          </w:p>
        </w:tc>
        <w:tc>
          <w:tcPr>
            <w:tcW w:w="4876" w:type="dxa"/>
            <w:tcBorders>
              <w:top w:val="nil"/>
              <w:left w:val="nil"/>
              <w:bottom w:val="nil"/>
              <w:right w:val="nil"/>
            </w:tcBorders>
          </w:tcPr>
          <w:p>
            <w:pPr>
              <w:pStyle w:val="Normal6a"/>
            </w:pPr>
            <w:r>
              <w:t>(g)</w:t>
            </w:r>
            <w:r>
              <w:tab/>
            </w:r>
            <w:r>
              <w:t>where applicable, authorise conformity assessment bodies in accordance with Article 93</w:t>
            </w:r>
            <w:r>
              <w:rPr>
                <w:b/>
                <w:i/>
              </w:rPr>
              <w:t>, excluding the issuance of certificates at assurance level ‘high’</w:t>
            </w:r>
            <w:r>
              <w:t>, monitor compliance with and enforce the obligations of conformity assessment bodies with the additional or specific requirements set out in European cybersecurity certification schemes pursuant to Article 81(3), point (f), and restrict, suspend or withdraw existing authorisation where conformity assessment bodies do not meet the requirements of this Regulation;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656</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88 – paragraph 6 – point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handle complaints by natural or legal persons in relation to European cybersecurity certificates issued by national cybersecurity certification authorities or to European cybersecurity certificates issued by conformity assessment bodies in accordance with Article </w:t>
            </w:r>
            <w:r>
              <w:rPr>
                <w:b/>
                <w:i/>
              </w:rPr>
              <w:t>85(4)</w:t>
            </w:r>
            <w:r>
              <w:t xml:space="preserve"> or in relation to EU statements of conformity issued under Article 83, investigate the subject matter of such complaints to the extent appropriate, and inform the complainant of the progress and the outcome of the investigation within a reasonable period;</w:t>
            </w:r>
          </w:p>
        </w:tc>
        <w:tc>
          <w:tcPr>
            <w:tcW w:w="4876" w:type="dxa"/>
            <w:tcBorders>
              <w:top w:val="nil"/>
              <w:left w:val="nil"/>
              <w:bottom w:val="nil"/>
              <w:right w:val="nil"/>
            </w:tcBorders>
          </w:tcPr>
          <w:p>
            <w:pPr>
              <w:pStyle w:val="Normal6a"/>
            </w:pPr>
            <w:r>
              <w:t>(h)</w:t>
            </w:r>
            <w:r>
              <w:tab/>
            </w:r>
            <w:r>
              <w:t xml:space="preserve">handle complaints by natural or legal persons in relation to European cybersecurity certificates issued by national cybersecurity certification authorities or to European cybersecurity certificates issued by conformity assessment bodies in accordance with Article </w:t>
            </w:r>
            <w:r>
              <w:rPr>
                <w:b/>
                <w:i/>
              </w:rPr>
              <w:t>85(3), point (b),</w:t>
            </w:r>
            <w:r>
              <w:t xml:space="preserve"> or in relation to EU statements of conformity issued under Article 83, investigate the subject matter of such complaints to the extent appropriate, and inform the complainant of the progress and the outcome of the investigation within a reasonable period;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657</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88 – paragraph 6 – point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provide an annual report on its main activities to the </w:t>
            </w:r>
            <w:r>
              <w:rPr>
                <w:b/>
                <w:i/>
              </w:rPr>
              <w:t>Commission,</w:t>
            </w:r>
            <w:r>
              <w:t> ENISA</w:t>
            </w:r>
            <w:r>
              <w:rPr>
                <w:b/>
                <w:i/>
              </w:rPr>
              <w:t> and the ECCG</w:t>
            </w:r>
            <w:r>
              <w:t xml:space="preserve"> by 31 March [year of entry into force + 12 months] each year, and make these reports available to the peer review team where the national cybersecurity certification authority is subject to peer review in accordance with Article 89;</w:t>
            </w:r>
          </w:p>
        </w:tc>
        <w:tc>
          <w:tcPr>
            <w:tcW w:w="4876" w:type="dxa"/>
            <w:tcBorders>
              <w:top w:val="nil"/>
              <w:left w:val="nil"/>
              <w:bottom w:val="nil"/>
              <w:right w:val="nil"/>
            </w:tcBorders>
          </w:tcPr>
          <w:p>
            <w:pPr>
              <w:pStyle w:val="Normal6a"/>
            </w:pPr>
            <w:r>
              <w:t>(i)</w:t>
            </w:r>
            <w:r>
              <w:tab/>
            </w:r>
            <w:r>
              <w:t xml:space="preserve">provide an annual report on its main activities to the </w:t>
            </w:r>
            <w:r>
              <w:rPr>
                <w:b/>
                <w:i/>
              </w:rPr>
              <w:t>ECCG and</w:t>
            </w:r>
            <w:r>
              <w:t xml:space="preserve"> ENISA by 31 March [year of entry into force + 12 months] each year, and make these reports available to the peer review team where the national cybersecurity certification authority is subject to peer review in accordance with Article 89</w:t>
            </w:r>
            <w:r>
              <w:rPr>
                <w:b/>
                <w:i/>
              </w:rPr>
              <w:t>.</w:t>
            </w:r>
            <w:r>
              <w:t xml:space="preserve"> </w:t>
            </w:r>
            <w:r>
              <w:rPr>
                <w:b/>
                <w:i/>
              </w:rPr>
              <w:t>This report shall not contain classified information, sensitive information, information relating to unpatched vulnerabilities, or information likely to prejudice a Member State’s essential security interests or the confidentiality of ongoing investigations, audits or checks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658</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88 – paragraph 7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to withdraw, in accordance with national law, European cybersecurity certificates issued by national cybersecurity certification authorities or by conformity assessment bodies in accordance with Article 85(4), where such certificates do not comply with this Regulation or with a European cybersecurity certification scheme;</w:t>
            </w:r>
          </w:p>
        </w:tc>
        <w:tc>
          <w:tcPr>
            <w:tcW w:w="4876" w:type="dxa"/>
            <w:tcBorders>
              <w:top w:val="nil"/>
              <w:left w:val="nil"/>
              <w:bottom w:val="nil"/>
              <w:right w:val="nil"/>
            </w:tcBorders>
          </w:tcPr>
          <w:p>
            <w:pPr>
              <w:pStyle w:val="Normal6a"/>
            </w:pPr>
            <w:r>
              <w:t>(e)</w:t>
            </w:r>
            <w:r>
              <w:tab/>
            </w:r>
            <w:r>
              <w:t xml:space="preserve">to withdraw, in accordance with national law, European cybersecurity certificates issued by national cybersecurity certification authorities or by conformity assessment bodies in accordance with Article 85(4), where such certificates do not comply with this Regulation or with a European cybersecurity certification scheme </w:t>
            </w:r>
            <w:r>
              <w:rPr>
                <w:b/>
                <w:i/>
              </w:rPr>
              <w:t>or request the conformity assessment body that issued the certificate to execute the withdrawal when the prior approval model or general delegation apply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659</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88 – paragraph 7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to withdraw, in accordance with national law, European cybersecurity certificates issued by national cybersecurity certification authorities or by conformity assessment bodies in accordance with Article </w:t>
            </w:r>
            <w:r>
              <w:rPr>
                <w:b/>
                <w:i/>
              </w:rPr>
              <w:t>85(4)</w:t>
            </w:r>
            <w:r>
              <w:t>, where such certificates do not comply with this Regulation or with a European cybersecurity certification scheme;</w:t>
            </w:r>
          </w:p>
        </w:tc>
        <w:tc>
          <w:tcPr>
            <w:tcW w:w="4876" w:type="dxa"/>
            <w:tcBorders>
              <w:top w:val="nil"/>
              <w:left w:val="nil"/>
              <w:bottom w:val="nil"/>
              <w:right w:val="nil"/>
            </w:tcBorders>
          </w:tcPr>
          <w:p>
            <w:pPr>
              <w:pStyle w:val="Normal6a"/>
            </w:pPr>
            <w:r>
              <w:t>(e)</w:t>
            </w:r>
            <w:r>
              <w:tab/>
            </w:r>
            <w:r>
              <w:t xml:space="preserve">to withdraw, in accordance with national law, European cybersecurity certificates issued by national cybersecurity certification authorities or by conformity assessment bodies in accordance with Article </w:t>
            </w:r>
            <w:r>
              <w:rPr>
                <w:b/>
                <w:i/>
              </w:rPr>
              <w:t>85(3), point (b)</w:t>
            </w:r>
            <w:r>
              <w:t>, where such certificates do not comply with this Regulation or with a European cybersecurity certification scheme;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660</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András Gyürk,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88 – 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National cybersecurity certification authorities shall cooperate with each other </w:t>
            </w:r>
            <w:r>
              <w:rPr>
                <w:b/>
                <w:i/>
              </w:rPr>
              <w:t>and with the Commission</w:t>
            </w:r>
            <w:r>
              <w:t>, in particular, by exchanging information, experience and good practices as regards cybersecurity certification and technical issues concerning the cybersecurity of ICT products, ICT services, ICT processes, managed security services and the cyber posture of entities.</w:t>
            </w:r>
          </w:p>
        </w:tc>
        <w:tc>
          <w:tcPr>
            <w:tcW w:w="4876" w:type="dxa"/>
            <w:tcBorders>
              <w:top w:val="nil"/>
              <w:left w:val="nil"/>
              <w:bottom w:val="nil"/>
              <w:right w:val="nil"/>
            </w:tcBorders>
          </w:tcPr>
          <w:p>
            <w:pPr>
              <w:pStyle w:val="Normal6a"/>
            </w:pPr>
            <w:r>
              <w:t>8.</w:t>
            </w:r>
            <w:r>
              <w:tab/>
            </w:r>
            <w:r>
              <w:t>National cybersecurity certification authorities shall cooperate with each other, in particular, by exchanging information, experience and good practices as regards cybersecurity certification and technical issues concerning the cybersecurity of ICT products, ICT services, ICT processes, managed security services and the cyber posture of entities</w:t>
            </w:r>
            <w:r>
              <w:rPr>
                <w:b/>
                <w:i/>
              </w:rPr>
              <w:t>, without prejudice to national rules on the protection of classified or sensitive information and the Member States’ essential security interests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661</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88 – 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By [entry into force + 6 months], ENISA shall develop a template for the report referred to in paragraph 6, point (i), of this Article, in cooperation with the Commission and the ECCG.</w:t>
            </w:r>
          </w:p>
        </w:tc>
        <w:tc>
          <w:tcPr>
            <w:tcW w:w="4876" w:type="dxa"/>
            <w:tcBorders>
              <w:top w:val="nil"/>
              <w:left w:val="nil"/>
              <w:bottom w:val="nil"/>
              <w:right w:val="nil"/>
            </w:tcBorders>
          </w:tcPr>
          <w:p>
            <w:pPr>
              <w:pStyle w:val="Normal6a"/>
            </w:pPr>
            <w:r>
              <w:t>9.</w:t>
            </w:r>
            <w:r>
              <w:tab/>
            </w:r>
            <w:r>
              <w:t xml:space="preserve">By [entry into force + 6 months], ENISA shall develop a template for the report referred to in paragraph 6, point (i), of this Article, in cooperation with the Commission and the ECCG. </w:t>
            </w:r>
            <w:r>
              <w:rPr>
                <w:b/>
                <w:i/>
              </w:rPr>
              <w:t>ENISA shall regularly review and, where necessary, update the template, in cooperation with the Commission and the ECCG, taking into account developments in the European cybersecurity certification framework and experience gained from the application of the template.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662</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88 – 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By [entry into force + 6 months], ENISA shall develop a template for the report referred to in paragraph 6, point (i), of this Article, in cooperation with the </w:t>
            </w:r>
            <w:r>
              <w:rPr>
                <w:b/>
                <w:i/>
              </w:rPr>
              <w:t>Commission and the</w:t>
            </w:r>
            <w:r>
              <w:t xml:space="preserve"> ECCG.</w:t>
            </w:r>
          </w:p>
        </w:tc>
        <w:tc>
          <w:tcPr>
            <w:tcW w:w="4876" w:type="dxa"/>
            <w:tcBorders>
              <w:top w:val="nil"/>
              <w:left w:val="nil"/>
              <w:bottom w:val="nil"/>
              <w:right w:val="nil"/>
            </w:tcBorders>
          </w:tcPr>
          <w:p>
            <w:pPr>
              <w:pStyle w:val="Normal6a"/>
            </w:pPr>
            <w:r>
              <w:t>9.</w:t>
            </w:r>
            <w:r>
              <w:tab/>
            </w:r>
            <w:r>
              <w:t>By [entry into force + 6 months], ENISA shall develop a template for the report referred to in paragraph 6, point (i), of this Article, in cooperation with the ECCG.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663</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 João Cotrim De Figueiredo,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89 – paragraph 3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 applicable, whether the activities of the national cybersecurity certification authorities that relate to the issuance of European cybersecurity certificates referred to in this Regulation are strictly separated from their supervisory activities set out in Article 88 </w:t>
            </w:r>
            <w:r>
              <w:rPr>
                <w:b/>
                <w:i/>
              </w:rPr>
              <w:t>and</w:t>
            </w:r>
            <w:r>
              <w:t xml:space="preserve"> whether those activities are carried out independently from each other;</w:t>
            </w:r>
          </w:p>
        </w:tc>
        <w:tc>
          <w:tcPr>
            <w:tcW w:w="4876" w:type="dxa"/>
            <w:tcBorders>
              <w:top w:val="nil"/>
              <w:left w:val="nil"/>
              <w:bottom w:val="nil"/>
              <w:right w:val="nil"/>
            </w:tcBorders>
          </w:tcPr>
          <w:p>
            <w:pPr>
              <w:pStyle w:val="Normal6a"/>
            </w:pPr>
            <w:r>
              <w:t>(a)</w:t>
            </w:r>
            <w:r>
              <w:tab/>
            </w:r>
            <w:r>
              <w:t>where applicable, whether the activities of the national cybersecurity certification authorities that relate to the issuance of European cybersecurity certificates referred to in this Regulation are strictly separated from their supervisory activities set out in Article 88</w:t>
            </w:r>
            <w:r>
              <w:rPr>
                <w:b/>
                <w:i/>
              </w:rPr>
              <w:t>,</w:t>
            </w:r>
            <w:r>
              <w:t xml:space="preserve"> whether those activities are carried out independently from each other</w:t>
            </w:r>
            <w:r>
              <w:rPr>
                <w:b/>
                <w:i/>
              </w:rPr>
              <w:t>, and whether the authority has the human, technical and financial resources necessary to carry out its tasks under this Regulation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Authorities can only supervise certification effectively if adequately resourced.</w:t>
      </w:r>
    </w:p>
    <w:p>
      <w:r>
        <w:rPr>
          <w:rStyle w:val="HideTWBExt"/>
        </w:rPr>
        <w:t>&lt;/Amend&gt;</w:t>
      </w:r>
    </w:p>
    <w:p>
      <w:pPr>
        <w:pStyle w:val="AmNumberTabs"/>
      </w:pPr>
      <w:r>
        <w:rPr>
          <w:rStyle w:val="HideTWBExt"/>
        </w:rPr>
        <w:t>&lt;Amend&gt;</w:t>
      </w:r>
      <w:r>
        <w:t>Amendment</w:t>
      </w:r>
      <w:r>
        <w:tab/>
      </w:r>
      <w:r>
        <w:tab/>
      </w:r>
      <w:r>
        <w:rPr>
          <w:rStyle w:val="HideTWBExt"/>
        </w:rPr>
        <w:t>&lt;NumAm&gt;</w:t>
      </w:r>
      <w:r>
        <w:t>664</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89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Peer review shall be carried out at least once every five years by at least two national cybersecurity certification authorities of other Member States </w:t>
            </w:r>
            <w:r>
              <w:rPr>
                <w:b/>
                <w:i/>
              </w:rPr>
              <w:t>and by the Commission</w:t>
            </w:r>
            <w:r>
              <w:t>. ENISA shall also participate in the peer review as observer. The peer review team shall draw up the final report and the summary of the peer review.</w:t>
            </w:r>
          </w:p>
        </w:tc>
        <w:tc>
          <w:tcPr>
            <w:tcW w:w="4876" w:type="dxa"/>
            <w:tcBorders>
              <w:top w:val="nil"/>
              <w:left w:val="nil"/>
              <w:bottom w:val="nil"/>
              <w:right w:val="nil"/>
            </w:tcBorders>
          </w:tcPr>
          <w:p>
            <w:pPr>
              <w:pStyle w:val="Normal6a"/>
            </w:pPr>
            <w:r>
              <w:t>4.</w:t>
            </w:r>
            <w:r>
              <w:tab/>
            </w:r>
            <w:r>
              <w:t>Peer review shall be carried out at least once every five years by at least two national cybersecurity certification authorities of other Member States. ENISA shall also participate in the peer review as observer. The peer review team shall draw up the final report and the summary of the peer review.</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665</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90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The ECCG shall be composed of representatives of national cybersecurity certification authorities or representatives of other relevant national authorities. A member of the ECCG shall not represent more than two Member States.</w:t>
            </w:r>
          </w:p>
        </w:tc>
        <w:tc>
          <w:tcPr>
            <w:tcW w:w="4876" w:type="dxa"/>
            <w:tcBorders>
              <w:top w:val="nil"/>
              <w:left w:val="nil"/>
              <w:bottom w:val="nil"/>
              <w:right w:val="nil"/>
            </w:tcBorders>
          </w:tcPr>
          <w:p>
            <w:pPr>
              <w:pStyle w:val="Normal6a"/>
            </w:pPr>
            <w:r>
              <w:t>2.</w:t>
            </w:r>
            <w:r>
              <w:tab/>
            </w:r>
            <w:r>
              <w:t xml:space="preserve">The ECCG shall be composed of representatives of national cybersecurity certification authorities or representatives of other relevant national authorities. A member of the ECCG shall not represent more than two Member States. </w:t>
            </w:r>
            <w:r>
              <w:rPr>
                <w:b/>
                <w:i/>
              </w:rPr>
              <w:t>Each Member State shall have one vote and shall designate one lead representative and, where appropriate, alternate representatives. Voting rights shall be exercised exclusively by Member State representatives. Stakeholders and relevant third parties may be invited by the ECCG to attend meetings and to participate in its work as observers and subject to the confidentiality requirements applicable to the ECCG.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666</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90 – 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The ECCG shall meet on a regular basis at least four times per year. The Chair shall convene an additional meeting within 15 working days where requested by at least one third of the Member States. Any Member State may request that an item be included on the agenda. Where such a request is not accepted, the reasons for such decision shall be communicated to the ECCG. Where appropriate, the ECCG may also engage in joint meetings with other relevant Union-level groups to address cross-cutting issues.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667</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90 – paragraph 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The Commission and ENISA shall provide the ECCG, in a timely manner, with the documents, technical information and explanations necessary for the performance of its tasks.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668</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90 – paragraph 3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to </w:t>
            </w:r>
            <w:r>
              <w:rPr>
                <w:b/>
                <w:i/>
              </w:rPr>
              <w:t>advise and assist the Commission in the preparation of</w:t>
            </w:r>
            <w:r>
              <w:t xml:space="preserve"> requests for European cybersecurity certification schemes pursuant to Article 73;</w:t>
            </w:r>
          </w:p>
        </w:tc>
        <w:tc>
          <w:tcPr>
            <w:tcW w:w="4876" w:type="dxa"/>
            <w:tcBorders>
              <w:top w:val="nil"/>
              <w:left w:val="nil"/>
              <w:bottom w:val="nil"/>
              <w:right w:val="nil"/>
            </w:tcBorders>
          </w:tcPr>
          <w:p>
            <w:pPr>
              <w:pStyle w:val="Normal6a"/>
            </w:pPr>
            <w:r>
              <w:t>(b)</w:t>
            </w:r>
            <w:r>
              <w:tab/>
            </w:r>
            <w:r>
              <w:t xml:space="preserve">to </w:t>
            </w:r>
            <w:r>
              <w:rPr>
                <w:b/>
                <w:i/>
              </w:rPr>
              <w:t>prepare, adopt and forward to ENISA</w:t>
            </w:r>
            <w:r>
              <w:t xml:space="preserve"> requests for European cybersecurity certification schemes pursuant to Article 73;</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669</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90 – paragraph 3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to assist, advise and cooperate with the Commission in relation to the review or withdrawal of existing European cybersecurity </w:t>
            </w:r>
            <w:r>
              <w:rPr>
                <w:b/>
                <w:i/>
              </w:rPr>
              <w:t>certifications</w:t>
            </w:r>
            <w:r>
              <w:t xml:space="preserve"> schemes pursuant to Article 76;</w:t>
            </w:r>
          </w:p>
        </w:tc>
        <w:tc>
          <w:tcPr>
            <w:tcW w:w="4876" w:type="dxa"/>
            <w:tcBorders>
              <w:top w:val="nil"/>
              <w:left w:val="nil"/>
              <w:bottom w:val="nil"/>
              <w:right w:val="nil"/>
            </w:tcBorders>
          </w:tcPr>
          <w:p>
            <w:pPr>
              <w:pStyle w:val="Normal6a"/>
            </w:pPr>
            <w:r>
              <w:t>(e)</w:t>
            </w:r>
            <w:r>
              <w:tab/>
            </w:r>
            <w:r>
              <w:t xml:space="preserve">to assist, advise and cooperate with the Commission in relation to the review or withdrawal of existing European cybersecurity </w:t>
            </w:r>
            <w:r>
              <w:rPr>
                <w:b/>
                <w:i/>
              </w:rPr>
              <w:t>certification</w:t>
            </w:r>
            <w:r>
              <w:t xml:space="preserve"> schemes pursuant to Article 76 </w:t>
            </w:r>
            <w:r>
              <w:rPr>
                <w:b/>
                <w:i/>
              </w:rPr>
              <w:t>and, by a majority of its members, to request the Commission to initiate such a review or withdrawal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670</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90 – paragraph 3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to </w:t>
            </w:r>
            <w:r>
              <w:rPr>
                <w:b/>
                <w:i/>
              </w:rPr>
              <w:t>suggest that a request is submitted to the Commission with regard</w:t>
            </w:r>
            <w:r>
              <w:t xml:space="preserve"> to the preparation of a candidate European cybersecurity certification scheme pursuant to Article 73(2);</w:t>
            </w:r>
          </w:p>
        </w:tc>
        <w:tc>
          <w:tcPr>
            <w:tcW w:w="4876" w:type="dxa"/>
            <w:tcBorders>
              <w:top w:val="nil"/>
              <w:left w:val="nil"/>
              <w:bottom w:val="nil"/>
              <w:right w:val="nil"/>
            </w:tcBorders>
          </w:tcPr>
          <w:p>
            <w:pPr>
              <w:pStyle w:val="Normal6a"/>
            </w:pPr>
            <w:r>
              <w:t>(f)</w:t>
            </w:r>
            <w:r>
              <w:tab/>
            </w:r>
            <w:r>
              <w:t xml:space="preserve">to </w:t>
            </w:r>
            <w:r>
              <w:rPr>
                <w:b/>
                <w:i/>
              </w:rPr>
              <w:t>examine proposals for requests relating</w:t>
            </w:r>
            <w:r>
              <w:t xml:space="preserve"> to the preparation of a candidate European cybersecurity certification scheme </w:t>
            </w:r>
            <w:r>
              <w:rPr>
                <w:b/>
                <w:i/>
              </w:rPr>
              <w:t>that are submitted by its members</w:t>
            </w:r>
            <w:r>
              <w:t xml:space="preserve"> pursuant to Article 73(2);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671</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90 – paragraph 3 – point f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to develop draft candidate European cybersecurity certification schemes to serve as the basis for a request pursuant to Article 90 paragraph 3 point (f).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672</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90 – 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The Commission and ENISA shall take the utmost account of opinions and recommendations adopted by the ECCG and inform the ECCG on their implementation. Where they do not follow an opinion or recommendation, they shall provide the ECCG with a reasoned written response within 60 days.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673</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90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With the assistance of ENISA, the Commission shall chair</w:t>
            </w:r>
            <w:r>
              <w:t xml:space="preserve"> the ECCG </w:t>
            </w:r>
            <w:r>
              <w:rPr>
                <w:b/>
                <w:i/>
              </w:rPr>
              <w:t>and provide the ECCG with a</w:t>
            </w:r>
            <w:r>
              <w:t xml:space="preserve"> secretariat.</w:t>
            </w:r>
          </w:p>
        </w:tc>
        <w:tc>
          <w:tcPr>
            <w:tcW w:w="4876" w:type="dxa"/>
            <w:tcBorders>
              <w:top w:val="nil"/>
              <w:left w:val="nil"/>
              <w:bottom w:val="nil"/>
              <w:right w:val="nil"/>
            </w:tcBorders>
          </w:tcPr>
          <w:p>
            <w:pPr>
              <w:pStyle w:val="Normal6a"/>
            </w:pPr>
            <w:r>
              <w:t>4.</w:t>
            </w:r>
            <w:r>
              <w:tab/>
            </w:r>
            <w:r>
              <w:t xml:space="preserve">The ECCG </w:t>
            </w:r>
            <w:r>
              <w:rPr>
                <w:b/>
                <w:i/>
              </w:rPr>
              <w:t>shall elect a chair from among its members by a simple majority.</w:t>
            </w:r>
            <w:r>
              <w:t xml:space="preserve"> </w:t>
            </w:r>
            <w:r>
              <w:rPr>
                <w:b/>
                <w:i/>
              </w:rPr>
              <w:t>The</w:t>
            </w:r>
            <w:r>
              <w:t xml:space="preserve"> secretariat </w:t>
            </w:r>
            <w:r>
              <w:rPr>
                <w:b/>
                <w:i/>
              </w:rPr>
              <w:t>for the ECCG shall be provided by ENISA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674</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90 – paragraph 5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The Commission </w:t>
            </w:r>
            <w:r>
              <w:rPr>
                <w:b/>
                <w:i/>
              </w:rPr>
              <w:t>may set up</w:t>
            </w:r>
            <w:r>
              <w:t xml:space="preserve"> ECCG sub-groups for any of the following purposes:</w:t>
            </w:r>
          </w:p>
        </w:tc>
        <w:tc>
          <w:tcPr>
            <w:tcW w:w="4876" w:type="dxa"/>
            <w:tcBorders>
              <w:top w:val="nil"/>
              <w:left w:val="nil"/>
              <w:bottom w:val="nil"/>
              <w:right w:val="nil"/>
            </w:tcBorders>
          </w:tcPr>
          <w:p>
            <w:pPr>
              <w:pStyle w:val="Normal6a"/>
            </w:pPr>
            <w:r>
              <w:t>5.</w:t>
            </w:r>
            <w:r>
              <w:tab/>
            </w:r>
            <w:r>
              <w:rPr>
                <w:b/>
                <w:i/>
              </w:rPr>
              <w:t>The ECCG may set up, on its own initiative or at the request of</w:t>
            </w:r>
            <w:r>
              <w:t xml:space="preserve"> the Commission</w:t>
            </w:r>
            <w:r>
              <w:rPr>
                <w:b/>
                <w:i/>
              </w:rPr>
              <w:t>,</w:t>
            </w:r>
            <w:r>
              <w:t xml:space="preserve"> ECCG sub-groups for any of the following purposes: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675</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90 – paragraph 5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to examine specific questions on the basis of terms of reference </w:t>
            </w:r>
            <w:r>
              <w:rPr>
                <w:b/>
                <w:i/>
              </w:rPr>
              <w:t>established</w:t>
            </w:r>
            <w:r>
              <w:t xml:space="preserve"> by the </w:t>
            </w:r>
            <w:r>
              <w:rPr>
                <w:b/>
                <w:i/>
              </w:rPr>
              <w:t>Commission</w:t>
            </w:r>
            <w:r>
              <w:t>;</w:t>
            </w:r>
          </w:p>
        </w:tc>
        <w:tc>
          <w:tcPr>
            <w:tcW w:w="4876" w:type="dxa"/>
            <w:tcBorders>
              <w:top w:val="nil"/>
              <w:left w:val="nil"/>
              <w:bottom w:val="nil"/>
              <w:right w:val="nil"/>
            </w:tcBorders>
          </w:tcPr>
          <w:p>
            <w:pPr>
              <w:pStyle w:val="Normal6a"/>
            </w:pPr>
            <w:r>
              <w:t>(a)</w:t>
            </w:r>
            <w:r>
              <w:tab/>
            </w:r>
            <w:r>
              <w:t xml:space="preserve">to examine specific questions on the basis of terms of reference </w:t>
            </w:r>
            <w:r>
              <w:rPr>
                <w:b/>
                <w:i/>
              </w:rPr>
              <w:t>adopted</w:t>
            </w:r>
            <w:r>
              <w:t xml:space="preserve"> by the </w:t>
            </w:r>
            <w:r>
              <w:rPr>
                <w:b/>
                <w:i/>
              </w:rPr>
              <w:t>ECCG</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676</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90 – paragraph 5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to maintain and review the European certification schemes in accordance with this Regulation and on the basis of terms of reference </w:t>
            </w:r>
            <w:r>
              <w:rPr>
                <w:b/>
                <w:i/>
              </w:rPr>
              <w:t>established</w:t>
            </w:r>
            <w:r>
              <w:t xml:space="preserve"> by the </w:t>
            </w:r>
            <w:r>
              <w:rPr>
                <w:b/>
                <w:i/>
              </w:rPr>
              <w:t>Commission</w:t>
            </w:r>
            <w:r>
              <w:t>.</w:t>
            </w:r>
          </w:p>
        </w:tc>
        <w:tc>
          <w:tcPr>
            <w:tcW w:w="4876" w:type="dxa"/>
            <w:tcBorders>
              <w:top w:val="nil"/>
              <w:left w:val="nil"/>
              <w:bottom w:val="nil"/>
              <w:right w:val="nil"/>
            </w:tcBorders>
          </w:tcPr>
          <w:p>
            <w:pPr>
              <w:pStyle w:val="Normal6a"/>
            </w:pPr>
            <w:r>
              <w:t>(b)</w:t>
            </w:r>
            <w:r>
              <w:tab/>
            </w:r>
            <w:r>
              <w:t xml:space="preserve">to maintain and review the European certification schemes in accordance with this Regulation and on the basis of terms of reference </w:t>
            </w:r>
            <w:r>
              <w:rPr>
                <w:b/>
                <w:i/>
              </w:rPr>
              <w:t>adopted</w:t>
            </w:r>
            <w:r>
              <w:t xml:space="preserve"> by the </w:t>
            </w:r>
            <w:r>
              <w:rPr>
                <w:b/>
                <w:i/>
              </w:rPr>
              <w:t>ECCG</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677</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90 – 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The sub-groups shall be </w:t>
            </w:r>
            <w:r>
              <w:rPr>
                <w:b/>
                <w:i/>
              </w:rPr>
              <w:t>co-chaired</w:t>
            </w:r>
            <w:r>
              <w:t xml:space="preserve"> by the </w:t>
            </w:r>
            <w:r>
              <w:rPr>
                <w:b/>
                <w:i/>
              </w:rPr>
              <w:t>Commission and ENISA</w:t>
            </w:r>
            <w:r>
              <w:t>, and the secretariat of the sub-groups shall be provided by ENISA.</w:t>
            </w:r>
          </w:p>
        </w:tc>
        <w:tc>
          <w:tcPr>
            <w:tcW w:w="4876" w:type="dxa"/>
            <w:tcBorders>
              <w:top w:val="nil"/>
              <w:left w:val="nil"/>
              <w:bottom w:val="nil"/>
              <w:right w:val="nil"/>
            </w:tcBorders>
          </w:tcPr>
          <w:p>
            <w:pPr>
              <w:pStyle w:val="Normal6a"/>
            </w:pPr>
            <w:r>
              <w:t>7.</w:t>
            </w:r>
            <w:r>
              <w:tab/>
            </w:r>
            <w:r>
              <w:t xml:space="preserve">The sub-groups shall be </w:t>
            </w:r>
            <w:r>
              <w:rPr>
                <w:b/>
                <w:i/>
              </w:rPr>
              <w:t>chaired by a representative of a national cybersecurity certification authority or another competent national authority, designated</w:t>
            </w:r>
            <w:r>
              <w:t xml:space="preserve"> by the </w:t>
            </w:r>
            <w:r>
              <w:rPr>
                <w:b/>
                <w:i/>
              </w:rPr>
              <w:t>ECCG</w:t>
            </w:r>
            <w:r>
              <w:t>, and the secretariat of the sub-groups shall be provided by ENISA.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678</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90 – 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The sub-groups shall be co-chaired by the Commission and ENISA, and the secretariat of the sub-groups shall be provided by ENISA.</w:t>
            </w:r>
          </w:p>
        </w:tc>
        <w:tc>
          <w:tcPr>
            <w:tcW w:w="4876" w:type="dxa"/>
            <w:tcBorders>
              <w:top w:val="nil"/>
              <w:left w:val="nil"/>
              <w:bottom w:val="nil"/>
              <w:right w:val="nil"/>
            </w:tcBorders>
          </w:tcPr>
          <w:p>
            <w:pPr>
              <w:pStyle w:val="Normal6a"/>
            </w:pPr>
            <w:r>
              <w:t>7.</w:t>
            </w:r>
            <w:r>
              <w:tab/>
            </w:r>
            <w:r>
              <w:t xml:space="preserve">The sub-groups shall be co-chaired by the </w:t>
            </w:r>
            <w:r>
              <w:rPr>
                <w:b/>
                <w:i/>
              </w:rPr>
              <w:t>representatives from the Member States,</w:t>
            </w:r>
            <w:r>
              <w:t xml:space="preserve"> Commission and ENISA, and the secretariat of the sub-groups shall be provided by ENISA.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679</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90 – 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The ECCG and its sub-groups shall adopt rules of procedure by simple majority of their members, </w:t>
            </w:r>
            <w:r>
              <w:rPr>
                <w:b/>
                <w:i/>
              </w:rPr>
              <w:t>based on</w:t>
            </w:r>
            <w:r>
              <w:t xml:space="preserve"> a proposal by</w:t>
            </w:r>
            <w:r>
              <w:rPr>
                <w:b/>
                <w:i/>
              </w:rPr>
              <w:t>, and in agreement with the Commission</w:t>
            </w:r>
            <w:r>
              <w:t>.</w:t>
            </w:r>
          </w:p>
        </w:tc>
        <w:tc>
          <w:tcPr>
            <w:tcW w:w="4876" w:type="dxa"/>
            <w:tcBorders>
              <w:top w:val="nil"/>
              <w:left w:val="nil"/>
              <w:bottom w:val="nil"/>
              <w:right w:val="nil"/>
            </w:tcBorders>
          </w:tcPr>
          <w:p>
            <w:pPr>
              <w:pStyle w:val="Normal6a"/>
            </w:pPr>
            <w:r>
              <w:t>8.</w:t>
            </w:r>
            <w:r>
              <w:tab/>
            </w:r>
            <w:r>
              <w:t xml:space="preserve">The ECCG and its sub-groups shall adopt rules of procedure by simple majority of their members, </w:t>
            </w:r>
            <w:r>
              <w:rPr>
                <w:b/>
                <w:i/>
              </w:rPr>
              <w:t>in response to</w:t>
            </w:r>
            <w:r>
              <w:t xml:space="preserve"> a proposal by </w:t>
            </w:r>
            <w:r>
              <w:rPr>
                <w:b/>
                <w:i/>
              </w:rPr>
              <w:t>their respective chairs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680</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Article90a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Stakeholder Cybersecurity Certification Group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 Stakeholder Cybersecurity Certification Group (SCCG) is hereby established.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The SCCG shall be composed of members selected from among recognised experts representing the relevant stakeholders. The Commission, following a transparent and open call, shall select, on the basis of a proposal from ENISA, members of the SCCG ensuring a balance between the different stakeholder groups, including businesses of different sizes, as well as an appropriate gender and geographical balance.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The SCCG shall: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advise the Commission on strategic issues regarding the European cybersecurity certification framework;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advise ENISA on general and strategic matters concerning ENISA’s tasks relating to market, cybersecurity certification, and standardisation;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advise the Commission in the preparation of requests for European cybersecurity certification schemes pursuant to Article 73(4) and in the review or withdrawal of such schemes pursuant to Article 76;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advise the Commission on the preparation of the European Cybersecurity Certification Assembly referred to in Article 72(1) and present its work at the Assembly;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where relevant, be informed of the work of the ad hoc working groups referred to in Articles 74(2) and 75(3), without prejudice to the confidentiality rules laid down in Article 54, and advise the Commission and ENISA on cross-cutting issues arising from that work.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The SCCG shall be co-chaired by the representatives of the Commission and of ENISA, and its secretariat shall be provided by ENISA. The SCCG shall meet at least three times a year.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The SCCG shall adopt its rules of procedure by simple majority of its members, on a proposal from and in agreement with the Commission and ENISA. The rules of procedure shall in particular allow its members to propose items for the agenda.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The Commission and ENISA shall: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keep the SCCG informed of planned and ongoing work relating to European cybersecurity certification schemes, including their preparation, maintenance, review and withdrawal;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organise the meetings of the SCCG so as to allow for an exchange of views between its members, the Commission and ENISA;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share meeting documents with the members of the SCCG at least two weeks in advance of each meeting;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inform the SCCG of how its advice has been taken into account.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681</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91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The conformity assessment bodies shall be accredited by national accreditation bodies appointed pursuant to Regulation (EC) No 765/2008. Such accreditation shall be issued only where the conformity assessment body meets the requirements set out in Annex I to this Regulation.</w:t>
            </w:r>
          </w:p>
        </w:tc>
        <w:tc>
          <w:tcPr>
            <w:tcW w:w="4876" w:type="dxa"/>
            <w:tcBorders>
              <w:top w:val="nil"/>
              <w:left w:val="nil"/>
              <w:bottom w:val="nil"/>
              <w:right w:val="nil"/>
            </w:tcBorders>
          </w:tcPr>
          <w:p>
            <w:pPr>
              <w:pStyle w:val="Normal6a"/>
            </w:pPr>
            <w:r>
              <w:t>1.</w:t>
            </w:r>
            <w:r>
              <w:tab/>
            </w:r>
            <w:r>
              <w:t>The conformity assessment bodies shall be accredited by national accreditation bodies appointed pursuant to Regulation (EC) No 765/2008. Such accreditation shall be issued only where the conformity assessment body meets the requirements set out in Annex I to this Regulation</w:t>
            </w:r>
            <w:r>
              <w:rPr>
                <w:b/>
                <w:i/>
              </w:rPr>
              <w:t>, and the body is based in the Union, controlled by nationals of Member States and immune to third-country legislation with extraterritorial application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682</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91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Where a conformity assessment body is accredited in accordance with Regulation (EU) 2024/2847, relevant authorities may reuse results from previous accreditation process regarding any overlapping requirements as evidence during the accreditation process under this Regulation.</w:t>
            </w:r>
          </w:p>
        </w:tc>
        <w:tc>
          <w:tcPr>
            <w:tcW w:w="4876" w:type="dxa"/>
            <w:tcBorders>
              <w:top w:val="nil"/>
              <w:left w:val="nil"/>
              <w:bottom w:val="nil"/>
              <w:right w:val="nil"/>
            </w:tcBorders>
          </w:tcPr>
          <w:p>
            <w:pPr>
              <w:pStyle w:val="Normal6a"/>
            </w:pPr>
            <w:r>
              <w:t>5.</w:t>
            </w:r>
            <w:r>
              <w:tab/>
            </w:r>
            <w:r>
              <w:t>Where a conformity assessment body is accredited in accordance with Regulation (EU) 2024/2847, relevant authorities may reuse results from previous accreditation process regarding any overlapping requirements as evidence during the accreditation process under this Regulation</w:t>
            </w:r>
            <w:r>
              <w:rPr>
                <w:b/>
                <w:i/>
              </w:rPr>
              <w:t>, provided that this reuse of results does not prejudice the additional or specific requirements provided for by this Regulation or by the European cybersecurity certification scheme in question, in particular for the assurance level ‘high’ or the extension profiles and labels referred to in Article 81(3)</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683</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92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Where a European cybersecurity certification scheme sets out additional or specific requirements pursuant to Article 81(3), point (f), conformity assessment bodies shall be authorised by a national cybersecurity certification authority appointed pursuant to Article 88(1) to carry out tasks under such scheme. Such authorisation shall be issued only where the conformity assessment body has been accredited and meets the additional or specific requirements set out under the European cybersecurity certification scheme.</w:t>
            </w:r>
          </w:p>
        </w:tc>
        <w:tc>
          <w:tcPr>
            <w:tcW w:w="4876" w:type="dxa"/>
            <w:tcBorders>
              <w:top w:val="nil"/>
              <w:left w:val="nil"/>
              <w:bottom w:val="nil"/>
              <w:right w:val="nil"/>
            </w:tcBorders>
          </w:tcPr>
          <w:p>
            <w:pPr>
              <w:pStyle w:val="Normal6a"/>
            </w:pPr>
            <w:r>
              <w:t>1.</w:t>
            </w:r>
            <w:r>
              <w:tab/>
            </w:r>
            <w:r>
              <w:t xml:space="preserve">Where a European cybersecurity certification scheme sets out additional or specific requirements pursuant to Article 81(3), point (f), conformity assessment bodies shall be authorised by a national cybersecurity certification authority appointed pursuant to Article 88(1) to carry out tasks under such scheme. Such authorisation shall be issued only where the conformity assessment body has been accredited and meets the additional or specific requirements set out under the European cybersecurity certification scheme. </w:t>
            </w:r>
            <w:r>
              <w:rPr>
                <w:b/>
                <w:i/>
              </w:rPr>
              <w:t>Such authorisation shall not cover the issuance of certificates at assurance level ‘high’.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684</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92 – paragraph 3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 conformity assessment body may request authorisation by a national cybersecurity certification authority other than that referred to in paragraph 2 </w:t>
            </w:r>
            <w:r>
              <w:rPr>
                <w:b/>
                <w:i/>
              </w:rPr>
              <w:t>in any</w:t>
            </w:r>
            <w:r>
              <w:t xml:space="preserve"> one of the following situations:</w:t>
            </w:r>
          </w:p>
        </w:tc>
        <w:tc>
          <w:tcPr>
            <w:tcW w:w="4876" w:type="dxa"/>
            <w:tcBorders>
              <w:top w:val="nil"/>
              <w:left w:val="nil"/>
              <w:bottom w:val="nil"/>
              <w:right w:val="nil"/>
            </w:tcBorders>
          </w:tcPr>
          <w:p>
            <w:pPr>
              <w:pStyle w:val="Normal6a"/>
            </w:pPr>
            <w:r>
              <w:t>3.</w:t>
            </w:r>
            <w:r>
              <w:tab/>
            </w:r>
            <w:r>
              <w:t xml:space="preserve">A conformity assessment body may request authorisation by a national cybersecurity certification authority other than that referred to in paragraph 2 </w:t>
            </w:r>
            <w:r>
              <w:rPr>
                <w:b/>
                <w:i/>
              </w:rPr>
              <w:t>only with the prior agreement of the national cybersecurity certification authority of the Member State in which it is based, and in</w:t>
            </w:r>
            <w:r>
              <w:t xml:space="preserve"> one of the following situations: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685</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92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Where a national cybersecurity certification authority receives a request pursuant to paragraph 3, it shall inform the national cybersecurity certification authority of the Member State in which the requesting conformity assessment body is established. In such cases, the national cybersecurity certification authority of that Member State </w:t>
            </w:r>
            <w:r>
              <w:rPr>
                <w:b/>
                <w:i/>
              </w:rPr>
              <w:t>may participate</w:t>
            </w:r>
            <w:r>
              <w:t xml:space="preserve"> in the authorisation </w:t>
            </w:r>
            <w:r>
              <w:rPr>
                <w:b/>
                <w:i/>
              </w:rPr>
              <w:t>as an observer</w:t>
            </w:r>
            <w:r>
              <w:t>.</w:t>
            </w:r>
          </w:p>
        </w:tc>
        <w:tc>
          <w:tcPr>
            <w:tcW w:w="4876" w:type="dxa"/>
            <w:tcBorders>
              <w:top w:val="nil"/>
              <w:left w:val="nil"/>
              <w:bottom w:val="nil"/>
              <w:right w:val="nil"/>
            </w:tcBorders>
          </w:tcPr>
          <w:p>
            <w:pPr>
              <w:pStyle w:val="Normal6a"/>
            </w:pPr>
            <w:r>
              <w:t>4.</w:t>
            </w:r>
            <w:r>
              <w:tab/>
            </w:r>
            <w:r>
              <w:t xml:space="preserve">Where a national cybersecurity certification authority receives a request pursuant to paragraph 3, it shall inform the national cybersecurity certification authority of the Member State in which the requesting conformity assessment body is established. In such cases, the national cybersecurity certification authority of that Member State </w:t>
            </w:r>
            <w:r>
              <w:rPr>
                <w:b/>
                <w:i/>
              </w:rPr>
              <w:t>shall be involved</w:t>
            </w:r>
            <w:r>
              <w:t xml:space="preserve"> in the authorisation </w:t>
            </w:r>
            <w:r>
              <w:rPr>
                <w:b/>
                <w:i/>
              </w:rPr>
              <w:t>and may submit reasoned observations prior to the adoption of the authorisation decision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686</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92 – 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The Commission is empowered to adopt implementing acts to lay down the procedures, including on cross-border cooperation, for authorisation of conformity assessment bodies. In the preparation process of implementing acts, the Commission shall consult ENISA and the ECCG. Those implementing acts shall be adopted in accordance with the examination procedure referred to in Article 118(2).</w:t>
            </w:r>
          </w:p>
        </w:tc>
        <w:tc>
          <w:tcPr>
            <w:tcW w:w="4876" w:type="dxa"/>
            <w:tcBorders>
              <w:top w:val="nil"/>
              <w:left w:val="nil"/>
              <w:bottom w:val="nil"/>
              <w:right w:val="nil"/>
            </w:tcBorders>
          </w:tcPr>
          <w:p>
            <w:pPr>
              <w:pStyle w:val="Normal6a"/>
            </w:pPr>
            <w:r>
              <w:t>8.</w:t>
            </w:r>
            <w:r>
              <w:tab/>
            </w:r>
            <w:r>
              <w:t xml:space="preserve">The Commission is empowered to adopt implementing acts to lay down the procedures, including on cross-border cooperation, for authorisation of conformity assessment bodies. In the preparation process of implementing acts, the Commission shall consult ENISA and the ECCG. Those implementing acts </w:t>
            </w:r>
            <w:r>
              <w:rPr>
                <w:b/>
                <w:i/>
              </w:rPr>
              <w:t>must not lead to any infringement of the competences of the national cybersecurity certification authorities or allow the issuance of certificates at assurance level ‘high’ by conformity assessment bodies.</w:t>
            </w:r>
            <w:r>
              <w:t xml:space="preserve"> </w:t>
            </w:r>
            <w:r>
              <w:rPr>
                <w:b/>
                <w:i/>
              </w:rPr>
              <w:t>Those implementing acts</w:t>
            </w:r>
            <w:r>
              <w:t xml:space="preserve"> shall be adopted in accordance with the examination procedure referred to in Article 118(2).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687</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93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For each European cybersecurity certification scheme, the national cybersecurity certification authorities of a Member State shall notify the Commission and the other Member States of the conformity assessment bodies that have been accredited and, where applicable, authorised pursuant to Article 92.</w:t>
            </w:r>
          </w:p>
        </w:tc>
        <w:tc>
          <w:tcPr>
            <w:tcW w:w="4876" w:type="dxa"/>
            <w:tcBorders>
              <w:top w:val="nil"/>
              <w:left w:val="nil"/>
              <w:bottom w:val="nil"/>
              <w:right w:val="nil"/>
            </w:tcBorders>
          </w:tcPr>
          <w:p>
            <w:pPr>
              <w:pStyle w:val="Normal6a"/>
            </w:pPr>
            <w:r>
              <w:t>1.</w:t>
            </w:r>
            <w:r>
              <w:tab/>
            </w:r>
            <w:r>
              <w:t>For each European cybersecurity certification scheme, the national cybersecurity certification authorities of a Member State shall notify the Commission and the other Member States of the conformity assessment bodies that have been accredited and, where applicable, authorised pursuant to Article 92</w:t>
            </w:r>
            <w:r>
              <w:rPr>
                <w:b/>
                <w:i/>
              </w:rPr>
              <w:t>, specifying the scope of accreditation or authorisation, the relevant tasks and the assurance levels to which they pertain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688</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András Gyürk,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94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The Commission shall </w:t>
            </w:r>
            <w:r>
              <w:rPr>
                <w:b/>
                <w:i/>
              </w:rPr>
              <w:t>investigate</w:t>
            </w:r>
            <w:r>
              <w:t xml:space="preserve"> any cases in which it has doubts, or is made aware of doubts about the competence of a conformity assessment body to meet, or the continued fulfilment by a conformity assessment body of, the requirements and responsibilities to which it is subject.</w:t>
            </w:r>
          </w:p>
        </w:tc>
        <w:tc>
          <w:tcPr>
            <w:tcW w:w="4876" w:type="dxa"/>
            <w:tcBorders>
              <w:top w:val="nil"/>
              <w:left w:val="nil"/>
              <w:bottom w:val="nil"/>
              <w:right w:val="nil"/>
            </w:tcBorders>
          </w:tcPr>
          <w:p>
            <w:pPr>
              <w:pStyle w:val="Normal6a"/>
            </w:pPr>
            <w:r>
              <w:t>1.</w:t>
            </w:r>
            <w:r>
              <w:tab/>
            </w:r>
            <w:r>
              <w:t xml:space="preserve">The Commission shall </w:t>
            </w:r>
            <w:r>
              <w:rPr>
                <w:b/>
                <w:i/>
              </w:rPr>
              <w:t>examine, in cooperation with the competent national cybersecurity certification authority and the ECCG,</w:t>
            </w:r>
            <w:r>
              <w:t xml:space="preserve"> any cases in which it has doubts, or is made aware of doubts about the competence of a conformity assessment body to meet, or the continued fulfilment by a conformity assessment body of, the requirements and responsibilities to which it is subject.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689</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94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The national cybersecurity certification authority shall provide the Commission, on request, with all information relating to the basis for the notification or the maintenance of the competence of the conformity assessment body concerned.</w:t>
            </w:r>
          </w:p>
        </w:tc>
        <w:tc>
          <w:tcPr>
            <w:tcW w:w="4876" w:type="dxa"/>
            <w:tcBorders>
              <w:top w:val="nil"/>
              <w:left w:val="nil"/>
              <w:bottom w:val="nil"/>
              <w:right w:val="nil"/>
            </w:tcBorders>
          </w:tcPr>
          <w:p>
            <w:pPr>
              <w:pStyle w:val="Normal6a"/>
            </w:pPr>
            <w:r>
              <w:t>2.</w:t>
            </w:r>
            <w:r>
              <w:tab/>
            </w:r>
            <w:r>
              <w:t xml:space="preserve">The national cybersecurity certification authority shall provide the Commission, on request, with all information relating to the basis for the notification or the maintenance of the competence of the conformity assessment body concerned </w:t>
            </w:r>
            <w:r>
              <w:rPr>
                <w:b/>
                <w:i/>
              </w:rPr>
              <w:t>which is strictly necessary for the examination referred to in paragraph 1, without prejudice to national rules on the protection of classified information, sensitive information, unpatched vulnerabilities and the Member States’ essential security interests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690</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94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The Commission shall ensure that all sensitive information obtained in the course of its </w:t>
            </w:r>
            <w:r>
              <w:rPr>
                <w:b/>
                <w:i/>
              </w:rPr>
              <w:t>investigations</w:t>
            </w:r>
            <w:r>
              <w:t xml:space="preserve"> is treated confidentially.</w:t>
            </w:r>
          </w:p>
        </w:tc>
        <w:tc>
          <w:tcPr>
            <w:tcW w:w="4876" w:type="dxa"/>
            <w:tcBorders>
              <w:top w:val="nil"/>
              <w:left w:val="nil"/>
              <w:bottom w:val="nil"/>
              <w:right w:val="nil"/>
            </w:tcBorders>
          </w:tcPr>
          <w:p>
            <w:pPr>
              <w:pStyle w:val="Normal6a"/>
            </w:pPr>
            <w:r>
              <w:t>3.</w:t>
            </w:r>
            <w:r>
              <w:tab/>
            </w:r>
            <w:r>
              <w:t xml:space="preserve">The Commission shall ensure that all sensitive information obtained in the course of its </w:t>
            </w:r>
            <w:r>
              <w:rPr>
                <w:b/>
                <w:i/>
              </w:rPr>
              <w:t>examinations</w:t>
            </w:r>
            <w:r>
              <w:t xml:space="preserve"> is treated confidentially.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691</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94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Where the Commission </w:t>
            </w:r>
            <w:r>
              <w:rPr>
                <w:b/>
                <w:i/>
              </w:rPr>
              <w:t>ascertains</w:t>
            </w:r>
            <w:r>
              <w:t xml:space="preserve"> that a conformity assessment body does not meet or no longer meets the requirements for its notification, it shall inform the national cybersecurity certification authority accordingly and request it to take the necessary corrective measures, including de-notification if necessary.</w:t>
            </w:r>
          </w:p>
        </w:tc>
        <w:tc>
          <w:tcPr>
            <w:tcW w:w="4876" w:type="dxa"/>
            <w:tcBorders>
              <w:top w:val="nil"/>
              <w:left w:val="nil"/>
              <w:bottom w:val="nil"/>
              <w:right w:val="nil"/>
            </w:tcBorders>
          </w:tcPr>
          <w:p>
            <w:pPr>
              <w:pStyle w:val="Normal6a"/>
            </w:pPr>
            <w:r>
              <w:t>4.</w:t>
            </w:r>
            <w:r>
              <w:tab/>
            </w:r>
            <w:r>
              <w:t xml:space="preserve">Where the Commission </w:t>
            </w:r>
            <w:r>
              <w:rPr>
                <w:b/>
                <w:i/>
              </w:rPr>
              <w:t>believes, on the basis of the examination referred to in paragraph 1,</w:t>
            </w:r>
            <w:r>
              <w:t xml:space="preserve"> that a conformity assessment body does not meet or no longer meets the requirements for its notification, it shall inform the national cybersecurity certification authority accordingly and request it to take the necessary corrective measures, including de-notification if necessary. </w:t>
            </w:r>
            <w:r>
              <w:rPr>
                <w:b/>
                <w:i/>
              </w:rPr>
              <w:t>The competent national cybersecurity certification authority shall remain responsible for the decision on corrective measures, in accordance with this Regulation and the applicable national law.</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692</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95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Conformity assessment bodies shall also provide ENISA with the information referred to in paragraph 1 point (a) in view of facilitating the performance of its task under Article 79.</w:t>
            </w:r>
          </w:p>
        </w:tc>
        <w:tc>
          <w:tcPr>
            <w:tcW w:w="4876" w:type="dxa"/>
            <w:tcBorders>
              <w:top w:val="nil"/>
              <w:left w:val="nil"/>
              <w:bottom w:val="nil"/>
              <w:right w:val="nil"/>
            </w:tcBorders>
          </w:tcPr>
          <w:p>
            <w:pPr>
              <w:pStyle w:val="Normal6a"/>
            </w:pPr>
            <w:r>
              <w:t>2.</w:t>
            </w:r>
            <w:r>
              <w:tab/>
            </w:r>
            <w:r>
              <w:t>Conformity assessment bodies shall also provide ENISA with the information referred to in paragraph 1 point (a) in view of facilitating the performance of its task under Article 79</w:t>
            </w:r>
            <w:r>
              <w:rPr>
                <w:b/>
                <w:i/>
              </w:rPr>
              <w:t>, after having provided said information to the competent national cybersecurity certification authority and without prejudice to the applicable rules on the protection of classified information, sensitive information, unpatched vulnerabilities and the Member States’ essential security interests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693</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95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Conformity assessment bodies shall provide the other conformity assessment bodies under this Regulation carrying out similar conformity assessment activities covering the same ICT products, ICT services</w:t>
            </w:r>
            <w:r>
              <w:rPr>
                <w:b/>
                <w:i/>
              </w:rPr>
              <w:t>,</w:t>
            </w:r>
            <w:r>
              <w:t xml:space="preserve"> ICT processes</w:t>
            </w:r>
            <w:r>
              <w:rPr>
                <w:b/>
                <w:i/>
              </w:rPr>
              <w:t>, managed security services or entities the cyber posture of which is certified</w:t>
            </w:r>
            <w:r>
              <w:t xml:space="preserve"> without undue delay with relevant information on issues relating to negative and, upon request, positive conformity assessment results.</w:t>
            </w:r>
          </w:p>
        </w:tc>
        <w:tc>
          <w:tcPr>
            <w:tcW w:w="4876" w:type="dxa"/>
            <w:tcBorders>
              <w:top w:val="nil"/>
              <w:left w:val="nil"/>
              <w:bottom w:val="nil"/>
              <w:right w:val="nil"/>
            </w:tcBorders>
          </w:tcPr>
          <w:p>
            <w:pPr>
              <w:pStyle w:val="Normal6a"/>
            </w:pPr>
            <w:r>
              <w:t>3.</w:t>
            </w:r>
            <w:r>
              <w:tab/>
            </w:r>
            <w:r>
              <w:t xml:space="preserve">Conformity assessment bodies shall provide the other conformity assessment bodies under this Regulation carrying out similar conformity assessment activities covering the same ICT products, ICT services </w:t>
            </w:r>
            <w:r>
              <w:rPr>
                <w:b/>
                <w:i/>
              </w:rPr>
              <w:t>or</w:t>
            </w:r>
            <w:r>
              <w:t xml:space="preserve"> ICT processes without undue delay with relevant </w:t>
            </w:r>
            <w:r>
              <w:rPr>
                <w:b/>
                <w:i/>
              </w:rPr>
              <w:t>and strictly necessary</w:t>
            </w:r>
            <w:r>
              <w:t xml:space="preserve"> information on issues relating to negative and, upon request, positive conformity assessment results</w:t>
            </w:r>
            <w:r>
              <w:rPr>
                <w:b/>
                <w:i/>
              </w:rPr>
              <w:t>, excluding any communication of information where said information is likely to be obtained by an authority in a third country in application of an extraterritorial law</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694</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96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Natural and legal persons shall have the right to lodge a complaint with the issuer of a European cybersecurity certificate or, where the complaint relates to a European cybersecurity certificate issued by a conformity assessment body when acting in accordance with Article </w:t>
            </w:r>
            <w:r>
              <w:rPr>
                <w:b/>
                <w:i/>
              </w:rPr>
              <w:t>85(4)</w:t>
            </w:r>
            <w:r>
              <w:t>, with the relevant national cybersecurity certification authority.</w:t>
            </w:r>
          </w:p>
        </w:tc>
        <w:tc>
          <w:tcPr>
            <w:tcW w:w="4876" w:type="dxa"/>
            <w:tcBorders>
              <w:top w:val="nil"/>
              <w:left w:val="nil"/>
              <w:bottom w:val="nil"/>
              <w:right w:val="nil"/>
            </w:tcBorders>
          </w:tcPr>
          <w:p>
            <w:pPr>
              <w:pStyle w:val="Normal6a"/>
            </w:pPr>
            <w:r>
              <w:t>1.</w:t>
            </w:r>
            <w:r>
              <w:tab/>
            </w:r>
            <w:r>
              <w:t xml:space="preserve">Natural and legal persons shall have the right to lodge a complaint with the issuer of a European cybersecurity certificate or, where the complaint relates to a European cybersecurity certificate issued by a conformity assessment body when acting in accordance with Article </w:t>
            </w:r>
            <w:r>
              <w:rPr>
                <w:b/>
                <w:i/>
              </w:rPr>
              <w:t>85(3), point (b)</w:t>
            </w:r>
            <w:r>
              <w:t>, with the relevant national cybersecurity certification authority.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695</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97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Member States shall lay down the rules on penalties applicable to infringements of this Title and to infringements of European cybersecurity certification schemes, and shall take all measures necessary to ensure that they are implemented. The penalties provided for shall be effective, proportionate and dissuasive. Member States shall without delay notify the Commission of those rules and of those measures and shall notify it of any subsequent amendment affecting them.</w:t>
            </w:r>
          </w:p>
        </w:tc>
        <w:tc>
          <w:tcPr>
            <w:tcW w:w="4876" w:type="dxa"/>
            <w:tcBorders>
              <w:top w:val="nil"/>
              <w:left w:val="nil"/>
              <w:bottom w:val="nil"/>
              <w:right w:val="nil"/>
            </w:tcBorders>
          </w:tcPr>
          <w:p>
            <w:pPr>
              <w:pStyle w:val="Normal6a"/>
            </w:pPr>
            <w:r>
              <w:t xml:space="preserve">Member States shall lay down the rules on penalties applicable to infringements of this Title and to infringements of European cybersecurity certification schemes, and shall take all measures necessary to ensure that they are implemented. The penalties provided for shall be effective, proportionate and dissuasive. </w:t>
            </w:r>
            <w:r>
              <w:rPr>
                <w:b/>
                <w:i/>
              </w:rPr>
              <w:t>With a view to determining the nature and level of the penalties, the Member States shall, where applicable, take into account the seriousness, duration and intentional or negligent nature of the infringement, the steps taken to address it, the size and financial situation of the entity in question, and the impact of the infringement on national security, critical infrastructures, essential services or the Member States’ essential security interests.</w:t>
            </w:r>
            <w:r>
              <w:t xml:space="preserve"> Member States shall without delay notify the Commission of those rules and of those measures and shall notify it of any subsequent amendment affecting them.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696</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98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The trusted ICT supply chain framework shall provide for a security mechanism at Union level to address non-technical risks in sectors of high criticality and other critical sectors as referred to in Directive (EU) 2022/2555. The mechanism shall identify key ICT assets in critical ICT supply chains and set out appropriate and proportionate mitigation measures on entities of the type referred to in Annexes I and II to Directive (EU) 2022/2555.</w:t>
            </w:r>
          </w:p>
        </w:tc>
        <w:tc>
          <w:tcPr>
            <w:tcW w:w="4876" w:type="dxa"/>
            <w:tcBorders>
              <w:top w:val="nil"/>
              <w:left w:val="nil"/>
              <w:bottom w:val="nil"/>
              <w:right w:val="nil"/>
            </w:tcBorders>
          </w:tcPr>
          <w:p>
            <w:pPr>
              <w:pStyle w:val="Normal6a"/>
            </w:pPr>
            <w:r>
              <w:t>1.</w:t>
            </w:r>
            <w:r>
              <w:tab/>
            </w:r>
            <w:r>
              <w:t>The trusted ICT supply chain framework shall provide for a security mechanism at Union level to address non-technical risks in sectors of high criticality and other critical sectors as referred to in Directive (EU) 2022/2555. The mechanism shall identify key ICT assets in critical ICT supply chains and set out appropriate and proportionate mitigation measures on entities of the type referred to in Annexes I and II to Directive (EU) 2022/2555</w:t>
            </w:r>
            <w:r>
              <w:rPr>
                <w:b/>
                <w:i/>
              </w:rPr>
              <w:t>, without prejudice to the exclusive responsibility of the Member States as regards national security, in accordance with Article 1 of this Regulation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697</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98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The trusted ICT supply chain framework shall provide for a </w:t>
            </w:r>
            <w:r>
              <w:rPr>
                <w:b/>
                <w:i/>
              </w:rPr>
              <w:t>security</w:t>
            </w:r>
            <w:r>
              <w:t xml:space="preserve"> mechanism at Union level to address non-technical risks in sectors of high criticality and other critical sectors as referred to in Directive (EU) 2022/2555. The mechanism shall identify key ICT assets in critical ICT supply chains and set out appropriate and proportionate mitigation measures on entities of the type referred to in Annexes I and II to Directive (EU) 2022/2555.</w:t>
            </w:r>
          </w:p>
        </w:tc>
        <w:tc>
          <w:tcPr>
            <w:tcW w:w="4876" w:type="dxa"/>
            <w:tcBorders>
              <w:top w:val="nil"/>
              <w:left w:val="nil"/>
              <w:bottom w:val="nil"/>
              <w:right w:val="nil"/>
            </w:tcBorders>
          </w:tcPr>
          <w:p>
            <w:pPr>
              <w:pStyle w:val="Normal6a"/>
            </w:pPr>
            <w:r>
              <w:t>1.</w:t>
            </w:r>
            <w:r>
              <w:tab/>
            </w:r>
            <w:r>
              <w:t xml:space="preserve">The trusted ICT supply chain framework shall provide for a </w:t>
            </w:r>
            <w:r>
              <w:rPr>
                <w:b/>
                <w:i/>
              </w:rPr>
              <w:t>harmonisation</w:t>
            </w:r>
            <w:r>
              <w:t xml:space="preserve"> mechanism at Union level to address </w:t>
            </w:r>
            <w:r>
              <w:rPr>
                <w:b/>
                <w:i/>
              </w:rPr>
              <w:t>Member States’ national security measures on</w:t>
            </w:r>
            <w:r>
              <w:t xml:space="preserve"> non-technical risks in sectors of high criticality and other critical sectors as referred to in Directive (EU) 2022/2555. The mechanism shall identify key ICT assets in critical ICT supply chains and set out appropriate and proportionate mitigation measures on entities of the type referred to in Annexes I and II to Directive (EU) 2022/2555.</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framework should harmonise the divergent national approaches to non-technical risks, establishing a common baseline.</w:t>
      </w:r>
    </w:p>
    <w:p>
      <w:r>
        <w:rPr>
          <w:rStyle w:val="HideTWBExt"/>
        </w:rPr>
        <w:t>&lt;/Amend&gt;</w:t>
      </w:r>
    </w:p>
    <w:p>
      <w:pPr>
        <w:pStyle w:val="AmNumberTabs"/>
      </w:pPr>
      <w:r>
        <w:rPr>
          <w:rStyle w:val="HideTWBExt"/>
        </w:rPr>
        <w:t>&lt;Amend&gt;</w:t>
      </w:r>
      <w:r>
        <w:t>Amendment</w:t>
      </w:r>
      <w:r>
        <w:tab/>
      </w:r>
      <w:r>
        <w:tab/>
      </w:r>
      <w:r>
        <w:rPr>
          <w:rStyle w:val="HideTWBExt"/>
        </w:rPr>
        <w:t>&lt;NumAm&gt;</w:t>
      </w:r>
      <w:r>
        <w:t>698</w:t>
      </w:r>
      <w:r>
        <w:rPr>
          <w:rStyle w:val="HideTWBExt"/>
        </w:rPr>
        <w:t>&lt;/NumAm&gt;</w:t>
      </w:r>
    </w:p>
    <w:p>
      <w:pPr>
        <w:pStyle w:val="NormalBold"/>
      </w:pPr>
      <w:r>
        <w:rPr>
          <w:rStyle w:val="HideTWBExt"/>
          <w:b w:val="0"/>
        </w:rPr>
        <w:t>&lt;RepeatBlock-By&gt;</w:t>
      </w:r>
      <w:r>
        <w:rPr>
          <w:rStyle w:val="HideTWBExt"/>
          <w:b w:val="0"/>
        </w:rPr>
        <w:t>&lt;Members&gt;</w:t>
      </w:r>
      <w:r>
        <w:t>Krzysztof Hetman, Mirosława Nykiel, Adam Jarubas, Kamila Gasiuk-Pihowicz,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98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The </w:t>
            </w:r>
            <w:r>
              <w:rPr>
                <w:b/>
                <w:i/>
              </w:rPr>
              <w:t>trusted</w:t>
            </w:r>
            <w:r>
              <w:t xml:space="preserve"> ICT supply chain framework shall </w:t>
            </w:r>
            <w:r>
              <w:rPr>
                <w:b/>
                <w:i/>
              </w:rPr>
              <w:t>provide for a security mechanism at Union level to</w:t>
            </w:r>
            <w:r>
              <w:t xml:space="preserve"> address non-technical risks in sectors of high criticality and other critical sectors as referred to in Directive (EU) 2022/2555. The </w:t>
            </w:r>
            <w:r>
              <w:rPr>
                <w:b/>
                <w:i/>
              </w:rPr>
              <w:t>mechanism</w:t>
            </w:r>
            <w:r>
              <w:t xml:space="preserve"> shall identify key ICT assets in critical ICT supply chains and set out appropriate and proportionate </w:t>
            </w:r>
            <w:r>
              <w:rPr>
                <w:b/>
                <w:i/>
              </w:rPr>
              <w:t>mitigation</w:t>
            </w:r>
            <w:r>
              <w:t xml:space="preserve"> measures </w:t>
            </w:r>
            <w:r>
              <w:rPr>
                <w:b/>
                <w:i/>
              </w:rPr>
              <w:t>on</w:t>
            </w:r>
            <w:r>
              <w:t xml:space="preserve"> entities </w:t>
            </w:r>
            <w:r>
              <w:rPr>
                <w:b/>
                <w:i/>
              </w:rPr>
              <w:t>of the type referred to in Annexes I and II to</w:t>
            </w:r>
            <w:r>
              <w:t xml:space="preserve"> Directive (EU) 2022/2555.</w:t>
            </w:r>
          </w:p>
        </w:tc>
        <w:tc>
          <w:tcPr>
            <w:tcW w:w="4876" w:type="dxa"/>
            <w:tcBorders>
              <w:top w:val="nil"/>
              <w:left w:val="nil"/>
              <w:bottom w:val="nil"/>
              <w:right w:val="nil"/>
            </w:tcBorders>
          </w:tcPr>
          <w:p>
            <w:pPr>
              <w:pStyle w:val="Normal6a"/>
            </w:pPr>
            <w:r>
              <w:t>1.</w:t>
            </w:r>
            <w:r>
              <w:tab/>
            </w:r>
            <w:r>
              <w:t xml:space="preserve">The ICT supply chain </w:t>
            </w:r>
            <w:r>
              <w:rPr>
                <w:b/>
                <w:i/>
              </w:rPr>
              <w:t>security</w:t>
            </w:r>
            <w:r>
              <w:t xml:space="preserve"> framework shall </w:t>
            </w:r>
            <w:r>
              <w:rPr>
                <w:b/>
                <w:i/>
              </w:rPr>
              <w:t>identify and</w:t>
            </w:r>
            <w:r>
              <w:t xml:space="preserve"> address non-technical risks </w:t>
            </w:r>
            <w:r>
              <w:rPr>
                <w:b/>
                <w:i/>
              </w:rPr>
              <w:t>in critical ICT supply chains</w:t>
            </w:r>
            <w:r>
              <w:t xml:space="preserve"> in sectors of high criticality and other critical sectors as referred to in Directive (EU) 2022/2555. The </w:t>
            </w:r>
            <w:r>
              <w:rPr>
                <w:b/>
                <w:i/>
              </w:rPr>
              <w:t>framework</w:t>
            </w:r>
            <w:r>
              <w:t xml:space="preserve"> shall identify key ICT assets in </w:t>
            </w:r>
            <w:r>
              <w:rPr>
                <w:b/>
                <w:i/>
              </w:rPr>
              <w:t>those</w:t>
            </w:r>
            <w:r>
              <w:t xml:space="preserve"> critical ICT supply chains and set out appropriate and proportionate measures </w:t>
            </w:r>
            <w:r>
              <w:rPr>
                <w:b/>
                <w:i/>
              </w:rPr>
              <w:t>to address those risks for</w:t>
            </w:r>
            <w:r>
              <w:t xml:space="preserve"> entities </w:t>
            </w:r>
            <w:r>
              <w:rPr>
                <w:b/>
                <w:i/>
              </w:rPr>
              <w:t>covered by the</w:t>
            </w:r>
            <w:r>
              <w:t xml:space="preserve"> Directive (EU) 2022/2555 </w:t>
            </w:r>
            <w:r>
              <w:rPr>
                <w:b/>
                <w:i/>
              </w:rPr>
              <w:t>as well as Union entities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699</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98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The trusted ICT supply chain framework shall provide for a security mechanism at Union level to address non-technical risks in sectors of high criticality and other critical sectors as referred to in Directive (EU) 2022/2555. The mechanism shall identify key ICT assets in critical ICT supply chains and set out appropriate and proportionate mitigation measures </w:t>
            </w:r>
            <w:r>
              <w:rPr>
                <w:b/>
                <w:i/>
              </w:rPr>
              <w:t>on</w:t>
            </w:r>
            <w:r>
              <w:t xml:space="preserve"> entities </w:t>
            </w:r>
            <w:r>
              <w:rPr>
                <w:b/>
                <w:i/>
              </w:rPr>
              <w:t>of the type referred to in Annexes I and II to Directive (EU) 2022/2555</w:t>
            </w:r>
            <w:r>
              <w:t>.</w:t>
            </w:r>
          </w:p>
        </w:tc>
        <w:tc>
          <w:tcPr>
            <w:tcW w:w="4876" w:type="dxa"/>
            <w:tcBorders>
              <w:top w:val="nil"/>
              <w:left w:val="nil"/>
              <w:bottom w:val="nil"/>
              <w:right w:val="nil"/>
            </w:tcBorders>
          </w:tcPr>
          <w:p>
            <w:pPr>
              <w:pStyle w:val="Normal6a"/>
            </w:pPr>
            <w:r>
              <w:t>1.</w:t>
            </w:r>
            <w:r>
              <w:tab/>
            </w:r>
            <w:r>
              <w:t>The trusted ICT supply chain framework shall provide for a security mechanism at Union level to address non-technical risks in sectors of high criticality and other critical sectors as referred to in Directive (EU) 2022/2555. The mechanism shall identify key ICT assets in critical ICT supply chains and set out appropriate and proportionate mitigation measures </w:t>
            </w:r>
            <w:r>
              <w:rPr>
                <w:b/>
                <w:i/>
              </w:rPr>
              <w:t>applicable to NIS2</w:t>
            </w:r>
            <w:r>
              <w:t xml:space="preserve"> entities </w:t>
            </w:r>
            <w:r>
              <w:rPr>
                <w:b/>
                <w:i/>
              </w:rPr>
              <w:t>as well as Union Entities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700</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98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The mechanism referred to in paragraph 1 shall ensure structured and timely consultation with relevant entities referred to in Annexes I and II to Directive (EU) 2022/2555, in particular when conducting security risk assessments, the identification of key ICT assets and high-risk suppliers, and the assessment of appropriate mitigating measures.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701</w:t>
      </w:r>
      <w:r>
        <w:rPr>
          <w:rStyle w:val="HideTWBExt"/>
        </w:rPr>
        <w:t>&lt;/NumAm&gt;</w:t>
      </w:r>
    </w:p>
    <w:p>
      <w:pPr>
        <w:pStyle w:val="NormalBold"/>
      </w:pPr>
      <w:r>
        <w:rPr>
          <w:rStyle w:val="HideTWBExt"/>
          <w:b w:val="0"/>
        </w:rPr>
        <w:t>&lt;RepeatBlock-By&gt;</w:t>
      </w:r>
      <w:r>
        <w:rPr>
          <w:rStyle w:val="HideTWBExt"/>
          <w:b w:val="0"/>
        </w:rPr>
        <w:t>&lt;Members&gt;</w:t>
      </w:r>
      <w:r>
        <w:t>Krzysztof Hetman, Mirosława Nykiel, Adam Jarubas, Kamila Gasiuk-Pihowicz,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98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The obligations set out in this Title shall be without prejudice to obligations set out in Article 13 of Regulation (EU) 2024/2847 and in national provisions transposing Article 21 of Directive (EU) 2022/2555.</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702</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98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The provisions laid down in this Chapter shall not preclude Member States from adopting or maintaining provisions ensuring a higher level of cybersecurity in ICT supply chains, provided that such provisions are consistent with their obligations under in Union law.</w:t>
            </w:r>
          </w:p>
        </w:tc>
        <w:tc>
          <w:tcPr>
            <w:tcW w:w="4876" w:type="dxa"/>
            <w:tcBorders>
              <w:top w:val="nil"/>
              <w:left w:val="nil"/>
              <w:bottom w:val="nil"/>
              <w:right w:val="nil"/>
            </w:tcBorders>
          </w:tcPr>
          <w:p>
            <w:pPr>
              <w:pStyle w:val="Normal6a"/>
            </w:pPr>
            <w:r>
              <w:t>3.</w:t>
            </w:r>
            <w:r>
              <w:tab/>
            </w:r>
            <w:r>
              <w:t>The provisions laid down in this Chapter shall not preclude Member States from adopting or maintaining provisions ensuring a higher level of cybersecurity in ICT supply chains, provided that such provisions are consistent with their obligations under in Union law</w:t>
            </w:r>
            <w:r>
              <w:rPr>
                <w:b/>
                <w:i/>
              </w:rPr>
              <w:t>, and provided that this condition does not stand in the way of the adoption or maintenance of the national measures necessary for the protection of the Member States’ national security, critical infrastructures, essential services or essential security interests, in accordance with Article 1 of this Regulation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703</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98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The provisions laid down in this Chapter shall not preclude Member States from adopting or maintaining provisions ensuring a higher level of cybersecurity in ICT supply chains, provided that such provisions are consistent with their obligations under </w:t>
            </w:r>
            <w:r>
              <w:rPr>
                <w:b/>
                <w:i/>
              </w:rPr>
              <w:t>in</w:t>
            </w:r>
            <w:r>
              <w:t xml:space="preserve"> Union law.</w:t>
            </w:r>
          </w:p>
        </w:tc>
        <w:tc>
          <w:tcPr>
            <w:tcW w:w="4876" w:type="dxa"/>
            <w:tcBorders>
              <w:top w:val="nil"/>
              <w:left w:val="nil"/>
              <w:bottom w:val="nil"/>
              <w:right w:val="nil"/>
            </w:tcBorders>
          </w:tcPr>
          <w:p>
            <w:pPr>
              <w:pStyle w:val="Normal6a"/>
            </w:pPr>
            <w:r>
              <w:t>3.</w:t>
            </w:r>
            <w:r>
              <w:tab/>
            </w:r>
            <w:r>
              <w:t xml:space="preserve">The provisions laid down in this Chapter </w:t>
            </w:r>
            <w:r>
              <w:rPr>
                <w:b/>
                <w:i/>
              </w:rPr>
              <w:t>shall establish a common baseline of harmonised requirements and</w:t>
            </w:r>
            <w:r>
              <w:t xml:space="preserve"> shall not preclude Member States from adopting or maintaining provisions ensuring a higher level of cybersecurity in ICT supply chains, provided that such provisions are consistent with their obligations under Union law </w:t>
            </w:r>
            <w:r>
              <w:rPr>
                <w:b/>
                <w:i/>
              </w:rPr>
              <w:t>and are based on duly justified national risk and impact assessments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Harmonised requirements set a common baseline; stricter national measures remain possible where based on national risk and impact assessments.</w:t>
      </w:r>
    </w:p>
    <w:p>
      <w:r>
        <w:rPr>
          <w:rStyle w:val="HideTWBExt"/>
        </w:rPr>
        <w:t>&lt;/Amend&gt;</w:t>
      </w:r>
    </w:p>
    <w:p>
      <w:pPr>
        <w:pStyle w:val="AmNumberTabs"/>
      </w:pPr>
      <w:r>
        <w:rPr>
          <w:rStyle w:val="HideTWBExt"/>
        </w:rPr>
        <w:t>&lt;Amend&gt;</w:t>
      </w:r>
      <w:r>
        <w:t>Amendment</w:t>
      </w:r>
      <w:r>
        <w:tab/>
      </w:r>
      <w:r>
        <w:tab/>
      </w:r>
      <w:r>
        <w:rPr>
          <w:rStyle w:val="HideTWBExt"/>
        </w:rPr>
        <w:t>&lt;NumAm&gt;</w:t>
      </w:r>
      <w:r>
        <w:t>704</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98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The provisions laid down in this Chapter shall not preclude Member States from adopting or maintaining provisions ensuring a higher level of cybersecurity in ICT supply chains, provided that such provisions are consistent with their obligations under </w:t>
            </w:r>
            <w:r>
              <w:rPr>
                <w:b/>
                <w:i/>
              </w:rPr>
              <w:t>in</w:t>
            </w:r>
            <w:r>
              <w:t xml:space="preserve"> Union law.</w:t>
            </w:r>
          </w:p>
        </w:tc>
        <w:tc>
          <w:tcPr>
            <w:tcW w:w="4876" w:type="dxa"/>
            <w:tcBorders>
              <w:top w:val="nil"/>
              <w:left w:val="nil"/>
              <w:bottom w:val="nil"/>
              <w:right w:val="nil"/>
            </w:tcBorders>
          </w:tcPr>
          <w:p>
            <w:pPr>
              <w:pStyle w:val="Normal6a"/>
            </w:pPr>
            <w:r>
              <w:t>3.</w:t>
            </w:r>
            <w:r>
              <w:tab/>
            </w:r>
            <w:r>
              <w:t>The provisions laid down in this Chapter shall not preclude Member States from adopting or maintaining provisions ensuring a higher level of cybersecurity in ICT supply chains, provided that such provisions are consistent with their obligations under Union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705</w:t>
      </w:r>
      <w:r>
        <w:rPr>
          <w:rStyle w:val="HideTWBExt"/>
        </w:rPr>
        <w:t>&lt;/NumAm&gt;</w:t>
      </w:r>
    </w:p>
    <w:p>
      <w:pPr>
        <w:pStyle w:val="NormalBold"/>
      </w:pPr>
      <w:r>
        <w:rPr>
          <w:rStyle w:val="HideTWBExt"/>
          <w:b w:val="0"/>
        </w:rPr>
        <w:t>&lt;RepeatBlock-By&gt;</w:t>
      </w:r>
      <w:r>
        <w:rPr>
          <w:rStyle w:val="HideTWBExt"/>
          <w:b w:val="0"/>
        </w:rPr>
        <w:t>&lt;Members&gt;</w:t>
      </w:r>
      <w:r>
        <w:t>Krzysztof Hetman, Mirosława Nykiel, Adam Jarubas, Kamila Gasiuk-Pihowicz,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99 – paragraph -1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The Commission may propose a request to the Council on possible measures to mitigate the non-technical risks. The request should include identification of the proposed high risk supplier, identification of the key ICT assets of the respective ICT supply chain as well as the justification for the request. The request shall be discussed in the Council.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706</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99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The Commission </w:t>
            </w:r>
            <w:r>
              <w:rPr>
                <w:b/>
                <w:i/>
              </w:rPr>
              <w:t>or</w:t>
            </w:r>
            <w:r>
              <w:t xml:space="preserve"> a group of at least three Member States may request the Cooperation Group established by Article 14 of Directive (EU) 2022/2555 (‘NIS Cooperation Group’) to conduct the Union-level coordinated security risk assessments in accordance with Article 22 of that Directive. Where a security risk assessment is conducted following such request, it shall include </w:t>
            </w:r>
            <w:r>
              <w:rPr>
                <w:b/>
                <w:i/>
              </w:rPr>
              <w:t>in particular</w:t>
            </w:r>
            <w:r>
              <w:t xml:space="preserve"> the proposed identification of the key ICT assets of the respective ICT supply chain as well as the main threat actors, risks and vulnerabilities affecting those assets. The Union-level coordinated security risk assessments shall develop risk scenarios and propose measures to mitigate the identified risks.</w:t>
            </w:r>
          </w:p>
        </w:tc>
        <w:tc>
          <w:tcPr>
            <w:tcW w:w="4876" w:type="dxa"/>
            <w:tcBorders>
              <w:top w:val="nil"/>
              <w:left w:val="nil"/>
              <w:bottom w:val="nil"/>
              <w:right w:val="nil"/>
            </w:tcBorders>
          </w:tcPr>
          <w:p>
            <w:pPr>
              <w:pStyle w:val="Normal6a"/>
            </w:pPr>
            <w:r>
              <w:t>1.</w:t>
            </w:r>
            <w:r>
              <w:tab/>
            </w:r>
            <w:r>
              <w:t xml:space="preserve">The Commission </w:t>
            </w:r>
            <w:r>
              <w:rPr>
                <w:b/>
                <w:i/>
              </w:rPr>
              <w:t>and</w:t>
            </w:r>
            <w:r>
              <w:t xml:space="preserve"> a group of at least three Member States</w:t>
            </w:r>
            <w:r>
              <w:rPr>
                <w:b/>
                <w:i/>
              </w:rPr>
              <w:t>, where there is sufficient reason to believe that a significant non-technical cybersecurity risk for the Union in relation to an ICT supply chain exists,</w:t>
            </w:r>
            <w:r>
              <w:t xml:space="preserve"> may request the Cooperation Group established by Article 14 of Directive (EU) 2022/2555 (‘NIS Cooperation Group’) to conduct the Union-level coordinated security risk assessments in accordance with Article 22 of that Directive. </w:t>
            </w:r>
            <w:r>
              <w:rPr>
                <w:b/>
                <w:i/>
              </w:rPr>
              <w:t>The risk assessment shall be carried out in collaboration with the entities concerned in the sector identified, throughout the process, taking utmost account of their comments.</w:t>
            </w:r>
            <w:r>
              <w:t xml:space="preserve"> Where a security risk assessment is conducted following such request, it shall </w:t>
            </w:r>
            <w:r>
              <w:rPr>
                <w:b/>
                <w:i/>
              </w:rPr>
              <w:t>always</w:t>
            </w:r>
            <w:r>
              <w:t xml:space="preserve"> include the proposed identification of the key ICT assets of the respective ICT supply chain as well as the main threat actors, risks and vulnerabilities affecting those assets. </w:t>
            </w:r>
            <w:r>
              <w:rPr>
                <w:b/>
                <w:i/>
              </w:rPr>
              <w:t>Such assessments shall be based on objective, verifiable and evidence-based criteria and shall ensure a comprehensive, risk-based evaluation of the ICT supply chain.</w:t>
            </w:r>
            <w:r>
              <w:t xml:space="preserve"> The Union-level coordinated security risk assessments shall develop risk scenarios and propose measures to mitigate the identified risks.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Risk assessments underpinning restrictions should be evidence-based and involve the entities concerned.</w:t>
      </w:r>
    </w:p>
    <w:p>
      <w:r>
        <w:rPr>
          <w:rStyle w:val="HideTWBExt"/>
        </w:rPr>
        <w:t>&lt;/Amend&gt;</w:t>
      </w:r>
    </w:p>
    <w:p>
      <w:pPr>
        <w:pStyle w:val="AmNumberTabs"/>
      </w:pPr>
      <w:r>
        <w:rPr>
          <w:rStyle w:val="HideTWBExt"/>
        </w:rPr>
        <w:t>&lt;Amend&gt;</w:t>
      </w:r>
      <w:r>
        <w:t>Amendment</w:t>
      </w:r>
      <w:r>
        <w:tab/>
      </w:r>
      <w:r>
        <w:tab/>
      </w:r>
      <w:r>
        <w:rPr>
          <w:rStyle w:val="HideTWBExt"/>
        </w:rPr>
        <w:t>&lt;NumAm&gt;</w:t>
      </w:r>
      <w:r>
        <w:t>707</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99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The Commission or a group of at least three Member States may request the Cooperation Group established by Article 14 of Directive (EU) 2022/2555 (‘NIS Cooperation Group’) to conduct the Union-level coordinated security risk assessments in accordance with Article 22 of that Directive. Where a security risk assessment is conducted following such request, it shall include in particular the proposed identification of the key ICT assets of the respective ICT supply chain as well as the main threat actors, risks and vulnerabilities affecting those assets. The Union-level coordinated security risk assessments shall develop risk scenarios and propose measures to mitigate the identified risks.</w:t>
            </w:r>
          </w:p>
        </w:tc>
        <w:tc>
          <w:tcPr>
            <w:tcW w:w="4876" w:type="dxa"/>
            <w:tcBorders>
              <w:top w:val="nil"/>
              <w:left w:val="nil"/>
              <w:bottom w:val="nil"/>
              <w:right w:val="nil"/>
            </w:tcBorders>
          </w:tcPr>
          <w:p>
            <w:pPr>
              <w:pStyle w:val="Normal6a"/>
            </w:pPr>
            <w:r>
              <w:t>1.</w:t>
            </w:r>
            <w:r>
              <w:tab/>
            </w:r>
            <w:r>
              <w:t xml:space="preserve">The Commission or a group of at least three Member States may request the Cooperation Group established by Article 14 of Directive (EU) 2022/2555 (‘NIS Cooperation Group’) to conduct the Union-level coordinated security risk assessments in accordance with Article 22 of that Directive. Where a security risk assessment is conducted following such request, it shall include in particular the proposed identification of the key ICT assets of the respective ICT supply chain as well as the main threat actors, risks and vulnerabilities affecting those assets. The Union-level coordinated security risk assessments shall develop risk scenarios and propose measures to mitigate the identified risks. </w:t>
            </w:r>
            <w:r>
              <w:rPr>
                <w:b/>
                <w:i/>
              </w:rPr>
              <w:t>When conducting the Union-level coordinated security risk assessment the NIS Cooperation Group shall consult relevant entities referred to in Annexes I and II of Directive (EU) 2022/2555.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99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The Commission or</w:t>
            </w:r>
            <w:r>
              <w:t xml:space="preserve"> a group of at least three Member States may request the Cooperation Group established by Article 14 of Directive (EU) 2022/2555 (‘NIS Cooperation Group’) to conduct the Union-level coordinated security risk assessments in accordance with Article 22 of that Directive. Where a security risk assessment is conducted following such request, it shall include in particular the proposed identification of the key ICT assets of the respective ICT supply chain as well as the main threat actors, risks and vulnerabilities affecting those assets. The Union-level coordinated security risk assessments shall develop risk scenarios and propose measures to mitigate the identified risks.</w:t>
            </w:r>
          </w:p>
        </w:tc>
        <w:tc>
          <w:tcPr>
            <w:tcW w:w="4876" w:type="dxa"/>
            <w:tcBorders>
              <w:top w:val="nil"/>
              <w:left w:val="nil"/>
              <w:bottom w:val="nil"/>
              <w:right w:val="nil"/>
            </w:tcBorders>
          </w:tcPr>
          <w:p>
            <w:pPr>
              <w:pStyle w:val="Normal6a"/>
            </w:pPr>
            <w:r>
              <w:t>1.</w:t>
            </w:r>
            <w:r>
              <w:tab/>
            </w:r>
            <w:r>
              <w:t xml:space="preserve">A group of at least three Member States </w:t>
            </w:r>
            <w:r>
              <w:rPr>
                <w:b/>
                <w:i/>
              </w:rPr>
              <w:t>or the Commission with the agreement of a majority of the Member States represented in the NIS Cooperation Group</w:t>
            </w:r>
            <w:r>
              <w:t xml:space="preserve"> may request the Cooperation Group established by Article 14 of Directive (EU) 2022/2555 (‘NIS Cooperation Group’) to conduct the Union-level coordinated security risk assessments in accordance with Article 22 of that Directive. Where a security risk assessment is conducted following such request, it shall include in particular the proposed identification of the key ICT assets of the respective ICT supply chain as well as the main threat actors, risks and vulnerabilities affecting those assets. The Union-level coordinated security risk assessments shall develop risk scenarios and propose measures to mitigate the identified risks.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Krzysztof Hetman, Mirosława Nykiel, Adam Jarubas, Kamila Gasiuk-Pihowicz,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99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The Commission or a group of at least three Member States may request</w:t>
            </w:r>
            <w:r>
              <w:t xml:space="preserve"> the Cooperation Group established by Article 14 of Directive (EU) 2022/2555 (‘NIS Cooperation Group’) </w:t>
            </w:r>
            <w:r>
              <w:rPr>
                <w:b/>
                <w:i/>
              </w:rPr>
              <w:t>to</w:t>
            </w:r>
            <w:r>
              <w:t xml:space="preserve"> conduct the Union-level coordinated security risk assessments </w:t>
            </w:r>
            <w:r>
              <w:rPr>
                <w:b/>
                <w:i/>
              </w:rPr>
              <w:t>in accordance with Article 22 of that Directive</w:t>
            </w:r>
            <w:r>
              <w:t xml:space="preserve">. Where </w:t>
            </w:r>
            <w:r>
              <w:rPr>
                <w:b/>
                <w:i/>
              </w:rPr>
              <w:t>a security risk</w:t>
            </w:r>
            <w:r>
              <w:t xml:space="preserve"> assessment </w:t>
            </w:r>
            <w:r>
              <w:rPr>
                <w:b/>
                <w:i/>
              </w:rPr>
              <w:t>is conducted</w:t>
            </w:r>
            <w:r>
              <w:t xml:space="preserve"> following such request, it shall include in particular the proposed identification of the key ICT assets of the respective ICT supply chain as well as the main threat actors, risks and vulnerabilities affecting those assets. The Union-level coordinated security risk assessments shall develop risk scenarios and propose measures to mitigate the identified risks.</w:t>
            </w:r>
          </w:p>
        </w:tc>
        <w:tc>
          <w:tcPr>
            <w:tcW w:w="4876" w:type="dxa"/>
            <w:tcBorders>
              <w:top w:val="nil"/>
              <w:left w:val="nil"/>
              <w:bottom w:val="nil"/>
              <w:right w:val="nil"/>
            </w:tcBorders>
          </w:tcPr>
          <w:p>
            <w:pPr>
              <w:pStyle w:val="Normal6a"/>
            </w:pPr>
            <w:r>
              <w:t>1.</w:t>
            </w:r>
            <w:r>
              <w:tab/>
            </w:r>
            <w:r>
              <w:rPr>
                <w:b/>
                <w:i/>
              </w:rPr>
              <w:t>Following the discussion in the Council,</w:t>
            </w:r>
            <w:r>
              <w:t xml:space="preserve"> the Cooperation Group established by Article 14 of Directive (EU) 2022/2555 (‘NIS Cooperation Group’) </w:t>
            </w:r>
            <w:r>
              <w:rPr>
                <w:b/>
                <w:i/>
              </w:rPr>
              <w:t>shall</w:t>
            </w:r>
            <w:r>
              <w:t xml:space="preserve"> conduct the Union-level coordinated security risk assessments. Where </w:t>
            </w:r>
            <w:r>
              <w:rPr>
                <w:b/>
                <w:i/>
              </w:rPr>
              <w:t>the NIS Cooperation Group conducts such an</w:t>
            </w:r>
            <w:r>
              <w:t xml:space="preserve"> assessment following such request, it shall include in particular the proposed identification of the key ICT assets of the respective ICT supply chain as well as the main threat actors, risks and vulnerabilities affecting those assets. The Union-level coordinated security risk assessments shall develop risk scenarios and propose measures to mitigate the identified risks.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99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The Commission or a </w:t>
            </w:r>
            <w:r>
              <w:rPr>
                <w:b/>
                <w:i/>
              </w:rPr>
              <w:t>group of at least three</w:t>
            </w:r>
            <w:r>
              <w:t xml:space="preserve"> Member </w:t>
            </w:r>
            <w:r>
              <w:rPr>
                <w:b/>
                <w:i/>
              </w:rPr>
              <w:t>States</w:t>
            </w:r>
            <w:r>
              <w:t xml:space="preserve"> may request the Cooperation Group established by Article 14 of Directive (EU) 2022/2555 (‘NIS Cooperation Group’) to conduct the Union-level coordinated security risk assessments in accordance with Article 22 of that Directive. Where a security risk assessment is conducted following such request, it shall include in particular the proposed identification of the key ICT assets of the respective ICT supply chain as well as the main threat actors, risks and vulnerabilities affecting those assets. The Union-level coordinated security risk assessments shall develop risk scenarios and propose measures to mitigate the identified risks.</w:t>
            </w:r>
          </w:p>
        </w:tc>
        <w:tc>
          <w:tcPr>
            <w:tcW w:w="4876" w:type="dxa"/>
            <w:tcBorders>
              <w:top w:val="nil"/>
              <w:left w:val="nil"/>
              <w:bottom w:val="nil"/>
              <w:right w:val="nil"/>
            </w:tcBorders>
          </w:tcPr>
          <w:p>
            <w:pPr>
              <w:pStyle w:val="Normal6a"/>
            </w:pPr>
            <w:r>
              <w:t>1.</w:t>
            </w:r>
            <w:r>
              <w:tab/>
            </w:r>
            <w:r>
              <w:t xml:space="preserve">The Commission or a Member </w:t>
            </w:r>
            <w:r>
              <w:rPr>
                <w:b/>
                <w:i/>
              </w:rPr>
              <w:t>State</w:t>
            </w:r>
            <w:r>
              <w:t xml:space="preserve"> may request the Cooperation Group established by Article 14 of Directive (EU) 2022/2555 (‘NIS Cooperation Group’) to conduct the Union-level coordinated security risk assessments in accordance with Article 22 of that Directive. Where a security risk assessment is conducted following such request, it shall include in particular the proposed identification of the key ICT assets of the respective ICT supply chain as well as the main threat actors, risks and vulnerabilities affecting those assets. The Union-level coordinated security risk assessments shall develop risk scenarios and propose measures to mitigate the identified risks.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99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The Commission or </w:t>
            </w:r>
            <w:r>
              <w:rPr>
                <w:b/>
                <w:i/>
              </w:rPr>
              <w:t>a group of</w:t>
            </w:r>
            <w:r>
              <w:t xml:space="preserve"> at least </w:t>
            </w:r>
            <w:r>
              <w:rPr>
                <w:b/>
                <w:i/>
              </w:rPr>
              <w:t>three</w:t>
            </w:r>
            <w:r>
              <w:t xml:space="preserve"> Member </w:t>
            </w:r>
            <w:r>
              <w:rPr>
                <w:b/>
                <w:i/>
              </w:rPr>
              <w:t>States</w:t>
            </w:r>
            <w:r>
              <w:t xml:space="preserve"> may request the Cooperation Group established by Article 14 of Directive (EU) 2022/2555 (‘NIS Cooperation Group’) to conduct the Union-level coordinated security risk assessments in accordance with Article 22 of that Directive. Where a security risk assessment is conducted following such request, it shall include in particular the proposed identification of the key ICT assets of the respective ICT supply chain as well as the main threat actors, risks and vulnerabilities affecting those assets. The Union-level coordinated security risk assessments shall develop risk scenarios and propose measures to mitigate the identified risks.</w:t>
            </w:r>
          </w:p>
        </w:tc>
        <w:tc>
          <w:tcPr>
            <w:tcW w:w="4876" w:type="dxa"/>
            <w:tcBorders>
              <w:top w:val="nil"/>
              <w:left w:val="nil"/>
              <w:bottom w:val="nil"/>
              <w:right w:val="nil"/>
            </w:tcBorders>
          </w:tcPr>
          <w:p>
            <w:pPr>
              <w:pStyle w:val="Normal6a"/>
            </w:pPr>
            <w:r>
              <w:t>1.</w:t>
            </w:r>
            <w:r>
              <w:tab/>
            </w:r>
            <w:r>
              <w:t xml:space="preserve">The Commission or at least </w:t>
            </w:r>
            <w:r>
              <w:rPr>
                <w:b/>
                <w:i/>
              </w:rPr>
              <w:t>one</w:t>
            </w:r>
            <w:r>
              <w:t xml:space="preserve"> Member </w:t>
            </w:r>
            <w:r>
              <w:rPr>
                <w:b/>
                <w:i/>
              </w:rPr>
              <w:t>State</w:t>
            </w:r>
            <w:r>
              <w:t xml:space="preserve"> may request the Cooperation Group established by Article 14 of Directive (EU) 2022/2555 (‘NIS Cooperation Group’) to conduct the Union-level coordinated security risk assessments in accordance with Article 22 of that Directive. Where a security risk assessment is conducted following such request, it shall include in particular the proposed identification of the key ICT assets of the respective ICT supply chain as well as the main threat actors, risks and vulnerabilities affecting those assets. The Union-level coordinated security risk assessments shall develop risk scenarios and propose measures to mitigate the identified risks.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99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The Commission shall request a Union-level coordinated security risk assessment pursuant to paragraph 1 where: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 finding transmitted pursuant to Article 16a(3), point (e), indicates that a general-purpose AI model or an agentic AI system possesses capabilities liable to compromise the security of network and information systems of entities of a type referred to in Annexes I and II to Directive (EU) 2022/2555; 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entities of such a type depend, for the provision of their services, on general-purpose AI models with systemic risk or on AI compute infrastructure provided from outside the Union.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The first assessment pursuant to this paragraph, covering general-purpose AI models with systemic risk and the AI compute infrastructure used by such entities, shall be requested within [12] months of the date of entry into force of this Regulation. Findings shall be transmitted to the AI Office for the purposes of Regulation (EU) 2024/1689.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99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The Union-level coordinated security risk assessments shall be completed within </w:t>
            </w:r>
            <w:r>
              <w:rPr>
                <w:b/>
                <w:i/>
              </w:rPr>
              <w:t>six</w:t>
            </w:r>
            <w:r>
              <w:t xml:space="preserve"> months from the request referred to in paragraph 1. Upon request of the Commission, the NIS Cooperation Group may agree to a shorter period.</w:t>
            </w:r>
          </w:p>
        </w:tc>
        <w:tc>
          <w:tcPr>
            <w:tcW w:w="4876" w:type="dxa"/>
            <w:tcBorders>
              <w:top w:val="nil"/>
              <w:left w:val="nil"/>
              <w:bottom w:val="nil"/>
              <w:right w:val="nil"/>
            </w:tcBorders>
          </w:tcPr>
          <w:p>
            <w:pPr>
              <w:pStyle w:val="Normal6a"/>
            </w:pPr>
            <w:r>
              <w:t>2.</w:t>
            </w:r>
            <w:r>
              <w:tab/>
            </w:r>
            <w:r>
              <w:t xml:space="preserve">The Union-level coordinated security risk assessments shall be completed within </w:t>
            </w:r>
            <w:r>
              <w:rPr>
                <w:b/>
                <w:i/>
              </w:rPr>
              <w:t>three</w:t>
            </w:r>
            <w:r>
              <w:t xml:space="preserve"> months from the request referred to in paragraph 1 </w:t>
            </w:r>
            <w:r>
              <w:rPr>
                <w:b/>
                <w:i/>
              </w:rPr>
              <w:t>and shall include a proposed list of key ICT assets and proposed mitigating measures</w:t>
            </w:r>
            <w:r>
              <w:t>. Upon request of the Commission, the NIS Cooperation Group may agree to a shorter period.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99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The Union-level coordinated security risk assessments shall be completed within six months from the request referred to in paragraph 1. Upon request of the Commission, the NIS Cooperation Group may agree to a shorter period.</w:t>
            </w:r>
          </w:p>
        </w:tc>
        <w:tc>
          <w:tcPr>
            <w:tcW w:w="4876" w:type="dxa"/>
            <w:tcBorders>
              <w:top w:val="nil"/>
              <w:left w:val="nil"/>
              <w:bottom w:val="nil"/>
              <w:right w:val="nil"/>
            </w:tcBorders>
          </w:tcPr>
          <w:p>
            <w:pPr>
              <w:pStyle w:val="Normal6a"/>
            </w:pPr>
            <w:r>
              <w:t>2.</w:t>
            </w:r>
            <w:r>
              <w:tab/>
            </w:r>
            <w:r>
              <w:t>The Union-level coordinated security risk assessments shall be completed</w:t>
            </w:r>
            <w:r>
              <w:rPr>
                <w:b/>
                <w:i/>
              </w:rPr>
              <w:t>, in line with the risk assessments roadmap adopted by the NIS Cooperation Group,</w:t>
            </w:r>
            <w:r>
              <w:t> within six months from the request referred to in paragraph 1. Upon request of the Commission, the NIS Cooperation Group may agree to a shorter period.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99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The Union-level coordinated security risk assessments shall be completed within six months from the request referred to in paragraph 1. Upon request of the Commission, the NIS Cooperation Group may agree to a shorter period.</w:t>
            </w:r>
          </w:p>
        </w:tc>
        <w:tc>
          <w:tcPr>
            <w:tcW w:w="4876" w:type="dxa"/>
            <w:tcBorders>
              <w:top w:val="nil"/>
              <w:left w:val="nil"/>
              <w:bottom w:val="nil"/>
              <w:right w:val="nil"/>
            </w:tcBorders>
          </w:tcPr>
          <w:p>
            <w:pPr>
              <w:pStyle w:val="Normal6a"/>
            </w:pPr>
            <w:r>
              <w:t>2.</w:t>
            </w:r>
            <w:r>
              <w:tab/>
            </w:r>
            <w:r>
              <w:t>The Union-level coordinated security risk assessments shall be completed within six months from the request referred to in paragraph 1. Upon request of the Commission, the NIS Cooperation Group may agree to a shorter period</w:t>
            </w:r>
            <w:r>
              <w:rPr>
                <w:b/>
                <w:i/>
              </w:rPr>
              <w:t>, provided that this period allows the genuine involvement of the Member States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Katri Kulmuni,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99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The Union-level coordinated security risk assessments shall be completed within </w:t>
            </w:r>
            <w:r>
              <w:rPr>
                <w:b/>
                <w:i/>
              </w:rPr>
              <w:t>six</w:t>
            </w:r>
            <w:r>
              <w:t xml:space="preserve"> months from the request referred to in paragraph 1. Upon request of the Commission, the NIS Cooperation Group may agree to a shorter period.</w:t>
            </w:r>
          </w:p>
        </w:tc>
        <w:tc>
          <w:tcPr>
            <w:tcW w:w="4876" w:type="dxa"/>
            <w:tcBorders>
              <w:top w:val="nil"/>
              <w:left w:val="nil"/>
              <w:bottom w:val="nil"/>
              <w:right w:val="nil"/>
            </w:tcBorders>
          </w:tcPr>
          <w:p>
            <w:pPr>
              <w:pStyle w:val="Normal6a"/>
            </w:pPr>
            <w:r>
              <w:t>2.</w:t>
            </w:r>
            <w:r>
              <w:tab/>
            </w:r>
            <w:r>
              <w:t xml:space="preserve">The Union-level coordinated security risk assessments shall be completed within </w:t>
            </w:r>
            <w:r>
              <w:rPr>
                <w:b/>
                <w:i/>
              </w:rPr>
              <w:t>twelve</w:t>
            </w:r>
            <w:r>
              <w:t xml:space="preserve"> months from the request referred to in paragraph 1. Upon request of the Commission, the NIS Cooperation Group may agree to a shorter period.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 maximum period of 12 months allows for a thorough, high-quality risk assessment without preventing earlier completion. Depending on the sector concerned, its specific characteristics and risks, a robust Union-wide assessment requires sector-specific expertise and extensive analysis to ensure adequate, risk-based and proportionate mitigation measures. The assessment should be carried out in close cooperation between the Commission and Member States, whose sector-specific expertise is essential to ensure a comprehensive assessment of risks and a well-founded outcome.</w:t>
      </w:r>
    </w:p>
    <w:p>
      <w:r>
        <w:rPr>
          <w:rStyle w:val="HideTWBExt"/>
        </w:rPr>
        <w:t>&lt;/Amend&gt;</w:t>
      </w:r>
    </w:p>
    <w:p>
      <w:pPr>
        <w:pStyle w:val="AmNumberTabs"/>
      </w:pPr>
      <w:r>
        <w:rPr>
          <w:rStyle w:val="HideTWBExt"/>
        </w:rPr>
        <w:t>&lt;Amend&gt;</w:t>
      </w:r>
      <w:r>
        <w:t>Amendment</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99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Where the Commission has sufficient reason to believe that there is a significant cyber threat for the security of the Union in relation to an ICT supply chain and that action is required to preserve the proper functioning of the internal market, the Commission shall without delay:</w:t>
            </w:r>
          </w:p>
        </w:tc>
        <w:tc>
          <w:tcPr>
            <w:tcW w:w="4876" w:type="dxa"/>
            <w:tcBorders>
              <w:top w:val="nil"/>
              <w:left w:val="nil"/>
              <w:bottom w:val="nil"/>
              <w:right w:val="nil"/>
            </w:tcBorders>
          </w:tcPr>
          <w:p>
            <w:pPr>
              <w:pStyle w:val="Normal6a"/>
            </w:pPr>
            <w:r>
              <w:rPr>
                <w:b/>
                <w:i/>
              </w:rPr>
              <w:t>deleted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consult the Member States on the need to take one or several of the mitigating measures referred to in Article 103; and</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conduct a security risk assessment, taking into account the consultation of the Member States. The security risk assessment shall include the proposed identification of the key ICT assets as well as the main threat actors, risks and vulnerabilities affecting those assets. The security risk assessment shall develop risk scenarios and propose measures to mitigate the identified risks.</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Article 99(3) should be deleted as it concerns the adoption of mitigation measures, which are already addressed under Article 103, rather than risk assessment itself. Furthermore, it unnecessarily duplicates elements already covered by Article 99(1), including the identification of assets, actors and vulnerabilities.</w:t>
      </w:r>
    </w:p>
    <w:p>
      <w:r>
        <w:rPr>
          <w:rStyle w:val="HideTWBExt"/>
        </w:rPr>
        <w:t>&lt;/Amend&gt;</w:t>
      </w:r>
    </w:p>
    <w:p>
      <w:pPr>
        <w:pStyle w:val="AmNumberTabs"/>
      </w:pPr>
      <w:r>
        <w:rPr>
          <w:rStyle w:val="HideTWBExt"/>
        </w:rPr>
        <w:t>&lt;Amend&gt;</w:t>
      </w:r>
      <w:r>
        <w:t>Amendment</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99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Where the Commission has sufficient reason to believe that there is a significant cyber threat for the security of the Union in relation to an ICT supply chain and that action is required to preserve the proper functioning of the internal market, the Commission shall without delay:</w:t>
            </w:r>
          </w:p>
        </w:tc>
        <w:tc>
          <w:tcPr>
            <w:tcW w:w="4876" w:type="dxa"/>
            <w:tcBorders>
              <w:top w:val="nil"/>
              <w:left w:val="nil"/>
              <w:bottom w:val="nil"/>
              <w:right w:val="nil"/>
            </w:tcBorders>
          </w:tcPr>
          <w:p>
            <w:pPr>
              <w:pStyle w:val="Normal6a"/>
            </w:pPr>
            <w:r>
              <w:rPr>
                <w:b/>
                <w:i/>
              </w:rPr>
              <w:t>deleted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consult the Member States on the need to take one or several of the mitigating measures referred to in Article 103; and</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conduct a security risk assessment, taking into account the consultation of the Member States. The security risk assessment shall include the proposed identification of the key ICT assets as well as the main threat actors, risks and vulnerabilities affecting those assets. The security risk assessment shall develop risk scenarios and propose measures to mitigate the identified risks.</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99 – paragraph 3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consult the Member States on the need to take one or several of the mitigating measures referred to in Article 103; </w:t>
            </w:r>
            <w:r>
              <w:rPr>
                <w:b/>
                <w:i/>
              </w:rPr>
              <w:t>and</w:t>
            </w:r>
          </w:p>
        </w:tc>
        <w:tc>
          <w:tcPr>
            <w:tcW w:w="4876" w:type="dxa"/>
            <w:tcBorders>
              <w:top w:val="nil"/>
              <w:left w:val="nil"/>
              <w:bottom w:val="nil"/>
              <w:right w:val="nil"/>
            </w:tcBorders>
          </w:tcPr>
          <w:p>
            <w:pPr>
              <w:pStyle w:val="Normal6a"/>
            </w:pPr>
            <w:r>
              <w:t>(a)</w:t>
            </w:r>
            <w:r>
              <w:tab/>
            </w:r>
            <w:r>
              <w:t xml:space="preserve">consult the Member States </w:t>
            </w:r>
            <w:r>
              <w:rPr>
                <w:b/>
                <w:i/>
              </w:rPr>
              <w:t>within the NIS Cooperation Group and, if the assessment is likely to have an impact on the European cybersecurity certification framework, the ECCG,</w:t>
            </w:r>
            <w:r>
              <w:t xml:space="preserve"> on the need to take one or several of the mitigating measures referred to in Article 103;</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99 – paragraph 3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conduct a security risk assessment, taking into account the consultation of the Member States. The security risk assessment shall include the proposed identification of the key ICT assets as well as the main threat actors, risks and vulnerabilities affecting those assets. The security risk assessment shall develop risk scenarios and propose measures to mitigate the identified risks.</w:t>
            </w:r>
          </w:p>
        </w:tc>
        <w:tc>
          <w:tcPr>
            <w:tcW w:w="4876" w:type="dxa"/>
            <w:tcBorders>
              <w:top w:val="nil"/>
              <w:left w:val="nil"/>
              <w:bottom w:val="nil"/>
              <w:right w:val="nil"/>
            </w:tcBorders>
          </w:tcPr>
          <w:p>
            <w:pPr>
              <w:pStyle w:val="Normal6a"/>
            </w:pPr>
            <w:r>
              <w:t>(b)</w:t>
            </w:r>
            <w:r>
              <w:tab/>
            </w:r>
            <w:r>
              <w:t xml:space="preserve">conduct a security risk assessment, taking into account the consultation of the Member States </w:t>
            </w:r>
            <w:r>
              <w:rPr>
                <w:b/>
                <w:i/>
              </w:rPr>
              <w:t>within the NIS Cooperation Group and, where applicable, the ECCG</w:t>
            </w:r>
            <w:r>
              <w:t>. The security risk assessment shall include the proposed identification of the key ICT assets as well as the main threat actors, risks and vulnerabilities affecting those assets. The security risk assessment shall develop risk scenarios and propose measures to mitigate the identified risks</w:t>
            </w:r>
            <w:r>
              <w:rPr>
                <w:b/>
                <w:i/>
              </w:rPr>
              <w:t>, including, where applicable, an assessment of the extent to which these risks may be mitigated by means of the European cybersecurity certification framework or require measures under Article 103</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99 – paragraph 3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conduct a security risk assessment, taking into account the consultation of the Member States. The security risk assessment shall include the proposed identification of the key ICT assets as well as the main threat actors, risks and vulnerabilities affecting those assets. The security risk assessment shall develop risk scenarios and propose measures to mitigate the identified risks.</w:t>
            </w:r>
          </w:p>
        </w:tc>
        <w:tc>
          <w:tcPr>
            <w:tcW w:w="4876" w:type="dxa"/>
            <w:tcBorders>
              <w:top w:val="nil"/>
              <w:left w:val="nil"/>
              <w:bottom w:val="nil"/>
              <w:right w:val="nil"/>
            </w:tcBorders>
          </w:tcPr>
          <w:p>
            <w:pPr>
              <w:pStyle w:val="Normal6a"/>
            </w:pPr>
            <w:r>
              <w:t>(b)</w:t>
            </w:r>
            <w:r>
              <w:tab/>
            </w:r>
            <w:r>
              <w:t xml:space="preserve">conduct a security risk assessment, taking into account the consultation of the Member States. The security risk assessment </w:t>
            </w:r>
            <w:r>
              <w:rPr>
                <w:b/>
                <w:i/>
              </w:rPr>
              <w:t>shall be completed within 6 months and</w:t>
            </w:r>
            <w:r>
              <w:t xml:space="preserve"> shall include the proposed identification of the key ICT assets as well as the main threat actors, risks and vulnerabilities affecting those assets. The security risk assessment shall develop risk scenarios and propose measures to mitigate the identified risks. </w:t>
            </w:r>
            <w:r>
              <w:rPr>
                <w:b/>
                <w:i/>
              </w:rPr>
              <w:t>When conducting the security risk assessment, the Commission shall consult relevant entities referred to in Annexes I and II of Directive (EU) 2022/2555.</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Aligns with the deadline for the NIS2 Cooperation Group's risk assessment.</w:t>
      </w:r>
    </w:p>
    <w:p>
      <w:r>
        <w:rPr>
          <w:rStyle w:val="HideTWBExt"/>
        </w:rPr>
        <w:t>&lt;/Amend&gt;</w:t>
      </w:r>
    </w:p>
    <w:p>
      <w:pPr>
        <w:pStyle w:val="AmNumberTabs"/>
      </w:pPr>
      <w:r>
        <w:rPr>
          <w:rStyle w:val="HideTWBExt"/>
        </w:rPr>
        <w:t>&lt;Amend&gt;</w:t>
      </w:r>
      <w:r>
        <w:t>Amendment</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99 – paragraph 3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conduct</w:t>
            </w:r>
            <w:r>
              <w:t xml:space="preserve"> a security risk assessment</w:t>
            </w:r>
            <w:r>
              <w:rPr>
                <w:b/>
                <w:i/>
              </w:rPr>
              <w:t>, taking into account the consultation of the Member States</w:t>
            </w:r>
            <w:r>
              <w:t>. The security risk assessment shall include the proposed identification of the key ICT assets as well as the main threat actors, risks and vulnerabilities affecting those assets. The security risk assessment shall develop risk scenarios and propose measures to mitigate the identified risks.</w:t>
            </w:r>
          </w:p>
        </w:tc>
        <w:tc>
          <w:tcPr>
            <w:tcW w:w="4876" w:type="dxa"/>
            <w:tcBorders>
              <w:top w:val="nil"/>
              <w:left w:val="nil"/>
              <w:bottom w:val="nil"/>
              <w:right w:val="nil"/>
            </w:tcBorders>
          </w:tcPr>
          <w:p>
            <w:pPr>
              <w:pStyle w:val="Normal6a"/>
            </w:pPr>
            <w:r>
              <w:t>(b)</w:t>
            </w:r>
            <w:r>
              <w:tab/>
            </w:r>
            <w:r>
              <w:rPr>
                <w:b/>
                <w:i/>
              </w:rPr>
              <w:t>Request that the NIS Cooperation Group carry out</w:t>
            </w:r>
            <w:r>
              <w:t xml:space="preserve"> a security risk assessment </w:t>
            </w:r>
            <w:r>
              <w:rPr>
                <w:b/>
                <w:i/>
              </w:rPr>
              <w:t>within three months;</w:t>
            </w:r>
            <w:r>
              <w:t xml:space="preserve"> </w:t>
            </w:r>
            <w:r>
              <w:rPr>
                <w:b/>
                <w:i/>
              </w:rPr>
              <w:t>the Commission shall submit to the NIS Cooperation Group the findings on which it bases its assessment under this paragraph</w:t>
            </w:r>
            <w:r>
              <w:t>. The security risk assessment shall include the proposed identification of the key ICT assets as well as the main threat actors, risks and vulnerabilities affecting those assets. The security risk assessment shall develop risk scenarios and propose measures to mitigate the identified risks.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Katri Kulmuni,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99 – paragraph 3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conduct a security risk assessment, </w:t>
            </w:r>
            <w:r>
              <w:rPr>
                <w:b/>
                <w:i/>
              </w:rPr>
              <w:t>taking into account the consultation of</w:t>
            </w:r>
            <w:r>
              <w:t xml:space="preserve"> the Member States. The security risk assessment shall include the proposed identification of the key ICT assets as well as the main threat actors, risks and vulnerabilities affecting those assets. The security risk assessment shall develop risk scenarios and propose measures to mitigate the identified risks.</w:t>
            </w:r>
          </w:p>
        </w:tc>
        <w:tc>
          <w:tcPr>
            <w:tcW w:w="4876" w:type="dxa"/>
            <w:tcBorders>
              <w:top w:val="nil"/>
              <w:left w:val="nil"/>
              <w:bottom w:val="nil"/>
              <w:right w:val="nil"/>
            </w:tcBorders>
          </w:tcPr>
          <w:p>
            <w:pPr>
              <w:pStyle w:val="Normal6a"/>
            </w:pPr>
            <w:r>
              <w:t>(b)</w:t>
            </w:r>
            <w:r>
              <w:tab/>
            </w:r>
            <w:r>
              <w:t xml:space="preserve">conduct a security risk assessment, </w:t>
            </w:r>
            <w:r>
              <w:rPr>
                <w:b/>
                <w:i/>
              </w:rPr>
              <w:t>in collaboration with</w:t>
            </w:r>
            <w:r>
              <w:t xml:space="preserve"> the Member States</w:t>
            </w:r>
            <w:r>
              <w:rPr>
                <w:b/>
                <w:i/>
              </w:rPr>
              <w:t>, which shall be completed within one month</w:t>
            </w:r>
            <w:r>
              <w:t xml:space="preserve">. The security risk assessment shall include the proposed identification of the key ICT assets as well as the main threat actors, </w:t>
            </w:r>
            <w:r>
              <w:rPr>
                <w:b/>
                <w:i/>
              </w:rPr>
              <w:t>non-technical</w:t>
            </w:r>
            <w:r>
              <w:t xml:space="preserve"> risks and vulnerabilities affecting those assets. The security risk assessment shall develop risk scenarios and propose measures to mitigate the identified risks.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role of Member States should be strengthened throughout the process.</w:t>
      </w:r>
    </w:p>
    <w:p>
      <w:r>
        <w:rPr>
          <w:rStyle w:val="HideTWBExt"/>
        </w:rPr>
        <w:t>&lt;/Amend&gt;</w:t>
      </w:r>
    </w:p>
    <w:p>
      <w:pPr>
        <w:pStyle w:val="AmNumberTabs"/>
      </w:pPr>
      <w:r>
        <w:rPr>
          <w:rStyle w:val="HideTWBExt"/>
        </w:rPr>
        <w:t>&lt;Amend&gt;</w:t>
      </w:r>
      <w:r>
        <w:t>Amendment</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99 – 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Security risk assessments referred to in paragraphs 1 and 3 shall be based on objective, verifiable and proportionate criteria and shall take into account both technical and non-technical risks, as well as the effectiveness of technical and organisational measures available to mitigate such risks.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The assessments shall consider, in particular, the security architecture of the relevant ICT products and services, vulnerability management, independent security testing and certification, supply chain transparency, access controls, network segmentation, operational resilience and the ability of operators to maintain effective control over critical network functions.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The assessments shall distinguish between inherent risks and residual risks remaining after the implementation of appropriate mitigation measures. The existence of non-technical risk factors shall not preclude an assessment of the effectiveness of technical and organisational safeguards.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ICT supply chain security assessments should consider not only potential threats but also the actual exposure of critical infrastructure and the effectiveness of technical and organisational safeguards. Assessing residual risks after mitigation measures ensures that regulatory decisions are evidence-based, proportionate and effective.</w:t>
      </w:r>
    </w:p>
    <w:p>
      <w:r>
        <w:rPr>
          <w:rStyle w:val="HideTWBExt"/>
        </w:rPr>
        <w:t>&lt;/Amend&gt;</w:t>
      </w:r>
    </w:p>
    <w:p>
      <w:pPr>
        <w:pStyle w:val="AmNumberTabs"/>
      </w:pPr>
      <w:r>
        <w:rPr>
          <w:rStyle w:val="HideTWBExt"/>
        </w:rPr>
        <w:t>&lt;Amend&gt;</w:t>
      </w:r>
      <w:r>
        <w:t>Amendment</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99 – 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Security risk assessments under this Article shall be based on a documented methodology and specific and substantiated evidence. A non-confidential summary of the main risks identified and the reasons for any proposed mitigation measures shall be made publicly available, without prejudice to the protection of confidential or security-sensitive information.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Supply-chain risk assessments should be transparent and evidence-based. A documented methodology and a non-confidential summary of the findings will support consistent decision-making while protecting sensitive information.</w:t>
      </w:r>
    </w:p>
    <w:p>
      <w:r>
        <w:rPr>
          <w:rStyle w:val="HideTWBExt"/>
        </w:rPr>
        <w:t>&lt;/Amend&gt;</w:t>
      </w:r>
    </w:p>
    <w:p>
      <w:pPr>
        <w:pStyle w:val="AmNumberTabs"/>
      </w:pPr>
      <w:r>
        <w:rPr>
          <w:rStyle w:val="HideTWBExt"/>
        </w:rPr>
        <w:t>&lt;Amend&gt;</w:t>
      </w:r>
      <w:r>
        <w:t>Amendment</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Article 99a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Priority security risk assessments for critical infrastructure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Without delay after the entry into force of this Regulation, the Commission shall request the NIS Cooperation Group to conduct Union-level coordinated security risk assessments of ICT supply chains concerning the electricity subsector and the rail subsector referred to in Annex I to Directive (EU) 2022/2555. Those assessments shall be completed no later than six months after the date of entry into force of this Regulation.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Following completion of the assessments referred to in paragraph 1, the Commission shall, without undue delay and where justified by their results, take the measures necessary for the application of Articles 102, 103 and 104.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Krzysztof Hetman, Mirosława Nykiel, Adam Jarubas, Kamila Gasiuk-Pihowicz,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p>
        </w:tc>
        <w:tc>
          <w:tcPr>
            <w:tcW w:w="4876" w:type="dxa"/>
            <w:tcBorders>
              <w:top w:val="nil"/>
              <w:left w:val="nil"/>
              <w:bottom w:val="nil"/>
              <w:right w:val="nil"/>
            </w:tcBorders>
          </w:tcPr>
          <w:p>
            <w:pPr>
              <w:pStyle w:val="Normal6a"/>
            </w:pPr>
            <w: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title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Designation of third countries posing cybersecurity concerns</w:t>
            </w:r>
          </w:p>
        </w:tc>
        <w:tc>
          <w:tcPr>
            <w:tcW w:w="4876" w:type="dxa"/>
            <w:tcBorders>
              <w:top w:val="nil"/>
              <w:left w:val="nil"/>
              <w:bottom w:val="nil"/>
              <w:right w:val="nil"/>
            </w:tcBorders>
          </w:tcPr>
          <w:p>
            <w:pPr>
              <w:pStyle w:val="Normal6a"/>
            </w:pPr>
            <w:r>
              <w:rPr>
                <w:b/>
                <w:i/>
              </w:rPr>
              <w:t> Identification of high-risk suppliers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1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Where, as a result of the security risk assessment referred to in Article 99, or based on other </w:t>
            </w:r>
            <w:r>
              <w:rPr>
                <w:b/>
                <w:i/>
              </w:rPr>
              <w:t>sources, such as a public statement on behalf of the Union or a Member State</w:t>
            </w:r>
            <w:r>
              <w:t xml:space="preserve">, it appears that a </w:t>
            </w:r>
            <w:r>
              <w:rPr>
                <w:b/>
                <w:i/>
              </w:rPr>
              <w:t>third country</w:t>
            </w:r>
            <w:r>
              <w:t xml:space="preserve"> poses a serious and structural non-technical risk to ICT supply chains, the Commission shall verify the risk posed by that </w:t>
            </w:r>
            <w:r>
              <w:rPr>
                <w:b/>
                <w:i/>
              </w:rPr>
              <w:t>country</w:t>
            </w:r>
            <w:r>
              <w:t xml:space="preserve">, taking into account </w:t>
            </w:r>
            <w:r>
              <w:rPr>
                <w:b/>
                <w:i/>
              </w:rPr>
              <w:t>the following elements:</w:t>
            </w:r>
          </w:p>
        </w:tc>
        <w:tc>
          <w:tcPr>
            <w:tcW w:w="4876" w:type="dxa"/>
            <w:tcBorders>
              <w:top w:val="nil"/>
              <w:left w:val="nil"/>
              <w:bottom w:val="nil"/>
              <w:right w:val="nil"/>
            </w:tcBorders>
          </w:tcPr>
          <w:p>
            <w:pPr>
              <w:pStyle w:val="Normal6a"/>
            </w:pPr>
            <w:r>
              <w:t>1.</w:t>
            </w:r>
            <w:r>
              <w:tab/>
            </w:r>
            <w:r>
              <w:t xml:space="preserve">Where, as a result of the security risk assessment referred to in Article 99, or based on other </w:t>
            </w:r>
            <w:r>
              <w:rPr>
                <w:b/>
                <w:i/>
              </w:rPr>
              <w:t>specific and substantiated evidence</w:t>
            </w:r>
            <w:r>
              <w:t xml:space="preserve">, it appears that a </w:t>
            </w:r>
            <w:r>
              <w:rPr>
                <w:b/>
                <w:i/>
              </w:rPr>
              <w:t>supplier</w:t>
            </w:r>
            <w:r>
              <w:t xml:space="preserve"> poses a serious and structural non-technical risk to ICT supply chains, the Commission shall verify the risk posed by that </w:t>
            </w:r>
            <w:r>
              <w:rPr>
                <w:b/>
                <w:i/>
              </w:rPr>
              <w:t>supplier</w:t>
            </w:r>
            <w:r>
              <w:t xml:space="preserve">, taking into account </w:t>
            </w:r>
            <w:r>
              <w:rPr>
                <w:b/>
                <w:i/>
              </w:rPr>
              <w:t>all relevant circumstances, including specific legal obligations demonstrably applicable to the supplier that give rise to the identified cybersecurity risk, its security practices and any documented conduct relevant to the risk identified. The supplier's country of establishment, the nationality or geographical origin of its owners or controllers, and the general political, institutional or judicial characteristics of a country shall not, by themselves, constitute grounds for identifying that supplier as high-risk. Such factors may be taken into account in the assessment only where supported by specific and substantiated evidence relating to the supplier concerned.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High-risk supplier identification should be based exclusively on specific and substantiated evidence concerning the individual supplier. General country-related characteristics, including political, institutional and judicial characteristics, should not constitute grounds for designation. The amendment preserves the assessment of concrete risks arising from the supplier's conduct, security practices or demonstrably applicable legal obligations, while preventing country-based assumptions from automatically determining the outcome.</w:t>
      </w:r>
    </w:p>
    <w:p>
      <w:r>
        <w:rPr>
          <w:rStyle w:val="HideTWBExt"/>
        </w:rPr>
        <w:t>&lt;/Amend&gt;</w:t>
      </w:r>
    </w:p>
    <w:p>
      <w:pPr>
        <w:pStyle w:val="AmNumberTabs"/>
      </w:pPr>
      <w:r>
        <w:rPr>
          <w:rStyle w:val="HideTWBExt"/>
        </w:rPr>
        <w:t>&lt;Amend&gt;</w:t>
      </w:r>
      <w:r>
        <w:t>Amendment</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1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Where, as a result of the security risk assessment referred to in Article 99, or based on other sources, such as a public statement on behalf of the Union or a Member State, it appears that a third country poses a serious and structural non-technical risk to ICT supply chains, the Commission </w:t>
            </w:r>
            <w:r>
              <w:rPr>
                <w:b/>
                <w:i/>
              </w:rPr>
              <w:t>shall</w:t>
            </w:r>
            <w:r>
              <w:t xml:space="preserve"> verify the risk posed by that country, taking into account the following elements:</w:t>
            </w:r>
          </w:p>
        </w:tc>
        <w:tc>
          <w:tcPr>
            <w:tcW w:w="4876" w:type="dxa"/>
            <w:tcBorders>
              <w:top w:val="nil"/>
              <w:left w:val="nil"/>
              <w:bottom w:val="nil"/>
              <w:right w:val="nil"/>
            </w:tcBorders>
          </w:tcPr>
          <w:p>
            <w:pPr>
              <w:pStyle w:val="Normal6a"/>
            </w:pPr>
            <w:r>
              <w:t>1.</w:t>
            </w:r>
            <w:r>
              <w:tab/>
            </w:r>
            <w:r>
              <w:t xml:space="preserve">Where, as a result of the security risk assessment referred to in Article 99, or based on other sources, such as a public statement on behalf of the Union or a Member State, it appears that a third country poses a serious and structural non-technical risk to ICT supply chains, </w:t>
            </w:r>
            <w:r>
              <w:rPr>
                <w:b/>
                <w:i/>
              </w:rPr>
              <w:t>a group of at least three Member States may ask</w:t>
            </w:r>
            <w:r>
              <w:t xml:space="preserve"> the Commission </w:t>
            </w:r>
            <w:r>
              <w:rPr>
                <w:b/>
                <w:i/>
              </w:rPr>
              <w:t>to</w:t>
            </w:r>
            <w:r>
              <w:t xml:space="preserve"> verify the risk posed by that country, taking into account the following elements: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1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Where, as a result of the security risk assessment referred to in Article 99, or based on other sources, such as a public statement on behalf of the Union or a Member State, it appears that a third country poses a serious and structural non-technical risk to ICT supply chains, the Commission shall verify the risk posed by that country, taking into account the following elements:</w:t>
            </w:r>
          </w:p>
        </w:tc>
        <w:tc>
          <w:tcPr>
            <w:tcW w:w="4876" w:type="dxa"/>
            <w:tcBorders>
              <w:top w:val="nil"/>
              <w:left w:val="nil"/>
              <w:bottom w:val="nil"/>
              <w:right w:val="nil"/>
            </w:tcBorders>
          </w:tcPr>
          <w:p>
            <w:pPr>
              <w:pStyle w:val="Normal6a"/>
            </w:pPr>
            <w:r>
              <w:t>1.</w:t>
            </w:r>
            <w:r>
              <w:tab/>
            </w:r>
            <w:r>
              <w:t xml:space="preserve">Where, as a result of the security risk assessment referred to in Article 99, or based on other sources, such as a public statement on behalf of the Union or a Member State, it appears that a third country poses a serious and structural non-technical risk to ICT supply chains, the Commission shall verify the risk posed by that country </w:t>
            </w:r>
            <w:r>
              <w:rPr>
                <w:b/>
                <w:i/>
              </w:rPr>
              <w:t>on the basis of objective and substantiated evidence</w:t>
            </w:r>
            <w:r>
              <w:t>, taking into account the following elements: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1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Where, as a result of the security risk assessment referred to in Article 99</w:t>
            </w:r>
            <w:r>
              <w:rPr>
                <w:b/>
                <w:i/>
              </w:rPr>
              <w:t>, or based on other sources, such as a public statement on behalf of the Union or a Member State</w:t>
            </w:r>
            <w:r>
              <w:t>, it appears that a third country poses a serious and structural non-technical risk to ICT supply chains, the Commission shall verify the risk posed by that country, taking into account the following elements:</w:t>
            </w:r>
          </w:p>
        </w:tc>
        <w:tc>
          <w:tcPr>
            <w:tcW w:w="4876" w:type="dxa"/>
            <w:tcBorders>
              <w:top w:val="nil"/>
              <w:left w:val="nil"/>
              <w:bottom w:val="nil"/>
              <w:right w:val="nil"/>
            </w:tcBorders>
          </w:tcPr>
          <w:p>
            <w:pPr>
              <w:pStyle w:val="Normal6a"/>
            </w:pPr>
            <w:r>
              <w:t>1.</w:t>
            </w:r>
            <w:r>
              <w:tab/>
            </w:r>
            <w:r>
              <w:rPr>
                <w:b/>
                <w:i/>
              </w:rPr>
              <w:t>1.</w:t>
            </w:r>
            <w:r>
              <w:t xml:space="preserve"> Where, as a result of the security risk assessment referred to in Article 99, it appears that a third country poses a serious and structural non-technical risk to ICT supply chains</w:t>
            </w:r>
            <w:r>
              <w:rPr>
                <w:b/>
                <w:i/>
              </w:rPr>
              <w:t>'</w:t>
            </w:r>
            <w:r>
              <w:t>, the Commission shall verify the risk posed by that country, taking into account the following elements:</w:t>
            </w:r>
            <w:r>
              <w:rPr>
                <w:b/>
                <w:i/>
              </w:rPr>
              <w:t> For the purposes of this Article, a risk is structural where it cannot be effectively addressed by the measures referred to in Article 103(2).</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amendment removes the reference to public statements as a trigger for the verification procedure. A public statement may not always reflect the same evidentiary standard as a structured risk assessment and may not provide a sufficient basis for consequences of this magnitude. Article 99 already provides the Commission with a structured, objective risk assessment framework, and the proposal's own proportionality assessment confirms that designation measures should be preceded by evidence-based economic and security impact analysis.</w:t>
      </w:r>
    </w:p>
    <w:p>
      <w:r>
        <w:rPr>
          <w:rStyle w:val="HideTWBExt"/>
        </w:rPr>
        <w:t>&lt;/Amend&gt;</w:t>
      </w:r>
    </w:p>
    <w:p>
      <w:pPr>
        <w:pStyle w:val="AmNumberTabs"/>
      </w:pPr>
      <w:r>
        <w:rPr>
          <w:rStyle w:val="HideTWBExt"/>
        </w:rPr>
        <w:t>&lt;Amend&gt;</w:t>
      </w:r>
      <w:r>
        <w:t>Amendment</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1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Where, as a result of </w:t>
            </w:r>
            <w:r>
              <w:rPr>
                <w:b/>
                <w:i/>
              </w:rPr>
              <w:t>the</w:t>
            </w:r>
            <w:r>
              <w:t xml:space="preserve"> security risk assessment referred to in Article 99, </w:t>
            </w:r>
            <w:r>
              <w:rPr>
                <w:b/>
                <w:i/>
              </w:rPr>
              <w:t>or based on other sources, such as a public statement on behalf of the Union or a Member State,</w:t>
            </w:r>
            <w:r>
              <w:t xml:space="preserve"> it appears that </w:t>
            </w:r>
            <w:r>
              <w:rPr>
                <w:b/>
                <w:i/>
              </w:rPr>
              <w:t>a third country poses</w:t>
            </w:r>
            <w:r>
              <w:t xml:space="preserve"> a serious and structural non-technical risk to ICT supply chains, the Commission shall verify </w:t>
            </w:r>
            <w:r>
              <w:rPr>
                <w:b/>
                <w:i/>
              </w:rPr>
              <w:t>the risk posed by that country, taking into account</w:t>
            </w:r>
            <w:r>
              <w:t xml:space="preserve"> the following elements:</w:t>
            </w:r>
          </w:p>
        </w:tc>
        <w:tc>
          <w:tcPr>
            <w:tcW w:w="4876" w:type="dxa"/>
            <w:tcBorders>
              <w:top w:val="nil"/>
              <w:left w:val="nil"/>
              <w:bottom w:val="nil"/>
              <w:right w:val="nil"/>
            </w:tcBorders>
          </w:tcPr>
          <w:p>
            <w:pPr>
              <w:pStyle w:val="Normal6a"/>
            </w:pPr>
            <w:r>
              <w:t>1.</w:t>
            </w:r>
            <w:r>
              <w:tab/>
            </w:r>
            <w:r>
              <w:t xml:space="preserve">Where, as a result of </w:t>
            </w:r>
            <w:r>
              <w:rPr>
                <w:b/>
                <w:i/>
              </w:rPr>
              <w:t>a</w:t>
            </w:r>
            <w:r>
              <w:t xml:space="preserve"> security risk assessment referred to in Article 99, it appears that </w:t>
            </w:r>
            <w:r>
              <w:rPr>
                <w:b/>
                <w:i/>
              </w:rPr>
              <w:t>specific ICT products, services, or processes may pose</w:t>
            </w:r>
            <w:r>
              <w:t xml:space="preserve"> a serious and structural non-technical risk to ICT supply chains, the Commission shall verify </w:t>
            </w:r>
            <w:r>
              <w:rPr>
                <w:b/>
                <w:i/>
              </w:rPr>
              <w:t>this risk. To this end, the Commission shall apply</w:t>
            </w:r>
            <w:r>
              <w:t xml:space="preserve"> the following elements </w:t>
            </w:r>
            <w:r>
              <w:rPr>
                <w:b/>
                <w:i/>
              </w:rPr>
              <w:t>in an objective, non-discriminatory and consistent manner to all products, services, and processess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1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Where, as a result of the security risk assessment referred to in Article 99</w:t>
            </w:r>
            <w:r>
              <w:rPr>
                <w:b/>
                <w:i/>
              </w:rPr>
              <w:t>, or</w:t>
            </w:r>
            <w:r>
              <w:t xml:space="preserve"> based on </w:t>
            </w:r>
            <w:r>
              <w:rPr>
                <w:b/>
                <w:i/>
              </w:rPr>
              <w:t>other sources, such as a public statement on behalf of the Union or a Member State</w:t>
            </w:r>
            <w:r>
              <w:t>, it appears that a third country poses a serious and structural non-technical risk to ICT supply chains, the Commission shall verify the risk posed by that country, taking into account the following elements:</w:t>
            </w:r>
          </w:p>
        </w:tc>
        <w:tc>
          <w:tcPr>
            <w:tcW w:w="4876" w:type="dxa"/>
            <w:tcBorders>
              <w:top w:val="nil"/>
              <w:left w:val="nil"/>
              <w:bottom w:val="nil"/>
              <w:right w:val="nil"/>
            </w:tcBorders>
          </w:tcPr>
          <w:p>
            <w:pPr>
              <w:pStyle w:val="Normal6a"/>
            </w:pPr>
            <w:r>
              <w:t>1.</w:t>
            </w:r>
            <w:r>
              <w:tab/>
            </w:r>
            <w:r>
              <w:t xml:space="preserve">Where, as a result of the security risk assessment referred to in Article 99 based on </w:t>
            </w:r>
            <w:r>
              <w:rPr>
                <w:b/>
                <w:i/>
              </w:rPr>
              <w:t>objective and verifiable facts</w:t>
            </w:r>
            <w:r>
              <w:t>, it appears that a third country poses a serious and structural non-technical risk to ICT supply chains, the Commission shall verify the risk posed by that country, taking into account the following elements: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the existence of laws in the third country which require entities under their jurisdiction to report information on software or hardware vulnerabilities to authorities of that third country prior to those vulnerabilities being known to have been exploited;</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the existence of laws in the third country which require entities under their jurisdiction to report information on software or hardware vulnerabilities to authorities of that third country prior to those vulnerabilities being known to have been exploited;</w:t>
            </w:r>
          </w:p>
        </w:tc>
        <w:tc>
          <w:tcPr>
            <w:tcW w:w="4876" w:type="dxa"/>
            <w:tcBorders>
              <w:top w:val="nil"/>
              <w:left w:val="nil"/>
              <w:bottom w:val="nil"/>
              <w:right w:val="nil"/>
            </w:tcBorders>
          </w:tcPr>
          <w:p>
            <w:pPr>
              <w:pStyle w:val="Normal6a"/>
            </w:pPr>
            <w:r>
              <w:t>(a)</w:t>
            </w:r>
            <w:r>
              <w:tab/>
            </w:r>
            <w:r>
              <w:t>the existence of laws in the third country which require entities under their jurisdiction to report information on software or hardware vulnerabilities to authorities of that third country prior to those vulnerabilities being known to have been exploited</w:t>
            </w:r>
            <w:r>
              <w:rPr>
                <w:b/>
                <w:i/>
              </w:rPr>
              <w:t>, or which allow the authorities in this third country to access data held, processed or otherwise controlled by these entities, including where said data are located in the Union, or allow them to demand the communication of said data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the existence of laws in the third country which require entities under their jurisdiction to report information on software or hardware vulnerabilities to authorities of that third country prior to those vulnerabilities being known to have been exploited;</w:t>
            </w:r>
          </w:p>
        </w:tc>
        <w:tc>
          <w:tcPr>
            <w:tcW w:w="4876" w:type="dxa"/>
            <w:tcBorders>
              <w:top w:val="nil"/>
              <w:left w:val="nil"/>
              <w:bottom w:val="nil"/>
              <w:right w:val="nil"/>
            </w:tcBorders>
          </w:tcPr>
          <w:p>
            <w:pPr>
              <w:pStyle w:val="Normal6a"/>
            </w:pPr>
            <w:r>
              <w:t>(a)</w:t>
            </w:r>
            <w:r>
              <w:tab/>
            </w:r>
            <w:r>
              <w:t>the existence of laws in the third country which require entities under their jurisdiction to report information on software or hardware vulnerabilities to authorities of that third country prior to those vulnerabilities being known to have been exploited</w:t>
            </w:r>
            <w:r>
              <w:rPr>
                <w:b/>
                <w:i/>
              </w:rPr>
              <w:t>, or which require entities under the jurisdiction of the third country to share information for intelligence purposes without due process or oversight mechanisms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Captures state access to data beyond vulnerability reporting, which is the main risk in extraterritorial surveillance regimes without due process or oversight mechanisms. Such laws can force foreign entities operating in Europe to hand over data to third country authorities.</w:t>
      </w:r>
    </w:p>
    <w:p>
      <w:r>
        <w:rPr>
          <w:rStyle w:val="HideTWBExt"/>
        </w:rPr>
        <w:t>&lt;/Amend&gt;</w:t>
      </w:r>
    </w:p>
    <w:p>
      <w:pPr>
        <w:pStyle w:val="AmNumberTabs"/>
      </w:pPr>
      <w:r>
        <w:rPr>
          <w:rStyle w:val="HideTWBExt"/>
        </w:rPr>
        <w:t>&lt;Amend&gt;</w:t>
      </w:r>
      <w:r>
        <w:t>Amendment</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the existence of laws in the third country which require entities under their jurisdiction to report information on software or hardware</w:t>
            </w:r>
            <w:r>
              <w:t xml:space="preserve"> vulnerabilities </w:t>
            </w:r>
            <w:r>
              <w:rPr>
                <w:b/>
                <w:i/>
              </w:rPr>
              <w:t>to authorities of that third country prior to those vulnerabilities being known to have been</w:t>
            </w:r>
            <w:r>
              <w:t xml:space="preserve"> exploited;</w:t>
            </w:r>
          </w:p>
        </w:tc>
        <w:tc>
          <w:tcPr>
            <w:tcW w:w="4876" w:type="dxa"/>
            <w:tcBorders>
              <w:top w:val="nil"/>
              <w:left w:val="nil"/>
              <w:bottom w:val="nil"/>
              <w:right w:val="nil"/>
            </w:tcBorders>
          </w:tcPr>
          <w:p>
            <w:pPr>
              <w:pStyle w:val="Normal6a"/>
            </w:pPr>
            <w:r>
              <w:t>(a)</w:t>
            </w:r>
            <w:r>
              <w:tab/>
            </w:r>
            <w:r>
              <w:rPr>
                <w:b/>
                <w:i/>
              </w:rPr>
              <w:t>technical</w:t>
            </w:r>
            <w:r>
              <w:t xml:space="preserve"> vulnerabilities </w:t>
            </w:r>
            <w:r>
              <w:rPr>
                <w:b/>
                <w:i/>
              </w:rPr>
              <w:t>or kill switches in a product, service, or process that could be</w:t>
            </w:r>
            <w:r>
              <w:t xml:space="preserve"> exploited </w:t>
            </w:r>
            <w:r>
              <w:rPr>
                <w:b/>
                <w:i/>
              </w:rPr>
              <w:t>to disrupt ICT supply chains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existing practices in the third country, demonstrated by independent sources, that require entities under the jurisdiction of the third country to report information on software or hardware vulnerabilities to authorities of that third country prior to those vulnerabilities being known to have been exploited;</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existing practices in the third country, demonstrated by independent sources, that require entities under the jurisdiction of the third country to report information on software or hardware vulnerabilities to authorities of that third country prior to those vulnerabilities being known to have been exploited;</w:t>
            </w:r>
          </w:p>
        </w:tc>
        <w:tc>
          <w:tcPr>
            <w:tcW w:w="4876" w:type="dxa"/>
            <w:tcBorders>
              <w:top w:val="nil"/>
              <w:left w:val="nil"/>
              <w:bottom w:val="nil"/>
              <w:right w:val="nil"/>
            </w:tcBorders>
          </w:tcPr>
          <w:p>
            <w:pPr>
              <w:pStyle w:val="Normal6a"/>
            </w:pPr>
            <w:r>
              <w:t>(b)</w:t>
            </w:r>
            <w:r>
              <w:tab/>
            </w:r>
            <w:r>
              <w:t>existing practices in the third country, demonstrated by independent sources, that require entities under the jurisdiction of the third country to report information on software or hardware vulnerabilities to authorities of that third country prior to those vulnerabilities being known to have been exploited</w:t>
            </w:r>
            <w:r>
              <w:rPr>
                <w:b/>
                <w:i/>
              </w:rPr>
              <w:t>, or which require entities under the jurisdiction of the third country to share information for intelligence purposes without due process or oversight mechanisms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Mirrors the amendment to Article 100(1)(a).</w:t>
      </w:r>
    </w:p>
    <w:p>
      <w:r>
        <w:rPr>
          <w:rStyle w:val="HideTWBExt"/>
        </w:rPr>
        <w:t>&lt;/Amend&gt;</w:t>
      </w:r>
    </w:p>
    <w:p>
      <w:pPr>
        <w:pStyle w:val="AmNumberTabs"/>
      </w:pPr>
      <w:r>
        <w:rPr>
          <w:rStyle w:val="HideTWBExt"/>
        </w:rPr>
        <w:t>&lt;Amend&gt;</w:t>
      </w:r>
      <w:r>
        <w:t>Amendment</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existing practices in the third country, demonstrated by independent sources, that</w:t>
            </w:r>
            <w:r>
              <w:t xml:space="preserve"> require </w:t>
            </w:r>
            <w:r>
              <w:rPr>
                <w:b/>
                <w:i/>
              </w:rPr>
              <w:t>entities under the jurisdiction of the third country to report information on software or hardware</w:t>
            </w:r>
            <w:r>
              <w:t xml:space="preserve"> vulnerabilities to authorities of that third country prior to those vulnerabilities being known to have been exploited;</w:t>
            </w:r>
          </w:p>
        </w:tc>
        <w:tc>
          <w:tcPr>
            <w:tcW w:w="4876" w:type="dxa"/>
            <w:tcBorders>
              <w:top w:val="nil"/>
              <w:left w:val="nil"/>
              <w:bottom w:val="nil"/>
              <w:right w:val="nil"/>
            </w:tcBorders>
          </w:tcPr>
          <w:p>
            <w:pPr>
              <w:pStyle w:val="Normal6a"/>
            </w:pPr>
            <w:r>
              <w:t>(b)</w:t>
            </w:r>
            <w:r>
              <w:tab/>
            </w:r>
            <w:r>
              <w:rPr>
                <w:b/>
                <w:i/>
              </w:rPr>
              <w:t>contractual or legal obligations imposed on the supplier that may</w:t>
            </w:r>
            <w:r>
              <w:t xml:space="preserve"> require </w:t>
            </w:r>
            <w:r>
              <w:rPr>
                <w:b/>
                <w:i/>
              </w:rPr>
              <w:t>it to disclose data or</w:t>
            </w:r>
            <w:r>
              <w:t xml:space="preserve"> vulnerabilities to authorities of that third country</w:t>
            </w:r>
            <w:r>
              <w:rPr>
                <w:b/>
                <w:i/>
              </w:rPr>
              <w:t>, including</w:t>
            </w:r>
            <w:r>
              <w:t xml:space="preserve"> prior to those vulnerabilities being known to have been exploited;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the absence of effective judicial remedies, and independent and democratic control mechanisms, that can correct the identified security concerns, including about existing practices referred to in point (b);</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1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substantiated information about one or more incidents of threat actors controlled from that country and operating out of the territory of that country carrying out malicious cyber activities or campaigns, and the lack of ability or willingness of the third country to cooperate with the Commission or Member States to address the risk stemming from the operation of such threat actors;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1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substantiated information about one or more incidents of threat actors controlled from that country and operating out of the territory of that country carrying out malicious cyber activities or campaigns, and the lack of ability or willingness of the third country to cooperate with the Commission or Member States to address the risk stemming from the operation of such threat actors;</w:t>
            </w:r>
          </w:p>
        </w:tc>
        <w:tc>
          <w:tcPr>
            <w:tcW w:w="4876" w:type="dxa"/>
            <w:tcBorders>
              <w:top w:val="nil"/>
              <w:left w:val="nil"/>
              <w:bottom w:val="nil"/>
              <w:right w:val="nil"/>
            </w:tcBorders>
          </w:tcPr>
          <w:p>
            <w:pPr>
              <w:pStyle w:val="Normal6a"/>
            </w:pPr>
            <w:r>
              <w:t>(d)</w:t>
            </w:r>
            <w:r>
              <w:tab/>
            </w:r>
            <w:r>
              <w:t xml:space="preserve">substantiated information about one or more incidents of threat actors controlled from that country and operating out of the territory of that country carrying out malicious cyber activities or campaigns, </w:t>
            </w:r>
            <w:r>
              <w:rPr>
                <w:b/>
                <w:i/>
              </w:rPr>
              <w:t>or intellectual property theft,</w:t>
            </w:r>
            <w:r>
              <w:t xml:space="preserve"> and the lack of ability or willingness of the third country to cooperate with the Commission or Member States to address the risk stemming from the operation of such threat actors;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Intellectual property theft is often cyber-enabled and causes long-term harm to European competitiveness, often originating from third countries that are unwilling to address this issue.</w:t>
      </w:r>
    </w:p>
    <w:p>
      <w:r>
        <w:rPr>
          <w:rStyle w:val="HideTWBExt"/>
        </w:rPr>
        <w:t>&lt;/Amend&gt;</w:t>
      </w:r>
    </w:p>
    <w:p>
      <w:pPr>
        <w:pStyle w:val="AmNumberTabs"/>
      </w:pPr>
      <w:r>
        <w:rPr>
          <w:rStyle w:val="HideTWBExt"/>
        </w:rPr>
        <w:t>&lt;Amend&gt;</w:t>
      </w:r>
      <w:r>
        <w:t>Amendment</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1 – point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the degree of dependency on certain suppliers for the product, service, or process;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747</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relevant information stemming from Union-level coordinated security risk assessments or reports by Member States or international organisations.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748</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1 – point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whether entities subject to the jurisdiction of the third country may, by law or in practice, be subject to decisive influence by public authorities of that third country, or to legal obligations requiring them to provide critical data or information to those authorities.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749</w:t>
      </w:r>
      <w:r>
        <w:rPr>
          <w:rStyle w:val="HideTWBExt"/>
        </w:rPr>
        <w:t>&lt;/NumAm&gt;</w:t>
      </w:r>
    </w:p>
    <w:p>
      <w:pPr>
        <w:pStyle w:val="NormalBold"/>
      </w:pPr>
      <w:r>
        <w:rPr>
          <w:rStyle w:val="HideTWBExt"/>
          <w:b w:val="0"/>
        </w:rPr>
        <w:t>&lt;RepeatBlock-By&gt;</w:t>
      </w:r>
      <w:r>
        <w:rPr>
          <w:rStyle w:val="HideTWBExt"/>
          <w:b w:val="0"/>
        </w:rPr>
        <w:t>&lt;Members&gt;</w:t>
      </w:r>
      <w:r>
        <w:t>Elena Sancho Murillo, Jens Geier, Lina Gálvez,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1 – subparagraph 1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The assessment shall distinguish between risks arising from the third country’s legislation, policies or practices that affect ICT supply chains generally and risks attributable to the specific conduct of an individual supplier.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750</w:t>
      </w:r>
      <w:r>
        <w:rPr>
          <w:rStyle w:val="HideTWBExt"/>
        </w:rPr>
        <w:t>&lt;/NumAm&gt;</w:t>
      </w:r>
    </w:p>
    <w:p>
      <w:pPr>
        <w:pStyle w:val="NormalBold"/>
      </w:pPr>
      <w:r>
        <w:rPr>
          <w:rStyle w:val="HideTWBExt"/>
          <w:b w:val="0"/>
        </w:rPr>
        <w:t>&lt;RepeatBlock-By&gt;</w:t>
      </w:r>
      <w:r>
        <w:rPr>
          <w:rStyle w:val="HideTWBExt"/>
          <w:b w:val="0"/>
        </w:rPr>
        <w:t>&lt;Members&gt;</w:t>
      </w:r>
      <w:r>
        <w:t>Katri Kulmuni,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When the Commission, </w:t>
            </w:r>
            <w:r>
              <w:rPr>
                <w:b/>
                <w:i/>
              </w:rPr>
              <w:t>following the verification</w:t>
            </w:r>
            <w:r>
              <w:t xml:space="preserve"> referred to in paragraph 1, </w:t>
            </w:r>
            <w:r>
              <w:rPr>
                <w:b/>
                <w:i/>
              </w:rPr>
              <w:t>concludes that a third country poses serious and structural non-technical risks to ICT supply chains, it may, by means of an implementing act, designate that third country as a country posing cybersecurity concerns to ICT supply chains. That implementing act</w:t>
            </w:r>
            <w:r>
              <w:t xml:space="preserve"> shall </w:t>
            </w:r>
            <w:r>
              <w:rPr>
                <w:b/>
                <w:i/>
              </w:rPr>
              <w:t>be adopted in accordance with the examination procedure referred to</w:t>
            </w:r>
            <w:r>
              <w:t xml:space="preserve"> in Article </w:t>
            </w:r>
            <w:r>
              <w:rPr>
                <w:b/>
                <w:i/>
              </w:rPr>
              <w:t>118(2)</w:t>
            </w:r>
            <w:r>
              <w:t>.</w:t>
            </w:r>
          </w:p>
        </w:tc>
        <w:tc>
          <w:tcPr>
            <w:tcW w:w="4876" w:type="dxa"/>
            <w:tcBorders>
              <w:top w:val="nil"/>
              <w:left w:val="nil"/>
              <w:bottom w:val="nil"/>
              <w:right w:val="nil"/>
            </w:tcBorders>
          </w:tcPr>
          <w:p>
            <w:pPr>
              <w:pStyle w:val="Normal6a"/>
            </w:pPr>
            <w:r>
              <w:t>2.</w:t>
            </w:r>
            <w:r>
              <w:tab/>
            </w:r>
            <w:r>
              <w:t xml:space="preserve">When the Commission, </w:t>
            </w:r>
            <w:r>
              <w:rPr>
                <w:b/>
                <w:i/>
              </w:rPr>
              <w:t>in accordance with the results of the risk assessment and the evaluation matrix</w:t>
            </w:r>
            <w:r>
              <w:t xml:space="preserve"> referred to in paragraph 1, </w:t>
            </w:r>
            <w:r>
              <w:rPr>
                <w:b/>
                <w:i/>
              </w:rPr>
              <w:t>establishes the list of high-risk suppliers, it</w:t>
            </w:r>
            <w:r>
              <w:t xml:space="preserve"> shall </w:t>
            </w:r>
            <w:r>
              <w:rPr>
                <w:b/>
                <w:i/>
              </w:rPr>
              <w:t>apply the process described</w:t>
            </w:r>
            <w:r>
              <w:t xml:space="preserve"> in Article </w:t>
            </w:r>
            <w:r>
              <w:rPr>
                <w:b/>
                <w:i/>
              </w:rPr>
              <w:t>104</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measures should be risk-based and therefore founded in risk assessments.</w:t>
      </w:r>
    </w:p>
    <w:p>
      <w:r>
        <w:rPr>
          <w:rStyle w:val="HideTWBExt"/>
        </w:rPr>
        <w:t>&lt;/Amend&gt;</w:t>
      </w:r>
    </w:p>
    <w:p>
      <w:pPr>
        <w:pStyle w:val="AmNumberTabs"/>
      </w:pPr>
      <w:r>
        <w:rPr>
          <w:rStyle w:val="HideTWBExt"/>
        </w:rPr>
        <w:t>&lt;Amend&gt;</w:t>
      </w:r>
      <w:r>
        <w:t>Amendment</w:t>
      </w:r>
      <w:r>
        <w:tab/>
      </w:r>
      <w:r>
        <w:tab/>
      </w:r>
      <w:r>
        <w:rPr>
          <w:rStyle w:val="HideTWBExt"/>
        </w:rPr>
        <w:t>&lt;NumAm&gt;</w:t>
      </w:r>
      <w:r>
        <w:t>751</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When </w:t>
            </w:r>
            <w:r>
              <w:rPr>
                <w:b/>
                <w:i/>
              </w:rPr>
              <w:t>the Commission</w:t>
            </w:r>
            <w:r>
              <w:t xml:space="preserve">, following the verification referred to in paragraph 1, concludes that a third country poses serious and structural non-technical risks to ICT supply chains, it may, by means of an implementing act, </w:t>
            </w:r>
            <w:r>
              <w:rPr>
                <w:b/>
                <w:i/>
              </w:rPr>
              <w:t>designate</w:t>
            </w:r>
            <w:r>
              <w:t xml:space="preserve"> that third country as a country posing cybersecurity concerns to ICT supply chains. That implementing act shall be adopted in accordance with the examination procedure referred to in Article 118(2).</w:t>
            </w:r>
          </w:p>
        </w:tc>
        <w:tc>
          <w:tcPr>
            <w:tcW w:w="4876" w:type="dxa"/>
            <w:tcBorders>
              <w:top w:val="nil"/>
              <w:left w:val="nil"/>
              <w:bottom w:val="nil"/>
              <w:right w:val="nil"/>
            </w:tcBorders>
          </w:tcPr>
          <w:p>
            <w:pPr>
              <w:pStyle w:val="Normal6a"/>
            </w:pPr>
            <w:r>
              <w:t>2.</w:t>
            </w:r>
            <w:r>
              <w:tab/>
            </w:r>
            <w:r>
              <w:t xml:space="preserve">When </w:t>
            </w:r>
            <w:r>
              <w:rPr>
                <w:b/>
                <w:i/>
              </w:rPr>
              <w:t>a group of at least three Member States</w:t>
            </w:r>
            <w:r>
              <w:t xml:space="preserve">, following the verification referred to in paragraph 1, concludes that a third country poses serious and structural non-technical risks to ICT supply chains, it may </w:t>
            </w:r>
            <w:r>
              <w:rPr>
                <w:b/>
                <w:i/>
              </w:rPr>
              <w:t>ask the Commission to designate</w:t>
            </w:r>
            <w:r>
              <w:t>, by means of an implementing act, that third country as a country posing cybersecurity concerns to ICT supply chains</w:t>
            </w:r>
            <w:r>
              <w:rPr>
                <w:b/>
                <w:i/>
              </w:rPr>
              <w:t>.</w:t>
            </w:r>
            <w:r>
              <w:t xml:space="preserve"> </w:t>
            </w:r>
            <w:r>
              <w:rPr>
                <w:b/>
                <w:i/>
              </w:rPr>
              <w:t>If the Commission decides not to grant this request, it shall give a statement to the Member States of the reasons for doing so</w:t>
            </w:r>
            <w:r>
              <w:t>. That implementing act shall be adopted in accordance with the examination procedure referred to in Article 118(2).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752</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When the Commission, following the verification referred to in paragraph 1, concludes that a </w:t>
            </w:r>
            <w:r>
              <w:rPr>
                <w:b/>
                <w:i/>
              </w:rPr>
              <w:t>third country</w:t>
            </w:r>
            <w:r>
              <w:t xml:space="preserve"> poses serious and structural non-technical risks to ICT supply chains, it may</w:t>
            </w:r>
            <w:r>
              <w:rPr>
                <w:b/>
                <w:i/>
              </w:rPr>
              <w:t>, by means of an implementing act, designate that third country as a country posing cybersecurity concerns to ICT supply chains. That implementing act shall be adopted</w:t>
            </w:r>
            <w:r>
              <w:t xml:space="preserve"> in accordance with </w:t>
            </w:r>
            <w:r>
              <w:rPr>
                <w:b/>
                <w:i/>
              </w:rPr>
              <w:t>the examination procedure referred to in</w:t>
            </w:r>
            <w:r>
              <w:t xml:space="preserve"> Article </w:t>
            </w:r>
            <w:r>
              <w:rPr>
                <w:b/>
                <w:i/>
              </w:rPr>
              <w:t>118(2)</w:t>
            </w:r>
            <w:r>
              <w:t>.</w:t>
            </w:r>
          </w:p>
        </w:tc>
        <w:tc>
          <w:tcPr>
            <w:tcW w:w="4876" w:type="dxa"/>
            <w:tcBorders>
              <w:top w:val="nil"/>
              <w:left w:val="nil"/>
              <w:bottom w:val="nil"/>
              <w:right w:val="nil"/>
            </w:tcBorders>
          </w:tcPr>
          <w:p>
            <w:pPr>
              <w:pStyle w:val="Normal6a"/>
            </w:pPr>
            <w:r>
              <w:t>2.</w:t>
            </w:r>
            <w:r>
              <w:tab/>
            </w:r>
            <w:r>
              <w:t xml:space="preserve">When the Commission, following the verification referred to in paragraph 1, concludes that a </w:t>
            </w:r>
            <w:r>
              <w:rPr>
                <w:b/>
                <w:i/>
              </w:rPr>
              <w:t>supplier</w:t>
            </w:r>
            <w:r>
              <w:t xml:space="preserve"> poses serious and structural non-technical risks to ICT supply chains, it may </w:t>
            </w:r>
            <w:r>
              <w:rPr>
                <w:b/>
                <w:i/>
              </w:rPr>
              <w:t>identify that supplier as a high-risk supplier</w:t>
            </w:r>
            <w:r>
              <w:t xml:space="preserve"> in accordance with Article </w:t>
            </w:r>
            <w:r>
              <w:rPr>
                <w:b/>
                <w:i/>
              </w:rPr>
              <w:t>104</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High-risk supplier identification should be based exclusively on specific and substantiated evidence concerning the individual supplier. General country-related characteristics, including political, institutional and judicial characteristics, should not constitute grounds for designation. The amendment preserves the assessment of concrete risks arising from the supplier's conduct, security practices or demonstrably applicable legal obligations, while preventing country-based assumptions from automatically determining the outcome.</w:t>
      </w:r>
    </w:p>
    <w:p>
      <w:r>
        <w:rPr>
          <w:rStyle w:val="HideTWBExt"/>
        </w:rPr>
        <w:t>&lt;/Amend&gt;</w:t>
      </w:r>
    </w:p>
    <w:p>
      <w:pPr>
        <w:pStyle w:val="AmNumberTabs"/>
      </w:pPr>
      <w:r>
        <w:rPr>
          <w:rStyle w:val="HideTWBExt"/>
        </w:rPr>
        <w:t>&lt;Amend&gt;</w:t>
      </w:r>
      <w:r>
        <w:t>Amendment</w:t>
      </w:r>
      <w:r>
        <w:tab/>
      </w:r>
      <w:r>
        <w:tab/>
      </w:r>
      <w:r>
        <w:rPr>
          <w:rStyle w:val="HideTWBExt"/>
        </w:rPr>
        <w:t>&lt;NumAm&gt;</w:t>
      </w:r>
      <w:r>
        <w:t>753</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When the Commission, following the verification referred to in paragraph 1, concludes that a third country poses serious and structural non-technical risks to ICT supply chains</w:t>
            </w:r>
            <w:r>
              <w:rPr>
                <w:b/>
                <w:i/>
              </w:rPr>
              <w:t>, it may, by means of an implementing act</w:t>
            </w:r>
            <w:r>
              <w:t xml:space="preserve">, designate that third country as a country posing cybersecurity concerns to ICT supply chains. </w:t>
            </w:r>
            <w:r>
              <w:rPr>
                <w:b/>
                <w:i/>
              </w:rPr>
              <w:t>That implementing act shall be adopted in accordance with the examination procedure referred to in Article 118(2).</w:t>
            </w:r>
          </w:p>
        </w:tc>
        <w:tc>
          <w:tcPr>
            <w:tcW w:w="4876" w:type="dxa"/>
            <w:tcBorders>
              <w:top w:val="nil"/>
              <w:left w:val="nil"/>
              <w:bottom w:val="nil"/>
              <w:right w:val="nil"/>
            </w:tcBorders>
          </w:tcPr>
          <w:p>
            <w:pPr>
              <w:pStyle w:val="Normal6a"/>
            </w:pPr>
            <w:r>
              <w:t>2.</w:t>
            </w:r>
            <w:r>
              <w:tab/>
            </w:r>
            <w:r>
              <w:t>When the Commission, following the verification referred to in paragraph 1, concludes that a third country poses serious and structural non-technical risks to ICT supply chains</w:t>
            </w:r>
            <w:r>
              <w:rPr>
                <w:b/>
                <w:i/>
              </w:rPr>
              <w:t> the Council may, acting unanimously</w:t>
            </w:r>
            <w:r>
              <w:t>, designate that third country as a country posing cybersecurity concerns to ICT supply chains.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754</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When the Commission, following the verification referred to in paragraph 1, concludes that a third country poses serious and structural non-technical risks to ICT supply chains, it may, by means of </w:t>
            </w:r>
            <w:r>
              <w:rPr>
                <w:b/>
                <w:i/>
              </w:rPr>
              <w:t>an implementing act</w:t>
            </w:r>
            <w:r>
              <w:t xml:space="preserve">, designate that third country as a country posing cybersecurity concerns to ICT supply chains. </w:t>
            </w:r>
            <w:r>
              <w:rPr>
                <w:b/>
                <w:i/>
              </w:rPr>
              <w:t>That implementing act shall be adopted in accordance with the examination procedure referred to in Article 118(2).</w:t>
            </w:r>
          </w:p>
        </w:tc>
        <w:tc>
          <w:tcPr>
            <w:tcW w:w="4876" w:type="dxa"/>
            <w:tcBorders>
              <w:top w:val="nil"/>
              <w:left w:val="nil"/>
              <w:bottom w:val="nil"/>
              <w:right w:val="nil"/>
            </w:tcBorders>
          </w:tcPr>
          <w:p>
            <w:pPr>
              <w:pStyle w:val="Normal6a"/>
            </w:pPr>
            <w:r>
              <w:t>2.</w:t>
            </w:r>
            <w:r>
              <w:tab/>
            </w:r>
            <w:r>
              <w:t xml:space="preserve">When the Commission, following the verification referred to in paragraph 1, concludes that a third country poses serious and structural non-technical risks to ICT supply chains, it may, by means of </w:t>
            </w:r>
            <w:r>
              <w:rPr>
                <w:b/>
                <w:i/>
              </w:rPr>
              <w:t>a Commission decision</w:t>
            </w:r>
            <w:r>
              <w:t>, designate that third country as a country posing cybersecurity concerns to ICT supply chains.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designation of a third country as posing serious and structural non-technical risks to ICT supply chains is based on objective criteria of that country’s legal framework, governance and conduct, set out in this Regulation. A Commission decision allows the EU to act promptly and objectively, without Member States being subjected to third-country influence or coercion.</w:t>
      </w:r>
    </w:p>
    <w:p>
      <w:r>
        <w:rPr>
          <w:rStyle w:val="HideTWBExt"/>
        </w:rPr>
        <w:t>&lt;/Amend&gt;</w:t>
      </w:r>
    </w:p>
    <w:p>
      <w:pPr>
        <w:pStyle w:val="AmNumberTabs"/>
      </w:pPr>
      <w:r>
        <w:rPr>
          <w:rStyle w:val="HideTWBExt"/>
        </w:rPr>
        <w:t>&lt;Amend&gt;</w:t>
      </w:r>
      <w:r>
        <w:t>Amendment</w:t>
      </w:r>
      <w:r>
        <w:tab/>
      </w:r>
      <w:r>
        <w:tab/>
      </w:r>
      <w:r>
        <w:rPr>
          <w:rStyle w:val="HideTWBExt"/>
        </w:rPr>
        <w:t>&lt;NumAm&gt;</w:t>
      </w:r>
      <w:r>
        <w:t>755</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Before adopting an implementing act pursuant to paragraph 2, the Commission shall give the third country concerned the opportunity to submit its observations and shall assess the compatibility of the designation with the Union’s international trade obligations, in particular those arising from WTO law and the Union’s trade agreements.</w:t>
            </w:r>
            <w:r>
              <w:t xml:space="preserve"> </w:t>
            </w:r>
            <w:r>
              <w:rPr>
                <w:b/>
                <w:i/>
              </w:rPr>
              <w:t>The Commission shall forward to the European Parliament and the Council a statement of reasons for the designation, the confidential parts of which shall be treated in accordance with the applicable security rules and regulations.</w:t>
            </w:r>
            <w:r>
              <w:t xml:space="preserve"> </w:t>
            </w:r>
            <w:r>
              <w:rPr>
                <w:b/>
                <w:i/>
              </w:rPr>
              <w:t>The designation shall be reviewed at least every 12 months.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756</w:t>
      </w:r>
      <w:r>
        <w:rPr>
          <w:rStyle w:val="HideTWBExt"/>
        </w:rPr>
        <w:t>&lt;/NumAm&gt;</w:t>
      </w:r>
    </w:p>
    <w:p>
      <w:pPr>
        <w:pStyle w:val="NormalBold"/>
      </w:pPr>
      <w:r>
        <w:rPr>
          <w:rStyle w:val="HideTWBExt"/>
          <w:b w:val="0"/>
        </w:rPr>
        <w:t>&lt;RepeatBlock-By&gt;</w:t>
      </w:r>
      <w:r>
        <w:rPr>
          <w:rStyle w:val="HideTWBExt"/>
          <w:b w:val="0"/>
        </w:rPr>
        <w:t>&lt;Members&gt;</w:t>
      </w:r>
      <w:r>
        <w:t>Elena Sancho Murillo, Jens Geier, Lina Gálvez,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Before adopting the delegated act, the Commission shall assess the foreseeable impact of the designation in each Member State, taking into account relevant dependencies, the effects on operators and the continuity of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757</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The Commission shall review regularly the implementing acts adopted in accordance with paragraph 2.</w:t>
            </w:r>
          </w:p>
        </w:tc>
        <w:tc>
          <w:tcPr>
            <w:tcW w:w="4876" w:type="dxa"/>
            <w:tcBorders>
              <w:top w:val="nil"/>
              <w:left w:val="nil"/>
              <w:bottom w:val="nil"/>
              <w:right w:val="nil"/>
            </w:tcBorders>
          </w:tcPr>
          <w:p>
            <w:pPr>
              <w:pStyle w:val="Normal6a"/>
            </w:pPr>
            <w:r>
              <w:t>3.</w:t>
            </w:r>
            <w:r>
              <w:tab/>
            </w:r>
            <w:r>
              <w:rPr>
                <w:b/>
                <w:i/>
              </w:rPr>
              <w:t>In close cooperation with the Council,</w:t>
            </w:r>
            <w:r>
              <w:t xml:space="preserve"> the Commission shall review regularly the implementing acts adopted in accordance with paragraph 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758</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 João Cotrim De Figueiredo,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The Commission shall review regularly the </w:t>
            </w:r>
            <w:r>
              <w:rPr>
                <w:b/>
                <w:i/>
              </w:rPr>
              <w:t>implementing acts</w:t>
            </w:r>
            <w:r>
              <w:t xml:space="preserve"> adopted in accordance with paragraph 2.</w:t>
            </w:r>
          </w:p>
        </w:tc>
        <w:tc>
          <w:tcPr>
            <w:tcW w:w="4876" w:type="dxa"/>
            <w:tcBorders>
              <w:top w:val="nil"/>
              <w:left w:val="nil"/>
              <w:bottom w:val="nil"/>
              <w:right w:val="nil"/>
            </w:tcBorders>
          </w:tcPr>
          <w:p>
            <w:pPr>
              <w:pStyle w:val="Normal6a"/>
            </w:pPr>
            <w:r>
              <w:t>3.</w:t>
            </w:r>
            <w:r>
              <w:tab/>
            </w:r>
            <w:r>
              <w:t xml:space="preserve">The Commission shall review regularly the </w:t>
            </w:r>
            <w:r>
              <w:rPr>
                <w:b/>
                <w:i/>
              </w:rPr>
              <w:t>Commission decision</w:t>
            </w:r>
            <w:r>
              <w:t xml:space="preserve"> adopted in accordance with paragraph 2.</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To align with the revised procedure of the previous paragraph.</w:t>
      </w:r>
    </w:p>
    <w:p>
      <w:r>
        <w:rPr>
          <w:rStyle w:val="HideTWBExt"/>
        </w:rPr>
        <w:t>&lt;/Amend&gt;</w:t>
      </w:r>
    </w:p>
    <w:p>
      <w:pPr>
        <w:pStyle w:val="AmNumberTabs"/>
      </w:pPr>
      <w:r>
        <w:rPr>
          <w:rStyle w:val="HideTWBExt"/>
        </w:rPr>
        <w:t>&lt;Amend&gt;</w:t>
      </w:r>
      <w:r>
        <w:t>Amendment</w:t>
      </w:r>
      <w:r>
        <w:tab/>
      </w:r>
      <w:r>
        <w:tab/>
      </w:r>
      <w:r>
        <w:rPr>
          <w:rStyle w:val="HideTWBExt"/>
        </w:rPr>
        <w:t>&lt;NumAm&gt;</w:t>
      </w:r>
      <w:r>
        <w:t>759</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The designation of a third country as posing cybersecurity concerns shall not, in itself, constitute sufficient grounds for determining that an individual supplier established in, controlled from or otherwise linked to that country poses an unacceptable cybersecurity risk.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Any subsequent supplier-specific determination shall be based on an individual, evidence-based assessment of the relevant risks, taking into account the supplier's security governance, technical and organisational safeguards, supply chain transparency, independent verification mechanisms and the effectiveness of available risk mitigation measures.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The country of establishment, ownership or origin of a supplier shall not constitute the sole determining factor in such an assessment. Suppliers shall be afforded the opportunity to provide relevant technical evidence and independent security assessments in accordance with the applicable procedures and rights of defence.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Cybersecurity risks should be assessed individually based on verifiable evidence and effective safeguards, rather than solely on a supplier’s country of origin. This ensures proportionate regulatory measures, legal certainty and fair competition.</w:t>
      </w:r>
    </w:p>
    <w:p>
      <w:r>
        <w:rPr>
          <w:rStyle w:val="HideTWBExt"/>
        </w:rPr>
        <w:t>&lt;/Amend&gt;</w:t>
      </w:r>
    </w:p>
    <w:p>
      <w:pPr>
        <w:pStyle w:val="AmNumberTabs"/>
      </w:pPr>
      <w:r>
        <w:rPr>
          <w:rStyle w:val="HideTWBExt"/>
        </w:rPr>
        <w:t>&lt;Amend&gt;</w:t>
      </w:r>
      <w:r>
        <w:t>Amendment</w:t>
      </w:r>
      <w:r>
        <w:tab/>
      </w:r>
      <w:r>
        <w:tab/>
      </w:r>
      <w:r>
        <w:rPr>
          <w:rStyle w:val="HideTWBExt"/>
        </w:rPr>
        <w:t>&lt;NumAm&gt;</w:t>
      </w:r>
      <w:r>
        <w:t>760</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4 – subparagraph 1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High-risk suppliers</w:t>
            </w:r>
            <w:r>
              <w:t xml:space="preserve"> shall not be entitled to:</w:t>
            </w:r>
          </w:p>
        </w:tc>
        <w:tc>
          <w:tcPr>
            <w:tcW w:w="4876" w:type="dxa"/>
            <w:tcBorders>
              <w:top w:val="nil"/>
              <w:left w:val="nil"/>
              <w:bottom w:val="nil"/>
              <w:right w:val="nil"/>
            </w:tcBorders>
          </w:tcPr>
          <w:p>
            <w:pPr>
              <w:pStyle w:val="Normal6a"/>
            </w:pPr>
            <w:r>
              <w:rPr>
                <w:b/>
                <w:i/>
              </w:rPr>
              <w:t>Entities established in or controlled from a third country posing cybersecurity concerns</w:t>
            </w:r>
            <w:r>
              <w:t xml:space="preserve"> shall not be entitled 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761</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4 – subparagraph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participate in the development of, assessment, consultation or decisions concerning European standards and European standardisation deliverables referred to in Article 10(1) of Regulation (EU) 1025/2012 and common specifications referred to in Article 27 of Regulation (EU) 2024/2847 in the area of cybersecurity;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4 – subparagraph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participate in public procurement procedures, organised in accordance with legislation transposing Directive 2014/24/EU and 2014/25/EU </w:t>
            </w:r>
            <w:r>
              <w:rPr>
                <w:b/>
                <w:i/>
              </w:rPr>
              <w:t>in relation to the provision of ICT components or components that include ICT components to be used in key ICT assets as identified in accordance with Article 102</w:t>
            </w:r>
            <w:r>
              <w:t>;</w:t>
            </w:r>
          </w:p>
        </w:tc>
        <w:tc>
          <w:tcPr>
            <w:tcW w:w="4876" w:type="dxa"/>
            <w:tcBorders>
              <w:top w:val="nil"/>
              <w:left w:val="nil"/>
              <w:bottom w:val="nil"/>
              <w:right w:val="nil"/>
            </w:tcBorders>
          </w:tcPr>
          <w:p>
            <w:pPr>
              <w:pStyle w:val="Normal6a"/>
            </w:pPr>
            <w:r>
              <w:t>(e)</w:t>
            </w:r>
            <w:r>
              <w:tab/>
            </w:r>
            <w:r>
              <w:t>participate in public procurement procedures, organised in accordance with legislation transposing Directive 2014/24/EU and 2014/25/EU;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High-risk suppliers are identified on the basis of objective non-technical risk factors, such as the legal framework and governance model under which they operate. The restrictions imposed on them should therefore apply to the supplier at company-level, and not to individual products. This ensures alignment with the other measures taken against high-risk suppliers, on certification and standards, that already apply to the supplier as a whole.</w:t>
      </w:r>
    </w:p>
    <w:p>
      <w:r>
        <w:rPr>
          <w:rStyle w:val="HideTWBExt"/>
        </w:rPr>
        <w:t>&lt;/Amend&gt;</w:t>
      </w:r>
    </w:p>
    <w:p>
      <w:pPr>
        <w:pStyle w:val="AmNumberTabs"/>
      </w:pPr>
      <w:r>
        <w:rPr>
          <w:rStyle w:val="HideTWBExt"/>
        </w:rPr>
        <w:t>&lt;Amend&gt;</w:t>
      </w:r>
      <w:r>
        <w:t>Amendment</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4 – subparagraph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participate in public procurement procedures, organised in accordance with legislation transposing Directive 2014/24/EU and 2014/25/EU in relation to the provision of ICT components or components that include ICT components to be used in key ICT assets as identified in accordance with Article 102;</w:t>
            </w:r>
          </w:p>
        </w:tc>
        <w:tc>
          <w:tcPr>
            <w:tcW w:w="4876" w:type="dxa"/>
            <w:tcBorders>
              <w:top w:val="nil"/>
              <w:left w:val="nil"/>
              <w:bottom w:val="nil"/>
              <w:right w:val="nil"/>
            </w:tcBorders>
          </w:tcPr>
          <w:p>
            <w:pPr>
              <w:pStyle w:val="Normal6a"/>
            </w:pPr>
            <w:r>
              <w:t>(e)</w:t>
            </w:r>
            <w:r>
              <w:tab/>
            </w:r>
            <w:r>
              <w:t xml:space="preserve">participate in public procurement procedures, organised in accordance with legislation transposing Directive 2014/24/EU and 2014/25/EU in relation to the provision of ICT components or components that include ICT components to be used in key ICT assets as identified in accordance with Article 102 </w:t>
            </w:r>
            <w:r>
              <w:rPr>
                <w:b/>
                <w:i/>
              </w:rPr>
              <w:t>or listed as key ICT assets in an Annex to this Regulation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4 – subparagraph 1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participate in any activities under Union funding programmes and instruments implemented in direct and indirect management in accordance with Article 136 Regulation (EU, Euratom) 2024/2509 and Union sector-specific rules as well as in any Union funding activities implemented in shared management </w:t>
            </w:r>
            <w:r>
              <w:rPr>
                <w:b/>
                <w:i/>
              </w:rPr>
              <w:t>in relation to the provision of ICT components or components that include ICT components to be used in key ICT assets as identified in accordance with Article 102.</w:t>
            </w:r>
          </w:p>
        </w:tc>
        <w:tc>
          <w:tcPr>
            <w:tcW w:w="4876" w:type="dxa"/>
            <w:tcBorders>
              <w:top w:val="nil"/>
              <w:left w:val="nil"/>
              <w:bottom w:val="nil"/>
              <w:right w:val="nil"/>
            </w:tcBorders>
          </w:tcPr>
          <w:p>
            <w:pPr>
              <w:pStyle w:val="Normal6a"/>
            </w:pPr>
            <w:r>
              <w:t>(f)</w:t>
            </w:r>
            <w:r>
              <w:tab/>
            </w:r>
            <w:r>
              <w:t>participate in any activities under Union funding programmes and instruments implemented in direct and indirect management in accordance with Article 136 Regulation (EU, Euratom) 2024/2509 and Union sector-specific rules as well as in any Union funding activities implemented in shared management</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High-risk suppliers are identified on the basis of objective non-technical risk factors, such as the legal framework and governance model under which they operate. The restrictions imposed on them should therefore apply to the supplier at company-level, and not to individual products. This ensures alignment with the other measures taken against high-risk suppliers, on certification and standards, that already apply to the supplier as a whole.</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796.484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170</w:t>
    </w:r>
    <w:r>
      <w:fldChar w:fldCharType="end"/>
    </w:r>
    <w:r>
      <w:t>/</w:t>
    </w:r>
    <w:r>
      <w:fldChar w:fldCharType="begin"/>
    </w:r>
    <w:r>
      <w:instrText xml:space="preserve"> NUMPAGES </w:instrText>
    </w:r>
    <w:r>
      <w:fldChar w:fldCharType="separate"/>
    </w:r>
    <w:r>
      <w:t>170</w:t>
    </w:r>
    <w:r>
      <w:fldChar w:fldCharType="end"/>
    </w:r>
    <w:r>
      <w:tab/>
    </w:r>
    <w:r>
      <w:rPr>
        <w:rStyle w:val="HideTWBExt"/>
      </w:rPr>
      <w:t>&lt;PathFdR&gt;</w:t>
    </w:r>
    <w:r>
      <w:t>AM\1352598EN.docx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AM\1352598EN.docx</w:t>
    </w:r>
    <w:r>
      <w:rPr>
        <w:rStyle w:val="HideTWBExt"/>
      </w:rPr>
      <w:t>&lt;/PathFdR&gt;</w:t>
    </w:r>
    <w:r>
      <w:tab/>
    </w:r>
    <w:r>
      <w:fldChar w:fldCharType="begin"/>
    </w:r>
    <w:r>
      <w:instrText xml:space="preserve"> PAGE </w:instrText>
    </w:r>
    <w:r>
      <w:fldChar w:fldCharType="separate"/>
    </w:r>
    <w:r>
      <w:t>169</w:t>
    </w:r>
    <w:r>
      <w:fldChar w:fldCharType="end"/>
    </w:r>
    <w:r>
      <w:t>/</w:t>
    </w:r>
    <w:r>
      <w:fldChar w:fldCharType="begin"/>
    </w:r>
    <w:r>
      <w:instrText xml:space="preserve"> NUMPAGES </w:instrText>
    </w:r>
    <w:r>
      <w:fldChar w:fldCharType="separate"/>
    </w:r>
    <w:r>
      <w:t>170</w:t>
    </w:r>
    <w:r>
      <w:fldChar w:fldCharType="end"/>
    </w:r>
    <w:r>
      <w:tab/>
    </w:r>
    <w:r>
      <w:t>PE</w:t>
    </w:r>
    <w:r>
      <w:rPr>
        <w:rStyle w:val="HideTWBExt"/>
      </w:rPr>
      <w:t>&lt;NoPE&gt;</w:t>
    </w:r>
    <w:r>
      <w:t>796.484</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AM\1352598EN.docx</w:t>
    </w:r>
    <w:r>
      <w:rPr>
        <w:rStyle w:val="HideTWBExt"/>
      </w:rPr>
      <w:t>&lt;/PathFdR&gt;</w:t>
    </w:r>
    <w:r>
      <w:tab/>
    </w:r>
    <w:r>
      <w:tab/>
    </w:r>
    <w:r>
      <w:t>PE</w:t>
    </w:r>
    <w:r>
      <w:rPr>
        <w:rStyle w:val="HideTWBExt"/>
      </w:rPr>
      <w:t>&lt;NoPE&gt;</w:t>
    </w:r>
    <w:r>
      <w:t>796.484</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170</Pages>
  <Words>42561</Words>
  <Characters>250440</Characters>
  <Application>Microsoft Office Word</Application>
  <DocSecurity>0</DocSecurity>
  <Lines>1</Lines>
  <Paragraphs>2892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1352598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671832</vt:lpwstr>
  </property>
  <property fmtid="{D5CDD505-2E9C-101B-9397-08002B2CF9AE}" pid="7" name="dmxml.render.traceId">
    <vt:lpwstr>6ada2a57b181457f31c1e20236e922b1</vt:lpwstr>
  </property>
  <property fmtid="{D5CDD505-2E9C-101B-9397-08002B2CF9AE}" pid="8" name="FooterPath">
    <vt:lpwstr>AM\1352598EN.docx</vt:lpwstr>
  </property>
  <property fmtid="{D5CDD505-2E9C-101B-9397-08002B2CF9AE}" pid="9" name="PE Number">
    <vt:lpwstr>796.484</vt:lpwstr>
  </property>
  <property fmtid="{D5CDD505-2E9C-101B-9397-08002B2CF9AE}" pid="10" name="UID">
    <vt:lpwstr>eu.europa.europarl-DIN1-2026-0000281053_02.00-en-02.00_text-xml</vt:lpwstr>
  </property>
</Properties>
</file>