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Europa-Parlamentet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{JURI}</w:t>
      </w:r>
      <w:r>
        <w:t>Retsudvalget</w:t>
      </w:r>
      <w:r>
        <w:rPr>
          <w:rStyle w:val="HideTWBExt"/>
        </w:rPr>
        <w:t>&lt;/Commission&gt;</w:t>
      </w:r>
    </w:p>
    <w:p>
      <w:pPr>
        <w:pStyle w:val="LineBottom"/>
      </w:pPr>
      <w:r>
        <w:t xml:space="preserve"> </w:t>
      </w:r>
    </w:p>
    <w:p>
      <w:pPr>
        <w:pStyle w:val="CoverReference"/>
      </w:pPr>
      <w:r>
        <w:rPr>
          <w:rStyle w:val="HideTWBExt"/>
        </w:rPr>
        <w:t>&lt;RefProc&gt;</w:t>
      </w:r>
      <w:r>
        <w:t>2025/0023</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{10/06/2025}</w:t>
      </w:r>
      <w:r>
        <w:t>10.6.2025</w:t>
      </w:r>
      <w:r>
        <w:rPr>
          <w:rStyle w:val="HideTWBExt"/>
        </w:rPr>
        <w:t>&lt;/Date&gt;</w:t>
      </w:r>
    </w:p>
    <w:p>
      <w:pPr>
        <w:pStyle w:val="CoverDocType"/>
      </w:pPr>
      <w:r>
        <w:rPr>
          <w:rStyle w:val="HideTWBExt"/>
        </w:rPr>
        <w:t>&lt;TypeAM&gt;</w:t>
      </w:r>
      <w:r>
        <w:t>ÆNDRINGSFORSLAG</w:t>
      </w:r>
      <w:r>
        <w:rPr>
          <w:rStyle w:val="HideTWBExt"/>
        </w:rPr>
        <w:t>&lt;/TypeAM&gt;</w:t>
      </w:r>
    </w:p>
    <w:p>
      <w:pPr>
        <w:pStyle w:val="CoverDocType24a"/>
      </w:pPr>
      <w:r>
        <w:rPr>
          <w:rStyle w:val="HideTWBExt"/>
        </w:rPr>
        <w:t>&lt;RangeAM&gt;</w:t>
      </w:r>
      <w:r>
        <w:t>1</w:t>
      </w:r>
      <w:r>
        <w:t xml:space="preserve"> - </w:t>
      </w:r>
      <w:r>
        <w:t>11</w:t>
      </w:r>
      <w:r>
        <w:rPr>
          <w:rStyle w:val="HideTWBExt"/>
        </w:rPr>
        <w:t>&lt;/RangeAM&gt;</w:t>
      </w:r>
    </w:p>
    <w:p>
      <w:pPr>
        <w:pStyle w:val="CoverBold"/>
      </w:pPr>
      <w:r>
        <w:rPr>
          <w:rStyle w:val="HideTWBExt"/>
        </w:rPr>
        <w:t>&lt;TitreType&gt;</w:t>
      </w:r>
      <w:r>
        <w:t>Udkast til betænkning</w:t>
      </w:r>
      <w:r>
        <w:rPr>
          <w:rStyle w:val="HideTWBExt"/>
        </w:rPr>
        <w:t>&lt;/TitreType&gt;</w:t>
      </w:r>
    </w:p>
    <w:p>
      <w:pPr>
        <w:pStyle w:val="CoverBold"/>
      </w:pPr>
      <w:r>
        <w:rPr>
          <w:rStyle w:val="HideTWBExt"/>
        </w:rPr>
        <w:t>&lt;Rapporteur&gt;</w:t>
      </w:r>
      <w:r>
        <w:t>Ilhan Kyuchyuk</w:t>
      </w:r>
      <w:r>
        <w:rPr>
          <w:rStyle w:val="HideTWBExt"/>
        </w:rPr>
        <w:t>&lt;/Rapporteur&gt;</w:t>
      </w:r>
    </w:p>
    <w:p>
      <w:pPr>
        <w:pStyle w:val="CoverNormal24a"/>
      </w:pPr>
      <w:r>
        <w:rPr>
          <w:rStyle w:val="HideTWBExt"/>
        </w:rPr>
        <w:t>&lt;Titre&gt;</w:t>
      </w:r>
      <w:r>
        <w:t>Om ændring af forordning (EU) 2015/848 om insolvensbehandling for at erstatte dens bilag A og B</w:t>
      </w:r>
      <w:r>
        <w:rPr>
          <w:rStyle w:val="HideTWBExt"/>
        </w:rPr>
        <w:t>&lt;/Titre&gt;</w:t>
      </w:r>
    </w:p>
    <w:p>
      <w:pPr>
        <w:pStyle w:val="CoverNormal"/>
      </w:pPr>
      <w:r>
        <w:rPr>
          <w:rStyle w:val="HideTWBExt"/>
        </w:rPr>
        <w:t>&lt;DocAmend&gt;</w:t>
      </w:r>
      <w:r>
        <w:t>Forslag til forordning</w:t>
      </w:r>
      <w:r>
        <w:rPr>
          <w:rStyle w:val="HideTWBExt"/>
        </w:rPr>
        <w:t>&lt;/DocAmend&gt;</w:t>
      </w:r>
    </w:p>
    <w:p>
      <w:pPr>
        <w:pStyle w:val="CoverNormal24a"/>
      </w:pPr>
      <w:r>
        <w:rPr>
          <w:rStyle w:val="HideTWBExt"/>
        </w:rPr>
        <w:t>&lt;DocRef&gt;</w:t>
      </w:r>
      <w:r>
        <w:t>(COM(2025)0040 – 2025/0023(COD))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Ændringsforslag</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Betragtning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I juli 2022 meddelte Slovakiet Kommissionen, at der for nylig var foretaget ændringer af den nationale insolvenslovgivning og indført en ny forebyggende rekonstruktionsordning og en ny type insolvensbehandler. Denne meddelelse blev efterfulgt af meddelelser fra Estland, Spanien</w:t>
            </w:r>
            <w:r>
              <w:rPr>
                <w:b/>
                <w:i/>
              </w:rPr>
              <w:t>, Malta</w:t>
            </w:r>
            <w:r>
              <w:t xml:space="preserve"> og Italien i september 2022, fra Belgien i juli 2023 og fra Luxembourg i januar 2024, som alle vedrørte nylige ændringer af deres nationale lovgivning, hvorved nye former for insolvensbehandling eller nye typer insolvensbehandlere blev indført. Disse nye former for insolvensbehandling og nye typer af insolvensbehandlere opfylder kravene i forordning (EU) 2015/848 og gør det nødvendigt at ændre både bilag A og B til nævnte forordning.</w:t>
            </w:r>
          </w:p>
        </w:tc>
        <w:tc>
          <w:tcPr>
            <w:tcW w:w="4876" w:type="dxa"/>
            <w:tcBorders>
              <w:top w:val="nil"/>
              <w:left w:val="nil"/>
              <w:bottom w:val="nil"/>
              <w:right w:val="nil"/>
            </w:tcBorders>
          </w:tcPr>
          <w:p>
            <w:pPr>
              <w:pStyle w:val="Normal6a"/>
            </w:pPr>
            <w:r>
              <w:t>(2)</w:t>
            </w:r>
            <w:r>
              <w:tab/>
            </w:r>
            <w:r>
              <w:t xml:space="preserve">I juli 2022 meddelte Slovakiet Kommissionen, at der for nylig var foretaget ændringer af den nationale insolvenslovgivning og indført en ny forebyggende rekonstruktionsordning og en ny type insolvensbehandler. Denne meddelelse blev efterfulgt af meddelelser fra Estland, Spanien og Italien i september 2022, fra Belgien i juli </w:t>
            </w:r>
            <w:r>
              <w:rPr>
                <w:b/>
                <w:i/>
              </w:rPr>
              <w:t>2023, fra Malta i september</w:t>
            </w:r>
            <w:r>
              <w:t xml:space="preserve"> 2023 og fra Luxembourg i januar 2024, som alle vedrørte nylige ændringer af deres nationale lovgivning, hvorved nye former for insolvensbehandling eller nye typer insolvensbehandlere blev indført. Disse nye former for insolvensbehandling og nye typer af insolvensbehandlere opfylder kravene i forordning (EU) 2015/848 og gør det nødvendigt at ændre både bilag A og B til nævnte forordning.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Betragtning 2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Efter at Kommissionen havde fremlagt sit forslag, blev der modtaget yderligere meddelelser fra Bulgarien, Den Tjekkiske Republik og Frankrig om nylige ændringer af deres nationale lovgivning, der indfører nye former for insolvensbehandling eller insolvensbehandlere.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Betragtning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In overensstemmelse med [artikel 1 og 2] [in case of non-participation] [</w:t>
            </w:r>
            <w:r>
              <w:t>artikel 3</w:t>
            </w:r>
            <w:r>
              <w:rPr>
                <w:b/>
                <w:i/>
              </w:rPr>
              <w:t>] [in case of participation]</w:t>
            </w:r>
            <w:r>
              <w:t xml:space="preserve"> og artikel 4a, stk. 1, i protokol nr. 21 om Det Forenede Kongeriges og Irlands stilling for så vidt angår området med frihed, sikkerhed og retfærdighed, der er knyttet som bilag til traktaten om Den Europæiske Union og til traktaten om Den Europæiske Unions funktionsmåde, </w:t>
            </w:r>
            <w:r>
              <w:rPr>
                <w:b/>
                <w:i/>
              </w:rPr>
              <w:t>[</w:t>
            </w:r>
            <w:r>
              <w:t xml:space="preserve">har Irland </w:t>
            </w:r>
            <w:r>
              <w:rPr>
                <w:b/>
                <w:i/>
              </w:rPr>
              <w:t>[ved brev af ...]</w:t>
            </w:r>
            <w:r>
              <w:t xml:space="preserve"> meddelt, at det ønsker at deltage i vedtagelsen og anvendelsen af denne forordning</w:t>
            </w:r>
            <w:r>
              <w:rPr>
                <w:b/>
                <w:i/>
              </w:rPr>
              <w:t>]/[deltager Irland ikke i vedtagelsen af denne forordning, som ikke er bindende for og ikke finder anvendelse i Irland, dog med forbehold af protokollens artikel 4]</w:t>
            </w:r>
            <w:r>
              <w:t>.</w:t>
            </w:r>
          </w:p>
        </w:tc>
        <w:tc>
          <w:tcPr>
            <w:tcW w:w="4876" w:type="dxa"/>
            <w:tcBorders>
              <w:top w:val="nil"/>
              <w:left w:val="nil"/>
              <w:bottom w:val="nil"/>
              <w:right w:val="nil"/>
            </w:tcBorders>
          </w:tcPr>
          <w:p>
            <w:pPr>
              <w:pStyle w:val="Normal6a"/>
            </w:pPr>
            <w:r>
              <w:rPr>
                <w:b/>
                <w:i/>
              </w:rPr>
              <w:t>3)</w:t>
            </w:r>
            <w:r>
              <w:tab/>
            </w:r>
            <w:r>
              <w:rPr>
                <w:b/>
                <w:i/>
              </w:rPr>
              <w:t>I medfør af</w:t>
            </w:r>
            <w:r>
              <w:t xml:space="preserve"> artikel 3 og artikel 4a, stk. 1, i protokol nr. 21 om Det Forenede Kongeriges og Irlands stilling for så vidt angår området med frihed, sikkerhed og retfærdighed, der er knyttet som bilag til traktaten om Den Europæiske Union og til traktaten om Den Europæiske Unions funktionsmåde, har Irland </w:t>
            </w:r>
            <w:r>
              <w:rPr>
                <w:b/>
                <w:i/>
              </w:rPr>
              <w:t>ved skrivelse af maj 2025</w:t>
            </w:r>
            <w:r>
              <w:t xml:space="preserve"> meddelt, at det ønsker at deltage i vedtagelsen og anvendelsen af denne forordning.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Bilag I – led 11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Производство по несъстоятелност на предприемача,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Bilag I – led 11 b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Производство по погасяване на задължения,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Bilag I – led 11 c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Производство по стабилизация на предприемача,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Bilag I – led 14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Veřejná preventivní restrukturalizace,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Bilag I – led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Planes de reestructuración</w:t>
            </w:r>
          </w:p>
        </w:tc>
        <w:tc>
          <w:tcPr>
            <w:tcW w:w="4876" w:type="dxa"/>
            <w:tcBorders>
              <w:top w:val="nil"/>
              <w:left w:val="nil"/>
              <w:bottom w:val="nil"/>
              <w:right w:val="nil"/>
            </w:tcBorders>
          </w:tcPr>
          <w:p>
            <w:pPr>
              <w:pStyle w:val="Normal6a"/>
            </w:pPr>
            <w:r>
              <w:rPr>
                <w:b/>
                <w:i/>
              </w:rPr>
              <w:t>–</w:t>
            </w:r>
            <w:r>
              <w:tab/>
            </w:r>
            <w:r>
              <w:t xml:space="preserve">Planes de reestructuración </w:t>
            </w:r>
            <w:r>
              <w:rPr>
                <w:b/>
                <w:i/>
              </w:rPr>
              <w:t>(con publicidad registral),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Bilag I – led 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Sauvegarde financière accélérée</w:t>
            </w:r>
          </w:p>
        </w:tc>
        <w:tc>
          <w:tcPr>
            <w:tcW w:w="4876" w:type="dxa"/>
            <w:tcBorders>
              <w:top w:val="nil"/>
              <w:left w:val="nil"/>
              <w:bottom w:val="nil"/>
              <w:right w:val="nil"/>
            </w:tcBorders>
          </w:tcPr>
          <w:p>
            <w:pPr>
              <w:pStyle w:val="Normal6a"/>
            </w:pPr>
            <w:r>
              <w:rPr>
                <w:b/>
                <w:i/>
              </w:rPr>
              <w:t>udgår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Bilag I – led 96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Proċedura bażika ta’ ristrutturar </w:t>
            </w:r>
            <w:r>
              <w:rPr>
                <w:b/>
                <w:i/>
              </w:rPr>
              <w:t>preventive</w:t>
            </w:r>
          </w:p>
        </w:tc>
        <w:tc>
          <w:tcPr>
            <w:tcW w:w="4876" w:type="dxa"/>
            <w:tcBorders>
              <w:top w:val="nil"/>
              <w:left w:val="nil"/>
              <w:bottom w:val="nil"/>
              <w:right w:val="nil"/>
            </w:tcBorders>
          </w:tcPr>
          <w:p>
            <w:pPr>
              <w:pStyle w:val="Normal6a"/>
            </w:pPr>
            <w:r>
              <w:rPr>
                <w:b/>
                <w:i/>
              </w:rPr>
              <w:t>–</w:t>
            </w:r>
            <w:r>
              <w:tab/>
            </w:r>
            <w:r>
              <w:t xml:space="preserve">Proċedura bażika ta’ ristrutturar </w:t>
            </w:r>
            <w:r>
              <w:rPr>
                <w:b/>
                <w:i/>
              </w:rPr>
              <w:t>preventiv,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forordning</w:t>
      </w:r>
      <w:r>
        <w:rPr>
          <w:rStyle w:val="HideTWBExt"/>
        </w:rPr>
        <w:t>&lt;/DocAmend&gt;</w:t>
      </w:r>
    </w:p>
    <w:p>
      <w:pPr>
        <w:pStyle w:val="NormalBold"/>
      </w:pPr>
      <w:r>
        <w:rPr>
          <w:rStyle w:val="HideTWBExt"/>
        </w:rPr>
        <w:t>&lt;Article&gt;</w:t>
      </w:r>
      <w:r>
        <w:t>Bilag II – led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forslag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Restrukturalizační správce,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774.424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6</w:t>
    </w:r>
    <w:r>
      <w:fldChar w:fldCharType="end"/>
    </w:r>
    <w:r>
      <w:t>/</w:t>
    </w:r>
    <w:r>
      <w:fldChar w:fldCharType="begin"/>
    </w:r>
    <w:r>
      <w:instrText xml:space="preserve"> NUMPAGES </w:instrText>
    </w:r>
    <w:r>
      <w:fldChar w:fldCharType="separate"/>
    </w:r>
    <w:r>
      <w:t>7</w:t>
    </w:r>
    <w:r>
      <w:fldChar w:fldCharType="end"/>
    </w:r>
    <w:r>
      <w:tab/>
    </w:r>
    <w:r>
      <w:rPr>
        <w:rStyle w:val="HideTWBExt"/>
      </w:rPr>
      <w:t>&lt;PathFdR&gt;</w:t>
    </w:r>
    <w:r>
      <w:t>AM\1322768DA.docx</w:t>
    </w:r>
    <w:r>
      <w:rPr>
        <w:rStyle w:val="HideTWBExt"/>
      </w:rPr>
      <w:t>&lt;/PathFdR&gt;</w:t>
    </w:r>
  </w:p>
  <w:p>
    <w:pPr>
      <w:pStyle w:val="EPFooter2"/>
    </w:pPr>
    <w:r>
      <w:t>DA</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AM\1322768DA.docx</w:t>
    </w:r>
    <w:r>
      <w:rPr>
        <w:rStyle w:val="HideTWBExt"/>
      </w:rPr>
      <w:t>&lt;/PathFdR&gt;</w:t>
    </w:r>
    <w:r>
      <w:tab/>
    </w:r>
    <w:r>
      <w:fldChar w:fldCharType="begin"/>
    </w:r>
    <w:r>
      <w:instrText xml:space="preserve"> PAGE </w:instrText>
    </w:r>
    <w:r>
      <w:fldChar w:fldCharType="separate"/>
    </w:r>
    <w:r>
      <w:t>7</w:t>
    </w:r>
    <w:r>
      <w:fldChar w:fldCharType="end"/>
    </w:r>
    <w:r>
      <w:t>/</w:t>
    </w:r>
    <w:r>
      <w:fldChar w:fldCharType="begin"/>
    </w:r>
    <w:r>
      <w:instrText xml:space="preserve"> NUMPAGES </w:instrText>
    </w:r>
    <w:r>
      <w:fldChar w:fldCharType="separate"/>
    </w:r>
    <w:r>
      <w:t>7</w:t>
    </w:r>
    <w:r>
      <w:fldChar w:fldCharType="end"/>
    </w:r>
    <w:r>
      <w:tab/>
    </w:r>
    <w:r>
      <w:t>PE</w:t>
    </w:r>
    <w:r>
      <w:rPr>
        <w:rStyle w:val="HideTWBExt"/>
      </w:rPr>
      <w:t>&lt;NoPE&gt;</w:t>
    </w:r>
    <w:r>
      <w:t>774.424</w:t>
    </w:r>
    <w:r>
      <w:rPr>
        <w:rStyle w:val="HideTWBExt"/>
      </w:rPr>
      <w:t>&lt;/NoPE&gt;</w:t>
    </w:r>
    <w:r>
      <w:rPr>
        <w:rStyle w:val="HideTWBExt"/>
      </w:rPr>
      <w:t>&lt;Version&gt;</w:t>
    </w:r>
    <w:r>
      <w:t>v01-00</w:t>
    </w:r>
    <w:r>
      <w:rPr>
        <w:rStyle w:val="HideTWBExt"/>
      </w:rPr>
      <w:t>&lt;/Version&gt;</w:t>
    </w:r>
  </w:p>
  <w:p>
    <w:pPr>
      <w:pStyle w:val="EPFooter2"/>
    </w:pPr>
    <w:r>
      <w:tab/>
    </w:r>
    <w:r>
      <w:tab/>
    </w:r>
    <w:r>
      <w:t>DA</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AM\1322768DA.docx</w:t>
    </w:r>
    <w:r>
      <w:rPr>
        <w:rStyle w:val="HideTWBExt"/>
      </w:rPr>
      <w:t>&lt;/PathFdR&gt;</w:t>
    </w:r>
    <w:r>
      <w:tab/>
    </w:r>
    <w:r>
      <w:tab/>
    </w:r>
    <w:r>
      <w:t>PE</w:t>
    </w:r>
    <w:r>
      <w:rPr>
        <w:rStyle w:val="HideTWBExt"/>
      </w:rPr>
      <w:t>&lt;NoPE&gt;</w:t>
    </w:r>
    <w:r>
      <w:t>774.424</w:t>
    </w:r>
    <w:r>
      <w:rPr>
        <w:rStyle w:val="HideTWBExt"/>
      </w:rPr>
      <w:t>&lt;/NoPE&gt;</w:t>
    </w:r>
    <w:r>
      <w:rPr>
        <w:rStyle w:val="HideTWBExt"/>
      </w:rPr>
      <w:t>&lt;Version&gt;</w:t>
    </w:r>
    <w:r>
      <w:t>v01-00</w:t>
    </w:r>
    <w:r>
      <w:rPr>
        <w:rStyle w:val="HideTWBExt"/>
      </w:rPr>
      <w:t>&lt;/Version&gt;</w:t>
    </w:r>
  </w:p>
  <w:p>
    <w:pPr>
      <w:pStyle w:val="EPFooter2"/>
    </w:pPr>
    <w:r>
      <w:t>DA</w:t>
    </w:r>
    <w:r>
      <w:tab/>
    </w:r>
    <w:r>
      <w:rPr>
        <w:rStyle w:val="EPFooter2Motto"/>
      </w:rPr>
      <w:t>Forenet i mangfoldighed</w:t>
    </w:r>
    <w:r>
      <w:tab/>
    </w:r>
    <w:r>
      <w:t>DA</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val="0"/>
      <w:jc w:val="right"/>
    </w:pPr>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Pages>
  <Words>686</Words>
  <Characters>4189</Characters>
  <Application>Microsoft Office Word</Application>
  <DocSecurity>0</DocSecurity>
  <Lines>1</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1322768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197988</vt:lpwstr>
  </property>
  <property fmtid="{D5CDD505-2E9C-101B-9397-08002B2CF9AE}" pid="7" name="dmxml.render.traceId">
    <vt:lpwstr>6851854acdb07eae668de26378996ca0</vt:lpwstr>
  </property>
  <property fmtid="{D5CDD505-2E9C-101B-9397-08002B2CF9AE}" pid="8" name="FooterPath">
    <vt:lpwstr>AM\1322768DA.docx</vt:lpwstr>
  </property>
  <property fmtid="{D5CDD505-2E9C-101B-9397-08002B2CF9AE}" pid="9" name="PE Number">
    <vt:lpwstr>774.424</vt:lpwstr>
  </property>
  <property fmtid="{D5CDD505-2E9C-101B-9397-08002B2CF9AE}" pid="10" name="UID">
    <vt:lpwstr>eu.europa.europarl-DIN1-2025-0000119275_01.00-da-01.00_text-xml</vt:lpwstr>
  </property>
</Properties>
</file>