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Комисия по правни въпроси</w:t>
      </w:r>
      <w:r>
        <w:rPr>
          <w:rStyle w:val="HideTWBExt"/>
        </w:rPr>
        <w:t>&lt;/Commission&gt;</w:t>
      </w:r>
    </w:p>
    <w:p>
      <w:pPr>
        <w:pStyle w:val="LineBottom"/>
      </w:pPr>
      <w:r>
        <w:t xml:space="preserve"> </w:t>
      </w:r>
    </w:p>
    <w:p>
      <w:pPr>
        <w:pStyle w:val="CoverReference"/>
      </w:pPr>
      <w:r>
        <w:rPr>
          <w:rStyle w:val="HideTWBExt"/>
        </w:rPr>
        <w:t>&lt;RefProc&gt;</w:t>
      </w:r>
      <w:r>
        <w:t>2025/2079</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{12/09/2025}</w:t>
      </w:r>
      <w:r>
        <w:t>12.9.2025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344</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Рене Репази</w:t>
      </w:r>
      <w:r>
        <w:rPr>
          <w:rStyle w:val="HideTWBExt"/>
        </w:rPr>
        <w:t>&lt;/Rapporteur&gt;</w:t>
      </w:r>
    </w:p>
    <w:p>
      <w:pPr>
        <w:pStyle w:val="CoverNormal24a"/>
      </w:pPr>
      <w:r>
        <w:rPr>
          <w:rStyle w:val="HideTWBExt"/>
        </w:rPr>
        <w:t>&lt;DocRefPE&gt;</w:t>
      </w:r>
      <w:r>
        <w:t>(PE773.199v01-00)</w:t>
      </w:r>
      <w:r>
        <w:rPr>
          <w:rStyle w:val="HideTWBExt"/>
        </w:rPr>
        <w:t>&lt;/DocRefPE&gt;</w:t>
      </w:r>
    </w:p>
    <w:p>
      <w:pPr>
        <w:pStyle w:val="CoverNormal"/>
      </w:pPr>
      <w:r>
        <w:rPr>
          <w:rStyle w:val="HideTWBExt"/>
        </w:rPr>
        <w:t>&lt;Titre&gt;</w:t>
      </w:r>
      <w:r>
        <w:t>28-ият режим: нова правна рамка за иновативни дружества</w:t>
      </w:r>
      <w:r>
        <w:rPr>
          <w:rStyle w:val="HideTWBExt"/>
        </w:rPr>
        <w:t>&lt;/Titre&gt;</w:t>
      </w:r>
    </w:p>
    <w:p>
      <w:pPr>
        <w:pStyle w:val="CoverNormal24a"/>
      </w:pPr>
      <w:r>
        <w:rPr>
          <w:rStyle w:val="HideTWBExt"/>
        </w:rPr>
        <w:t>&lt;DocRef&gt;</w:t>
      </w:r>
      <w:r>
        <w:t>(2025/2079(INL))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съдържащ препоръки към Комисията относно 28-ия режим: нова правна рамка за </w:t>
            </w:r>
            <w:r>
              <w:rPr>
                <w:b/>
                <w:i/>
              </w:rPr>
              <w:t>иновативни</w:t>
            </w:r>
            <w:r>
              <w:t xml:space="preserve"> дружества</w:t>
            </w:r>
          </w:p>
        </w:tc>
        <w:tc>
          <w:tcPr>
            <w:tcW w:w="4876" w:type="dxa"/>
            <w:tcBorders>
              <w:top w:val="nil"/>
              <w:left w:val="nil"/>
              <w:bottom w:val="nil"/>
              <w:right w:val="nil"/>
            </w:tcBorders>
          </w:tcPr>
          <w:p>
            <w:pPr>
              <w:pStyle w:val="Normal6a"/>
            </w:pPr>
            <w:r>
              <w:t xml:space="preserve">съдържащ препоръки към Комисията относно 28-ия режим: нова правна рамка за </w:t>
            </w:r>
            <w:r>
              <w:rPr>
                <w:b/>
                <w:i/>
              </w:rPr>
              <w:t>стартиращите и разрастващите се</w:t>
            </w:r>
            <w:r>
              <w:t xml:space="preserve"> дружества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член 50 и член 114, параграф 1 от Договора за функционирането на Европейския съюз,</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като взе предвид член 50 </w:t>
            </w:r>
            <w:r>
              <w:rPr>
                <w:b/>
                <w:i/>
              </w:rPr>
              <w:t>и член 114, параграф 1</w:t>
            </w:r>
            <w:r>
              <w:t xml:space="preserve"> от Договора за функционирането на Европейския съюз,</w:t>
            </w:r>
          </w:p>
        </w:tc>
        <w:tc>
          <w:tcPr>
            <w:tcW w:w="4876" w:type="dxa"/>
            <w:tcBorders>
              <w:top w:val="nil"/>
              <w:left w:val="nil"/>
              <w:bottom w:val="nil"/>
              <w:right w:val="nil"/>
            </w:tcBorders>
          </w:tcPr>
          <w:p>
            <w:pPr>
              <w:pStyle w:val="Normal6a"/>
            </w:pPr>
            <w:r>
              <w:rPr>
                <w:b/>
                <w:i/>
              </w:rPr>
              <w:t>-</w:t>
            </w:r>
            <w:r>
              <w:tab/>
            </w:r>
            <w:r>
              <w:t>като взе предвид член 50 от Договора за функционирането на Европейския съюз,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член 352, параграф 1 от Договора за функционирането на ЕС,</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Директива (ЕС) 2019/1151 на Европейския парламент и на Съвета от 20 юни 2019 година за изменение на Директива (ЕС) 2017/1132 във връзка с използването на цифрови инструменти и процеси в областта на дружественото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Директива (ЕС) 2025/25 на Европейския парламент и на Съвета от 19 декември 2024 година за изменение на директиви 2009/102/ЕО и (ЕС) 2017/1132 по отношение на по-нататъшното разширяване и актуализиране на използването на цифрови инструменти и процеси в областта на дружественото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Директива (ЕС) 2025/25 на Европейския парламент и на Съвета от 19 декември 2024 година за изменение на директиви 2009/102/ЕО и (ЕС) 2017/1132 по отношение на по-нататъшното разширяване и актуализиране на използването на цифрови инструменти и процеси в областта на дружественото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Директива (ЕС) 2025/25 на Европейския парламент и на Съвета от 19 декември 2024 година за изменение на директиви 2009/102/ЕО и (ЕС) 2017/1132 по отношение на по-нататъшното разширяване и актуализиране на използването на цифрови инструменти и процеси в областта на дружественото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Директива (ЕС) 2019/2121 на Европейския парламент и на Съвета от 27 ноември 2019 г. за изменение на Директива (ЕС) 2017/1132 във връзка с презграничните преобразувания, сливания и разделяния.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предприятията, и по-специално малките и средните предприятия (МСП), стартиращите и разрастващите се предприятия в целия Съюз, са изправени пред много различни правила в отделните държави членки; като има предвид, че това регулаторно многообразие и разходите за ориентиране в </w:t>
            </w:r>
            <w:r>
              <w:rPr>
                <w:b/>
                <w:i/>
              </w:rPr>
              <w:t>непозната</w:t>
            </w:r>
            <w:r>
              <w:t xml:space="preserve"> среда </w:t>
            </w:r>
            <w:r>
              <w:rPr>
                <w:b/>
                <w:i/>
              </w:rPr>
              <w:t>възпрепятстват</w:t>
            </w:r>
            <w:r>
              <w:t xml:space="preserve"> общоевропейското финансиране на предприятията;</w:t>
            </w:r>
          </w:p>
        </w:tc>
        <w:tc>
          <w:tcPr>
            <w:tcW w:w="4876" w:type="dxa"/>
            <w:tcBorders>
              <w:top w:val="nil"/>
              <w:left w:val="nil"/>
              <w:bottom w:val="nil"/>
              <w:right w:val="nil"/>
            </w:tcBorders>
          </w:tcPr>
          <w:p>
            <w:pPr>
              <w:pStyle w:val="Normal6a"/>
            </w:pPr>
            <w:r>
              <w:t>А.</w:t>
            </w:r>
            <w:r>
              <w:tab/>
            </w:r>
            <w:r>
              <w:t xml:space="preserve">като има предвид, че предприятията, и по-специално малките и средните предприятия (МСП), стартиращите и разрастващите се предприятия в целия Съюз, </w:t>
            </w:r>
            <w:r>
              <w:rPr>
                <w:b/>
                <w:i/>
              </w:rPr>
              <w:t>множество от които се сблъскват с една фрагментирана регулаторна рамка на ЕС,</w:t>
            </w:r>
            <w:r>
              <w:t xml:space="preserve"> са изправени пред много различни правила в отделните държави членки; като има предвид, че </w:t>
            </w:r>
            <w:r>
              <w:rPr>
                <w:b/>
                <w:i/>
              </w:rPr>
              <w:t>тази регулаторна разпокъсаност и</w:t>
            </w:r>
            <w:r>
              <w:t xml:space="preserve"> това регулаторно многообразие и разходите за ориентиране в </w:t>
            </w:r>
            <w:r>
              <w:rPr>
                <w:b/>
                <w:i/>
              </w:rPr>
              <w:t>трансгранична</w:t>
            </w:r>
            <w:r>
              <w:t xml:space="preserve"> среда </w:t>
            </w:r>
            <w:r>
              <w:rPr>
                <w:b/>
                <w:i/>
              </w:rPr>
              <w:t>са пречка по пътя към</w:t>
            </w:r>
            <w:r>
              <w:t xml:space="preserve"> общоевропейското финансиране на предприятията;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предприятията, и по-специално малките и средните предприятия (МСП), стартиращите и разрастващите се предприятия в целия Съюз, са изправени пред много различни правила в отделните държави членки; като има предвид, че това регулаторно многообразие и разходите за ориентиране в непозната среда възпрепятстват общоевропейското финансиране на предприятията;</w:t>
            </w:r>
          </w:p>
        </w:tc>
        <w:tc>
          <w:tcPr>
            <w:tcW w:w="4876" w:type="dxa"/>
            <w:tcBorders>
              <w:top w:val="nil"/>
              <w:left w:val="nil"/>
              <w:bottom w:val="nil"/>
              <w:right w:val="nil"/>
            </w:tcBorders>
          </w:tcPr>
          <w:p>
            <w:pPr>
              <w:pStyle w:val="Normal6a"/>
            </w:pPr>
            <w:r>
              <w:t>А.</w:t>
            </w:r>
            <w:r>
              <w:tab/>
            </w:r>
            <w:r>
              <w:t xml:space="preserve">като има предвид, че предприятията, и по-специално малките и средните предприятия (МСП), стартиращите и разрастващите се предприятия в целия Съюз, са изправени пред много различни правила в отделните държави членки; като има предвид, че това регулаторно многообразие и разходите за ориентиране в непозната среда възпрепятстват общоевропейското финансиране </w:t>
            </w:r>
            <w:r>
              <w:rPr>
                <w:b/>
                <w:i/>
              </w:rPr>
              <w:t>и разширяване</w:t>
            </w:r>
            <w:r>
              <w:t xml:space="preserve"> на предприятията;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w:t>
            </w:r>
            <w:r>
              <w:rPr>
                <w:b/>
                <w:i/>
              </w:rPr>
              <w:t>предприятията, и по-специално малките и средните предприятия (МСП),</w:t>
            </w:r>
            <w:r>
              <w:t xml:space="preserve"> стартиращите и разрастващите се предприятия </w:t>
            </w:r>
            <w:r>
              <w:rPr>
                <w:b/>
                <w:i/>
              </w:rPr>
              <w:t>в целия Съюз</w:t>
            </w:r>
            <w:r>
              <w:t xml:space="preserve">, са изправени пред много различни правила в отделните държави членки; като има предвид, че това регулаторно многообразие и разходите за ориентиране в непозната среда възпрепятстват </w:t>
            </w:r>
            <w:r>
              <w:rPr>
                <w:b/>
                <w:i/>
              </w:rPr>
              <w:t>общоевропейското финансиране на предприятията</w:t>
            </w:r>
            <w:r>
              <w:t>;</w:t>
            </w:r>
          </w:p>
        </w:tc>
        <w:tc>
          <w:tcPr>
            <w:tcW w:w="4876" w:type="dxa"/>
            <w:tcBorders>
              <w:top w:val="nil"/>
              <w:left w:val="nil"/>
              <w:bottom w:val="nil"/>
              <w:right w:val="nil"/>
            </w:tcBorders>
          </w:tcPr>
          <w:p>
            <w:pPr>
              <w:pStyle w:val="Normal6a"/>
            </w:pPr>
            <w:r>
              <w:t>А.</w:t>
            </w:r>
            <w:r>
              <w:tab/>
            </w:r>
            <w:r>
              <w:t>като има предвид, че стартиращите и разрастващите се предприятия</w:t>
            </w:r>
            <w:r>
              <w:rPr>
                <w:b/>
                <w:i/>
              </w:rPr>
              <w:t>, развиващи дейност в цифровия сектор</w:t>
            </w:r>
            <w:r>
              <w:t xml:space="preserve">, </w:t>
            </w:r>
            <w:r>
              <w:rPr>
                <w:b/>
                <w:i/>
              </w:rPr>
              <w:t>в Съюза</w:t>
            </w:r>
            <w:r>
              <w:t xml:space="preserve"> са изправени пред много различни правила в отделните държави членки; като има предвид, че това регулаторно многообразие и разходите за ориентиране в непозната среда възпрепятстват </w:t>
            </w:r>
            <w:r>
              <w:rPr>
                <w:b/>
                <w:i/>
              </w:rPr>
              <w:t>тяхната способност да се развиват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както беше подчертано от Комисията в нейното съобщение относно стратегията на ЕС за стартиращите и разрастващите се предприятия, създаването и разрастването на иновативни дружества в Европа понастоящем е изправено пред значителни предизвикателства, особено поради разпокъсаната регулаторна рамка на равнището на ЕС, по-ниската склонност към инвестиране в риск, бавното внедряване на иновативни технологии и недостатъчното използване на обществените поръчки;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глобалната бизнес среда изисква все повече гъвкавост, цифровизация и достъп до разнообразни пазари и обединения от таланти, което понастоящем е трудно постижимо за много дружества от ЕС поради регулаторната сложност и непоследователните рамки;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единна европейска система би могла да бъде постигната не само чрез самостоятелен правен акт на Съюза, но и чрез въвеждане на набор от правила, които функционират успоредно със съществуващата във всяка държава членка национална правна система;</w:t>
            </w:r>
          </w:p>
        </w:tc>
        <w:tc>
          <w:tcPr>
            <w:tcW w:w="4876" w:type="dxa"/>
            <w:tcBorders>
              <w:top w:val="nil"/>
              <w:left w:val="nil"/>
              <w:bottom w:val="nil"/>
              <w:right w:val="nil"/>
            </w:tcBorders>
          </w:tcPr>
          <w:p>
            <w:pPr>
              <w:pStyle w:val="Normal6a"/>
            </w:pPr>
            <w:r>
              <w:t>Б.</w:t>
            </w:r>
            <w:r>
              <w:tab/>
            </w:r>
            <w:r>
              <w:t xml:space="preserve">като има предвид, че единна </w:t>
            </w:r>
            <w:r>
              <w:rPr>
                <w:b/>
                <w:i/>
              </w:rPr>
              <w:t>и по-ефикасна хармонизирана</w:t>
            </w:r>
            <w:r>
              <w:t xml:space="preserve"> европейска система би могла да бъде постигната не само чрез самостоятелен правен акт на Съюза, но и чрез въвеждане на набор от правила, които функционират успоредно със съществуващата във всяка държава членка национална правна система</w:t>
            </w:r>
            <w:r>
              <w:rPr>
                <w:b/>
                <w:i/>
              </w:rPr>
              <w:t>, без обаче тези правила да създават допълнителни административни, бюрократични и финансови тежести или други видове пречки по пътя на развиващите се предприятия, и по-специално МСП</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w:t>
            </w:r>
            <w:r>
              <w:rPr>
                <w:b/>
                <w:i/>
              </w:rPr>
              <w:t>единна европейска система би могла да бъде постигната не само чрез самостоятелен правен акт на Съюза, но и чрез въвеждане на</w:t>
            </w:r>
            <w:r>
              <w:t xml:space="preserve"> набор от правила, които </w:t>
            </w:r>
            <w:r>
              <w:rPr>
                <w:b/>
                <w:i/>
              </w:rPr>
              <w:t>функционират успоредно със съществуващата</w:t>
            </w:r>
            <w:r>
              <w:t xml:space="preserve"> във всяка държава членка </w:t>
            </w:r>
            <w:r>
              <w:rPr>
                <w:b/>
                <w:i/>
              </w:rPr>
              <w:t>национална правна система</w:t>
            </w:r>
            <w:r>
              <w:t>;</w:t>
            </w:r>
          </w:p>
        </w:tc>
        <w:tc>
          <w:tcPr>
            <w:tcW w:w="4876" w:type="dxa"/>
            <w:tcBorders>
              <w:top w:val="nil"/>
              <w:left w:val="nil"/>
              <w:bottom w:val="nil"/>
              <w:right w:val="nil"/>
            </w:tcBorders>
          </w:tcPr>
          <w:p>
            <w:pPr>
              <w:pStyle w:val="Normal6a"/>
            </w:pPr>
            <w:r>
              <w:t>Б.</w:t>
            </w:r>
            <w:r>
              <w:tab/>
            </w:r>
            <w:r>
              <w:t xml:space="preserve">като има предвид, че </w:t>
            </w:r>
            <w:r>
              <w:rPr>
                <w:b/>
                <w:i/>
              </w:rPr>
              <w:t>би било възможно да се въведе</w:t>
            </w:r>
            <w:r>
              <w:t xml:space="preserve"> набор от правила, които </w:t>
            </w:r>
            <w:r>
              <w:rPr>
                <w:b/>
                <w:i/>
              </w:rPr>
              <w:t>улесняват признаването на стартиращи и разрастващи се предприятия, развиващи дейност в цифровия сектор,</w:t>
            </w:r>
            <w:r>
              <w:t xml:space="preserve"> във всяка държава членка</w:t>
            </w:r>
            <w:r>
              <w:rPr>
                <w:b/>
                <w:i/>
              </w:rPr>
              <w:t>, като същевременно се запазят националните данъчни и социални режими</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като има предвид, че много стартиращи и разрастващи се предприятия в Съюза разработват революционни технологии;</w:t>
            </w:r>
            <w:r>
              <w:t xml:space="preserve"> </w:t>
            </w:r>
            <w:r>
              <w:rPr>
                <w:b/>
                <w:i/>
              </w:rPr>
              <w:t>като има предвид, че тези предприятия често биват придобивани от чуждестранни предприятия, преди да са достигнали зрялост;</w:t>
            </w:r>
            <w:r>
              <w:t xml:space="preserve"> </w:t>
            </w:r>
            <w:r>
              <w:rPr>
                <w:b/>
                <w:i/>
              </w:rPr>
              <w:t>като има предвид, че тези придобивания често са под праговете на Съюза за контрол върху сливанията;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като има предвид, че много стартиращи и разрастващи се предприятия в Съюза разработват революционни технологии;</w:t>
            </w:r>
            <w:r>
              <w:t xml:space="preserve"> </w:t>
            </w:r>
            <w:r>
              <w:rPr>
                <w:b/>
                <w:i/>
              </w:rPr>
              <w:t>като има предвид, че тези предприятия често биват придобивани от чуждестранни предприятия, преди да са достигнали зрялост;</w:t>
            </w:r>
            <w:r>
              <w:t xml:space="preserve"> </w:t>
            </w:r>
            <w:r>
              <w:rPr>
                <w:b/>
                <w:i/>
              </w:rPr>
              <w:t>като има предвид, че тези придобивания често са под праговете на Съюза за контрол върху сливанията;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много стартиращи и разрастващи се предприятия в Съюза разработват революционни технологии; като има предвид, че тези предприятия често биват придобивани от чуждестранни предприятия, преди да са достигнали зрялост; като има предвид, че тези придобивания често са под праговете на Съюза за контрол върху сливанията;</w:t>
            </w:r>
          </w:p>
        </w:tc>
        <w:tc>
          <w:tcPr>
            <w:tcW w:w="4876" w:type="dxa"/>
            <w:tcBorders>
              <w:top w:val="nil"/>
              <w:left w:val="nil"/>
              <w:bottom w:val="nil"/>
              <w:right w:val="nil"/>
            </w:tcBorders>
          </w:tcPr>
          <w:p>
            <w:pPr>
              <w:pStyle w:val="Normal6a"/>
            </w:pPr>
            <w:r>
              <w:t>В.</w:t>
            </w:r>
            <w:r>
              <w:tab/>
            </w:r>
            <w:r>
              <w:t xml:space="preserve">като има предвид, че много стартиращи и разрастващи се предприятия в Съюза разработват революционни технологии; като има предвид, че тези </w:t>
            </w:r>
            <w:r>
              <w:rPr>
                <w:b/>
                <w:i/>
              </w:rPr>
              <w:t>иновативни</w:t>
            </w:r>
            <w:r>
              <w:t xml:space="preserve"> предприятия често биват придобивани от чуждестранни предприятия, преди да са достигнали зрялост; като има предвид, че тези придобивания често са под праговете на Съюза за контрол върху сливанията;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Съюзът вече е приел правни рамки за европейските дружества, европейските кооперативни дружества и обединенията по икономически интереси, които обаче не са подходящи, за да се даде възможност на стартиращите и разрастващите се предприятия да работят по-ефективно на вътрешния пазар;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иновативните дружества се нуждаят от достъп до рисков капитал, </w:t>
            </w:r>
            <w:r>
              <w:rPr>
                <w:b/>
                <w:i/>
              </w:rPr>
              <w:t>общоевропейска</w:t>
            </w:r>
            <w:r>
              <w:t xml:space="preserve"> мобилност, способност за разрастване, висококвалифицирани работници, защита срещу „придобивания убийци“ и дългосрочни инвестиции;</w:t>
            </w:r>
          </w:p>
        </w:tc>
        <w:tc>
          <w:tcPr>
            <w:tcW w:w="4876" w:type="dxa"/>
            <w:tcBorders>
              <w:top w:val="nil"/>
              <w:left w:val="nil"/>
              <w:bottom w:val="nil"/>
              <w:right w:val="nil"/>
            </w:tcBorders>
          </w:tcPr>
          <w:p>
            <w:pPr>
              <w:pStyle w:val="Normal6a"/>
            </w:pPr>
            <w:r>
              <w:t>Г.</w:t>
            </w:r>
            <w:r>
              <w:tab/>
            </w:r>
            <w:r>
              <w:t xml:space="preserve">като има предвид, че иновативните дружества се нуждаят от </w:t>
            </w:r>
            <w:r>
              <w:rPr>
                <w:b/>
                <w:i/>
              </w:rPr>
              <w:t>по-голям</w:t>
            </w:r>
            <w:r>
              <w:t xml:space="preserve"> достъп до рисков капитал, </w:t>
            </w:r>
            <w:r>
              <w:rPr>
                <w:b/>
                <w:i/>
              </w:rPr>
              <w:t>паневропейска</w:t>
            </w:r>
            <w:r>
              <w:t xml:space="preserve"> мобилност</w:t>
            </w:r>
            <w:r>
              <w:rPr>
                <w:b/>
                <w:i/>
              </w:rPr>
              <w:t>, по-големи възможности за обмен на добри практики на европейско равнище</w:t>
            </w:r>
            <w:r>
              <w:t>, способност за разрастване, висококвалифицирани работници, защита срещу „придобивания убийци“ и дългосрочни инвестиции;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w:t>
            </w:r>
            <w:r>
              <w:rPr>
                <w:b/>
                <w:i/>
              </w:rPr>
              <w:t>иновативните</w:t>
            </w:r>
            <w:r>
              <w:t xml:space="preserve"> дружества се нуждаят от достъп до рисков капитал, общоевропейска мобилност, способност за разрастване, висококвалифицирани работници</w:t>
            </w:r>
            <w:r>
              <w:rPr>
                <w:b/>
                <w:i/>
              </w:rPr>
              <w:t>, защита срещу „придобивания убийци“</w:t>
            </w:r>
            <w:r>
              <w:t xml:space="preserve"> и дългосрочни инвестиции;</w:t>
            </w:r>
          </w:p>
        </w:tc>
        <w:tc>
          <w:tcPr>
            <w:tcW w:w="4876" w:type="dxa"/>
            <w:tcBorders>
              <w:top w:val="nil"/>
              <w:left w:val="nil"/>
              <w:bottom w:val="nil"/>
              <w:right w:val="nil"/>
            </w:tcBorders>
          </w:tcPr>
          <w:p>
            <w:pPr>
              <w:pStyle w:val="Normal6a"/>
            </w:pPr>
            <w:r>
              <w:t>Г.</w:t>
            </w:r>
            <w:r>
              <w:tab/>
            </w:r>
            <w:r>
              <w:t xml:space="preserve">като има предвид, че </w:t>
            </w:r>
            <w:r>
              <w:rPr>
                <w:b/>
                <w:i/>
              </w:rPr>
              <w:t>тези иновативни</w:t>
            </w:r>
            <w:r>
              <w:t xml:space="preserve"> дружества се нуждаят от достъп до рисков капитал, общоевропейска мобилност, способност за разрастване, висококвалифицирани работници и дългосрочни инвестиции;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w:t>
            </w:r>
            <w:r>
              <w:rPr>
                <w:b/>
                <w:i/>
              </w:rPr>
              <w:t>иновативните</w:t>
            </w:r>
            <w:r>
              <w:t xml:space="preserve"> дружества се нуждаят от </w:t>
            </w:r>
            <w:r>
              <w:rPr>
                <w:b/>
                <w:i/>
              </w:rPr>
              <w:t>достъп до рисков</w:t>
            </w:r>
            <w:r>
              <w:t xml:space="preserve"> капитал, общоевропейска мобилност, способност за разрастване, висококвалифицирани работници, защита срещу „придобивания убийци“ и дългосрочни инвестиции;</w:t>
            </w:r>
          </w:p>
        </w:tc>
        <w:tc>
          <w:tcPr>
            <w:tcW w:w="4876" w:type="dxa"/>
            <w:tcBorders>
              <w:top w:val="nil"/>
              <w:left w:val="nil"/>
              <w:bottom w:val="nil"/>
              <w:right w:val="nil"/>
            </w:tcBorders>
          </w:tcPr>
          <w:p>
            <w:pPr>
              <w:pStyle w:val="Normal6a"/>
            </w:pPr>
            <w:r>
              <w:t>Г.</w:t>
            </w:r>
            <w:r>
              <w:tab/>
            </w:r>
            <w:r>
              <w:t xml:space="preserve">като има предвид, че </w:t>
            </w:r>
            <w:r>
              <w:rPr>
                <w:b/>
                <w:i/>
              </w:rPr>
              <w:t>стартиращите и разрастващите се</w:t>
            </w:r>
            <w:r>
              <w:t xml:space="preserve"> дружества се нуждаят от </w:t>
            </w:r>
            <w:r>
              <w:rPr>
                <w:b/>
                <w:i/>
              </w:rPr>
              <w:t>различни форми на</w:t>
            </w:r>
            <w:r>
              <w:t xml:space="preserve"> капитал, общоевропейска мобилност, способност за разрастване, висококвалифицирани работници, защита срещу „придобивания убийци“ и дългосрочни инвестиции;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иновативните дружества се нуждаят от достъп до рисков капитал, общоевропейска мобилност, способност за разрастване, висококвалифицирани работници, </w:t>
            </w:r>
            <w:r>
              <w:rPr>
                <w:b/>
                <w:i/>
              </w:rPr>
              <w:t>защита срещу „придобивания убийци“</w:t>
            </w:r>
            <w:r>
              <w:t xml:space="preserve"> и дългосрочни инвестиции;</w:t>
            </w:r>
          </w:p>
        </w:tc>
        <w:tc>
          <w:tcPr>
            <w:tcW w:w="4876" w:type="dxa"/>
            <w:tcBorders>
              <w:top w:val="nil"/>
              <w:left w:val="nil"/>
              <w:bottom w:val="nil"/>
              <w:right w:val="nil"/>
            </w:tcBorders>
          </w:tcPr>
          <w:p>
            <w:pPr>
              <w:pStyle w:val="Normal6a"/>
            </w:pPr>
            <w:r>
              <w:t>Г.</w:t>
            </w:r>
            <w:r>
              <w:tab/>
            </w:r>
            <w:r>
              <w:t xml:space="preserve">като има предвид, че иновативните дружества се нуждаят от достъп до рисков капитал, общоевропейска мобилност, способност за разрастване, висококвалифицирани работници, </w:t>
            </w:r>
            <w:r>
              <w:rPr>
                <w:b/>
                <w:i/>
              </w:rPr>
              <w:t>резултати от научни изследвания</w:t>
            </w:r>
            <w:r>
              <w:t xml:space="preserve"> и дългосрочни инвестиции;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дружественото право ще бъде само една от областите, които 28-ият режим за иновационните дружества ще трябва да разгледа, и като има предвид, че цялата област ще се управлява от модулни и допълващи се законодателни предложения, обхващащи редица законодателни области;</w:t>
            </w:r>
            <w:r>
              <w:t xml:space="preserve"> </w:t>
            </w:r>
            <w:r>
              <w:rPr>
                <w:b/>
                <w:i/>
              </w:rPr>
              <w:t>като има предвид, че въпросите, свързани с управлението в областта на данъчното облагане, труда, несъстоятелността и трансграничните финансови услуги, ще бъдат ключови елементи на европейското законодателство в рамките на 28-ия режим и ще допринесат за възобновяването на иновациите чрез създаване на ефикасно, благоприятно и привлекателно законодателство, което може да се конкурира с най-добрите световни промишлени стандарти и с най-ефективните неевропейски юрисдикции, като по този начин се поддържат и привличат международно рисково финансиране и капитал в Европа в подкрепа на европейските дружества, стартиращи и разрастващи се предприятия в сектора;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социалните предприятия и дружествата, създадени от млади предприемачи или предприемачи за първи път, играят ключова роля за стимулиране на иновациите, създаване на социално сближаване и оказване на принос за устойчив икономически растеж, но въпреки това често са изправени пред по-големи предизвикателства при достъпа до финансиране, мрежи и специализирана подкрепа;</w:t>
            </w:r>
            <w:r>
              <w:t xml:space="preserve"> </w:t>
            </w:r>
            <w:r>
              <w:rPr>
                <w:b/>
                <w:i/>
              </w:rPr>
              <w:t>като има предвид, че сътрудничеството с университети, научноизследователски институти и служби за трансфер на технологии може да ускори процеса на преминаване от труда към пазара, да улесни достъпа до експертен опит и инфраструктура и да стимулира търговската реализация на резултатите от научните изследвания;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МСП, които са от основно значение за конкурентоспособността на Съюза, много от които са семейни дружества, са изправени пред предизвикателства, свързани с приемствеността;</w:t>
            </w:r>
            <w:r>
              <w:t xml:space="preserve"> </w:t>
            </w:r>
            <w:r>
              <w:rPr>
                <w:b/>
                <w:i/>
              </w:rPr>
              <w:t>като има предвид, че моделите на собственост на служителите могат да спомогнат за преодоляване на различията в наследяването в случаите, когато наследяването в рамките на семейството не е възможно, и по този начин да подкрепят дългосрочната стабилност и растеж;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улесняването на достъпа до капитал и таланти чрез опростена и единна правна рамка ще повиши способността на МСП, стартиращите и разрастващите се дружества да се конкурират в световен мащаб, да привличат инвестиции и да допринасят за създаването на работни места и социалното сближаване в рамките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достъпът до капитал и цифрови инструменти трябва да бъде съпътстван от мерки за подкрепа и улесняване за дружествата в държавите членки с ниски равнища на цифровизация и че те следва да включват преходни периоди и многоезични платформи;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хармонизирането, предвидено в членове 50 и 114 от ДФЕС, изисква предварителното съществуване на сходни правни форми на дружествата и следователно възможността за хармонизирането им в рамките на правните системи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от всеки субект, създаден съгласно 28-ия режим, следва да се изисква да регистрира и поддържа своето седалище в държава — членка на Съюза, като по този начин се гарантира силна връзка с националните правни системи;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повишаването на правната сигурност и предвидимостта за дружествата, извършващи дейност във всички държави членки, е от съществено значение за укрепване на позицията на Съюза като водещо място за предприемачество, иновации и устойчиво развитие на стопанската дейност;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приемането на законодателство на Съюза в областта на дружественото право може да спомогне за прекратяване на разпокъсаността в тази област;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приветства ангажимента на Комисията да представи законодателно предложение относно 28-</w:t>
            </w:r>
            <w:r>
              <w:rPr>
                <w:b/>
                <w:i/>
              </w:rPr>
              <w:t>и</w:t>
            </w:r>
            <w:r>
              <w:t xml:space="preserve"> режим за </w:t>
            </w:r>
            <w:r>
              <w:rPr>
                <w:b/>
                <w:i/>
              </w:rPr>
              <w:t>иновативни</w:t>
            </w:r>
            <w:r>
              <w:t xml:space="preserve"> дружества („28-ия режим“)</w:t>
            </w:r>
            <w:r>
              <w:rPr>
                <w:b/>
                <w:i/>
              </w:rPr>
              <w:t>, което следва да се състои от законодателно предложение за директива с правно основание член 50 и член 114, параграф 1 от Договора за функционирането на Европейския съюз (ДФЕС)</w:t>
            </w:r>
            <w:r>
              <w:t>;</w:t>
            </w:r>
          </w:p>
        </w:tc>
        <w:tc>
          <w:tcPr>
            <w:tcW w:w="4876" w:type="dxa"/>
            <w:tcBorders>
              <w:top w:val="nil"/>
              <w:left w:val="nil"/>
              <w:bottom w:val="nil"/>
              <w:right w:val="nil"/>
            </w:tcBorders>
          </w:tcPr>
          <w:p>
            <w:pPr>
              <w:pStyle w:val="Normal6a"/>
            </w:pPr>
            <w:r>
              <w:t>1.</w:t>
            </w:r>
            <w:r>
              <w:tab/>
            </w:r>
            <w:r>
              <w:t>приветства ангажимента на Комисията да представи законодателно предложение относно 28-</w:t>
            </w:r>
            <w:r>
              <w:rPr>
                <w:b/>
                <w:i/>
              </w:rPr>
              <w:t>ия</w:t>
            </w:r>
            <w:r>
              <w:t xml:space="preserve"> режим за </w:t>
            </w:r>
            <w:r>
              <w:rPr>
                <w:b/>
                <w:i/>
              </w:rPr>
              <w:t>стартиращи и разрастващи се</w:t>
            </w:r>
            <w:r>
              <w:t xml:space="preserve"> дружества („28-ия режим“)</w:t>
            </w:r>
            <w:r>
              <w:rPr>
                <w:b/>
                <w:i/>
              </w:rPr>
              <w:t>; признава, че дружественото право ще бъде първа стъпка за 28-ия режим, но подчертава необходимостта 28-ият режим да обхваща повече регулаторни области, за да бъде наистина привлекателен за стартиращите и разрастващите се дружества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приветства ангажимента на Комисията да представи законодателно предложение относно 28-</w:t>
            </w:r>
            <w:r>
              <w:rPr>
                <w:b/>
                <w:i/>
              </w:rPr>
              <w:t>и</w:t>
            </w:r>
            <w:r>
              <w:t xml:space="preserve"> режим за </w:t>
            </w:r>
            <w:r>
              <w:rPr>
                <w:b/>
                <w:i/>
              </w:rPr>
              <w:t>иновативни</w:t>
            </w:r>
            <w:r>
              <w:t xml:space="preserve"> дружества („28-ия режим“), което следва да се състои от законодателно предложение за </w:t>
            </w:r>
            <w:r>
              <w:rPr>
                <w:b/>
                <w:i/>
              </w:rPr>
              <w:t>директива с правно основание член 50 и член 114, параграф 1 от Договора за функционирането на Европейския съюз (ДФЕС)</w:t>
            </w:r>
            <w:r>
              <w:t>;</w:t>
            </w:r>
          </w:p>
        </w:tc>
        <w:tc>
          <w:tcPr>
            <w:tcW w:w="4876" w:type="dxa"/>
            <w:tcBorders>
              <w:top w:val="nil"/>
              <w:left w:val="nil"/>
              <w:bottom w:val="nil"/>
              <w:right w:val="nil"/>
            </w:tcBorders>
          </w:tcPr>
          <w:p>
            <w:pPr>
              <w:pStyle w:val="Normal6a"/>
            </w:pPr>
            <w:r>
              <w:t>1.</w:t>
            </w:r>
            <w:r>
              <w:tab/>
            </w:r>
            <w:r>
              <w:t>приветства ангажимента на Комисията да представи законодателно предложение относно 28-</w:t>
            </w:r>
            <w:r>
              <w:rPr>
                <w:b/>
                <w:i/>
              </w:rPr>
              <w:t>ия</w:t>
            </w:r>
            <w:r>
              <w:t xml:space="preserve"> режим за </w:t>
            </w:r>
            <w:r>
              <w:rPr>
                <w:b/>
                <w:i/>
              </w:rPr>
              <w:t>иновативните</w:t>
            </w:r>
            <w:r>
              <w:t xml:space="preserve"> дружества („28-ия режим“), което следва да се състои от законодателно предложение за </w:t>
            </w:r>
            <w:r>
              <w:rPr>
                <w:b/>
                <w:i/>
              </w:rPr>
              <w:t>регламент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приветства ангажимента на Комисията да представи законодателно предложение </w:t>
            </w:r>
            <w:r>
              <w:rPr>
                <w:b/>
                <w:i/>
              </w:rPr>
              <w:t>относно 28-и</w:t>
            </w:r>
            <w:r>
              <w:t xml:space="preserve"> режим за иновативни дружества („28-</w:t>
            </w:r>
            <w:r>
              <w:rPr>
                <w:b/>
                <w:i/>
              </w:rPr>
              <w:t>ия</w:t>
            </w:r>
            <w:r>
              <w:t xml:space="preserve"> режим“), </w:t>
            </w:r>
            <w:r>
              <w:rPr>
                <w:b/>
                <w:i/>
              </w:rPr>
              <w:t>което следва да се състои от законодателно предложение за директива с</w:t>
            </w:r>
            <w:r>
              <w:t xml:space="preserve"> правно основание </w:t>
            </w:r>
            <w:r>
              <w:rPr>
                <w:b/>
                <w:i/>
              </w:rPr>
              <w:t>член 50 и член 114, параграф 1 от Договора за функционирането на Европейския съюз (ДФЕС)</w:t>
            </w:r>
            <w:r>
              <w:t>;</w:t>
            </w:r>
          </w:p>
        </w:tc>
        <w:tc>
          <w:tcPr>
            <w:tcW w:w="4876" w:type="dxa"/>
            <w:tcBorders>
              <w:top w:val="nil"/>
              <w:left w:val="nil"/>
              <w:bottom w:val="nil"/>
              <w:right w:val="nil"/>
            </w:tcBorders>
          </w:tcPr>
          <w:p>
            <w:pPr>
              <w:pStyle w:val="Normal6a"/>
            </w:pPr>
            <w:r>
              <w:t>1.</w:t>
            </w:r>
            <w:r>
              <w:tab/>
            </w:r>
            <w:r>
              <w:t xml:space="preserve">приветства ангажимента на Комисията да представи законодателно предложение </w:t>
            </w:r>
            <w:r>
              <w:rPr>
                <w:b/>
                <w:i/>
              </w:rPr>
              <w:t>за нов 28-и корпоративен</w:t>
            </w:r>
            <w:r>
              <w:t xml:space="preserve"> режим за иновативни дружества („28-</w:t>
            </w:r>
            <w:r>
              <w:rPr>
                <w:b/>
                <w:i/>
              </w:rPr>
              <w:t>и</w:t>
            </w:r>
            <w:r>
              <w:t xml:space="preserve"> режим“), </w:t>
            </w:r>
            <w:r>
              <w:rPr>
                <w:b/>
                <w:i/>
              </w:rPr>
              <w:t>който има за цел да завърши и укрепи единния европейски пазар в областта на иновациите и чиито характеристики и цели изискват използването на член 352 от ДФЕС като</w:t>
            </w:r>
            <w:r>
              <w:t xml:space="preserve"> правно основание;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приветства</w:t>
            </w:r>
            <w:r>
              <w:t xml:space="preserve"> ангажимента на Комисията да представи законодателно предложение относно 28-и режим за иновативни дружества („28-ия режим“), което следва да се състои от законодателно предложение за директива с правно основание член 50 </w:t>
            </w:r>
            <w:r>
              <w:rPr>
                <w:b/>
                <w:i/>
              </w:rPr>
              <w:t>и член 114, параграф 1</w:t>
            </w:r>
            <w:r>
              <w:t xml:space="preserve"> от Договора за функционирането на Европейския съюз (ДФЕС);</w:t>
            </w:r>
          </w:p>
        </w:tc>
        <w:tc>
          <w:tcPr>
            <w:tcW w:w="4876" w:type="dxa"/>
            <w:tcBorders>
              <w:top w:val="nil"/>
              <w:left w:val="nil"/>
              <w:bottom w:val="nil"/>
              <w:right w:val="nil"/>
            </w:tcBorders>
          </w:tcPr>
          <w:p>
            <w:pPr>
              <w:pStyle w:val="Normal6a"/>
            </w:pPr>
            <w:r>
              <w:t>1.</w:t>
            </w:r>
            <w:r>
              <w:tab/>
            </w:r>
            <w:r>
              <w:rPr>
                <w:b/>
                <w:i/>
              </w:rPr>
              <w:t>отбелязва</w:t>
            </w:r>
            <w:r>
              <w:t xml:space="preserve"> ангажимента на Комисията да представи законодателно предложение относно 28-и режим за иновативни дружества („28-ия режим“), което следва да се състои от законодателно предложение за директива с правно основание член 50 от Договора за функционирането на Европейския съюз (ДФЕС);</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приветства ангажимента на Комисията да представи законодателно предложение относно 28-и режим за иновативни дружества („28-ия режим“), което следва да се състои от законодателно предложение за </w:t>
            </w:r>
            <w:r>
              <w:rPr>
                <w:b/>
                <w:i/>
              </w:rPr>
              <w:t>директива с</w:t>
            </w:r>
            <w:r>
              <w:t xml:space="preserve"> правно основание </w:t>
            </w:r>
            <w:r>
              <w:rPr>
                <w:b/>
                <w:i/>
              </w:rPr>
              <w:t>член 50 и член 114, параграф 1</w:t>
            </w:r>
            <w:r>
              <w:t xml:space="preserve"> от Договора за функционирането на Европейския съюз (ДФЕС);</w:t>
            </w:r>
          </w:p>
        </w:tc>
        <w:tc>
          <w:tcPr>
            <w:tcW w:w="4876" w:type="dxa"/>
            <w:tcBorders>
              <w:top w:val="nil"/>
              <w:left w:val="nil"/>
              <w:bottom w:val="nil"/>
              <w:right w:val="nil"/>
            </w:tcBorders>
          </w:tcPr>
          <w:p>
            <w:pPr>
              <w:pStyle w:val="Normal6a"/>
            </w:pPr>
            <w:r>
              <w:t>1.</w:t>
            </w:r>
            <w:r>
              <w:tab/>
            </w:r>
            <w:r>
              <w:t xml:space="preserve">приветства ангажимента на Комисията да представи законодателно предложение относно 28-и режим за иновативни дружества („28-ия режим“), което следва да се състои от законодателно предложение за </w:t>
            </w:r>
            <w:r>
              <w:rPr>
                <w:b/>
                <w:i/>
              </w:rPr>
              <w:t>регламент с подходящо</w:t>
            </w:r>
            <w:r>
              <w:t xml:space="preserve"> правно основание от Договора за функционирането на Европейския съюз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категорично се противопоставя на използването на член 352, параграф 1 от ДФЕС като правно основание, тъй като това би забавило приемането на законодателното предложение поради изискването за единодушие;</w:t>
            </w:r>
            <w:r>
              <w:t xml:space="preserve"> </w:t>
            </w:r>
            <w:r>
              <w:rPr>
                <w:b/>
                <w:i/>
              </w:rPr>
              <w:t>изразява критично отношение към използването на засиленото сътрудничество, както е посочено в член 20 от Договора за Европейския съюз и член 329 от ДФЕС, или междуправителствени споразумения за целите на създаването на 28-ия режим;</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категорично се противопоставя на използването на член 352, параграф 1 от ДФЕС като правно основание, тъй като това би забавило приемането на законодателното предложение поради изискването за единодушие;</w:t>
            </w:r>
            <w:r>
              <w:t xml:space="preserve"> </w:t>
            </w:r>
            <w:r>
              <w:rPr>
                <w:b/>
                <w:i/>
              </w:rPr>
              <w:t>изразява критично отношение към използването на засиленото сътрудничество, както е посочено в член 20 от Договора за Европейския съюз и член 329 от ДФЕС, или междуправителствени споразумения за целите на създаването на 28-ия режим;</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категорично се противопоставя на използването на член 352, параграф 1 от ДФЕС като правно основание, тъй като това би забавило приемането на законодателното предложение поради изискването за единодушие;</w:t>
            </w:r>
            <w:r>
              <w:t xml:space="preserve"> </w:t>
            </w:r>
            <w:r>
              <w:rPr>
                <w:b/>
                <w:i/>
              </w:rPr>
              <w:t>изразява критично отношение към използването на засиленото сътрудничество, както е посочено в член 20 от Договора за Европейския съюз и член 329 от ДФЕС, или междуправителствени споразумения за целите на създаването на 28-ия режим;</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категорично се противопоставя на</w:t>
            </w:r>
            <w:r>
              <w:t xml:space="preserve"> използването на член 352, параграф 1 от ДФЕС като правно основание, тъй като това би забавило приемането на законодателното предложение поради изискването за единодушие; изразява критично отношение към използването на засиленото сътрудничество, както е посочено в член 20 от Договора за Европейския съюз и член 329 от ДФЕС, или междуправителствени споразумения за целите на създаването на 28-ия режим;</w:t>
            </w:r>
          </w:p>
        </w:tc>
        <w:tc>
          <w:tcPr>
            <w:tcW w:w="4876" w:type="dxa"/>
            <w:tcBorders>
              <w:top w:val="nil"/>
              <w:left w:val="nil"/>
              <w:bottom w:val="nil"/>
              <w:right w:val="nil"/>
            </w:tcBorders>
          </w:tcPr>
          <w:p>
            <w:pPr>
              <w:pStyle w:val="Normal6a"/>
            </w:pPr>
            <w:r>
              <w:t>2.</w:t>
            </w:r>
            <w:r>
              <w:tab/>
            </w:r>
            <w:r>
              <w:rPr>
                <w:b/>
                <w:i/>
              </w:rPr>
              <w:t>оценява високо</w:t>
            </w:r>
            <w:r>
              <w:t xml:space="preserve"> използването на член 352, параграф 1 от ДФЕС като правно основание, тъй като това би забавило приемането на законодателното предложение поради изискването за единодушие; изразява критично отношение към използването на засиленото сътрудничество, както е посочено в член 20 от Договора за Европейския съюз и член 329 от ДФЕС, или междуправителствени споразумения за целите на създаването на 28-ия режим;</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признава, че сложността, разнородността и модулността на регулаторните области, които според Комисията новият 28-и режим ще трябва да разгледа (корпоративно право, данъчно облагане, несъстоятелност, трудови и финансови услуги), може да изискват използването на различни правни основания и механизми и мнозинства при гласуване;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въпреки това счита, че ако съществува възможност да се приеме регламент с правно основание член 114 от ДФЕС, без за това да е необходимо единодушие, тази възможност следва да бъде подробно проучена;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счита, че общите изисквания за уеднаквяване, ефикасност, последователност и правна сигурност, изисквани от международните оператори в областта на иновациите, стартиращите предприятия, разрастващите се предприятия и инвеститорите в сектора, налагат и предпочитат като законодателен инструмент да се използва регламент, а не директива;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w:t>
            </w:r>
            <w:r>
              <w:t xml:space="preserve"> </w:t>
            </w:r>
            <w:r>
              <w:rPr>
                <w:b/>
                <w:i/>
              </w:rPr>
              <w:t>счита, че в този случай трябва да се предпочете максимална хармонизация, за да се гарантират еднакви правила във всички държави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w:t>
            </w:r>
            <w:r>
              <w:t xml:space="preserve"> </w:t>
            </w:r>
            <w:r>
              <w:rPr>
                <w:b/>
                <w:i/>
              </w:rPr>
              <w:t>счита, че в този случай трябва да се предпочете максимална хармонизация, за да се гарантират еднакви правила във всички държави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w:t>
            </w:r>
            <w:r>
              <w:t xml:space="preserve"> </w:t>
            </w:r>
            <w:r>
              <w:rPr>
                <w:b/>
                <w:i/>
              </w:rPr>
              <w:t>счита, че в този случай трябва да се предпочете максимална хармонизация, за да се гарантират еднакви правила във всички държави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трябва да се предпочете максимална хармонизация, за да се гарантират еднакви правила във всички държави членки;</w:t>
            </w:r>
          </w:p>
        </w:tc>
        <w:tc>
          <w:tcPr>
            <w:tcW w:w="4876" w:type="dxa"/>
            <w:tcBorders>
              <w:top w:val="nil"/>
              <w:left w:val="nil"/>
              <w:bottom w:val="nil"/>
              <w:right w:val="nil"/>
            </w:tcBorders>
          </w:tcPr>
          <w:p>
            <w:pPr>
              <w:pStyle w:val="Normal6a"/>
            </w:pPr>
            <w:r>
              <w:t>3.</w:t>
            </w:r>
            <w:r>
              <w:tab/>
            </w:r>
            <w:r>
              <w:t xml:space="preserve">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трябва да се предпочете максимална хармонизация, за да се гарантират еднакви правила във всички държави членки; </w:t>
            </w:r>
            <w:r>
              <w:rPr>
                <w:b/>
                <w:i/>
              </w:rPr>
              <w:t>призовава Комисията да разшири обхвата на тези клаузи за максимална хармонизация, така че да обхване по-голямата част от компонентите на 28-ия режим;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w:t>
            </w:r>
            <w:r>
              <w:rPr>
                <w:b/>
                <w:i/>
              </w:rPr>
              <w:t>трябва</w:t>
            </w:r>
            <w:r>
              <w:t xml:space="preserve"> да се предпочете </w:t>
            </w:r>
            <w:r>
              <w:rPr>
                <w:b/>
                <w:i/>
              </w:rPr>
              <w:t>максимална</w:t>
            </w:r>
            <w:r>
              <w:t xml:space="preserve"> хармонизация, за да се гарантират </w:t>
            </w:r>
            <w:r>
              <w:rPr>
                <w:b/>
                <w:i/>
              </w:rPr>
              <w:t>еднакви</w:t>
            </w:r>
            <w:r>
              <w:t xml:space="preserve"> правила във всички държави членки;</w:t>
            </w:r>
          </w:p>
        </w:tc>
        <w:tc>
          <w:tcPr>
            <w:tcW w:w="4876" w:type="dxa"/>
            <w:tcBorders>
              <w:top w:val="nil"/>
              <w:left w:val="nil"/>
              <w:bottom w:val="nil"/>
              <w:right w:val="nil"/>
            </w:tcBorders>
          </w:tcPr>
          <w:p>
            <w:pPr>
              <w:pStyle w:val="Normal6a"/>
            </w:pPr>
            <w:r>
              <w:t>3.</w:t>
            </w:r>
            <w:r>
              <w:tab/>
            </w:r>
            <w:r>
              <w:t xml:space="preserve">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w:t>
            </w:r>
            <w:r>
              <w:rPr>
                <w:b/>
                <w:i/>
              </w:rPr>
              <w:t>следва</w:t>
            </w:r>
            <w:r>
              <w:t xml:space="preserve"> да се предпочете </w:t>
            </w:r>
            <w:r>
              <w:rPr>
                <w:b/>
                <w:i/>
              </w:rPr>
              <w:t>възможно най-ефективната</w:t>
            </w:r>
            <w:r>
              <w:t xml:space="preserve"> хармонизация, за да се гарантират </w:t>
            </w:r>
            <w:r>
              <w:rPr>
                <w:b/>
                <w:i/>
              </w:rPr>
              <w:t>възможно най-балансирани</w:t>
            </w:r>
            <w:r>
              <w:t xml:space="preserve"> правила във всички държави членки</w:t>
            </w:r>
            <w:r>
              <w:rPr>
                <w:b/>
                <w:i/>
              </w:rPr>
              <w:t>, без да се създават допълнителни административни или финансови пречки за предприятията</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w:t>
            </w:r>
            <w:r>
              <w:rPr>
                <w:b/>
                <w:i/>
              </w:rPr>
              <w:t>трябва</w:t>
            </w:r>
            <w:r>
              <w:t xml:space="preserve"> да се предпочете максимална хармонизация, за да се гарантират еднакви правила във всички държави членки;</w:t>
            </w:r>
          </w:p>
        </w:tc>
        <w:tc>
          <w:tcPr>
            <w:tcW w:w="4876" w:type="dxa"/>
            <w:tcBorders>
              <w:top w:val="nil"/>
              <w:left w:val="nil"/>
              <w:bottom w:val="nil"/>
              <w:right w:val="nil"/>
            </w:tcBorders>
          </w:tcPr>
          <w:p>
            <w:pPr>
              <w:pStyle w:val="Normal6a"/>
            </w:pPr>
            <w:r>
              <w:t>3.</w:t>
            </w:r>
            <w:r>
              <w:tab/>
            </w:r>
            <w:r>
              <w:t xml:space="preserve">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w:t>
            </w:r>
            <w:r>
              <w:rPr>
                <w:b/>
                <w:i/>
              </w:rPr>
              <w:t>следва</w:t>
            </w:r>
            <w:r>
              <w:t xml:space="preserve"> да се предпочете максимална хармонизация</w:t>
            </w:r>
            <w:r>
              <w:rPr>
                <w:b/>
                <w:i/>
              </w:rPr>
              <w:t>, без да се засягат установените стандарти, като например правата на служителите или националните изисквания за форма</w:t>
            </w:r>
            <w:r>
              <w:t>, за да се гарантират еднакви правила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трябва да се предпочете максимална хармонизация, за да се гарантират еднакви правила във всички държави членки;</w:t>
            </w:r>
          </w:p>
        </w:tc>
        <w:tc>
          <w:tcPr>
            <w:tcW w:w="4876" w:type="dxa"/>
            <w:tcBorders>
              <w:top w:val="nil"/>
              <w:left w:val="nil"/>
              <w:bottom w:val="nil"/>
              <w:right w:val="nil"/>
            </w:tcBorders>
          </w:tcPr>
          <w:p>
            <w:pPr>
              <w:pStyle w:val="Normal6a"/>
            </w:pPr>
            <w:r>
              <w:t>3.</w:t>
            </w:r>
            <w:r>
              <w:tab/>
            </w:r>
            <w:r>
              <w:t xml:space="preserve">признава факта, че член 50 и член 114, параграф 1 от ДФЕС изискват мерки за хармонизиране в дружественото право, които е необходимо да бъдат приложени в националното право на държавите членки; счита, че в този случай трябва да се предпочете максимална хармонизация </w:t>
            </w:r>
            <w:r>
              <w:rPr>
                <w:b/>
                <w:i/>
              </w:rPr>
              <w:t>чрез регламент</w:t>
            </w:r>
            <w:r>
              <w:t>, за да се гарантират еднакви правила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отново заявява, че 28-ият режим може да бъде наистина полезна алтернатива за стартиращите и разрастващите се дружества само ако предлага хармонизация до голяма степен;</w:t>
            </w:r>
            <w:r>
              <w:t xml:space="preserve"> </w:t>
            </w:r>
            <w:r>
              <w:rPr>
                <w:b/>
                <w:i/>
              </w:rPr>
              <w:t>във връзка с това призовава Комисията на следващия етап да включи в 28-ия режим финансовите, секторните политики, като например правилата за ДДС, регламентите за финансовите пазари и корпоративното данъчно облагане, в съответствие с вече договорените решения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отбелязва, че член 114, параграф 1 от ДФЕС не е подходящо правно основание в контекста на законодателството, което се отнася предимно до дружественото право;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28-ият режим </w:t>
            </w:r>
            <w:r>
              <w:rPr>
                <w:b/>
                <w:i/>
              </w:rPr>
              <w:t>е стъпка към по-нататъшно задълбочаване</w:t>
            </w:r>
            <w:r>
              <w:t xml:space="preserve"> на вътрешния пазар </w:t>
            </w:r>
            <w:r>
              <w:rPr>
                <w:b/>
                <w:i/>
              </w:rPr>
              <w:t>и по-голяма европейска интеграция</w:t>
            </w:r>
            <w:r>
              <w:t>;</w:t>
            </w:r>
          </w:p>
        </w:tc>
        <w:tc>
          <w:tcPr>
            <w:tcW w:w="4876" w:type="dxa"/>
            <w:tcBorders>
              <w:top w:val="nil"/>
              <w:left w:val="nil"/>
              <w:bottom w:val="nil"/>
              <w:right w:val="nil"/>
            </w:tcBorders>
          </w:tcPr>
          <w:p>
            <w:pPr>
              <w:pStyle w:val="Normal6a"/>
            </w:pPr>
            <w:r>
              <w:t>4.</w:t>
            </w:r>
            <w:r>
              <w:tab/>
            </w:r>
            <w:r>
              <w:t xml:space="preserve">счита, че 28-ият режим </w:t>
            </w:r>
            <w:r>
              <w:rPr>
                <w:b/>
                <w:i/>
              </w:rPr>
              <w:t>следва да даде възможност на европейските стартиращи и разрастващи се предприятия, развиващи дейност в цифровия сектор, да се развиват в рамките</w:t>
            </w:r>
            <w:r>
              <w:t xml:space="preserve"> на вътрешния пазар;</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счита, че 28-ият режим е стъпка към по-нататъшно задълбочаване на вътрешния пазар и по-голяма европейска интеграция;</w:t>
            </w:r>
          </w:p>
        </w:tc>
        <w:tc>
          <w:tcPr>
            <w:tcW w:w="4876" w:type="dxa"/>
            <w:tcBorders>
              <w:top w:val="nil"/>
              <w:left w:val="nil"/>
              <w:bottom w:val="nil"/>
              <w:right w:val="nil"/>
            </w:tcBorders>
          </w:tcPr>
          <w:p>
            <w:pPr>
              <w:pStyle w:val="Normal6a"/>
            </w:pPr>
            <w:r>
              <w:t>4.</w:t>
            </w:r>
            <w:r>
              <w:tab/>
            </w:r>
            <w:r>
              <w:t>счита, че 28-ият режим е стъпка към по-нататъшно задълбочаване на вътрешния пазар и по-голяма европейска интеграция</w:t>
            </w:r>
            <w:r>
              <w:rPr>
                <w:b/>
                <w:i/>
              </w:rPr>
              <w:t>, а също така и за възстановяване на европейската конкурентна мощ</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отново заявява, че дружествата, които доброволно се включват в 28-ия режим, следва да бъдат обвързани от неговите правила;</w:t>
            </w:r>
          </w:p>
        </w:tc>
        <w:tc>
          <w:tcPr>
            <w:tcW w:w="4876" w:type="dxa"/>
            <w:tcBorders>
              <w:top w:val="nil"/>
              <w:left w:val="nil"/>
              <w:bottom w:val="nil"/>
              <w:right w:val="nil"/>
            </w:tcBorders>
          </w:tcPr>
          <w:p>
            <w:pPr>
              <w:pStyle w:val="Normal6a"/>
            </w:pPr>
            <w:r>
              <w:t>5.</w:t>
            </w:r>
            <w:r>
              <w:tab/>
            </w:r>
            <w:r>
              <w:t>отново заявява, че дружествата, които доброволно се включват в 28-ия режим, следва да бъдат обвързани от неговите правила</w:t>
            </w:r>
            <w:r>
              <w:rPr>
                <w:b/>
                <w:i/>
              </w:rPr>
              <w:t>, и счита, че режимът следва да позволява на дружествата да участват, когато са готови да се разрастват, без да се изисква от тях да се откажат от настоящата си правна форма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отчита риска 28-ият режим да даде възможност за заобикаляне на задължителната вътрешна защита за по-слабите страни;</w:t>
            </w:r>
            <w:r>
              <w:t xml:space="preserve"> </w:t>
            </w:r>
            <w:r>
              <w:rPr>
                <w:b/>
                <w:i/>
              </w:rPr>
              <w:t>подчертава, че 28-ият режим не трябва да се превръща в средство за подкопаване на съществуващите равнища на защита;</w:t>
            </w:r>
            <w:r>
              <w:t xml:space="preserve"> </w:t>
            </w:r>
            <w:r>
              <w:rPr>
                <w:b/>
                <w:i/>
              </w:rPr>
              <w:t>настоява</w:t>
            </w:r>
            <w:r>
              <w:t xml:space="preserve">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c>
          <w:tcPr>
            <w:tcW w:w="4876" w:type="dxa"/>
            <w:tcBorders>
              <w:top w:val="nil"/>
              <w:left w:val="nil"/>
              <w:bottom w:val="nil"/>
              <w:right w:val="nil"/>
            </w:tcBorders>
          </w:tcPr>
          <w:p>
            <w:pPr>
              <w:pStyle w:val="Normal6a"/>
            </w:pPr>
            <w:r>
              <w:t>7.</w:t>
            </w:r>
            <w:r>
              <w:tab/>
            </w:r>
            <w:r>
              <w:rPr>
                <w:b/>
                <w:i/>
              </w:rPr>
              <w:t>счита, че следва</w:t>
            </w:r>
            <w:r>
              <w:t xml:space="preserve">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отчита риска 28-ият режим да даде възможност за заобикаляне на задължителната вътрешна защита за по-слабите страни; подчертава, че 28-ият режим не трябва да се превръща в средство за </w:t>
            </w:r>
            <w:r>
              <w:rPr>
                <w:b/>
                <w:i/>
              </w:rPr>
              <w:t>подкопаване</w:t>
            </w:r>
            <w:r>
              <w:t xml:space="preserve">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c>
          <w:tcPr>
            <w:tcW w:w="4876" w:type="dxa"/>
            <w:tcBorders>
              <w:top w:val="nil"/>
              <w:left w:val="nil"/>
              <w:bottom w:val="nil"/>
              <w:right w:val="nil"/>
            </w:tcBorders>
          </w:tcPr>
          <w:p>
            <w:pPr>
              <w:pStyle w:val="Normal6a"/>
            </w:pPr>
            <w:r>
              <w:t>7.</w:t>
            </w:r>
            <w:r>
              <w:tab/>
            </w:r>
            <w:r>
              <w:t xml:space="preserve">отчита риска 28-ият режим да даде възможност за заобикаляне на задължителната вътрешна защита за по-слабите страни; подчертава, че 28-ият режим </w:t>
            </w:r>
            <w:r>
              <w:rPr>
                <w:b/>
                <w:i/>
              </w:rPr>
              <w:t>в никакъв случай</w:t>
            </w:r>
            <w:r>
              <w:t xml:space="preserve"> не трябва да се превръща в средство за </w:t>
            </w:r>
            <w:r>
              <w:rPr>
                <w:b/>
                <w:i/>
              </w:rPr>
              <w:t>намаляване, отслабване или заобикаляне</w:t>
            </w:r>
            <w:r>
              <w:t xml:space="preserve"> на съществуващите равнища на защита; настоява да бъдат установени </w:t>
            </w:r>
            <w:r>
              <w:rPr>
                <w:b/>
                <w:i/>
              </w:rPr>
              <w:t>ясни, обвързващи и ефективно наблюдавани</w:t>
            </w:r>
            <w:r>
              <w:t xml:space="preserve">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 </w:t>
            </w:r>
            <w:r>
              <w:rPr>
                <w:b/>
                <w:i/>
              </w:rPr>
              <w:t>систематично и без изключения</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отчита риска 28-ият режим да даде възможност за заобикаляне на задължителната вътрешна защита за по-слабите страни;</w:t>
            </w:r>
            <w:r>
              <w:t xml:space="preserve">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c>
          <w:tcPr>
            <w:tcW w:w="4876" w:type="dxa"/>
            <w:tcBorders>
              <w:top w:val="nil"/>
              <w:left w:val="nil"/>
              <w:bottom w:val="nil"/>
              <w:right w:val="nil"/>
            </w:tcBorders>
          </w:tcPr>
          <w:p>
            <w:pPr>
              <w:pStyle w:val="Normal6a"/>
            </w:pPr>
            <w:r>
              <w:t>7.</w:t>
            </w:r>
            <w:r>
              <w:tab/>
            </w:r>
            <w:r>
              <w:t xml:space="preserve">подчертава, че 28-ият режим не трябва да се превръща в средство за подкопаване на съществуващите равнища на защита </w:t>
            </w:r>
            <w:r>
              <w:rPr>
                <w:b/>
                <w:i/>
              </w:rPr>
              <w:t>на равнището на държавите членки и на равнището на ЕС</w:t>
            </w:r>
            <w:r>
              <w:t>;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отчита риска 28-ият режим да даде възможност за заобикаляне на задължителната вътрешна защита за по-слабите страни;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c>
          <w:tcPr>
            <w:tcW w:w="4876" w:type="dxa"/>
            <w:tcBorders>
              <w:top w:val="nil"/>
              <w:left w:val="nil"/>
              <w:bottom w:val="nil"/>
              <w:right w:val="nil"/>
            </w:tcBorders>
          </w:tcPr>
          <w:p>
            <w:pPr>
              <w:pStyle w:val="Normal6a"/>
            </w:pPr>
            <w:r>
              <w:t>7.</w:t>
            </w:r>
            <w:r>
              <w:tab/>
            </w:r>
            <w:r>
              <w:t>отчита риска 28-ият режим да даде възможност за заобикаляне на задължителната вътрешна защита за по-слабите страни</w:t>
            </w:r>
            <w:r>
              <w:rPr>
                <w:b/>
                <w:i/>
              </w:rPr>
              <w:t>;</w:t>
            </w:r>
            <w:r>
              <w:t xml:space="preserve"> </w:t>
            </w:r>
            <w:r>
              <w:rPr>
                <w:b/>
                <w:i/>
              </w:rPr>
              <w:t>настоява за действия за избягване на социален или фискален дъмпинг</w:t>
            </w:r>
            <w:r>
              <w:t>;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отчита риска 28-ият режим да даде възможност за заобикаляне на </w:t>
            </w:r>
            <w:r>
              <w:rPr>
                <w:b/>
                <w:i/>
              </w:rPr>
              <w:t>задължителната вътрешна защита</w:t>
            </w:r>
            <w:r>
              <w:t xml:space="preserve"> за по-слабите страни;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c>
          <w:tcPr>
            <w:tcW w:w="4876" w:type="dxa"/>
            <w:tcBorders>
              <w:top w:val="nil"/>
              <w:left w:val="nil"/>
              <w:bottom w:val="nil"/>
              <w:right w:val="nil"/>
            </w:tcBorders>
          </w:tcPr>
          <w:p>
            <w:pPr>
              <w:pStyle w:val="Normal6a"/>
            </w:pPr>
            <w:r>
              <w:t>7.</w:t>
            </w:r>
            <w:r>
              <w:tab/>
            </w:r>
            <w:r>
              <w:t xml:space="preserve">отчита риска 28-ият режим да даде възможност за заобикаляне на </w:t>
            </w:r>
            <w:r>
              <w:rPr>
                <w:b/>
                <w:i/>
              </w:rPr>
              <w:t>задължителните правила, насочени към защитата на обществения интерес и правната сигурност, по-специално</w:t>
            </w:r>
            <w:r>
              <w:t xml:space="preserve"> за по-слабите страни;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отчита риска 28-ият режим да даде възможност за заобикаляне на задължителната вътрешна защита за по-слабите страни;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и чрез стълкновителни норми, които гарантират прилагането на задължителни национални правила;</w:t>
            </w:r>
          </w:p>
        </w:tc>
        <w:tc>
          <w:tcPr>
            <w:tcW w:w="4876" w:type="dxa"/>
            <w:tcBorders>
              <w:top w:val="nil"/>
              <w:left w:val="nil"/>
              <w:bottom w:val="nil"/>
              <w:right w:val="nil"/>
            </w:tcBorders>
          </w:tcPr>
          <w:p>
            <w:pPr>
              <w:pStyle w:val="Normal6a"/>
            </w:pPr>
            <w:r>
              <w:t>7.</w:t>
            </w:r>
            <w:r>
              <w:tab/>
            </w:r>
            <w:r>
              <w:t xml:space="preserve">отчита риска 28-ият режим да даде възможност за заобикаляне на задължителната вътрешна защита за по-слабите страни; подчертава, че 28-ият режим не трябва да се превръща в средство за подкопаване на съществуващите равнища на защита; настоява да бъдат установени гаранции чрез материалноправни норми, които имат високо равнище на защита, </w:t>
            </w:r>
            <w:r>
              <w:rPr>
                <w:b/>
                <w:i/>
              </w:rPr>
              <w:t>като например националните формални изисквания,</w:t>
            </w:r>
            <w:r>
              <w:t xml:space="preserve"> и чрез стълкновителни норми, които гарантират прилагането на задължителни национални правила;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счита, че създаването на нов 28-и режим за иновационните дружества е от съществено значение за съживяването на европейската конкурентоспособност и растеж и счита, че той и всички свързани регулаторни и изпълнителни мерки следва да бъдат одобрени спешно;</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призовава Комисията да предвиди оценка с евентуален преглед на 28-ия режим, включително оценка на това колко често стартиращите и разрастващите се дружества го използват, дали той е подходящ за целта и дали е адаптиран към дружествата и обществените потребности;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28-ият режим </w:t>
            </w:r>
            <w:r>
              <w:rPr>
                <w:b/>
                <w:i/>
              </w:rPr>
              <w:t>за иновативни</w:t>
            </w:r>
            <w:r>
              <w:t xml:space="preserve"> дружества</w:t>
            </w:r>
          </w:p>
        </w:tc>
        <w:tc>
          <w:tcPr>
            <w:tcW w:w="4876" w:type="dxa"/>
            <w:tcBorders>
              <w:top w:val="nil"/>
              <w:left w:val="nil"/>
              <w:bottom w:val="nil"/>
              <w:right w:val="nil"/>
            </w:tcBorders>
          </w:tcPr>
          <w:p>
            <w:pPr>
              <w:pStyle w:val="Normal6a"/>
            </w:pPr>
            <w:r>
              <w:t>28-ият режим</w:t>
            </w:r>
            <w:r>
              <w:rPr>
                <w:b/>
                <w:i/>
              </w:rPr>
              <w:t>:</w:t>
            </w:r>
            <w:r>
              <w:t xml:space="preserve"> </w:t>
            </w:r>
            <w:r>
              <w:rPr>
                <w:b/>
                <w:i/>
              </w:rPr>
              <w:t>нова правна рамка за стартиращите и разрастващите се</w:t>
            </w:r>
            <w:r>
              <w:t xml:space="preserve"> дружества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28-ият</w:t>
            </w:r>
            <w:r>
              <w:t xml:space="preserve"> режим </w:t>
            </w:r>
            <w:r>
              <w:rPr>
                <w:b/>
                <w:i/>
              </w:rPr>
              <w:t>за иновативни дружества</w:t>
            </w:r>
          </w:p>
        </w:tc>
        <w:tc>
          <w:tcPr>
            <w:tcW w:w="4876" w:type="dxa"/>
            <w:tcBorders>
              <w:top w:val="nil"/>
              <w:left w:val="nil"/>
              <w:bottom w:val="nil"/>
              <w:right w:val="nil"/>
            </w:tcBorders>
          </w:tcPr>
          <w:p>
            <w:pPr>
              <w:pStyle w:val="Normal6a"/>
            </w:pPr>
            <w:r>
              <w:rPr>
                <w:b/>
                <w:i/>
              </w:rPr>
              <w:t>Рамка на 28-ия</w:t>
            </w:r>
            <w:r>
              <w:t xml:space="preserve"> режим </w:t>
            </w:r>
            <w:r>
              <w:rPr>
                <w:b/>
                <w:i/>
              </w:rPr>
              <w:t>в областта на дружественото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28-ият</w:t>
            </w:r>
            <w:r>
              <w:t xml:space="preserve"> режим </w:t>
            </w:r>
            <w:r>
              <w:rPr>
                <w:b/>
                <w:i/>
              </w:rPr>
              <w:t>за иновативни дружества</w:t>
            </w:r>
          </w:p>
        </w:tc>
        <w:tc>
          <w:tcPr>
            <w:tcW w:w="4876" w:type="dxa"/>
            <w:tcBorders>
              <w:top w:val="nil"/>
              <w:left w:val="nil"/>
              <w:bottom w:val="nil"/>
              <w:right w:val="nil"/>
            </w:tcBorders>
          </w:tcPr>
          <w:p>
            <w:pPr>
              <w:pStyle w:val="Normal6a"/>
            </w:pPr>
            <w:r>
              <w:rPr>
                <w:b/>
                <w:i/>
              </w:rPr>
              <w:t>Правна рамка на 28-ия</w:t>
            </w:r>
            <w:r>
              <w:t xml:space="preserve"> режим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счита, че 28-ият режим следва да се </w:t>
            </w:r>
            <w:r>
              <w:rPr>
                <w:b/>
                <w:i/>
              </w:rPr>
              <w:t>отнася главно</w:t>
            </w:r>
            <w:r>
              <w:t xml:space="preserve"> до правилата на дружественото право </w:t>
            </w:r>
            <w:r>
              <w:rPr>
                <w:b/>
                <w:i/>
              </w:rPr>
              <w:t>и че само дружества с ограничена отговорност</w:t>
            </w:r>
            <w:r>
              <w:t xml:space="preserve">, които </w:t>
            </w:r>
            <w:r>
              <w:rPr>
                <w:b/>
                <w:i/>
              </w:rPr>
              <w:t>не се търгуват на фондовия пазар, следва да могат да участват в него;</w:t>
            </w:r>
            <w:r>
              <w:t xml:space="preserve"> </w:t>
            </w:r>
            <w:r>
              <w:rPr>
                <w:b/>
                <w:i/>
              </w:rPr>
              <w:t>счита, че 28-ият режим следва да бъде набор от правила, които трябва да бъдат включени в съществуващите или новите национални дружествени форми;</w:t>
            </w:r>
          </w:p>
        </w:tc>
        <w:tc>
          <w:tcPr>
            <w:tcW w:w="4876" w:type="dxa"/>
            <w:tcBorders>
              <w:top w:val="nil"/>
              <w:left w:val="nil"/>
              <w:bottom w:val="nil"/>
              <w:right w:val="nil"/>
            </w:tcBorders>
          </w:tcPr>
          <w:p>
            <w:pPr>
              <w:pStyle w:val="Normal6a"/>
            </w:pPr>
            <w:r>
              <w:t>8.</w:t>
            </w:r>
            <w:r>
              <w:tab/>
            </w:r>
            <w:r>
              <w:t>счита</w:t>
            </w:r>
            <w:r>
              <w:rPr>
                <w:b/>
                <w:i/>
              </w:rPr>
              <w:t>, както посочва Комисията</w:t>
            </w:r>
            <w:r>
              <w:t xml:space="preserve">, че 28-ият режим </w:t>
            </w:r>
            <w:r>
              <w:rPr>
                <w:b/>
                <w:i/>
              </w:rPr>
              <w:t>е модулен регулаторен проект, обхващащ редица законодателни области, който</w:t>
            </w:r>
            <w:r>
              <w:t xml:space="preserve"> следва да се </w:t>
            </w:r>
            <w:r>
              <w:rPr>
                <w:b/>
                <w:i/>
              </w:rPr>
              <w:t>прилага чрез допълващи се и отделни законодателни мерки и с редица правни основания, и че той няма да се ограничава само</w:t>
            </w:r>
            <w:r>
              <w:t xml:space="preserve"> до правилата на дружественото право</w:t>
            </w:r>
            <w:r>
              <w:rPr>
                <w:b/>
                <w:i/>
              </w:rPr>
              <w:t>, а ще разглежда и установява допълнителни аспекти и политики</w:t>
            </w:r>
            <w:r>
              <w:t xml:space="preserve">, които </w:t>
            </w:r>
            <w:r>
              <w:rPr>
                <w:b/>
                <w:i/>
              </w:rPr>
              <w:t>са от основно значение за съживяването на иновациите и европейската конкурентоспособност в сектора, по-специално: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привлекателно данъчно управление за иновационните предприятия, стартиращите и разрастващите се предприятия, така че те да могат да привличат капитали и международни инвеститори, да се конкурират с особено конкурентоспособни чуждестранни юрисдикции и да спомагат за растежа и независимостта на европейския сектор;</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стимулиране — с цел задържане на талантите и специалистите в Европа — на форми на собственост на служителите в иновативни дружества и прилагане на благоприятни данъчни режими за тези дружества и свързаното с тях възнаграждение, като се признава техният статут на капиталови печалби на равнището на ЕС;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осигуряване на истинска близост и кръговост между университетите, стартиращите предприятия, органите за регистрация и защита на интелектуалната собственост, предприятията, инвестиционните фондове и рисковия капитал с оглед на незабавното пускане на пазара на стратегически проекти и новаторски идеи с висока стойност;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предоставяне на европейски „мостови“ ресурси и финансиране на стартиращи и иновативни дружества, които могат да подкрепят тяхното развитие на етапа непосредствено преди тяхното търговско внедряване;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освен това — и като въпрос на необходимост — увеличаване на Европейския фонд за иновации до равнище, което може да надхвърли инвестициите на отделните държави и да генерира обем на публичните разходи, достатъчен за развитието на европейски път към иновации, който може да се конкурира с основните световни участници в сектора;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насърчаване на единния пазар и европейския капиталов пазар и форми на административно опростяване;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w:t>
            </w:r>
          </w:p>
        </w:tc>
        <w:tc>
          <w:tcPr>
            <w:tcW w:w="4876" w:type="dxa"/>
            <w:tcBorders>
              <w:top w:val="nil"/>
              <w:left w:val="nil"/>
              <w:bottom w:val="nil"/>
              <w:right w:val="nil"/>
            </w:tcBorders>
          </w:tcPr>
          <w:p>
            <w:pPr>
              <w:pStyle w:val="Normal6a"/>
            </w:pPr>
            <w:r>
              <w:t>8.</w:t>
            </w:r>
            <w:r>
              <w:tab/>
            </w:r>
            <w:r>
              <w:t xml:space="preserve">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 </w:t>
            </w:r>
            <w:r>
              <w:rPr>
                <w:b/>
                <w:i/>
              </w:rPr>
              <w:t>този набор от правила следва да съответства на достиженията на правото на ЕС, приложими за дружествата с ограничена отговорност, и да попада в обхвата на Директива (ЕС) 2017/1132, Директива 2009/102/ЕО и Директива 2013/34/ЕС;</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w:t>
            </w:r>
            <w:r>
              <w:rPr>
                <w:b/>
                <w:i/>
              </w:rPr>
              <w:t>;</w:t>
            </w:r>
          </w:p>
        </w:tc>
        <w:tc>
          <w:tcPr>
            <w:tcW w:w="4876" w:type="dxa"/>
            <w:tcBorders>
              <w:top w:val="nil"/>
              <w:left w:val="nil"/>
              <w:bottom w:val="nil"/>
              <w:right w:val="nil"/>
            </w:tcBorders>
          </w:tcPr>
          <w:p>
            <w:pPr>
              <w:pStyle w:val="Normal6a"/>
            </w:pPr>
            <w:r>
              <w:t>8.</w:t>
            </w:r>
            <w:r>
              <w:tab/>
            </w:r>
            <w:r>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w:t>
            </w:r>
            <w:r>
              <w:rPr>
                <w:b/>
                <w:i/>
              </w:rPr>
              <w:t>, които се уреждат от вече установените достижения на правото на ЕС в областта на дружествата с ограничена отговорност, изброени в Директива (ЕС) 2017/1132, Директива 2009/102/ЕО и Директива 2013/34/ЕС,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w:t>
            </w:r>
          </w:p>
        </w:tc>
        <w:tc>
          <w:tcPr>
            <w:tcW w:w="4876" w:type="dxa"/>
            <w:tcBorders>
              <w:top w:val="nil"/>
              <w:left w:val="nil"/>
              <w:bottom w:val="nil"/>
              <w:right w:val="nil"/>
            </w:tcBorders>
          </w:tcPr>
          <w:p>
            <w:pPr>
              <w:pStyle w:val="Normal6a"/>
            </w:pPr>
            <w:r>
              <w:t>8.</w:t>
            </w:r>
            <w:r>
              <w:tab/>
            </w:r>
            <w:r>
              <w:t xml:space="preserve">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w:t>
            </w:r>
            <w:r>
              <w:rPr>
                <w:b/>
                <w:i/>
              </w:rPr>
              <w:t>и които развиват дейност в цифровия сектор</w:t>
            </w:r>
            <w:r>
              <w:t>, следва да могат да участват в него; счита, че 28-ият режим следва да бъде набор от правила, които трябва да бъдат включени в съществуващите или новите национални дружествени форми;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w:t>
            </w:r>
            <w:r>
              <w:rPr>
                <w:b/>
                <w:i/>
              </w:rPr>
              <w:t>съществуващите или</w:t>
            </w:r>
            <w:r>
              <w:t xml:space="preserve"> новите национални дружествени форми;</w:t>
            </w:r>
          </w:p>
        </w:tc>
        <w:tc>
          <w:tcPr>
            <w:tcW w:w="4876" w:type="dxa"/>
            <w:tcBorders>
              <w:top w:val="nil"/>
              <w:left w:val="nil"/>
              <w:bottom w:val="nil"/>
              <w:right w:val="nil"/>
            </w:tcBorders>
          </w:tcPr>
          <w:p>
            <w:pPr>
              <w:pStyle w:val="Normal6a"/>
            </w:pPr>
            <w:r>
              <w:t>8.</w:t>
            </w:r>
            <w:r>
              <w:tab/>
            </w:r>
            <w:r>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новите национални дружествени 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w:t>
            </w:r>
            <w:r>
              <w:rPr>
                <w:b/>
                <w:i/>
              </w:rPr>
              <w:t>съществуващите или</w:t>
            </w:r>
            <w:r>
              <w:t xml:space="preserve"> новите национални дружествени форми;</w:t>
            </w:r>
          </w:p>
        </w:tc>
        <w:tc>
          <w:tcPr>
            <w:tcW w:w="4876" w:type="dxa"/>
            <w:tcBorders>
              <w:top w:val="nil"/>
              <w:left w:val="nil"/>
              <w:bottom w:val="nil"/>
              <w:right w:val="nil"/>
            </w:tcBorders>
          </w:tcPr>
          <w:p>
            <w:pPr>
              <w:pStyle w:val="Normal6a"/>
            </w:pPr>
            <w:r>
              <w:t>8.</w:t>
            </w:r>
            <w:r>
              <w:tab/>
            </w:r>
            <w:r>
              <w:t>счита, че 28-ият режим следва да се отнася главно до правилата на дружественото право и че само дружества с ограничена отговорност, които не се търгуват на фондовия пазар, следва да могат да участват в него; счита, че 28-ият режим следва да бъде набор от правила, които трябва да бъдат включени в новите национални дружествени 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призовава Комисията да определи правилно понятията „стартиращо дружество“ и „разрастващо се дружество“ въз основа на това, което понастоящем се използва в държавите членки, както и от международни организации, включително ОИСР;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счита, че 28-ият режим не следва да се ограничава изключително до дружества с ограничена отговорност, а следва да бъде отворен и за дружества, допуснати до борсова търговия;</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предлага дружествената форма, обхваната от 28-ия режим, да бъде наречена „</w:t>
            </w:r>
            <w:r>
              <w:rPr>
                <w:b/>
                <w:i/>
              </w:rPr>
              <w:t>европейско стартиращо и разрастващо се предприятие“ (</w:t>
            </w:r>
            <w:r>
              <w:t xml:space="preserve">European </w:t>
            </w:r>
            <w:r>
              <w:rPr>
                <w:b/>
                <w:i/>
              </w:rPr>
              <w:t>Start-Up and Scale-Up’ company, ESSU</w:t>
            </w:r>
            <w:r>
              <w:t>); призовава съкращението „</w:t>
            </w:r>
            <w:r>
              <w:rPr>
                <w:b/>
                <w:i/>
              </w:rPr>
              <w:t>ESSU</w:t>
            </w:r>
            <w:r>
              <w:t>“ да бъде добавено към съществуващите съкращения за национални дружествени форми;</w:t>
            </w:r>
          </w:p>
        </w:tc>
        <w:tc>
          <w:tcPr>
            <w:tcW w:w="4876" w:type="dxa"/>
            <w:tcBorders>
              <w:top w:val="nil"/>
              <w:left w:val="nil"/>
              <w:bottom w:val="nil"/>
              <w:right w:val="nil"/>
            </w:tcBorders>
          </w:tcPr>
          <w:p>
            <w:pPr>
              <w:pStyle w:val="Normal6a"/>
            </w:pPr>
            <w:r>
              <w:t>9.</w:t>
            </w:r>
            <w:r>
              <w:tab/>
            </w:r>
            <w:r>
              <w:t>предлага дружествената форма, обхваната от 28-ия режим, да бъде наречена „</w:t>
            </w:r>
            <w:r>
              <w:rPr>
                <w:b/>
                <w:i/>
              </w:rPr>
              <w:t>Опростен европейски статут“ (Simplified </w:t>
            </w:r>
            <w:r>
              <w:t>European </w:t>
            </w:r>
            <w:r>
              <w:rPr>
                <w:b/>
                <w:i/>
              </w:rPr>
              <w:t>Status, SES</w:t>
            </w:r>
            <w:r>
              <w:t>);</w:t>
            </w:r>
            <w:r>
              <w:rPr>
                <w:b/>
                <w:i/>
              </w:rPr>
              <w:t xml:space="preserve"> </w:t>
            </w:r>
            <w:r>
              <w:t xml:space="preserve"> призовава съкращението „</w:t>
            </w:r>
            <w:r>
              <w:rPr>
                <w:b/>
                <w:i/>
              </w:rPr>
              <w:t>SES</w:t>
            </w:r>
            <w:r>
              <w:t>“ да бъде добавено към съществуващите съкращения за национални дружествени 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подчертава, че 28-ият режим не засяга правото на Съюза и националното право в областта на индивидуалното и колективното трудово право и правилата за участието на служителите във вземането на решения;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подчертава, че 28-ият режим не засяга правото на Съюза и националното право в областта на индивидуалното и колективното трудово право и правилата за участието на служителите във вземането на решения;</w:t>
            </w:r>
          </w:p>
        </w:tc>
        <w:tc>
          <w:tcPr>
            <w:tcW w:w="4876" w:type="dxa"/>
            <w:tcBorders>
              <w:top w:val="nil"/>
              <w:left w:val="nil"/>
              <w:bottom w:val="nil"/>
              <w:right w:val="nil"/>
            </w:tcBorders>
          </w:tcPr>
          <w:p>
            <w:pPr>
              <w:pStyle w:val="Normal6a"/>
            </w:pPr>
            <w:r>
              <w:t>10.</w:t>
            </w:r>
            <w:r>
              <w:tab/>
            </w:r>
            <w:r>
              <w:t xml:space="preserve">подчертава, че 28-ият режим не засяга правото на Съюза и националното право в областта на индивидуалното и колективното трудово право и правилата за участието на служителите във вземането на решения; </w:t>
            </w:r>
            <w:r>
              <w:rPr>
                <w:b/>
                <w:i/>
              </w:rPr>
              <w:t>подчертава, че следва да се обмисли необходимостта всеки ESSU да въведе задължително участие на служителите в съвета на директорите или надзорния съвет в съответствие с разпоредбите, предвидени в националното право;</w:t>
            </w:r>
            <w:r>
              <w:t xml:space="preserve"> </w:t>
            </w:r>
            <w:r>
              <w:rPr>
                <w:b/>
                <w:i/>
              </w:rPr>
              <w:t>счита, че е необходимо равнището на представителство на работниците и служителите да бъде поне една трета от местата, без да се засягат националните разпоредби, осигуряващи по-голяма защита;</w:t>
            </w:r>
            <w:r>
              <w:t xml:space="preserve"> </w:t>
            </w:r>
            <w:r>
              <w:rPr>
                <w:b/>
                <w:i/>
              </w:rPr>
              <w:t>счита, че е от съществено значение да се гарантира свободният избор на представители на работниците и служителите, тяхната защита срещу ответни действия с цел отмъщение и осигуряването на необходимите средства за упражняване на техния мандат;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подчертава, че 28-ият режим не засяга правото на Съюза и националното право в областта на индивидуалното и колективното трудово право и правилата за участието на служителите във вземането на решения;</w:t>
            </w:r>
          </w:p>
        </w:tc>
        <w:tc>
          <w:tcPr>
            <w:tcW w:w="4876" w:type="dxa"/>
            <w:tcBorders>
              <w:top w:val="nil"/>
              <w:left w:val="nil"/>
              <w:bottom w:val="nil"/>
              <w:right w:val="nil"/>
            </w:tcBorders>
          </w:tcPr>
          <w:p>
            <w:pPr>
              <w:pStyle w:val="Normal6a"/>
            </w:pPr>
            <w:r>
              <w:t>10.</w:t>
            </w:r>
            <w:r>
              <w:tab/>
            </w:r>
            <w:r>
              <w:t xml:space="preserve">подчертава, че 28-ият режим не засяга правото на Съюза и националното право в областта на индивидуалното и колективното трудово право и правилата за участието на служителите във вземането на решения; </w:t>
            </w:r>
            <w:r>
              <w:rPr>
                <w:b/>
                <w:i/>
              </w:rPr>
              <w:t>подчертава, че е необходима защита на всички съществуващи права на работниците и гъвкава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подчертава, че 28-ият режим не засяга правото на Съюза и националното право в областта на </w:t>
            </w:r>
            <w:r>
              <w:rPr>
                <w:b/>
                <w:i/>
              </w:rPr>
              <w:t>индивидуалното и колективното трудово</w:t>
            </w:r>
            <w:r>
              <w:t xml:space="preserve"> право </w:t>
            </w:r>
            <w:r>
              <w:rPr>
                <w:b/>
                <w:i/>
              </w:rPr>
              <w:t>и</w:t>
            </w:r>
            <w:r>
              <w:t xml:space="preserve"> правилата за участието на служителите във вземането на решения;</w:t>
            </w:r>
          </w:p>
        </w:tc>
        <w:tc>
          <w:tcPr>
            <w:tcW w:w="4876" w:type="dxa"/>
            <w:tcBorders>
              <w:top w:val="nil"/>
              <w:left w:val="nil"/>
              <w:bottom w:val="nil"/>
              <w:right w:val="nil"/>
            </w:tcBorders>
          </w:tcPr>
          <w:p>
            <w:pPr>
              <w:pStyle w:val="Normal6a"/>
            </w:pPr>
            <w:r>
              <w:t>10.</w:t>
            </w:r>
            <w:r>
              <w:tab/>
            </w:r>
            <w:r>
              <w:t xml:space="preserve">подчертава, че 28-ият режим не засяга правото на Съюза и националното право в областта на </w:t>
            </w:r>
            <w:r>
              <w:rPr>
                <w:b/>
                <w:i/>
              </w:rPr>
              <w:t>трудовото</w:t>
            </w:r>
            <w:r>
              <w:t xml:space="preserve"> право</w:t>
            </w:r>
            <w:r>
              <w:rPr>
                <w:b/>
                <w:i/>
              </w:rPr>
              <w:t>, включително</w:t>
            </w:r>
            <w:r>
              <w:t xml:space="preserve"> правилата за участието на служителите във вземането на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заседания за общите събрания и заседанията на управителните съвети, следва да бъдат възможни;</w:t>
            </w:r>
          </w:p>
        </w:tc>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заседания за общите събрания и заседанията на управителните съвети, следва да бъдат възможни; </w:t>
            </w:r>
            <w:r>
              <w:rPr>
                <w:b/>
                <w:i/>
              </w:rPr>
              <w:t>държавите членки могат да използват съществуващите модели, които предвиждат опростени и ускорени процедури за създаване на дружества, оперативно съвместими с други обществени служби, като например органите за социална сигурност или данъчните органи, както и модели за подаване на заявления до националните дружествени регистри, за да се рационализират процедурите, които следва да се прилагат от дружествата, по-специално МСП, като същевременно се гарантира правна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w:t>
            </w:r>
            <w:r>
              <w:rPr>
                <w:b/>
                <w:i/>
              </w:rPr>
              <w:t>заседания</w:t>
            </w:r>
            <w:r>
              <w:t xml:space="preserve"> за общите събрания и заседанията на управителните съвети, следва да бъдат възможни;</w:t>
            </w:r>
          </w:p>
        </w:tc>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w:t>
            </w:r>
            <w:r>
              <w:rPr>
                <w:b/>
                <w:i/>
              </w:rPr>
              <w:t>например</w:t>
            </w:r>
            <w:r>
              <w:t xml:space="preserve"> цифровите </w:t>
            </w:r>
            <w:r>
              <w:rPr>
                <w:b/>
                <w:i/>
              </w:rPr>
              <w:t>събрания</w:t>
            </w:r>
            <w:r>
              <w:t xml:space="preserve"> за общите събрания и заседанията на управителните съвети, следва да бъдат възможни; </w:t>
            </w:r>
            <w:r>
              <w:rPr>
                <w:b/>
                <w:i/>
              </w:rPr>
              <w:t>призовава за автоматизиране на процеса на регистрация чрез включване на технологии с ИИ и за оперативна съвместимост със съответните национални и европейски бази данни, така че да се намали административната тежест за учредителите;</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w:t>
            </w:r>
            <w:r>
              <w:rPr>
                <w:b/>
                <w:i/>
              </w:rPr>
              <w:t>опростяване на учредяването и регистрацията</w:t>
            </w:r>
            <w:r>
              <w:t xml:space="preserve">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заседания за общите събрания и заседанията на управителните съвети, следва да бъдат възможни;</w:t>
            </w:r>
          </w:p>
        </w:tc>
        <w:tc>
          <w:tcPr>
            <w:tcW w:w="4876" w:type="dxa"/>
            <w:tcBorders>
              <w:top w:val="nil"/>
              <w:left w:val="nil"/>
              <w:bottom w:val="nil"/>
              <w:right w:val="nil"/>
            </w:tcBorders>
          </w:tcPr>
          <w:p>
            <w:pPr>
              <w:pStyle w:val="Normal6a"/>
            </w:pPr>
            <w:r>
              <w:t>11.</w:t>
            </w:r>
            <w:r>
              <w:tab/>
            </w:r>
            <w:r>
              <w:rPr>
                <w:b/>
                <w:i/>
              </w:rPr>
              <w:t>в съответствие с Директива (ЕС) 2025/25</w:t>
            </w:r>
            <w:r>
              <w:t xml:space="preserve"> подчертава необходимостта от </w:t>
            </w:r>
            <w:r>
              <w:rPr>
                <w:b/>
                <w:i/>
              </w:rPr>
              <w:t>опростено и надеждно учредяване и регистрация</w:t>
            </w:r>
            <w:r>
              <w:t xml:space="preserve">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заседания за общите събрания и заседанията на управителните съвети, следва да бъдат възможни;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опростяване </w:t>
            </w:r>
            <w:r>
              <w:rPr>
                <w:b/>
                <w:i/>
              </w:rPr>
              <w:t>на учредяването и регистрацията</w:t>
            </w:r>
            <w:r>
              <w:t xml:space="preserve"> на дружествата; призовава за намаляване на сложността на процедурите и за приключване на процедурата по регистрация при създаването на ESSU в рамките на </w:t>
            </w:r>
            <w:r>
              <w:rPr>
                <w:b/>
                <w:i/>
              </w:rPr>
              <w:t>48</w:t>
            </w:r>
            <w:r>
              <w:t xml:space="preserve">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w:t>
            </w:r>
            <w:r>
              <w:rPr>
                <w:b/>
                <w:i/>
              </w:rPr>
              <w:t>счита, че</w:t>
            </w:r>
            <w:r>
              <w:t xml:space="preserve"> цифровите процедури, като цифровите заседания за общите събрания и заседанията на управителните съвети</w:t>
            </w:r>
            <w:r>
              <w:rPr>
                <w:b/>
                <w:i/>
              </w:rPr>
              <w:t>, следва да бъдат възможни</w:t>
            </w:r>
            <w:r>
              <w:t>;</w:t>
            </w:r>
          </w:p>
        </w:tc>
        <w:tc>
          <w:tcPr>
            <w:tcW w:w="4876" w:type="dxa"/>
            <w:tcBorders>
              <w:top w:val="nil"/>
              <w:left w:val="nil"/>
              <w:bottom w:val="nil"/>
              <w:right w:val="nil"/>
            </w:tcBorders>
          </w:tcPr>
          <w:p>
            <w:pPr>
              <w:pStyle w:val="Normal6a"/>
            </w:pPr>
            <w:r>
              <w:t>11.</w:t>
            </w:r>
            <w:r>
              <w:tab/>
            </w:r>
            <w:r>
              <w:t xml:space="preserve">подчертава необходимостта от опростяване </w:t>
            </w:r>
            <w:r>
              <w:rPr>
                <w:b/>
                <w:i/>
              </w:rPr>
              <w:t>и осигуряване на онлайн учредяване и регистрация</w:t>
            </w:r>
            <w:r>
              <w:t xml:space="preserve"> на дружествата; призовава за намаляване на сложността на процедурите и за приключване на процедурата по </w:t>
            </w:r>
            <w:r>
              <w:rPr>
                <w:b/>
                <w:i/>
              </w:rPr>
              <w:t>онлайн</w:t>
            </w:r>
            <w:r>
              <w:t xml:space="preserve"> регистрация при създаването на ESSU в рамките на </w:t>
            </w:r>
            <w:r>
              <w:rPr>
                <w:b/>
                <w:i/>
              </w:rPr>
              <w:t>24</w:t>
            </w:r>
            <w:r>
              <w:t xml:space="preserve"> часа; призовава за възможността за подаване на дружествени документи </w:t>
            </w:r>
            <w:r>
              <w:rPr>
                <w:b/>
                <w:i/>
              </w:rPr>
              <w:t>и разкриване на информация</w:t>
            </w:r>
            <w:r>
              <w:t xml:space="preserve"> онлайн през целия жизнен цикъл на дружествената форма и за пълното прилагане на принципа на еднократност за регистрацията на ESSU; </w:t>
            </w:r>
            <w:r>
              <w:rPr>
                <w:b/>
                <w:i/>
              </w:rPr>
              <w:t>призовава да бъдат разрешени</w:t>
            </w:r>
            <w:r>
              <w:t xml:space="preserve"> цифровите процедури, като цифровите заседания за общите събрания и заседанията на управителните съвети;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w:t>
            </w:r>
            <w:r>
              <w:rPr>
                <w:b/>
                <w:i/>
              </w:rPr>
              <w:t>счита, че цифровите</w:t>
            </w:r>
            <w:r>
              <w:t xml:space="preserve"> процедури, като цифровите заседания за общите събрания и заседанията на управителните съвети</w:t>
            </w:r>
            <w:r>
              <w:rPr>
                <w:b/>
                <w:i/>
              </w:rPr>
              <w:t>, следва да бъдат възможни</w:t>
            </w:r>
            <w:r>
              <w:t>;</w:t>
            </w:r>
          </w:p>
        </w:tc>
        <w:tc>
          <w:tcPr>
            <w:tcW w:w="4876" w:type="dxa"/>
            <w:tcBorders>
              <w:top w:val="nil"/>
              <w:left w:val="nil"/>
              <w:bottom w:val="nil"/>
              <w:right w:val="nil"/>
            </w:tcBorders>
          </w:tcPr>
          <w:p>
            <w:pPr>
              <w:pStyle w:val="Normal6a"/>
            </w:pPr>
            <w:r>
              <w:t>11.</w:t>
            </w:r>
            <w:r>
              <w:tab/>
            </w:r>
            <w:r>
              <w:t xml:space="preserve">подчертава необходимостта от опростяване </w:t>
            </w:r>
            <w:r>
              <w:rPr>
                <w:b/>
                <w:i/>
              </w:rPr>
              <w:t>и цифровизиране</w:t>
            </w:r>
            <w:r>
              <w:t xml:space="preserve"> на учредяването и регистрацията на дружествата; призовава за намаляване на сложността на процедурите и за </w:t>
            </w:r>
            <w:r>
              <w:rPr>
                <w:b/>
                <w:i/>
              </w:rPr>
              <w:t>цифровото</w:t>
            </w:r>
            <w:r>
              <w:t xml:space="preserve"> приключване на процедурата по регистрация при създаването на ESSU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w:t>
            </w:r>
            <w:r>
              <w:rPr>
                <w:b/>
                <w:i/>
              </w:rPr>
              <w:t>и управлението</w:t>
            </w:r>
            <w:r>
              <w:t xml:space="preserve"> на ESSU; </w:t>
            </w:r>
            <w:r>
              <w:rPr>
                <w:b/>
                <w:i/>
              </w:rPr>
              <w:t>призовава да се даде възможност за цифрови</w:t>
            </w:r>
            <w:r>
              <w:t xml:space="preserve"> процедури, като цифровите заседания за общите събрания и заседанията на управителните съвети;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w:t>
            </w:r>
            <w:r>
              <w:rPr>
                <w:b/>
                <w:i/>
              </w:rPr>
              <w:t>48</w:t>
            </w:r>
            <w:r>
              <w:t xml:space="preserve">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заседания за общите събрания и заседанията на управителните съвети, следва да бъдат възможни;</w:t>
            </w:r>
          </w:p>
        </w:tc>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ESSU в рамките на </w:t>
            </w:r>
            <w:r>
              <w:rPr>
                <w:b/>
                <w:i/>
              </w:rPr>
              <w:t>24</w:t>
            </w:r>
            <w:r>
              <w:t xml:space="preserve">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ESSU; счита, че цифровите процедури, като цифровите заседания за общите събрания и заседанията на управителните съвети, следва да бъдат възможни;</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w:t>
            </w:r>
            <w:r>
              <w:rPr>
                <w:b/>
                <w:i/>
              </w:rPr>
              <w:t>ESSU</w:t>
            </w:r>
            <w:r>
              <w:t xml:space="preserve">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w:t>
            </w:r>
            <w:r>
              <w:rPr>
                <w:b/>
                <w:i/>
              </w:rPr>
              <w:t>ESSU</w:t>
            </w:r>
            <w:r>
              <w:t>; счита, че цифровите процедури, като цифровите заседания за общите събрания и заседанията на управителните съвети, следва да бъдат възможни;</w:t>
            </w:r>
          </w:p>
        </w:tc>
        <w:tc>
          <w:tcPr>
            <w:tcW w:w="4876" w:type="dxa"/>
            <w:tcBorders>
              <w:top w:val="nil"/>
              <w:left w:val="nil"/>
              <w:bottom w:val="nil"/>
              <w:right w:val="nil"/>
            </w:tcBorders>
          </w:tcPr>
          <w:p>
            <w:pPr>
              <w:pStyle w:val="Normal6a"/>
            </w:pPr>
            <w:r>
              <w:t>11.</w:t>
            </w:r>
            <w:r>
              <w:tab/>
            </w:r>
            <w:r>
              <w:t xml:space="preserve">подчертава необходимостта от опростяване на учредяването и регистрацията на дружествата; призовава за намаляване на сложността на процедурите и за приключване на процедурата по регистрация при създаването на </w:t>
            </w:r>
            <w:r>
              <w:rPr>
                <w:b/>
                <w:i/>
              </w:rPr>
              <w:t>SES</w:t>
            </w:r>
            <w:r>
              <w:t xml:space="preserve"> в рамките на 48 часа; призовава за възможността за подаване на дружествени документи онлайн през целия жизнен цикъл на дружествената форма и за пълното прилагане на принципа на еднократност за регистрацията на </w:t>
            </w:r>
            <w:r>
              <w:rPr>
                <w:b/>
                <w:i/>
              </w:rPr>
              <w:t>SES</w:t>
            </w:r>
            <w:r>
              <w:t>; счита, че цифровите процедури, като цифровите заседания за общите събрания и заседанията на управителните съвети, следва да бъдат възможни;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призовава освен това за пълно прилагане и оценка на действащото законодателство на Съюза относно използването на цифрови инструменти в дружественото право, по-специално директиви (ЕС) 2019/1151 и (ЕС) 2025/25, както и за по-нататъшна цифровизация и автоматизация на докладите до органите, които да бъдат основен приоритет в работата по регулаторното опростяване в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подчертава, че създаването на ESSU следва да бъде напълно интегрирано с планирания бизнес портфейл в целия Съюз, за да се гарантират безпрепятствени цифрови взаимодействия за дружествата в държавите членки;</w:t>
            </w:r>
            <w:r>
              <w:t xml:space="preserve"> </w:t>
            </w:r>
            <w:r>
              <w:rPr>
                <w:b/>
                <w:i/>
              </w:rPr>
              <w:t>подчертава, че тази връзка ще улесни рационализирания достъп до основни цифрови услуги, включително регистрация на дружества, заявки и трансакции;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призовава за създаването на общоевропейски режим на стандартни такси за банкови и нотариални услуги, пряко свързани с учредяването и основните операции на ESSU, като се гарантира, че разходите остават пропорционални, прозрачни и не надвишават равнището, определено в рамката на ESSU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призовава за издаването на европейско удостоверение ESSU, което да бъде признато във всички държави членки към момента на издаването му, за създаването на дружеството и за съществената информация, съхранявана в регистрационния регистър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създаването на единен цифров регистър на дружествата на равнището на Съюза, който да служи като пряка входна точка за регистриране на </w:t>
            </w:r>
            <w:r>
              <w:rPr>
                <w:b/>
                <w:i/>
              </w:rPr>
              <w:t>ESSU</w:t>
            </w:r>
            <w:r>
              <w:t>, като допълва и разширява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създаването на единен цифров регистър на дружествата на равнището на Съюза, който да служи като пряка входна точка за регистриране на </w:t>
            </w:r>
            <w:r>
              <w:rPr>
                <w:b/>
                <w:i/>
              </w:rPr>
              <w:t>SES</w:t>
            </w:r>
            <w:r>
              <w:t>, като допълва и разширява съществуващата система за взаимно свързване на търговските регистри (BRIS)</w:t>
            </w:r>
            <w:r>
              <w:rPr>
                <w:b/>
                <w:i/>
              </w:rPr>
              <w:t>, като я прави пряко достъпна за обществеността и интегрирана в националните търговски регистри</w:t>
            </w:r>
            <w:r>
              <w:t xml:space="preserve">; </w:t>
            </w:r>
            <w:r>
              <w:rPr>
                <w:b/>
                <w:i/>
              </w:rPr>
              <w:t>очаква този дружествен регистър също така да даде възможност за съхранение на документите, необходими за регистрацията на SES и неговия принцип на еднократност, както и за националните сертификати, които по-късно биха могли да бъдат признати във всички държави членки, за да се увеличи използването на сертификати в рамките на един лиценз;</w:t>
            </w:r>
            <w:r>
              <w:t xml:space="preserve"> </w:t>
            </w:r>
            <w:r>
              <w:rPr>
                <w:b/>
                <w:i/>
              </w:rPr>
              <w:t>подчертава, че платформата трябва да бъде многоезична и да подпомага трансграничната оперативна съвместимост;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Паскал Пиера, Ерньо Солер-Борос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създаването на единен цифров регистър на дружествата на равнището на Съюза, който да служи като пряка входна точка за регистриране на ESSU, като допълва и разширява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създаването на единен цифров регистър на дружествата на равнището на Съюза, който да служи като пряка входна точка за регистриране на ESSU, като допълва и разширява съществуващата система за взаимно свързване на търговските регистри (BRIS); </w:t>
            </w:r>
            <w:r>
              <w:rPr>
                <w:b/>
                <w:i/>
              </w:rPr>
              <w:t>подчертава, че не трябва да се допуска дружествата да заобикалят националните изисквания за регистрация и че участието на адвокати и/или нотариуси в процедурите по регистрация трябва да остане задължително, за да се гарантира законността и да се предотврати изпирането на пари;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създаването на единен цифров регистър на дружествата на равнището на Съюза, който да служи като пряка входна точка за регистриране на ESSU, като допълва и разширява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създаването на единен цифров регистър на дружествата на равнището на Съюза, който да служи като пряка входна точка за регистриране на ESSU, като допълва и разширява съществуващата система за взаимно свързване на търговските регистри (BRIS); </w:t>
            </w:r>
            <w:r>
              <w:rPr>
                <w:b/>
                <w:i/>
              </w:rPr>
              <w:t>подчертава освен това необходимостта от включване на публично достъпен регистър за прозрачност, който да гарантира публикуването на информация относно действителните собственици, структурите на собственост и данъчните практики, за да се избегне непрозрачност или злоупотреба;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създаването </w:t>
            </w:r>
            <w:r>
              <w:rPr>
                <w:b/>
                <w:i/>
              </w:rPr>
              <w:t>на единен цифров регистър на дружествата на равнището на Съюза, който да служи като пряка входна точка за регистриране на ESSU, като допълва и разширява</w:t>
            </w:r>
            <w:r>
              <w:t xml:space="preserve">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създаването </w:t>
            </w:r>
            <w:r>
              <w:rPr>
                <w:b/>
                <w:i/>
              </w:rPr>
              <w:t>и разширяването на</w:t>
            </w:r>
            <w:r>
              <w:t xml:space="preserve"> съществуващата система за взаимно свързване на търговските регистри (BRIS); </w:t>
            </w:r>
            <w:r>
              <w:rPr>
                <w:b/>
                <w:i/>
              </w:rPr>
              <w:t>като основен цифров инструмент за регистрация и взаимно свързване на ESSU в целия Съюз;</w:t>
            </w:r>
            <w:r>
              <w:t xml:space="preserve"> </w:t>
            </w:r>
            <w:r>
              <w:rPr>
                <w:b/>
                <w:i/>
              </w:rPr>
              <w:t>подчертава, че за да се повиши нейната ефективност, BRIS би могла да бъде свързана с различни бази данни, управлявани от Комисията или агенциите на Съюза, включително такива, свързани с интелектуалната собственост, като например търговски марки и дизайни;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създаването на </w:t>
            </w:r>
            <w:r>
              <w:rPr>
                <w:b/>
                <w:i/>
              </w:rPr>
              <w:t>единен цифров регистър на дружествата на</w:t>
            </w:r>
            <w:r>
              <w:t xml:space="preserve"> равнището на Съюза</w:t>
            </w:r>
            <w:r>
              <w:rPr>
                <w:b/>
                <w:i/>
              </w:rPr>
              <w:t>, който да служи като</w:t>
            </w:r>
            <w:r>
              <w:t xml:space="preserve"> пряка входна точка за регистриране на ESSU, като допълва и разширява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създаването на равнището на Съюза </w:t>
            </w:r>
            <w:r>
              <w:rPr>
                <w:b/>
                <w:i/>
              </w:rPr>
              <w:t>на единна цифрова</w:t>
            </w:r>
            <w:r>
              <w:t xml:space="preserve"> пряка входна точка за регистриране на ESSU, като допълва и разширява съществуващата система за взаимно свързване на търговските регистри (BRIS); </w:t>
            </w:r>
            <w:r>
              <w:rPr>
                <w:b/>
                <w:i/>
              </w:rPr>
              <w:t>подчертава, че тази входна точка следва да надгражда и, когато е целесъобразно, да реорганизира съществуващия портал за електронно правосъдие, за да се осигури лесен за ползване, многоезичен и сигурен интерфейс за трансграничните процедури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w:t>
            </w:r>
            <w:r>
              <w:rPr>
                <w:b/>
                <w:i/>
              </w:rPr>
              <w:t>създаването на единен цифров регистър на дружествата на равнището на Съюза, който да служи като пряка входна точка за регистриране на ESSU, като допълва и разширява</w:t>
            </w:r>
            <w:r>
              <w:t xml:space="preserve">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w:t>
            </w:r>
            <w:r>
              <w:rPr>
                <w:b/>
                <w:i/>
              </w:rPr>
              <w:t>допълнително разширяване на</w:t>
            </w:r>
            <w:r>
              <w:t xml:space="preserve"> съществуващата система за взаимно свързване на търговските регистри (BRIS);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създаването на </w:t>
            </w:r>
            <w:r>
              <w:rPr>
                <w:b/>
                <w:i/>
              </w:rPr>
              <w:t>единен цифров регистър на дружествата на равнището на Съюза, който</w:t>
            </w:r>
            <w:r>
              <w:t xml:space="preserve"> да служи като </w:t>
            </w:r>
            <w:r>
              <w:rPr>
                <w:b/>
                <w:i/>
              </w:rPr>
              <w:t>пряка входна точка</w:t>
            </w:r>
            <w:r>
              <w:t xml:space="preserve"> за регистриране на ESSU, като допълва и разширява съществуващата система за взаимно свързване на търговските регистри (BRIS);</w:t>
            </w:r>
          </w:p>
        </w:tc>
        <w:tc>
          <w:tcPr>
            <w:tcW w:w="4876" w:type="dxa"/>
            <w:tcBorders>
              <w:top w:val="nil"/>
              <w:left w:val="nil"/>
              <w:bottom w:val="nil"/>
              <w:right w:val="nil"/>
            </w:tcBorders>
          </w:tcPr>
          <w:p>
            <w:pPr>
              <w:pStyle w:val="Normal6a"/>
            </w:pPr>
            <w:r>
              <w:t>12.</w:t>
            </w:r>
            <w:r>
              <w:tab/>
            </w:r>
            <w:r>
              <w:t xml:space="preserve">призовава за създаването на </w:t>
            </w:r>
            <w:r>
              <w:rPr>
                <w:b/>
                <w:i/>
              </w:rPr>
              <w:t>точка за достъп на портала на ЕС за електронно правосъдие, която да обхваща целия Съюз и</w:t>
            </w:r>
            <w:r>
              <w:t xml:space="preserve"> да служи като </w:t>
            </w:r>
            <w:r>
              <w:rPr>
                <w:b/>
                <w:i/>
              </w:rPr>
              <w:t>единно звено за контакт</w:t>
            </w:r>
            <w:r>
              <w:t xml:space="preserve"> за регистриране на ESSU, като допълва и разширява съществуващата система за взаимно свързване на търговските регистри (BRIS);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призовава за създаване на онлайн платформа за дружествата, за да се улеснят сигурните цифрови процеси, включително проверими идентификационни данни и електронен подпис на документи (включително от нотариуси), продажбата и разпределянето на акции, създаването и приемането на решения на управителните съвети и предоставянето на услуги за електронно фактуриране;</w:t>
            </w:r>
            <w:r>
              <w:t xml:space="preserve"> </w:t>
            </w:r>
            <w:r>
              <w:rPr>
                <w:b/>
                <w:i/>
              </w:rPr>
              <w:t>подчертава, че тази платформа следва да позволява преносимостта на сертификатите, лицензите и разрешенията, издадени в една държава членка, да бъдат признати и използвани в целия Съюз в съответствие с приложимото право на Съюза и национално право;</w:t>
            </w:r>
            <w:r>
              <w:t xml:space="preserve"> </w:t>
            </w:r>
            <w:r>
              <w:rPr>
                <w:b/>
                <w:i/>
              </w:rPr>
              <w:t>подчертава, че тези цифрови инструменти ще повишат правната сигурност, ще намалят административната тежест и ще насърчат безпроблемното функциониране на дружествата в рамките на вътрешния пазар.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призовава рамката на ESSU да гарантира, че всички необходими правни и фискални документи се подават веднъж, на мястото на регистрация, чрез цифровия регистър на дружествата на равнището на Съюза и са достъпни за всички компетентни национални органи чрез сигурни системи за взаимно свързване, така че тези документи да не се изискват многократно от дружеството през целия му жизнен цикъл;</w:t>
            </w:r>
            <w:r>
              <w:t xml:space="preserve"> </w:t>
            </w:r>
            <w:r>
              <w:rPr>
                <w:b/>
                <w:i/>
              </w:rPr>
              <w:t>призовава на дружествата, които се регистрират като ESSU, да бъде разрешено да подават необходимите правни и фискални документи на всеки от официалните езици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подчертава необходимостта от създаване, на равнището на Съяза, на регистър за прозрачност, свързан с цифровия регистър на дружествата и системата BRIS, който да гарантира публичността на информацията относно действителните собственици, структурите на собственост и корпоративните данъчни декларации;</w:t>
            </w:r>
            <w:r>
              <w:t xml:space="preserve"> </w:t>
            </w:r>
            <w:r>
              <w:rPr>
                <w:b/>
                <w:i/>
              </w:rPr>
              <w:t>настоява този регистър да бъде публично достъпен, редовно актуализиран и придружен от ефективни и възпиращи механизми за контрол и санкции в случай на неспазване;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призовава за по-нататъшно разработване и адаптиране на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c>
          <w:tcPr>
            <w:tcW w:w="4876" w:type="dxa"/>
            <w:tcBorders>
              <w:top w:val="nil"/>
              <w:left w:val="nil"/>
              <w:bottom w:val="nil"/>
              <w:right w:val="nil"/>
            </w:tcBorders>
          </w:tcPr>
          <w:p>
            <w:pPr>
              <w:pStyle w:val="Normal6a"/>
            </w:pPr>
            <w:r>
              <w:t>13.</w:t>
            </w:r>
            <w:r>
              <w:tab/>
            </w:r>
            <w:r>
              <w:t xml:space="preserve">призовава за по-нататъшно разработване и адаптиране на </w:t>
            </w:r>
            <w:r>
              <w:rPr>
                <w:b/>
                <w:i/>
              </w:rPr>
              <w:t>единен</w:t>
            </w:r>
            <w:r>
              <w:t xml:space="preserve"> идентификационен код на дружеството в </w:t>
            </w:r>
            <w:r>
              <w:rPr>
                <w:b/>
                <w:i/>
              </w:rPr>
              <w:t>Съюза, свързан с регистъра на</w:t>
            </w:r>
            <w:r>
              <w:t xml:space="preserve">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 </w:t>
            </w:r>
            <w:r>
              <w:rPr>
                <w:b/>
                <w:i/>
              </w:rPr>
              <w:t>насърчава Европейската комисия да работи за оперативна съвместимост с глобалните инициативи за идентификация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призовава за по-нататъшно разработване и адаптиране на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c>
          <w:tcPr>
            <w:tcW w:w="4876" w:type="dxa"/>
            <w:tcBorders>
              <w:top w:val="nil"/>
              <w:left w:val="nil"/>
              <w:bottom w:val="nil"/>
              <w:right w:val="nil"/>
            </w:tcBorders>
          </w:tcPr>
          <w:p>
            <w:pPr>
              <w:pStyle w:val="Normal6a"/>
            </w:pPr>
            <w:r>
              <w:t>13.</w:t>
            </w:r>
            <w:r>
              <w:tab/>
            </w:r>
            <w:r>
              <w:t xml:space="preserve">призовава за по-нататъшно разработване и адаптиране на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 </w:t>
            </w:r>
            <w:r>
              <w:rPr>
                <w:b/>
                <w:i/>
              </w:rPr>
              <w:t>подчертава, че това би дало възможност на дружествата да съхраняват по сигурен начин и да споделят проверими пълномощия с органите в целия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призовава за </w:t>
            </w:r>
            <w:r>
              <w:rPr>
                <w:b/>
                <w:i/>
              </w:rPr>
              <w:t>по-нататъшно разработване и адаптиране</w:t>
            </w:r>
            <w:r>
              <w:t xml:space="preserve"> на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c>
          <w:tcPr>
            <w:tcW w:w="4876" w:type="dxa"/>
            <w:tcBorders>
              <w:top w:val="nil"/>
              <w:left w:val="nil"/>
              <w:bottom w:val="nil"/>
              <w:right w:val="nil"/>
            </w:tcBorders>
          </w:tcPr>
          <w:p>
            <w:pPr>
              <w:pStyle w:val="Normal6a"/>
            </w:pPr>
            <w:r>
              <w:t>13.</w:t>
            </w:r>
            <w:r>
              <w:tab/>
            </w:r>
            <w:r>
              <w:t xml:space="preserve">призовава за </w:t>
            </w:r>
            <w:r>
              <w:rPr>
                <w:b/>
                <w:i/>
              </w:rPr>
              <w:t>подкрепа за и завършване на разработването</w:t>
            </w:r>
            <w:r>
              <w:t xml:space="preserve"> на идентификационен код на дружеството в Съюза</w:t>
            </w:r>
            <w:r>
              <w:rPr>
                <w:b/>
                <w:i/>
              </w:rPr>
              <w:t>, свързан с регистъра на ЕС</w:t>
            </w:r>
            <w:r>
              <w:t>,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призовава за по-нататъшно разработване и адаптиране на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c>
          <w:tcPr>
            <w:tcW w:w="4876" w:type="dxa"/>
            <w:tcBorders>
              <w:top w:val="nil"/>
              <w:left w:val="nil"/>
              <w:bottom w:val="nil"/>
              <w:right w:val="nil"/>
            </w:tcBorders>
          </w:tcPr>
          <w:p>
            <w:pPr>
              <w:pStyle w:val="Normal6a"/>
            </w:pPr>
            <w:r>
              <w:t>13.</w:t>
            </w:r>
            <w:r>
              <w:tab/>
            </w:r>
            <w:r>
              <w:t>призовава за по-нататъшно разработване и адаптиране на идентификационен код на дружеството в Съюза,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w:t>
            </w:r>
            <w:r>
              <w:rPr>
                <w:b/>
                <w:i/>
              </w:rPr>
              <w:t>, изпирането на пари</w:t>
            </w:r>
            <w:r>
              <w:t xml:space="preserve"> и отклонението от данъчно облагане;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не следва да се ограничава до нова категория „иновативни дружества“ </w:t>
            </w:r>
            <w:r>
              <w:rPr>
                <w:b/>
                <w:i/>
              </w:rPr>
              <w:t>или до други ограничаващи фактори</w:t>
            </w:r>
            <w:r>
              <w:t xml:space="preserve">; </w:t>
            </w:r>
            <w:r>
              <w:rPr>
                <w:b/>
                <w:i/>
              </w:rPr>
              <w:t>предупреждава, че създаването на такава нова категория би добавило ненужна бюрокрация;</w:t>
            </w:r>
            <w:r>
              <w:t xml:space="preserve"> </w:t>
            </w:r>
            <w:r>
              <w:rPr>
                <w:b/>
                <w:i/>
              </w:rPr>
              <w:t>пояснява, че следва да бъде възможно само физически или юридически лица, които пребивават или са установени в Съюза, да установят ESSU;</w:t>
            </w:r>
          </w:p>
        </w:tc>
        <w:tc>
          <w:tcPr>
            <w:tcW w:w="4876" w:type="dxa"/>
            <w:tcBorders>
              <w:top w:val="nil"/>
              <w:left w:val="nil"/>
              <w:bottom w:val="nil"/>
              <w:right w:val="nil"/>
            </w:tcBorders>
          </w:tcPr>
          <w:p>
            <w:pPr>
              <w:pStyle w:val="Normal6a"/>
            </w:pPr>
            <w:r>
              <w:t>14.</w:t>
            </w:r>
            <w:r>
              <w:tab/>
            </w:r>
            <w:r>
              <w:t>счита, че възможността за регистрация като ESSU не следва да се ограничава до нова категория „иновативни дружества“;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не следва да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пояснява, че следва да бъде възможно само физически или юридически лица, които пребивават или са установени в Съюза, да </w:t>
            </w:r>
            <w:r>
              <w:rPr>
                <w:b/>
                <w:i/>
              </w:rPr>
              <w:t>установят</w:t>
            </w:r>
            <w:r>
              <w:t xml:space="preserve"> ESSU;</w:t>
            </w:r>
          </w:p>
        </w:tc>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не следва да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пояснява, че следва да бъде възможно само физически или юридически лица, които пребивават или са установени в Съюза, да </w:t>
            </w:r>
            <w:r>
              <w:rPr>
                <w:b/>
                <w:i/>
              </w:rPr>
              <w:t>установяват ESSU, независимо дали чрез включване на ново дружество във формата ESSU или чрез преобразуване на съществуващо дружество под друга форма в</w:t>
            </w:r>
            <w:r>
              <w:t xml:space="preserv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w:t>
            </w:r>
            <w:r>
              <w:rPr>
                <w:b/>
                <w:i/>
              </w:rPr>
              <w:t>не</w:t>
            </w:r>
            <w:r>
              <w:t xml:space="preserve"> следва да </w:t>
            </w:r>
            <w:r>
              <w:rPr>
                <w:b/>
                <w:i/>
              </w:rPr>
              <w:t>се ограничава до нова категория „иновативни дружества“ или до други ограничаващи фактори;</w:t>
            </w:r>
            <w:r>
              <w:t xml:space="preserve"> </w:t>
            </w:r>
            <w:r>
              <w:rPr>
                <w:b/>
                <w:i/>
              </w:rPr>
              <w:t>предупреждава, че създаването на такава нова категория би добавило ненужна бюрокрация</w:t>
            </w:r>
            <w:r>
              <w:t>; пояснява, че следва да бъде възможно само физически или юридически лица, които пребивават или са установени в Съюза, да установят ESSU;</w:t>
            </w:r>
          </w:p>
        </w:tc>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следва да </w:t>
            </w:r>
            <w:r>
              <w:rPr>
                <w:b/>
                <w:i/>
              </w:rPr>
              <w:t>бъде ограничена до стартиращи и разрастващи се предприятия, развиващи дейност в цифровия сектор</w:t>
            </w:r>
            <w:r>
              <w:t>; пояснява, че следва да бъде възможно само физически или юридически лица, които пребивават или са установени в Съюза, да установят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w:t>
            </w:r>
            <w:r>
              <w:rPr>
                <w:b/>
                <w:i/>
              </w:rPr>
              <w:t>не</w:t>
            </w:r>
            <w:r>
              <w:t xml:space="preserve"> следва да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пояснява, че следва да бъде възможно само физически или юридически лица, които пребивават или са установени в Съюза, да установят ESSU;</w:t>
            </w:r>
          </w:p>
        </w:tc>
        <w:tc>
          <w:tcPr>
            <w:tcW w:w="4876" w:type="dxa"/>
            <w:tcBorders>
              <w:top w:val="nil"/>
              <w:left w:val="nil"/>
              <w:bottom w:val="nil"/>
              <w:right w:val="nil"/>
            </w:tcBorders>
          </w:tcPr>
          <w:p>
            <w:pPr>
              <w:pStyle w:val="Normal6a"/>
            </w:pPr>
            <w:r>
              <w:t>14.</w:t>
            </w:r>
            <w:r>
              <w:tab/>
            </w:r>
            <w:r>
              <w:t xml:space="preserve">счита, че възможността за регистрация като ESSU </w:t>
            </w:r>
            <w:r>
              <w:rPr>
                <w:b/>
                <w:i/>
              </w:rPr>
              <w:t>следва да отчита разнообразието от бизнес модели;</w:t>
            </w:r>
            <w:r>
              <w:t xml:space="preserve"> </w:t>
            </w:r>
            <w:r>
              <w:rPr>
                <w:b/>
                <w:i/>
              </w:rPr>
              <w:t>поради това тя</w:t>
            </w:r>
            <w:r>
              <w:t xml:space="preserve"> следва да </w:t>
            </w:r>
            <w:r>
              <w:rPr>
                <w:b/>
                <w:i/>
              </w:rPr>
              <w:t>бъде достъпна за всички форми на дружества и да не</w:t>
            </w:r>
            <w:r>
              <w:t xml:space="preserve">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пояснява, че следва да бъде възможно само физически или юридически лица, които пребивават или са установени в Съюза, да установят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w:t>
            </w:r>
            <w:r>
              <w:rPr>
                <w:b/>
                <w:i/>
              </w:rPr>
              <w:t>възможността за регистрация</w:t>
            </w:r>
            <w:r>
              <w:t xml:space="preserve"> като ESSU </w:t>
            </w:r>
            <w:r>
              <w:rPr>
                <w:b/>
                <w:i/>
              </w:rPr>
              <w:t>не следва да се ограничава до нова категория „иновативни дружества“ или до други ограничаващи фактори;</w:t>
            </w:r>
            <w:r>
              <w:t xml:space="preserve"> </w:t>
            </w:r>
            <w:r>
              <w:rPr>
                <w:b/>
                <w:i/>
              </w:rPr>
              <w:t>предупреждава, че създаването на такава нова категория би добавило ненужна бюрокрация;</w:t>
            </w:r>
            <w:r>
              <w:t xml:space="preserve"> </w:t>
            </w:r>
            <w:r>
              <w:rPr>
                <w:b/>
                <w:i/>
              </w:rPr>
              <w:t>пояснява, че</w:t>
            </w:r>
            <w:r>
              <w:t xml:space="preserve"> следва да бъде </w:t>
            </w:r>
            <w:r>
              <w:rPr>
                <w:b/>
                <w:i/>
              </w:rPr>
              <w:t>възможно само физически или юридически лица, които пребивават или са установени в Съюза, да установят</w:t>
            </w:r>
            <w:r>
              <w:t xml:space="preserve"> ESSU;</w:t>
            </w:r>
          </w:p>
        </w:tc>
        <w:tc>
          <w:tcPr>
            <w:tcW w:w="4876" w:type="dxa"/>
            <w:tcBorders>
              <w:top w:val="nil"/>
              <w:left w:val="nil"/>
              <w:bottom w:val="nil"/>
              <w:right w:val="nil"/>
            </w:tcBorders>
          </w:tcPr>
          <w:p>
            <w:pPr>
              <w:pStyle w:val="Normal6a"/>
            </w:pPr>
            <w:r>
              <w:t>14.</w:t>
            </w:r>
            <w:r>
              <w:tab/>
            </w:r>
            <w:r>
              <w:t xml:space="preserve">счита, че </w:t>
            </w:r>
            <w:r>
              <w:rPr>
                <w:b/>
                <w:i/>
              </w:rPr>
              <w:t>регистрацията</w:t>
            </w:r>
            <w:r>
              <w:t xml:space="preserve"> като ESSU следва да бъде </w:t>
            </w:r>
            <w:r>
              <w:rPr>
                <w:b/>
                <w:i/>
              </w:rPr>
              <w:t>възможна или чрез учредяване на ново дружество във формата ESSU, или чрез преобразуване на съществуващо дружество с различна правна форма в</w:t>
            </w:r>
            <w:r>
              <w:t xml:space="preserv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счита, че възможността за регистрация като </w:t>
            </w:r>
            <w:r>
              <w:rPr>
                <w:b/>
                <w:i/>
              </w:rPr>
              <w:t>ESSU</w:t>
            </w:r>
            <w:r>
              <w:t xml:space="preserve"> не следва да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w:t>
            </w:r>
            <w:r>
              <w:rPr>
                <w:b/>
                <w:i/>
              </w:rPr>
              <w:t>пояснява, че следва да бъде възможно само физически или юридически лица, които пребивават или са установени в Съюза, да установят ESSU</w:t>
            </w:r>
            <w:r>
              <w:t>;</w:t>
            </w:r>
          </w:p>
        </w:tc>
        <w:tc>
          <w:tcPr>
            <w:tcW w:w="4876" w:type="dxa"/>
            <w:tcBorders>
              <w:top w:val="nil"/>
              <w:left w:val="nil"/>
              <w:bottom w:val="nil"/>
              <w:right w:val="nil"/>
            </w:tcBorders>
          </w:tcPr>
          <w:p>
            <w:pPr>
              <w:pStyle w:val="Normal6a"/>
            </w:pPr>
            <w:r>
              <w:t>14.</w:t>
            </w:r>
            <w:r>
              <w:tab/>
            </w:r>
            <w:r>
              <w:t xml:space="preserve">счита, че възможността за регистрация като </w:t>
            </w:r>
            <w:r>
              <w:rPr>
                <w:b/>
                <w:i/>
              </w:rPr>
              <w:t>SЕS</w:t>
            </w:r>
            <w:r>
              <w:t xml:space="preserve"> не следва да се ограничава до нова категория „иновативни дружества“ или до други ограничаващи фактори; предупреждава, че създаването на такава нова категория би добавило ненужна бюрокрация; </w:t>
            </w:r>
            <w:r>
              <w:rPr>
                <w:b/>
                <w:i/>
              </w:rPr>
              <w:t>призовава Комисията да работи по решение, което да позволи на непребиваващите лица да създадат SES по модел, подобен на програмата за електронно пребиваване, която е на разположение в Естония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счита, че следва да бъде възможно ESSU да функционира като </w:t>
            </w:r>
            <w:r>
              <w:rPr>
                <w:b/>
                <w:i/>
              </w:rPr>
              <w:t>самостоятелно еднолично</w:t>
            </w:r>
            <w:r>
              <w:t xml:space="preserve"> дружество или като дъщерно дружество на дружество майка ESSU;</w:t>
            </w:r>
          </w:p>
        </w:tc>
        <w:tc>
          <w:tcPr>
            <w:tcW w:w="4876" w:type="dxa"/>
            <w:tcBorders>
              <w:top w:val="nil"/>
              <w:left w:val="nil"/>
              <w:bottom w:val="nil"/>
              <w:right w:val="nil"/>
            </w:tcBorders>
          </w:tcPr>
          <w:p>
            <w:pPr>
              <w:pStyle w:val="Normal6a"/>
            </w:pPr>
            <w:r>
              <w:t>15.</w:t>
            </w:r>
            <w:r>
              <w:tab/>
            </w:r>
            <w:r>
              <w:rPr>
                <w:b/>
                <w:i/>
              </w:rPr>
              <w:t>счита, че ESSU следва да служи като корпоративна форма за отделни субекти, както и за единното управление на групата, и</w:t>
            </w:r>
            <w:r>
              <w:t xml:space="preserve"> счита, че следва да бъде възможно ESSU да функционира като дружество </w:t>
            </w:r>
            <w:r>
              <w:rPr>
                <w:b/>
                <w:i/>
              </w:rPr>
              <w:t>майка</w:t>
            </w:r>
            <w:r>
              <w:t xml:space="preserve"> или като дъщерно дружество на дружество майка </w:t>
            </w:r>
            <w:r>
              <w:rPr>
                <w:b/>
                <w:i/>
              </w:rPr>
              <w:t>на</w:t>
            </w:r>
            <w:r>
              <w:t xml:space="preserve">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счита, че следва да бъде възможно </w:t>
            </w:r>
            <w:r>
              <w:rPr>
                <w:b/>
                <w:i/>
              </w:rPr>
              <w:t>ESSU</w:t>
            </w:r>
            <w:r>
              <w:t xml:space="preserve"> да функционира като самостоятелно еднолично дружество или като дъщерно дружество на дружество майка ESSU;</w:t>
            </w:r>
          </w:p>
        </w:tc>
        <w:tc>
          <w:tcPr>
            <w:tcW w:w="4876" w:type="dxa"/>
            <w:tcBorders>
              <w:top w:val="nil"/>
              <w:left w:val="nil"/>
              <w:bottom w:val="nil"/>
              <w:right w:val="nil"/>
            </w:tcBorders>
          </w:tcPr>
          <w:p>
            <w:pPr>
              <w:pStyle w:val="Normal6a"/>
            </w:pPr>
            <w:r>
              <w:t>15.</w:t>
            </w:r>
            <w:r>
              <w:tab/>
            </w:r>
            <w:r>
              <w:t xml:space="preserve">счита, че следва да бъде възможно </w:t>
            </w:r>
            <w:r>
              <w:rPr>
                <w:b/>
                <w:i/>
              </w:rPr>
              <w:t>SES</w:t>
            </w:r>
            <w:r>
              <w:t xml:space="preserve"> да функционира като самостоятелно еднолично дружество</w:t>
            </w:r>
            <w:r>
              <w:rPr>
                <w:b/>
                <w:i/>
              </w:rPr>
              <w:t>, дъщерно дружество на дружество майка</w:t>
            </w:r>
            <w:r>
              <w:t xml:space="preserve"> или като дъщерно дружество на дружество майка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счита, че следва да бъде възможно ESSU да функционира като самостоятелно еднолично дружество или като дъщерно дружество на дружество майка </w:t>
            </w:r>
            <w:r>
              <w:rPr>
                <w:b/>
                <w:i/>
              </w:rPr>
              <w:t>ESSU</w:t>
            </w:r>
            <w:r>
              <w:t>;</w:t>
            </w:r>
          </w:p>
        </w:tc>
        <w:tc>
          <w:tcPr>
            <w:tcW w:w="4876" w:type="dxa"/>
            <w:tcBorders>
              <w:top w:val="nil"/>
              <w:left w:val="nil"/>
              <w:bottom w:val="nil"/>
              <w:right w:val="nil"/>
            </w:tcBorders>
          </w:tcPr>
          <w:p>
            <w:pPr>
              <w:pStyle w:val="Normal6a"/>
            </w:pPr>
            <w:r>
              <w:t>15.</w:t>
            </w:r>
            <w:r>
              <w:tab/>
            </w:r>
            <w:r>
              <w:t>счита, че следва да бъде възможно ESSU да функционира като самостоятелно еднолично дружество или като дъщерно дружество на дружество майка;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подчертава, че седалището и мястото на действително управление може да бъдат в различни държави членки;</w:t>
            </w:r>
          </w:p>
        </w:tc>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подчертава, че седалището и мястото на действително управление може да бъдат в различни държави членки; </w:t>
            </w:r>
            <w:r>
              <w:rPr>
                <w:b/>
                <w:i/>
              </w:rPr>
              <w:t>допълнително подчертава, че ESSU следва да има възможност да премести седалището си в друга държава членка в рамките на Съюза, без да е необходимо разпускане или повторно учредяване, в съответствие с хармонизирани процедури, гарантиращи непрекъснатост на юридическата правосубектност;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подчертава, че седалището и </w:t>
            </w:r>
            <w:r>
              <w:rPr>
                <w:b/>
                <w:i/>
              </w:rPr>
              <w:t>мястото на действително управление</w:t>
            </w:r>
            <w:r>
              <w:t xml:space="preserve"> може да </w:t>
            </w:r>
            <w:r>
              <w:rPr>
                <w:b/>
                <w:i/>
              </w:rPr>
              <w:t>бъдат</w:t>
            </w:r>
            <w:r>
              <w:t xml:space="preserve"> в различни държави членки;</w:t>
            </w:r>
          </w:p>
        </w:tc>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подчертава, че седалището и </w:t>
            </w:r>
            <w:r>
              <w:rPr>
                <w:b/>
                <w:i/>
              </w:rPr>
              <w:t>регистрираното седалището</w:t>
            </w:r>
            <w:r>
              <w:t xml:space="preserve"> може да </w:t>
            </w:r>
            <w:r>
              <w:rPr>
                <w:b/>
                <w:i/>
              </w:rPr>
              <w:t>се намират</w:t>
            </w:r>
            <w:r>
              <w:t xml:space="preserve"> в различни държави членки</w:t>
            </w:r>
            <w:r>
              <w:rPr>
                <w:b/>
                <w:i/>
              </w:rPr>
              <w:t>, при условие че дружеството поддържа действителна връзка с правната и данъчната юрисдикция на своето регистрирано седалище и освен ако и двете не са необходими за защитата на по-висш обществен интерес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w:t>
            </w:r>
            <w:r>
              <w:rPr>
                <w:b/>
                <w:i/>
              </w:rPr>
              <w:t>ESSU</w:t>
            </w:r>
            <w:r>
              <w:t xml:space="preserve">; подчертава, че седалището и </w:t>
            </w:r>
            <w:r>
              <w:rPr>
                <w:b/>
                <w:i/>
              </w:rPr>
              <w:t>мястото на действително управление</w:t>
            </w:r>
            <w:r>
              <w:t xml:space="preserve"> може да </w:t>
            </w:r>
            <w:r>
              <w:rPr>
                <w:b/>
                <w:i/>
              </w:rPr>
              <w:t>бъдат</w:t>
            </w:r>
            <w:r>
              <w:t xml:space="preserve"> в различни държави членки;</w:t>
            </w:r>
          </w:p>
        </w:tc>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w:t>
            </w:r>
            <w:r>
              <w:rPr>
                <w:b/>
                <w:i/>
              </w:rPr>
              <w:t>SЕS</w:t>
            </w:r>
            <w:r>
              <w:t xml:space="preserve">; подчертава, че седалището и </w:t>
            </w:r>
            <w:r>
              <w:rPr>
                <w:b/>
                <w:i/>
              </w:rPr>
              <w:t>регистрираното седалище</w:t>
            </w:r>
            <w:r>
              <w:t xml:space="preserve"> може да </w:t>
            </w:r>
            <w:r>
              <w:rPr>
                <w:b/>
                <w:i/>
              </w:rPr>
              <w:t>се намират</w:t>
            </w:r>
            <w:r>
              <w:t xml:space="preserve"> в различни държави членки</w:t>
            </w:r>
            <w:r>
              <w:rPr>
                <w:b/>
                <w:i/>
              </w:rPr>
              <w:t>, при условие че дружеството поддържа реална и проверима връзка с правната и данъчната юрисдикция на своето седалище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подчертава, че седалището и </w:t>
            </w:r>
            <w:r>
              <w:rPr>
                <w:b/>
                <w:i/>
              </w:rPr>
              <w:t>мястото на действително управление</w:t>
            </w:r>
            <w:r>
              <w:t xml:space="preserve"> може да </w:t>
            </w:r>
            <w:r>
              <w:rPr>
                <w:b/>
                <w:i/>
              </w:rPr>
              <w:t>бъдат</w:t>
            </w:r>
            <w:r>
              <w:t xml:space="preserve"> в различни държави членки;</w:t>
            </w:r>
          </w:p>
        </w:tc>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подчертава, че седалището и </w:t>
            </w:r>
            <w:r>
              <w:rPr>
                <w:b/>
                <w:i/>
              </w:rPr>
              <w:t>регистрираното седалище</w:t>
            </w:r>
            <w:r>
              <w:t xml:space="preserve"> може да </w:t>
            </w:r>
            <w:r>
              <w:rPr>
                <w:b/>
                <w:i/>
              </w:rPr>
              <w:t>се намират</w:t>
            </w:r>
            <w:r>
              <w:t xml:space="preserve"> в различни държави членки</w:t>
            </w:r>
            <w:r>
              <w:rPr>
                <w:b/>
                <w:i/>
              </w:rPr>
              <w:t>, при условие че дружеството поддържа реална връзка с правната юрисдикция на своето седалище</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 </w:t>
            </w:r>
            <w:r>
              <w:rPr>
                <w:b/>
                <w:i/>
              </w:rPr>
              <w:t>подчертава, че седалището и мястото на действително управление може да бъдат в различни държави членки;</w:t>
            </w:r>
          </w:p>
        </w:tc>
        <w:tc>
          <w:tcPr>
            <w:tcW w:w="4876" w:type="dxa"/>
            <w:tcBorders>
              <w:top w:val="nil"/>
              <w:left w:val="nil"/>
              <w:bottom w:val="nil"/>
              <w:right w:val="nil"/>
            </w:tcBorders>
          </w:tcPr>
          <w:p>
            <w:pPr>
              <w:pStyle w:val="Normal6a"/>
            </w:pPr>
            <w:r>
              <w:t>16.</w:t>
            </w:r>
            <w:r>
              <w:tab/>
            </w:r>
            <w:r>
              <w:t>подчертава, че регистрираното седалище на дадено дружество трябва да бъде в една от 27-те държави членки, за да отговаря на условията за регистрация като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подчертава, че регистрираното седалище на </w:t>
            </w:r>
            <w:r>
              <w:rPr>
                <w:b/>
                <w:i/>
              </w:rPr>
              <w:t>дадено дружество</w:t>
            </w:r>
            <w:r>
              <w:t xml:space="preserve"> трябва да бъде в една от 27-те държави членки</w:t>
            </w:r>
            <w:r>
              <w:rPr>
                <w:b/>
                <w:i/>
              </w:rPr>
              <w:t>, за да отговаря на условията за регистрация като ESSU</w:t>
            </w:r>
            <w:r>
              <w:t>; подчертава, че седалището и мястото на действително управление може да бъдат в различни държави членки;</w:t>
            </w:r>
          </w:p>
        </w:tc>
        <w:tc>
          <w:tcPr>
            <w:tcW w:w="4876" w:type="dxa"/>
            <w:tcBorders>
              <w:top w:val="nil"/>
              <w:left w:val="nil"/>
              <w:bottom w:val="nil"/>
              <w:right w:val="nil"/>
            </w:tcBorders>
          </w:tcPr>
          <w:p>
            <w:pPr>
              <w:pStyle w:val="Normal6a"/>
            </w:pPr>
            <w:r>
              <w:t>16.</w:t>
            </w:r>
            <w:r>
              <w:tab/>
            </w:r>
            <w:r>
              <w:t xml:space="preserve">подчертава, че регистрираното седалище на </w:t>
            </w:r>
            <w:r>
              <w:rPr>
                <w:b/>
                <w:i/>
              </w:rPr>
              <w:t>ESSU</w:t>
            </w:r>
            <w:r>
              <w:t xml:space="preserve"> трябва да бъде в една от 27-те държави членки; подчертава, че седалището и мястото на действително управление може да бъдат в различни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подчертава, че растежът на производителността, иновациите и социалното приобщаване трябва да вървят ръка за ръка;</w:t>
            </w:r>
            <w:r>
              <w:t xml:space="preserve"> </w:t>
            </w:r>
            <w:r>
              <w:rPr>
                <w:b/>
                <w:i/>
              </w:rPr>
              <w:t>счита, че следва да се обмисли създаването на планове за придобиване на дялове за служителите в ESSU, така че те да могат да придобият участие в собствеността в дружеството;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подчертава, че растежът на производителността, иновациите и социалното приобщаване трябва да вървят ръка за ръка;</w:t>
            </w:r>
            <w:r>
              <w:t xml:space="preserve"> </w:t>
            </w:r>
            <w:r>
              <w:rPr>
                <w:b/>
                <w:i/>
              </w:rPr>
              <w:t>счита, че следва да се обмисли създаването на планове за придобиване на дялове за служителите в ESSU, така че те да могат да придобият участие в собствеността в дружеството;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подчертава, че растежът на производителността, иновациите и социалното приобщаване трябва да вървят ръка за ръка; </w:t>
            </w:r>
            <w:r>
              <w:rPr>
                <w:b/>
                <w:i/>
              </w:rPr>
              <w:t>счита, че</w:t>
            </w:r>
            <w:r>
              <w:t xml:space="preserve"> следва да </w:t>
            </w:r>
            <w:r>
              <w:rPr>
                <w:b/>
                <w:i/>
              </w:rPr>
              <w:t>се обмисли създаването на планове за придобиване на дялове за</w:t>
            </w:r>
            <w:r>
              <w:t xml:space="preserve"> служителите </w:t>
            </w:r>
            <w:r>
              <w:rPr>
                <w:b/>
                <w:i/>
              </w:rPr>
              <w:t>в ESSU, така че те</w:t>
            </w:r>
            <w:r>
              <w:t xml:space="preserve"> да могат да придобият участие в собствеността </w:t>
            </w:r>
            <w:r>
              <w:rPr>
                <w:b/>
                <w:i/>
              </w:rPr>
              <w:t>в</w:t>
            </w:r>
            <w:r>
              <w:t xml:space="preserve"> дружеството;</w:t>
            </w:r>
          </w:p>
        </w:tc>
        <w:tc>
          <w:tcPr>
            <w:tcW w:w="4876" w:type="dxa"/>
            <w:tcBorders>
              <w:top w:val="nil"/>
              <w:left w:val="nil"/>
              <w:bottom w:val="nil"/>
              <w:right w:val="nil"/>
            </w:tcBorders>
          </w:tcPr>
          <w:p>
            <w:pPr>
              <w:pStyle w:val="Normal6a"/>
            </w:pPr>
            <w:r>
              <w:t>17.</w:t>
            </w:r>
            <w:r>
              <w:tab/>
            </w:r>
            <w:r>
              <w:t xml:space="preserve">подчертава, че растежът на производителността, иновациите и социалното приобщаване трябва да вървят ръка за ръка; </w:t>
            </w:r>
            <w:r>
              <w:rPr>
                <w:b/>
                <w:i/>
              </w:rPr>
              <w:t>подчертава, че SES</w:t>
            </w:r>
            <w:r>
              <w:t xml:space="preserve"> следва да </w:t>
            </w:r>
            <w:r>
              <w:rPr>
                <w:b/>
                <w:i/>
              </w:rPr>
              <w:t>получи правото да създаде план за опции върху акции на</w:t>
            </w:r>
            <w:r>
              <w:t xml:space="preserve"> служителите</w:t>
            </w:r>
            <w:r>
              <w:rPr>
                <w:b/>
                <w:i/>
              </w:rPr>
              <w:t>, за</w:t>
            </w:r>
            <w:r>
              <w:t xml:space="preserve"> да могат </w:t>
            </w:r>
            <w:r>
              <w:rPr>
                <w:b/>
                <w:i/>
              </w:rPr>
              <w:t>неговите служители да привлекат по-добри таланти, а служителите</w:t>
            </w:r>
            <w:r>
              <w:t xml:space="preserve"> да придобият участие в собствеността </w:t>
            </w:r>
            <w:r>
              <w:rPr>
                <w:b/>
                <w:i/>
              </w:rPr>
              <w:t>на</w:t>
            </w:r>
            <w:r>
              <w:t xml:space="preserve"> дружеството; </w:t>
            </w:r>
            <w:r>
              <w:rPr>
                <w:b/>
                <w:i/>
              </w:rPr>
              <w:t>подчертава, че този режим не следва да хармонизира фискалната политика, а по-скоро да хармонизира възможността служителите да имат прогресивен план за опции върху акции, без да се засяга фискалната ставка, при която се облагат потенциалните ползи;</w:t>
            </w:r>
            <w:r>
              <w:t xml:space="preserve"> </w:t>
            </w:r>
            <w:r>
              <w:rPr>
                <w:b/>
                <w:i/>
              </w:rPr>
              <w:t>препоръчва опциите върху акции да бъдат признати като капиталови печалби;</w:t>
            </w:r>
            <w:r>
              <w:t xml:space="preserve"> </w:t>
            </w:r>
            <w:r>
              <w:rPr>
                <w:b/>
                <w:i/>
              </w:rPr>
              <w:t>изисква от Комисията да работи за създаването на защитена зона за остойностяване на равнището на Съюза;</w:t>
            </w:r>
            <w:r>
              <w:t xml:space="preserve"> </w:t>
            </w:r>
            <w:r>
              <w:rPr>
                <w:b/>
                <w:i/>
              </w:rPr>
              <w:t>подчертава, че този инструмент е първото искане от страна на предприемачи, които се борят да предоставят еднакви ползи на своите служители в рамките на единния пазар;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подчертава, че растежът на производителността, иновациите и социалното приобщаване трябва да вървят ръка за ръка</w:t>
            </w:r>
            <w:r>
              <w:rPr>
                <w:b/>
                <w:i/>
              </w:rPr>
              <w:t>;</w:t>
            </w:r>
            <w:r>
              <w:t xml:space="preserve"> </w:t>
            </w:r>
            <w:r>
              <w:rPr>
                <w:b/>
                <w:i/>
              </w:rPr>
              <w:t>счита, че следва да се обмисли</w:t>
            </w:r>
            <w:r>
              <w:t xml:space="preserve"> създаването на планове за </w:t>
            </w:r>
            <w:r>
              <w:rPr>
                <w:b/>
                <w:i/>
              </w:rPr>
              <w:t>придобиване на дялове за</w:t>
            </w:r>
            <w:r>
              <w:t xml:space="preserve"> служителите в ESSU, така че те да могат да придобият участие </w:t>
            </w:r>
            <w:r>
              <w:rPr>
                <w:b/>
                <w:i/>
              </w:rPr>
              <w:t>в собствеността</w:t>
            </w:r>
            <w:r>
              <w:t xml:space="preserve"> в дружеството;</w:t>
            </w:r>
          </w:p>
        </w:tc>
        <w:tc>
          <w:tcPr>
            <w:tcW w:w="4876" w:type="dxa"/>
            <w:tcBorders>
              <w:top w:val="nil"/>
              <w:left w:val="nil"/>
              <w:bottom w:val="nil"/>
              <w:right w:val="nil"/>
            </w:tcBorders>
          </w:tcPr>
          <w:p>
            <w:pPr>
              <w:pStyle w:val="Normal6a"/>
            </w:pPr>
            <w:r>
              <w:t>17.</w:t>
            </w:r>
            <w:r>
              <w:tab/>
            </w:r>
            <w:r>
              <w:t>подчертава, че растежът на производителността, иновациите и социалното приобщаване трябва да вървят ръка за ръка</w:t>
            </w:r>
            <w:r>
              <w:rPr>
                <w:b/>
                <w:i/>
              </w:rPr>
              <w:t>, и призовава за</w:t>
            </w:r>
            <w:r>
              <w:t xml:space="preserve"> създаването на </w:t>
            </w:r>
            <w:r>
              <w:rPr>
                <w:b/>
                <w:i/>
              </w:rPr>
              <w:t>допълнителни мерки в подкрепа на сектора на иновациите;</w:t>
            </w:r>
            <w:r>
              <w:t xml:space="preserve"> </w:t>
            </w:r>
            <w:r>
              <w:rPr>
                <w:b/>
                <w:i/>
              </w:rPr>
              <w:t>за тази цел призовава Комисията да представи във възможно най-кратък срок предложение за обща европейска система за улеснено данъчно управление за ESSU и за</w:t>
            </w:r>
            <w:r>
              <w:t xml:space="preserve"> планове за </w:t>
            </w:r>
            <w:r>
              <w:rPr>
                <w:b/>
                <w:i/>
              </w:rPr>
              <w:t>собственост на</w:t>
            </w:r>
            <w:r>
              <w:t xml:space="preserve"> служителите в ESSU, така че те да могат да придобият </w:t>
            </w:r>
            <w:r>
              <w:rPr>
                <w:b/>
                <w:i/>
              </w:rPr>
              <w:t>дял в предприятието;</w:t>
            </w:r>
            <w:r>
              <w:t xml:space="preserve"> </w:t>
            </w:r>
            <w:r>
              <w:rPr>
                <w:b/>
                <w:i/>
              </w:rPr>
              <w:t>в този контекст счита, че опциите върху акции и постъпленията от дяловото</w:t>
            </w:r>
            <w:r>
              <w:t xml:space="preserve"> участие </w:t>
            </w:r>
            <w:r>
              <w:rPr>
                <w:b/>
                <w:i/>
              </w:rPr>
              <w:t>на работниците и служителите</w:t>
            </w:r>
            <w:r>
              <w:t xml:space="preserve"> в дружеството </w:t>
            </w:r>
            <w:r>
              <w:rPr>
                <w:b/>
                <w:i/>
              </w:rPr>
              <w:t>следва да бъдат признати като капиталови печалби и като такива да бъдат гарантирани на равнището на ЕС</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подчертава, че растежът на производителността, иновациите и социалното приобщаване трябва да вървят ръка за ръка; счита, че следва да се обмисли създаването на планове за придобиване на дялове за служителите в ESSU, така че те да могат да придобият участие в собствеността </w:t>
            </w:r>
            <w:r>
              <w:rPr>
                <w:b/>
                <w:i/>
              </w:rPr>
              <w:t>в</w:t>
            </w:r>
            <w:r>
              <w:t xml:space="preserve"> дружеството;</w:t>
            </w:r>
          </w:p>
        </w:tc>
        <w:tc>
          <w:tcPr>
            <w:tcW w:w="4876" w:type="dxa"/>
            <w:tcBorders>
              <w:top w:val="nil"/>
              <w:left w:val="nil"/>
              <w:bottom w:val="nil"/>
              <w:right w:val="nil"/>
            </w:tcBorders>
          </w:tcPr>
          <w:p>
            <w:pPr>
              <w:pStyle w:val="Normal6a"/>
            </w:pPr>
            <w:r>
              <w:t>17.</w:t>
            </w:r>
            <w:r>
              <w:tab/>
            </w:r>
            <w:r>
              <w:t xml:space="preserve">подчертава, че растежът на производителността, иновациите и социалното приобщаване трябва да вървят ръка за ръка; счита, че следва да се обмисли създаването на планове за придобиване на дялове за служителите в ESSU, така че те да могат да придобият участие в собствеността </w:t>
            </w:r>
            <w:r>
              <w:rPr>
                <w:b/>
                <w:i/>
              </w:rPr>
              <w:t>на</w:t>
            </w:r>
            <w:r>
              <w:t xml:space="preserve"> дружеството</w:t>
            </w:r>
            <w:r>
              <w:rPr>
                <w:b/>
                <w:i/>
              </w:rPr>
              <w:t>, като същевременно се гарантира, че това допринася за по-демократична работна среда, не допуска дискриминация, не замества колективното договаряне на възнагражденията и има нисък праг за достъп на служителите до такъв план за собственост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че рамката на ESSU следва да улеснява партньорствата с университети, научноизследователски институти и бюра за трансфер на технологии, за да се ускори процесът между труда и пазара, да се осигури достъп до научноизследователска инфраструктура и експертен опит и да се подкрепи търговската реализация на резултатите от научните изследвания;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освен това призовава за насърчаване на кооперативните бизнес модели в рамките на 28-ия режим като ценна възможност за по-демократично участие в собствеността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17б.</w:t>
            </w:r>
            <w:r>
              <w:tab/>
            </w:r>
            <w:r>
              <w:rPr>
                <w:b/>
                <w:i/>
              </w:rPr>
              <w:t>призовава в законодателното предложение да се предоставят допълнителни ползи на социалните предприятия и дружествата, създадени от млади предприемачи или предприемачи, регистрирани за първи път като ESSU, като например приоритетен достъп до съответните инструменти за финансиране на равнището на Съюза и на национално равнище, адаптирани програми за наставничество и обучение, незадължителни гаранции за социална мисия;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17в.</w:t>
            </w:r>
            <w:r>
              <w:tab/>
            </w:r>
            <w:r>
              <w:rPr>
                <w:b/>
                <w:i/>
              </w:rPr>
              <w:t>призовава цифровата платформа на ESSU да интегрира основани на ИИ инструменти за спазване на изискванията, предоставящи на дружествата предупреждения в реално време относно съответните регулаторни промени на равнището на Съюза и на национално равнище, автоматизирана помощ във връзка със задълженията за докладване и насоки за намаляване на административната тежест и подобряване на правната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17г.</w:t>
            </w:r>
            <w:r>
              <w:tab/>
            </w:r>
            <w:r>
              <w:rPr>
                <w:b/>
                <w:i/>
              </w:rPr>
              <w:t>препоръчва създаването на регулаторна лаборатория на равнището на Съюза в рамките на ESSU, за да се даде възможност на дружествата да пилотират иновативни продукти, услуги или бизнес модели в контролирана среда, с временна регулаторна гъвкавост, пропорционални предпазни мерки и участието на компетентните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Гаранции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Гаранции</w:t>
            </w:r>
          </w:p>
        </w:tc>
        <w:tc>
          <w:tcPr>
            <w:tcW w:w="4876" w:type="dxa"/>
            <w:tcBorders>
              <w:top w:val="nil"/>
              <w:left w:val="nil"/>
              <w:bottom w:val="nil"/>
              <w:right w:val="nil"/>
            </w:tcBorders>
          </w:tcPr>
          <w:p>
            <w:pPr>
              <w:pStyle w:val="Normal6a"/>
            </w:pPr>
            <w:r>
              <w:rPr>
                <w:b/>
                <w:i/>
              </w:rPr>
              <w:t>Незадължителни форми на управление на собствеността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подчертава необходимостта от защита на европейските иновативни дружества от „придобивания убийци“ и от предотвратяване на преместването на иновации, често подкрепяни от европейски публични фондове за научни изследвания, извън Съюза; счита, че регламентът за сливанията е недостатъчен за справяне с проблема с „придобиванията убийци“;</w:t>
            </w:r>
            <w:r>
              <w:t xml:space="preserve"> </w:t>
            </w:r>
            <w:r>
              <w:rPr>
                <w:b/>
                <w:i/>
              </w:rPr>
              <w:t>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дялове, особено дялове от два класа, включително дялове с право на вето;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подчертава необходимостта от защита на европейските иновативни дружества от „придобивания убийци“ и от предотвратяване на преместването на иновации, често подкрепяни от европейски публични фондове за научни изследвания, извън Съюза; счита, че регламентът за сливанията е недостатъчен за справяне с проблема с „придобиванията убийци“;</w:t>
            </w:r>
            <w:r>
              <w:t xml:space="preserve"> </w:t>
            </w:r>
            <w:r>
              <w:rPr>
                <w:b/>
                <w:i/>
              </w:rPr>
              <w:t>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дялове, особено дялове от два класа, включително дялове с право на вето;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подчертава необходимостта от защита на европейските иновативни дружества от „придобивания убийци“ и от предотвратяване на преместването на иновации, често подкрепяни от европейски публични фондове за научни изследвания, извън Съюза; счита, че регламентът за сливанията е недостатъчен за справяне с проблема с „придобиванията убийци“;</w:t>
            </w:r>
            <w:r>
              <w:t xml:space="preserve"> </w:t>
            </w:r>
            <w:r>
              <w:rPr>
                <w:b/>
                <w:i/>
              </w:rPr>
              <w:t>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дялове, особено дялове от два класа, включително дялове с право на вето;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подчертава необходимостта от защита на европейските иновативни дружества от „придобивания убийци“ и от предотвратяване на преместването на иновации, често подкрепяни от европейски публични фондове за научни изследвания, извън Съюза; счита, че регламентът за сливанията е недостатъчен за справяне с проблема с „придобиванията убийци“;</w:t>
            </w:r>
            <w:r>
              <w:t xml:space="preserve"> 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дялове, особено дялове от два класа, включително дялове с право на вето;</w:t>
            </w:r>
          </w:p>
        </w:tc>
        <w:tc>
          <w:tcPr>
            <w:tcW w:w="4876" w:type="dxa"/>
            <w:tcBorders>
              <w:top w:val="nil"/>
              <w:left w:val="nil"/>
              <w:bottom w:val="nil"/>
              <w:right w:val="nil"/>
            </w:tcBorders>
          </w:tcPr>
          <w:p>
            <w:pPr>
              <w:pStyle w:val="Normal6a"/>
            </w:pPr>
            <w:r>
              <w:t>18.</w:t>
            </w:r>
            <w:r>
              <w:tab/>
            </w:r>
            <w:r>
              <w:t>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дялове, особено дялове от два класа, включително дялове с право на вето</w:t>
            </w:r>
            <w:r>
              <w:rPr>
                <w:b/>
                <w:i/>
              </w:rPr>
              <w:t>, за да се защитят европейските дружества, които желаят да направят това, от „придобивания убийци“ и преместване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подчертава необходимостта от защита на европейските </w:t>
            </w:r>
            <w:r>
              <w:rPr>
                <w:b/>
                <w:i/>
              </w:rPr>
              <w:t>иновативни</w:t>
            </w:r>
            <w:r>
              <w:t xml:space="preserve"> дружества от „придобивания убийци“ и от предотвратяване на преместването на иновации, често подкрепяни от европейски публични фондове за научни изследвания, извън Съюза; счита, че регламентът за сливанията е недостатъчен за справяне с проблема с „придобиванията убийци“; 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дялове, особено дялове от два класа, включително дялове с право на вето;</w:t>
            </w:r>
          </w:p>
        </w:tc>
        <w:tc>
          <w:tcPr>
            <w:tcW w:w="4876" w:type="dxa"/>
            <w:tcBorders>
              <w:top w:val="nil"/>
              <w:left w:val="nil"/>
              <w:bottom w:val="nil"/>
              <w:right w:val="nil"/>
            </w:tcBorders>
          </w:tcPr>
          <w:p>
            <w:pPr>
              <w:pStyle w:val="Normal6a"/>
            </w:pPr>
            <w:r>
              <w:t>18.</w:t>
            </w:r>
            <w:r>
              <w:tab/>
            </w:r>
            <w:r>
              <w:t>подчертава необходимостта от защита на европейските дружества</w:t>
            </w:r>
            <w:r>
              <w:rPr>
                <w:b/>
                <w:i/>
              </w:rPr>
              <w:t>, по-конкретно МСП и стартиращите предприятия</w:t>
            </w:r>
            <w:r>
              <w:t xml:space="preserve"> от „придобивания убийци“ и от предотвратяване на преместването на иновации, често подкрепяни от европейски публични фондове за научни изследвания, извън Съюза; счита, че регламентът за сливанията е недостатъчен за справяне с проблема с „придобиванията убийци“; призовава като част от законодателното предложение да бъдат включени незадължителни форми на управление на собствеността, блокиране на активи</w:t>
            </w:r>
            <w:r>
              <w:rPr>
                <w:b/>
                <w:i/>
              </w:rPr>
              <w:t>, прехвърляне на предприятия на служители под формата на кооперация (изкупуване на дялове от служители)</w:t>
            </w:r>
            <w:r>
              <w:t xml:space="preserve"> и различни класове дялове, особено </w:t>
            </w:r>
            <w:r>
              <w:rPr>
                <w:b/>
                <w:i/>
              </w:rPr>
              <w:t>дялове за лоялност и</w:t>
            </w:r>
            <w:r>
              <w:t xml:space="preserve"> дялове от два класа, включително дялове с право на вето;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18а.</w:t>
            </w:r>
            <w:r>
              <w:tab/>
            </w:r>
            <w:r>
              <w:rPr>
                <w:b/>
                <w:i/>
              </w:rPr>
              <w:t>приканва Комисията да обмисли, като част от инициативите за завършване на 28-ия режим, допълнителни разпоредби относно сливанията на ESSU с предприятия от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изразява загриженост относно риска от подкопаване на съществуващите стандарти за защита на по-слабата страна в националния правен ред на държавите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изразява загриженост относно риска от подкопаване на съществуващите стандарти за защита на по-слабата страна в националния правен ред на държавите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изразява загриженост относно риска от подкопаване на съществуващите стандарти за защита на по-слабата страна в националния правен ред на държавите членки;</w:t>
            </w:r>
          </w:p>
        </w:tc>
        <w:tc>
          <w:tcPr>
            <w:tcW w:w="4876" w:type="dxa"/>
            <w:tcBorders>
              <w:top w:val="nil"/>
              <w:left w:val="nil"/>
              <w:bottom w:val="nil"/>
              <w:right w:val="nil"/>
            </w:tcBorders>
          </w:tcPr>
          <w:p>
            <w:pPr>
              <w:pStyle w:val="Normal6a"/>
            </w:pPr>
            <w:r>
              <w:t>19.</w:t>
            </w:r>
            <w:r>
              <w:tab/>
            </w:r>
            <w:r>
              <w:t xml:space="preserve">изразява загриженост относно риска от подкопаване на съществуващите стандарти за защита на по-слабата страна в националния правен ред на държавите членки; </w:t>
            </w:r>
            <w:r>
              <w:rPr>
                <w:b/>
                <w:i/>
              </w:rPr>
              <w:t>подчертава, че е от важно значение да се предотвратява стриктно всяко отстъпление и да се гарантира, че стандартите за защита не могат в никакъв случай да бъдат заобикаляни, отслабвани или поставяни в конкуренция;</w:t>
            </w:r>
            <w:r>
              <w:t xml:space="preserve"> </w:t>
            </w:r>
            <w:r>
              <w:rPr>
                <w:b/>
                <w:i/>
              </w:rPr>
              <w:t>настоява за създаването на ефективни механизми за контрол и възпиращи санкции, за да се гарантира строгото им прилагане;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изразява загриженост относно риска от подкопаване на съществуващите стандарти </w:t>
            </w:r>
            <w:r>
              <w:rPr>
                <w:b/>
                <w:i/>
              </w:rPr>
              <w:t>за</w:t>
            </w:r>
            <w:r>
              <w:t xml:space="preserve"> защита на по-слабата страна в националния правен ред на държавите членки;</w:t>
            </w:r>
          </w:p>
        </w:tc>
        <w:tc>
          <w:tcPr>
            <w:tcW w:w="4876" w:type="dxa"/>
            <w:tcBorders>
              <w:top w:val="nil"/>
              <w:left w:val="nil"/>
              <w:bottom w:val="nil"/>
              <w:right w:val="nil"/>
            </w:tcBorders>
          </w:tcPr>
          <w:p>
            <w:pPr>
              <w:pStyle w:val="Normal6a"/>
            </w:pPr>
            <w:r>
              <w:t>19.</w:t>
            </w:r>
            <w:r>
              <w:tab/>
            </w:r>
            <w:r>
              <w:t xml:space="preserve">изразява загриженост относно риска от подкопаване на съществуващите стандарти </w:t>
            </w:r>
            <w:r>
              <w:rPr>
                <w:b/>
                <w:i/>
              </w:rPr>
              <w:t>на национално и/или европейско равнище, насърчаване на правната сигурност, както и защита на обществения интерес, като например предотвратяване на изпирането на пари, спазване на режимите на санкции на ЕС, както и</w:t>
            </w:r>
            <w:r>
              <w:t xml:space="preserve"> защита на по-слабата страна в националния правен ред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изразява загриженост относно риска от подкопаване на съществуващите стандарти за защита на по-слабата страна в националния правен ред на държавите членки;</w:t>
            </w:r>
          </w:p>
        </w:tc>
        <w:tc>
          <w:tcPr>
            <w:tcW w:w="4876" w:type="dxa"/>
            <w:tcBorders>
              <w:top w:val="nil"/>
              <w:left w:val="nil"/>
              <w:bottom w:val="nil"/>
              <w:right w:val="nil"/>
            </w:tcBorders>
          </w:tcPr>
          <w:p>
            <w:pPr>
              <w:pStyle w:val="Normal6a"/>
            </w:pPr>
            <w:r>
              <w:t>19.</w:t>
            </w:r>
            <w:r>
              <w:tab/>
            </w:r>
            <w:r>
              <w:t xml:space="preserve">изразява загриженост относно риска от подкопаване на съществуващите стандарти за защита на по-слабата страна в националния правен ред на държавите членки; </w:t>
            </w:r>
            <w:r>
              <w:rPr>
                <w:b/>
                <w:i/>
              </w:rPr>
              <w:t>отново заявява, че всеки ESSU трябва да спазва изискванията, определени от националното трудово право и трудовото право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изразява загриженост относно риска от подкопаване на</w:t>
            </w:r>
            <w:r>
              <w:t xml:space="preserve"> съществуващите стандарти за защита на по-слабата страна в националния правен ред на държавите членки;</w:t>
            </w:r>
          </w:p>
        </w:tc>
        <w:tc>
          <w:tcPr>
            <w:tcW w:w="4876" w:type="dxa"/>
            <w:tcBorders>
              <w:top w:val="nil"/>
              <w:left w:val="nil"/>
              <w:bottom w:val="nil"/>
              <w:right w:val="nil"/>
            </w:tcBorders>
          </w:tcPr>
          <w:p>
            <w:pPr>
              <w:pStyle w:val="Normal6a"/>
            </w:pPr>
            <w:r>
              <w:t>19.</w:t>
            </w:r>
            <w:r>
              <w:tab/>
            </w:r>
            <w:r>
              <w:rPr>
                <w:b/>
                <w:i/>
              </w:rPr>
              <w:t>подчертава необходимостта да да не се подкопават</w:t>
            </w:r>
            <w:r>
              <w:t xml:space="preserve"> съществуващите стандарти за защита на по-слабата страна в националния правен ред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w:t>
            </w:r>
            <w:r>
              <w:t xml:space="preserve"> </w:t>
            </w:r>
            <w:r>
              <w:rPr>
                <w:b/>
                <w:i/>
              </w:rPr>
              <w:t>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w:t>
            </w:r>
            <w:r>
              <w:t xml:space="preserve"> </w:t>
            </w:r>
            <w:r>
              <w:rPr>
                <w:b/>
                <w:i/>
              </w:rPr>
              <w:t>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 призовава въпросите, свързани със съвместното вземане на решения от </w:t>
            </w:r>
            <w:r>
              <w:rPr>
                <w:b/>
                <w:i/>
              </w:rPr>
              <w:t>страна на</w:t>
            </w:r>
            <w:r>
              <w:t xml:space="preserve"> служителите, да се определят от </w:t>
            </w:r>
            <w:r>
              <w:rPr>
                <w:b/>
                <w:i/>
              </w:rPr>
              <w:t>правото на действителното</w:t>
            </w:r>
            <w:r>
              <w:t xml:space="preserve"> седалище на дружеството</w:t>
            </w:r>
            <w:r>
              <w:rPr>
                <w:b/>
                <w:i/>
              </w:rPr>
              <w:t>, което е мястото на централното управление на дружеството</w:t>
            </w:r>
            <w:r>
              <w:t>;</w:t>
            </w:r>
          </w:p>
        </w:tc>
        <w:tc>
          <w:tcPr>
            <w:tcW w:w="4876" w:type="dxa"/>
            <w:tcBorders>
              <w:top w:val="nil"/>
              <w:left w:val="nil"/>
              <w:bottom w:val="nil"/>
              <w:right w:val="nil"/>
            </w:tcBorders>
          </w:tcPr>
          <w:p>
            <w:pPr>
              <w:pStyle w:val="Normal6a"/>
            </w:pPr>
            <w:r>
              <w:t>20.</w:t>
            </w:r>
            <w:r>
              <w:tab/>
            </w:r>
            <w:r>
              <w:t xml:space="preserve">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 призовава въпросите, свързани със съвместното вземане на решения от служителите, да се определят от </w:t>
            </w:r>
            <w:r>
              <w:rPr>
                <w:b/>
                <w:i/>
              </w:rPr>
              <w:t>националното право по мястото на заетост на служителите на дружеството;</w:t>
            </w:r>
            <w:r>
              <w:t xml:space="preserve"> </w:t>
            </w:r>
            <w:r>
              <w:rPr>
                <w:b/>
                <w:i/>
              </w:rPr>
              <w:t>ако дадено дружество има служители в няколко държави членки, приложимото право е мястото на заетост на най-големия брой служители;</w:t>
            </w:r>
            <w:r>
              <w:t xml:space="preserve"> </w:t>
            </w:r>
            <w:r>
              <w:rPr>
                <w:b/>
                <w:i/>
              </w:rPr>
              <w:t>след като броят на служителите на дружеството надхвърли 500 човека в държава членка, различна от държавата членка, в която дружеството е било първоначално регистрирано, регистрираното</w:t>
            </w:r>
            <w:r>
              <w:t xml:space="preserve"> седалище на дружеството </w:t>
            </w:r>
            <w:r>
              <w:rPr>
                <w:b/>
                <w:i/>
              </w:rPr>
              <w:t>се прехвърля в държавата членка на заетост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 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t>20.</w:t>
            </w:r>
            <w:r>
              <w:tab/>
            </w:r>
            <w:r>
              <w:t>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w:t>
            </w:r>
            <w:r>
              <w:rPr>
                <w:b/>
                <w:i/>
              </w:rPr>
              <w:t>;</w:t>
            </w:r>
            <w:r>
              <w:t xml:space="preserve"> </w:t>
            </w:r>
            <w:r>
              <w:rPr>
                <w:b/>
                <w:i/>
              </w:rPr>
              <w:t>подчертава обаче, че тези правила трябва задължително да гарантират равнище на защита, равностойно на най-високите национални стандарти</w:t>
            </w:r>
            <w:r>
              <w:t xml:space="preserve">; 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 </w:t>
            </w:r>
            <w:r>
              <w:rPr>
                <w:b/>
                <w:i/>
              </w:rPr>
              <w:t>настоява този принцип да се прилага стриктно и без възможност за ловко заобикаляне чрез правни или данъчни механизми;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 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t>20.</w:t>
            </w:r>
            <w:r>
              <w:tab/>
            </w:r>
            <w:r>
              <w:t xml:space="preserve">счита, че използването на стълкновителни норми е по-подходящ начин за разглеждане на защитата на по-слабата страна в сравнение с материалноправните норми в новото законодателно предложение; призовава въпросите, свързани със съвместното вземане на решения от страна на служителите, </w:t>
            </w:r>
            <w:r>
              <w:rPr>
                <w:b/>
                <w:i/>
              </w:rPr>
              <w:t>както и формалните изисквания,</w:t>
            </w:r>
            <w:r>
              <w:t xml:space="preserve"> да се определят от правото на действителното седалище на дружеството, което е мястото на централното управление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счита, че използването на стълкновителни норми е по-подходящ начин за </w:t>
            </w:r>
            <w:r>
              <w:rPr>
                <w:b/>
                <w:i/>
              </w:rPr>
              <w:t>разглеждане</w:t>
            </w:r>
            <w:r>
              <w:t xml:space="preserve"> на защитата на </w:t>
            </w:r>
            <w:r>
              <w:rPr>
                <w:b/>
                <w:i/>
              </w:rPr>
              <w:t>по-слабата страна</w:t>
            </w:r>
            <w:r>
              <w:t xml:space="preserve"> в сравнение с материалноправните норми в новото законодателно предложение; 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t>20.</w:t>
            </w:r>
            <w:r>
              <w:tab/>
            </w:r>
            <w:r>
              <w:t xml:space="preserve">счита, че използването на стълкновителни норми е по-подходящ начин за </w:t>
            </w:r>
            <w:r>
              <w:rPr>
                <w:b/>
                <w:i/>
              </w:rPr>
              <w:t>определяне</w:t>
            </w:r>
            <w:r>
              <w:t xml:space="preserve"> на защитата на </w:t>
            </w:r>
            <w:r>
              <w:rPr>
                <w:b/>
                <w:i/>
              </w:rPr>
              <w:t>индивидуалните права на служителите</w:t>
            </w:r>
            <w:r>
              <w:t xml:space="preserve"> в сравнение с материалноправните норми в новото законодателно предложение; призовава въпросите, свързани със съвместното вземане на решения от страна на служителите, да се определят от правото на действителното седалище на дружеството, което е мястото на централното управление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настоятелно призовава Комисията да извърши и публикува, заедно с представянето на всяко ново законодателно предложение относно 28-ия режим, всеобхватна и прозрачна оценка на въздействието, като оцени по-специално социалните, данъчните и правните последици, както и рисковете от заобикаляне или понижаване на националните стандарти за защита;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подчертава, че 28-ият режим не следва да води до създаването на формални ESSU и до увеличаване на броя на дружествата „пощенски кутии“;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20б.</w:t>
            </w:r>
            <w:r>
              <w:tab/>
            </w:r>
            <w:r>
              <w:rPr>
                <w:b/>
                <w:i/>
              </w:rPr>
              <w:t>счита, че дружество, по отношение на което са образувани административни или съдебни производства във връзка с предполагаеми нарушения на законодателството в областта на измамите, отклонението от данъчно облагане или социалната сигурност или корпоративната устойчивост, или по отношение на което официално е установено нарушението на това законодателство, не следва да се разрешава да кандидатства за статут на ESSU;</w:t>
            </w:r>
            <w:r>
              <w:t xml:space="preserve"> </w:t>
            </w:r>
            <w:r>
              <w:rPr>
                <w:b/>
                <w:i/>
              </w:rPr>
              <w:t>те следва да имат право да направят това едва след приключване на производството, пир условие, че не бъде установено нарушение или установените нарушения бъдат напълно отстранени;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20в.</w:t>
            </w:r>
            <w:r>
              <w:tab/>
            </w:r>
            <w:r>
              <w:rPr>
                <w:b/>
                <w:i/>
              </w:rPr>
              <w:t>призовава Комисията да извършва редовна оценка, поне веднъж на две години, на прилагането и последиците от 28-ия режим;</w:t>
            </w:r>
            <w:r>
              <w:t xml:space="preserve"> </w:t>
            </w:r>
            <w:r>
              <w:rPr>
                <w:b/>
                <w:i/>
              </w:rPr>
              <w:t>подчертава, че тази оценка трябва да обхваща, наред с другото, социалното, фискалното и правното въздействие, както и спазването на националните стандарти за защита на работниците и служителите;</w:t>
            </w:r>
            <w:r>
              <w:t xml:space="preserve"> </w:t>
            </w:r>
            <w:r>
              <w:rPr>
                <w:b/>
                <w:i/>
              </w:rPr>
              <w:t>настоява резултатите от тези оценки да бъдат публикувани по прозрачен начин и обсъдени в Европейския парламент, за да се гарантира непрекъснато демократично проследяване;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20в.</w:t>
            </w:r>
            <w:r>
              <w:tab/>
            </w:r>
            <w:r>
              <w:rPr>
                <w:b/>
                <w:i/>
              </w:rPr>
              <w:t>призовава Комисията да създаде валидна за Съюза система за надзор и правоприлагане в рамките на Комисията или определен независим орган за надзор на прилагането на 28-ия режим и съответното законодателство на ЕС с ясно определени функции, в съответствие с правото на добра администрация;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20г.</w:t>
            </w:r>
            <w:r>
              <w:tab/>
            </w:r>
            <w:r>
              <w:rPr>
                <w:b/>
                <w:i/>
              </w:rPr>
              <w:t>призовава Комисията да обмисли необходимостта от установяване на хармонизирана долна граница за задължително участие на служителите в административните или надзорните органи на ESSU;</w:t>
            </w:r>
            <w:r>
              <w:t xml:space="preserve"> </w:t>
            </w:r>
            <w:r>
              <w:rPr>
                <w:b/>
                <w:i/>
              </w:rPr>
              <w:t>поради това призовава за ефективни, пропорционални и възпиращи механизми за контрол и санкции в случчай на неспазване, включващи отказ да бъдат регистрирани съответните изменения на устава, докато те не бъдат приведени в съответствие;</w:t>
            </w:r>
            <w:r>
              <w:t xml:space="preserve"> </w:t>
            </w:r>
            <w:r>
              <w:rPr>
                <w:b/>
                <w:i/>
              </w:rPr>
              <w:t>определя прага, над който работниците и служителите представляват поне една трета от местата, на равняващ се на 250 служители на пълно работно време, без да се засягат по-благоприятните прагове или пропорции, предвидени в националното законодателство;</w:t>
            </w:r>
            <w:r>
              <w:t xml:space="preserve"> </w:t>
            </w:r>
            <w:r>
              <w:rPr>
                <w:b/>
                <w:i/>
              </w:rPr>
              <w:t>посочва, че за транснационалните групи и структури броят на служителите се оценява на консолидирана основа на равнището на Съюза;</w:t>
            </w:r>
            <w:r>
              <w:t xml:space="preserve"> </w:t>
            </w:r>
            <w:r>
              <w:rPr>
                <w:b/>
                <w:i/>
              </w:rPr>
              <w:t>изисква прозрачни, недискриминационни и информирани процедури за избиране или назначаване, както и необходимото обучение, време за делегиране и достъп до информация;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20д.</w:t>
            </w:r>
            <w:r>
              <w:tab/>
            </w:r>
            <w:r>
              <w:rPr>
                <w:b/>
                <w:i/>
              </w:rPr>
              <w:t>счита, че предложението относно 28-ия режим следва да бъде придружено от препоръки относно въвеждането на харта на минималните социални права, приложима за всички ЕESSU, която да гарантира по-специално ефективно спазване на правилата на европейските и националните правила относно защитата и правата на работниците;</w:t>
            </w:r>
            <w:r>
              <w:t xml:space="preserve"> </w:t>
            </w:r>
            <w:r>
              <w:rPr>
                <w:b/>
                <w:i/>
              </w:rPr>
              <w:t>подчертава необходимостта да се обмисли създаването на ефективни механизми за контрол и санкции в случай на нарушения, както и да се посочи, че тези права не могат при никакви обстоятелства да бъдат заобикаляни или ограничавани чрез използването на 28-ия режим;</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счита, че предложението относно 28-ия режим следва да бъде придружено от допълнителни мерки, като например социална клауза за запазване на равнището на защита, за да се избегне заобикалянето или отслабването на приложимите в държавата на произход социални норми, които осигуряват по-голяма защита;</w:t>
            </w:r>
            <w:r>
              <w:t xml:space="preserve"> </w:t>
            </w:r>
            <w:r>
              <w:rPr>
                <w:b/>
                <w:i/>
              </w:rPr>
              <w:t>всяко заявление за регистрация в ESSU трябва да бъде придружено от сертификат, доказващ спазването на националните социални норми, осигуряващи най-голяма защита;</w:t>
            </w:r>
            <w:r>
              <w:t xml:space="preserve"> </w:t>
            </w:r>
            <w:r>
              <w:rPr>
                <w:b/>
                <w:i/>
              </w:rPr>
              <w:t>изисква компетентните органи систематично да проверяват това съответствие, преди да разрешат регистрацията;</w:t>
            </w:r>
            <w:r>
              <w:t xml:space="preserve"> </w:t>
            </w:r>
            <w:r>
              <w:rPr>
                <w:b/>
                <w:i/>
              </w:rPr>
              <w:t>подчертава, че всяко установено нарушение трябва да води до недействителност на регистрацията или заличаването от регистъра, придружено от пропорционални и възпиращи санкции;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20ж.</w:t>
            </w:r>
            <w:r>
              <w:tab/>
            </w:r>
            <w:r>
              <w:rPr>
                <w:b/>
                <w:i/>
              </w:rPr>
              <w:t>в този контекст обръща внимание на необходимостта от оценка на необходимостта предложението относно 28-ия режим да бъде придружено от насоки, изготвени от Комисията, за да се гарантира справедливо поделяне на производителността и ползите от иновациите, което следва да бъде от полза за всички служители и не следва да се ограничава до незадължителни схеми за собственост на служителите;</w:t>
            </w:r>
            <w:r>
              <w:t xml:space="preserve"> </w:t>
            </w:r>
            <w:r>
              <w:rPr>
                <w:b/>
                <w:i/>
              </w:rPr>
              <w:t>настоява за въвеждането на механизъм за индексиране на заплатите, както и тази индексация да допълва, а не да замества съществуващите основни заплати и социални права;</w:t>
            </w:r>
            <w:r>
              <w:t xml:space="preserve"> </w:t>
            </w:r>
            <w:r>
              <w:rPr>
                <w:b/>
                <w:i/>
              </w:rPr>
              <w:t>призовава Комисията, в консултация със социалните партньори, да изготви хармонизирани насоки, за да се гарантира последователно и проверимо прилагане на този механизъм;</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з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20з.</w:t>
            </w:r>
            <w:r>
              <w:tab/>
            </w:r>
            <w:r>
              <w:rPr>
                <w:b/>
                <w:i/>
              </w:rPr>
              <w:t>установява автоматичното създаване на европейски работнически съвет (ЕРС) във всеки ESSU с повече от 50 служители в Съюза;</w:t>
            </w:r>
            <w:r>
              <w:t xml:space="preserve"> </w:t>
            </w:r>
            <w:r>
              <w:rPr>
                <w:b/>
                <w:i/>
              </w:rPr>
              <w:t>подчертава, че този съвет трябва да има ефективни права на информиране, консултиране и вътрешна комуникация;</w:t>
            </w:r>
            <w:r>
              <w:t xml:space="preserve"> </w:t>
            </w:r>
            <w:r>
              <w:rPr>
                <w:b/>
                <w:i/>
              </w:rPr>
              <w:t>подчертава, че тези разпоредби не следва да ограничават по-благоприятни права съгласно националното право и следва да се разглеждат като минимална основа, приложима за всички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и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20и.</w:t>
            </w:r>
            <w:r>
              <w:tab/>
            </w:r>
            <w:r>
              <w:rPr>
                <w:b/>
                <w:i/>
              </w:rPr>
              <w:t>налага на всички ESSU задължение да публикуват ежегодно, по публично достъпен и безплатен начин, доклад по държави, в който се посочва най-малко:</w:t>
            </w:r>
            <w:r>
              <w:t xml:space="preserve"> </w:t>
            </w:r>
            <w:r>
              <w:rPr>
                <w:b/>
                <w:i/>
              </w:rPr>
              <w:t>реализирани печалби, действително платени данъци и социалноосигурителни вноски, получени публични субсидии или помощи, както и брой служители, работещи на еквивалент на пълно работно време;</w:t>
            </w:r>
            <w:r>
              <w:t xml:space="preserve"> </w:t>
            </w:r>
            <w:r>
              <w:rPr>
                <w:b/>
                <w:i/>
              </w:rPr>
              <w:t>подчертава, че тази информация трябва да бъде проверена от независим одитор, да бъде вписана в цифровия регистър на Съюза и да подлежи на съпоставяне между държавите членки;</w:t>
            </w:r>
            <w:r>
              <w:t xml:space="preserve"> </w:t>
            </w:r>
            <w:r>
              <w:rPr>
                <w:b/>
                <w:i/>
              </w:rPr>
              <w:t>подчертава, че всеки пропуск или невярна декларация трябва да води до възпиращи санкции и евентуално спиране на статута на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Араш Саеди</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й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20й.</w:t>
            </w:r>
            <w:r>
              <w:tab/>
            </w:r>
            <w:r>
              <w:rPr>
                <w:b/>
                <w:i/>
              </w:rPr>
              <w:t>забранява регистрацията в ESSU на всяко предприятие, което пряко или непряко притежава дъщерни дружества, клонове или свързани субекти, установени в данъчни юрисдикции, които не оказват съдействие и които са включени в списъка на ЕС;</w:t>
            </w:r>
            <w:r>
              <w:t xml:space="preserve"> </w:t>
            </w:r>
            <w:r>
              <w:rPr>
                <w:b/>
                <w:i/>
              </w:rPr>
              <w:t>уточнява, че регистрацията или поддържането на статута на ESSU е обвързано с подаване на годишна сертифицирана декларация, доказваща липсата на такива структури;</w:t>
            </w:r>
            <w:r>
              <w:t xml:space="preserve"> </w:t>
            </w:r>
            <w:r>
              <w:rPr>
                <w:b/>
                <w:i/>
              </w:rPr>
              <w:t>призовава за въвеждане на системни проверки от страна на компетентните органи и автоматично заличаване от регистъра в случай на неспазване;</w:t>
            </w:r>
            <w:r>
              <w:t xml:space="preserve"> </w:t>
            </w:r>
            <w:r>
              <w:rPr>
                <w:b/>
                <w:i/>
              </w:rPr>
              <w:t>подчертава, че тази забрана е необходима, за да се гарантира надеждността и целостта на 28-ия режим;</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призовава за разработването на образци на документи, които да се използват в целия Съюз за споразумения на съдружниците и устави;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призовава за разработването на образци на документи, които да се използват в целия Съюз за споразумения на съдружниците </w:t>
            </w:r>
            <w:r>
              <w:rPr>
                <w:b/>
                <w:i/>
              </w:rPr>
              <w:t>и</w:t>
            </w:r>
            <w:r>
              <w:t xml:space="preserve"> устави;</w:t>
            </w:r>
          </w:p>
        </w:tc>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w:t>
            </w:r>
            <w:r>
              <w:rPr>
                <w:b/>
                <w:i/>
              </w:rPr>
              <w:t>,</w:t>
            </w:r>
            <w:r>
              <w:t xml:space="preserve"> устави </w:t>
            </w:r>
            <w:r>
              <w:rPr>
                <w:b/>
                <w:i/>
              </w:rPr>
              <w:t>и други основополагащи и оперативни образци, специално пригодени за ESSU, за да се гарантира правна яснота, лесно трансгранично използване и познаване от страна на инвеститорите</w:t>
            </w:r>
            <w:r>
              <w:t xml:space="preserve">; </w:t>
            </w:r>
            <w:r>
              <w:rPr>
                <w:b/>
                <w:i/>
              </w:rPr>
              <w:t>препоръчва тези образци на документи да служат като образци по подразбиране в рамките на процеса на регистрация на ESSU;</w:t>
            </w:r>
            <w:r>
              <w:t xml:space="preserve"> </w:t>
            </w:r>
            <w:r>
              <w:rPr>
                <w:b/>
                <w:i/>
              </w:rPr>
              <w:t>препоръчва да се даде възможност да не се спазват образците на документи, за да се вземат предвид специфичните изисквания за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призовава за разработването на образци на документи, които да се използват в целия Съюз за споразумения на съдружниците и </w:t>
            </w:r>
            <w:r>
              <w:rPr>
                <w:b/>
                <w:i/>
              </w:rPr>
              <w:t>устави</w:t>
            </w:r>
            <w:r>
              <w:t>;</w:t>
            </w:r>
          </w:p>
        </w:tc>
        <w:tc>
          <w:tcPr>
            <w:tcW w:w="4876" w:type="dxa"/>
            <w:tcBorders>
              <w:top w:val="nil"/>
              <w:left w:val="nil"/>
              <w:bottom w:val="nil"/>
              <w:right w:val="nil"/>
            </w:tcBorders>
          </w:tcPr>
          <w:p>
            <w:pPr>
              <w:pStyle w:val="Normal6a"/>
            </w:pPr>
            <w:r>
              <w:t>21.</w:t>
            </w:r>
            <w:r>
              <w:tab/>
            </w:r>
            <w:r>
              <w:t xml:space="preserve">призовава за разработването </w:t>
            </w:r>
            <w:r>
              <w:rPr>
                <w:b/>
                <w:i/>
              </w:rPr>
              <w:t>и приемането</w:t>
            </w:r>
            <w:r>
              <w:t xml:space="preserve"> на образци на документи, които да се използват в целия Съюз за споразумения на съдружниците и </w:t>
            </w:r>
            <w:r>
              <w:rPr>
                <w:b/>
                <w:i/>
              </w:rPr>
              <w:t>дружествена документация</w:t>
            </w:r>
            <w:r>
              <w:t xml:space="preserve">; </w:t>
            </w:r>
            <w:r>
              <w:rPr>
                <w:b/>
                <w:i/>
              </w:rPr>
              <w:t>призовава тези образци да бъдат специално проучени за ESSU с цел осигуряване на правна яснота, лесно трансгранично използване и „близост“ с инвеститорите;</w:t>
            </w:r>
            <w:r>
              <w:t xml:space="preserve"> </w:t>
            </w:r>
            <w:r>
              <w:rPr>
                <w:b/>
                <w:i/>
              </w:rPr>
              <w:t>препоръчва тези образци на документи да служат като образци по подразбиране в процеса на регистрация на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p>
        </w:tc>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r>
              <w:rPr>
                <w:b/>
                <w:i/>
              </w:rPr>
              <w:t>, и изисква този образец да бъде предоставян в оперативно съвместим цифров формат, който да поддържа усъвършенстван електронен подпис и автоматична обработка от системите за водене на регистри на дружествата</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p>
        </w:tc>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r>
              <w:rPr>
                <w:b/>
                <w:i/>
              </w:rPr>
              <w:t>, за да се гарантира правна яснота и улесняване на трансграничните практики за привличане на инвеститори</w:t>
            </w:r>
            <w:r>
              <w:t xml:space="preserve">; </w:t>
            </w:r>
            <w:r>
              <w:rPr>
                <w:b/>
                <w:i/>
              </w:rPr>
              <w:t>препоръчва тези образци на документи да служат като образци по подразбиране в рамките на процеса на регистрация на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призовава за </w:t>
            </w:r>
            <w:r>
              <w:rPr>
                <w:b/>
                <w:i/>
              </w:rPr>
              <w:t>разработването</w:t>
            </w:r>
            <w:r>
              <w:t xml:space="preserve"> на образци на документи, които да се използват в целия </w:t>
            </w:r>
            <w:r>
              <w:rPr>
                <w:b/>
                <w:i/>
              </w:rPr>
              <w:t>Съюз</w:t>
            </w:r>
            <w:r>
              <w:t xml:space="preserve"> за споразумения на съдружниците и устави;</w:t>
            </w:r>
          </w:p>
        </w:tc>
        <w:tc>
          <w:tcPr>
            <w:tcW w:w="4876" w:type="dxa"/>
            <w:tcBorders>
              <w:top w:val="nil"/>
              <w:left w:val="nil"/>
              <w:bottom w:val="nil"/>
              <w:right w:val="nil"/>
            </w:tcBorders>
          </w:tcPr>
          <w:p>
            <w:pPr>
              <w:pStyle w:val="Normal6a"/>
            </w:pPr>
            <w:r>
              <w:t>21.</w:t>
            </w:r>
            <w:r>
              <w:tab/>
            </w:r>
            <w:r>
              <w:t xml:space="preserve">призовава за </w:t>
            </w:r>
            <w:r>
              <w:rPr>
                <w:b/>
                <w:i/>
              </w:rPr>
              <w:t>рацраБотването</w:t>
            </w:r>
            <w:r>
              <w:t xml:space="preserve"> на образци на документи, които да се използват в целия </w:t>
            </w:r>
            <w:r>
              <w:rPr>
                <w:b/>
                <w:i/>
              </w:rPr>
              <w:t>Съюза</w:t>
            </w:r>
            <w:r>
              <w:t xml:space="preserve"> за споразумения на съдружниците и устави</w:t>
            </w:r>
            <w:r>
              <w:rPr>
                <w:b/>
                <w:i/>
              </w:rPr>
              <w:t>, като бъдат съставени на официалния език на държавата членка, в която дружеството развива дейност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p>
        </w:tc>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r>
              <w:rPr>
                <w:b/>
                <w:i/>
              </w:rPr>
              <w:t>, като използването и тяхното спазване се наблюдава от регистъра на дружествата на равнището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призовава за разработването на образци на документи, които да се използват в целия Съюз за споразумения на съдружниците и устави;</w:t>
            </w:r>
          </w:p>
        </w:tc>
        <w:tc>
          <w:tcPr>
            <w:tcW w:w="4876" w:type="dxa"/>
            <w:tcBorders>
              <w:top w:val="nil"/>
              <w:left w:val="nil"/>
              <w:bottom w:val="nil"/>
              <w:right w:val="nil"/>
            </w:tcBorders>
          </w:tcPr>
          <w:p>
            <w:pPr>
              <w:pStyle w:val="Normal6a"/>
            </w:pPr>
            <w:r>
              <w:t>21.</w:t>
            </w:r>
            <w:r>
              <w:tab/>
            </w:r>
            <w:r>
              <w:t xml:space="preserve">призовава за разработването на </w:t>
            </w:r>
            <w:r>
              <w:rPr>
                <w:b/>
                <w:i/>
              </w:rPr>
              <w:t>стандартни многоезични</w:t>
            </w:r>
            <w:r>
              <w:t xml:space="preserve"> образци на документи, които да се използват </w:t>
            </w:r>
            <w:r>
              <w:rPr>
                <w:b/>
                <w:i/>
              </w:rPr>
              <w:t>от ESSU</w:t>
            </w:r>
            <w:r>
              <w:t xml:space="preserve"> в целия Съюз за споразумения на съдружниците и устави;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счита, че новото законодателно предложение следва да съдържа хармонизирани правила относно подобни на капиталови дългови инструменти, които дават възможност на инвеститорите да инвестират в дружество, без да придобиват права на контрол върху това дружество;</w:t>
            </w:r>
          </w:p>
        </w:tc>
        <w:tc>
          <w:tcPr>
            <w:tcW w:w="4876" w:type="dxa"/>
            <w:tcBorders>
              <w:top w:val="nil"/>
              <w:left w:val="nil"/>
              <w:bottom w:val="nil"/>
              <w:right w:val="nil"/>
            </w:tcBorders>
          </w:tcPr>
          <w:p>
            <w:pPr>
              <w:pStyle w:val="Normal6a"/>
            </w:pPr>
            <w:r>
              <w:t>22.</w:t>
            </w:r>
            <w:r>
              <w:tab/>
            </w:r>
            <w:r>
              <w:t xml:space="preserve">счита, че новото законодателно предложение следва да съдържа хармонизирани правила относно подобни на капиталови дългови инструменти, </w:t>
            </w:r>
            <w:r>
              <w:rPr>
                <w:b/>
                <w:i/>
              </w:rPr>
              <w:t>включително свързаните с тези инструменти правила относно несъстоятелността,</w:t>
            </w:r>
            <w:r>
              <w:t xml:space="preserve"> които дават възможност на инвеститорите да инвестират в дружество, без да придобиват права на контрол върху това дружество;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подчертава необходимостта от алтернативни пътища за достъп до капитал;</w:t>
            </w:r>
            <w:r>
              <w:t xml:space="preserve"> </w:t>
            </w:r>
            <w:r>
              <w:rPr>
                <w:b/>
                <w:i/>
              </w:rPr>
              <w:t>подчертава необходимостта от алтернативни модели на финансиране за привличане на таланти в ранните етапи на дружеството;</w:t>
            </w:r>
            <w:r>
              <w:t xml:space="preserve"> </w:t>
            </w:r>
            <w:r>
              <w:rPr>
                <w:b/>
                <w:i/>
              </w:rPr>
              <w:t>призовава като част от законодателното предложение да бъдат включени незадължителни форми на управление на собствеността, блокиране на активи и различни класове акции, включително акции от два класа, акции с право на вето и привилегировани акции;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Кира Мари Петер-Хансен</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отново заявява, че достъпът до финансиране не следва да се ограничава до рисковия капитал, а следва да обхваща и други видове инвестиции, включително капиталови инвестиции и инвестиции със социално въздействие, пенсионни схеми и публични инвестиционни фондове, за да се гарантира необходимият достъп до капитал и да се вземат предвид характеристиките на различните форми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обръща внимание на Комисията върху необходимостта от оценка, като част от инициативите на 28-ия режим, на осъществимостта на въвеждането на координирано данъчно третиране в целия на ЕС за ESSU, включително отсрочването на корпоративния данък върху реинвестираните печалби в научноизследователска и развойна дейност, иновации и дейности по разрастване, за да се избягва двойното данъчно облагане и да се гарантира фискална неутралност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подчертава, че предложението следва като цяло да внесе яснота за европейските и чуждестранните инвеститори, така че те да извършват трансгранични инвестиции с хармонизирани правила;</w:t>
            </w:r>
            <w:r>
              <w:t xml:space="preserve"> </w:t>
            </w:r>
            <w:r>
              <w:rPr>
                <w:b/>
                <w:i/>
              </w:rPr>
              <w:t>призовава капиталовата привлекателност за дружествата с опростен европейски статут (SES) да бъде оценявана като измерване на успеха на формите на дружествата;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22б.</w:t>
            </w:r>
            <w:r>
              <w:tab/>
            </w:r>
            <w:r>
              <w:rPr>
                <w:b/>
                <w:i/>
              </w:rPr>
              <w:t>счита, че следва да се предвидят разпоредби за улесняване на сътрудничеството на стартиращите и разрастващите се предприятия с научноизследователските институции с цел подпомагане на създаването на нови предприятия и трансфера на знания;</w:t>
            </w:r>
            <w:r>
              <w:t xml:space="preserve"> </w:t>
            </w:r>
            <w:r>
              <w:rPr>
                <w:b/>
                <w:i/>
              </w:rPr>
              <w:t>за тази цел създаването на ESSU следва да бъде напълно интегрирано с инициативите на ЕС за улесняване на подобряването на достъпа до данни в контекста на научните изследвания;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Решаване на спорове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Решаване на спорове</w:t>
            </w:r>
          </w:p>
        </w:tc>
        <w:tc>
          <w:tcPr>
            <w:tcW w:w="4876" w:type="dxa"/>
            <w:tcBorders>
              <w:top w:val="nil"/>
              <w:left w:val="nil"/>
              <w:bottom w:val="nil"/>
              <w:right w:val="nil"/>
            </w:tcBorders>
          </w:tcPr>
          <w:p>
            <w:pPr>
              <w:pStyle w:val="Normal6a"/>
            </w:pPr>
            <w:r>
              <w:rPr>
                <w:b/>
                <w:i/>
              </w:rPr>
              <w:t>Привличане на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w:t>
            </w:r>
            <w:r>
              <w:t xml:space="preserve"> </w:t>
            </w:r>
            <w:r>
              <w:rPr>
                <w:b/>
                <w:i/>
              </w:rPr>
              <w:t>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w:t>
            </w:r>
            <w:r>
              <w:t xml:space="preserve"> </w:t>
            </w:r>
            <w:r>
              <w:rPr>
                <w:b/>
                <w:i/>
              </w:rPr>
              <w:t>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 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t>23.</w:t>
            </w:r>
            <w:r>
              <w:tab/>
            </w:r>
            <w:r>
              <w:t xml:space="preserve">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 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 </w:t>
            </w:r>
            <w:r>
              <w:rPr>
                <w:b/>
                <w:i/>
              </w:rPr>
              <w:t>призовава този алтернативен механизъм да включва и възможности за цифрова медиация и арбитраж, възможност за провеждане на онлайн изслушвания и използване на изкуствен интелект за предварителна оценка на случаите, като по този начин се ускори разрешаването на спорове и се намалят разходите за МСП;</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счита, че </w:t>
            </w:r>
            <w:r>
              <w:rPr>
                <w:b/>
                <w:i/>
              </w:rPr>
              <w:t>следва да се създаде</w:t>
            </w:r>
            <w:r>
              <w:t xml:space="preserve"> механизъм за алтернативно решаване на спорове за спорове, свързани с ESSU, за да се гарантира тяхното бързо и специализирано решаване; </w:t>
            </w:r>
            <w:r>
              <w:rPr>
                <w:b/>
                <w:i/>
              </w:rPr>
              <w:t>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t>23.</w:t>
            </w:r>
            <w:r>
              <w:tab/>
            </w:r>
            <w:r>
              <w:t xml:space="preserve">счита, че </w:t>
            </w:r>
            <w:r>
              <w:rPr>
                <w:b/>
                <w:i/>
              </w:rPr>
              <w:t>може да бъде създаден</w:t>
            </w:r>
            <w:r>
              <w:t xml:space="preserve"> механизъм за алтернативно решаване на спорове за спорове, свързани с ESSU, за да се гарантира тяхното бързо и специализирано решаване;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 </w:t>
            </w:r>
            <w:r>
              <w:rPr>
                <w:b/>
                <w:i/>
              </w:rPr>
              <w:t>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t>23.</w:t>
            </w:r>
            <w:r>
              <w:tab/>
            </w:r>
            <w:r>
              <w:t>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счита, че следва да </w:t>
            </w:r>
            <w:r>
              <w:rPr>
                <w:b/>
                <w:i/>
              </w:rPr>
              <w:t>се създаде механизъм</w:t>
            </w:r>
            <w:r>
              <w:t xml:space="preserve"> за алтернативно решаване на спорове </w:t>
            </w:r>
            <w:r>
              <w:rPr>
                <w:b/>
                <w:i/>
              </w:rPr>
              <w:t>за спорове, свързани с ESSU</w:t>
            </w:r>
            <w:r>
              <w:t xml:space="preserve">, за да се гарантира тяхното бързо и специализирано решаване; </w:t>
            </w:r>
            <w:r>
              <w:rPr>
                <w:b/>
                <w:i/>
              </w:rPr>
              <w:t>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t>23.</w:t>
            </w:r>
            <w:r>
              <w:tab/>
            </w:r>
            <w:r>
              <w:t xml:space="preserve">счита, че </w:t>
            </w:r>
            <w:r>
              <w:rPr>
                <w:b/>
                <w:i/>
              </w:rPr>
              <w:t>за спорове, свързани с ESSU,</w:t>
            </w:r>
            <w:r>
              <w:t xml:space="preserve"> следва да </w:t>
            </w:r>
            <w:r>
              <w:rPr>
                <w:b/>
                <w:i/>
              </w:rPr>
              <w:t>бъдат използвани инструменти за предотвратяване на съдебни дела, както и да бъдат създадени механизми</w:t>
            </w:r>
            <w:r>
              <w:t xml:space="preserve"> за алтернативно решаване на спорове, за да се гарантира тяхното бързо и специализирано решаване;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 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че следва да бъде възможно тези специални отделения да осъществяват решаването на спорове на английски език;</w:t>
            </w:r>
          </w:p>
        </w:tc>
        <w:tc>
          <w:tcPr>
            <w:tcW w:w="4876" w:type="dxa"/>
            <w:tcBorders>
              <w:top w:val="nil"/>
              <w:left w:val="nil"/>
              <w:bottom w:val="nil"/>
              <w:right w:val="nil"/>
            </w:tcBorders>
          </w:tcPr>
          <w:p>
            <w:pPr>
              <w:pStyle w:val="Normal6a"/>
            </w:pPr>
            <w:r>
              <w:t>23.</w:t>
            </w:r>
            <w:r>
              <w:tab/>
            </w:r>
            <w:r>
              <w:t xml:space="preserve">счита, че следва да се създаде механизъм за алтернативно решаване на спорове за спорове, свързани с ESSU, за да се гарантира тяхното бързо и специализирано решаване; освен това счита, че държавите членки следва да обмислят въвеждането на специални отделения в рамките на своите национални съдилища, които да разглеждат спорове между дружества, свързани с ESSU, и </w:t>
            </w:r>
            <w:r>
              <w:rPr>
                <w:b/>
                <w:i/>
              </w:rPr>
              <w:t>които да могат да вземат бързи и ефикасни решения по тези въпроси, както и</w:t>
            </w:r>
            <w:r>
              <w:t xml:space="preserve"> че следва да бъде възможно тези специални отделения да осъществяват решаването на спорове</w:t>
            </w:r>
            <w:r>
              <w:rPr>
                <w:b/>
                <w:i/>
              </w:rPr>
              <w:t>, по искане на най-малко една от страните, и</w:t>
            </w:r>
            <w:r>
              <w:t xml:space="preserve"> на английски език;</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23а.</w:t>
            </w:r>
            <w:r>
              <w:tab/>
            </w:r>
            <w:r>
              <w:rPr>
                <w:b/>
                <w:i/>
              </w:rPr>
              <w:t>подчертава, че привличането на водещи таланти е от съществено значение за растежа и иновациите и че дружествата често срещат трудности при предоставянето на подходящи финансови стимули на своите служители;</w:t>
            </w:r>
            <w:r>
              <w:t xml:space="preserve"> </w:t>
            </w:r>
            <w:r>
              <w:rPr>
                <w:b/>
                <w:i/>
              </w:rPr>
              <w:t>подчертава, че ESSU следва да предоставя незадължителни хармонизирани правила в целия Съюз за планове за предоставяне на опции за акции на наетите лица („ESOP“), подкрепени от специален посредник;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23б.</w:t>
            </w:r>
            <w:r>
              <w:tab/>
            </w:r>
            <w:r>
              <w:rPr>
                <w:b/>
                <w:i/>
              </w:rPr>
              <w:t>подчертава, че въвеждането на формата на дружество ESSU следва да даде възможност на дружествата да наемат и управляват пряко таланти в различните държави членки, без да е необходимо да използват споменати работодатели или подобни посредници;</w:t>
            </w:r>
            <w:r>
              <w:t xml:space="preserve"> </w:t>
            </w:r>
            <w:r>
              <w:rPr>
                <w:b/>
                <w:i/>
              </w:rPr>
              <w:t>подчертава, че тази рационализирана способност за трансгранична заетост ще намали административната тежест и ще улесни свободното движение на работници и услуги в рамките на Съюза при пълно зачитане на приложимото национално трудово и социалноосигурително законодателство;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изисква Комисията да представи, не по-късно от първия триместър на 2026 г., на основание член 50 и член 114 от ДФЕС, предложение за директива, като следва препоръките, посочени в приложението по-долу;</w:t>
            </w:r>
          </w:p>
        </w:tc>
        <w:tc>
          <w:tcPr>
            <w:tcW w:w="4876" w:type="dxa"/>
            <w:tcBorders>
              <w:top w:val="nil"/>
              <w:left w:val="nil"/>
              <w:bottom w:val="nil"/>
              <w:right w:val="nil"/>
            </w:tcBorders>
          </w:tcPr>
          <w:p>
            <w:pPr>
              <w:pStyle w:val="Normal6a"/>
            </w:pPr>
            <w:r>
              <w:t>24.</w:t>
            </w:r>
            <w:r>
              <w:tab/>
            </w:r>
            <w:r>
              <w:t>изисква Комисията да представи, не по-късно от първия триместър на 2026 г., на основание член 50 и член 114 от ДФЕС, предложение за директива, като следва препоръките, посочени в приложението по-долу</w:t>
            </w:r>
            <w:r>
              <w:rPr>
                <w:b/>
                <w:i/>
              </w:rPr>
              <w:t>, и препоръчва на Комисията, заедно с предложението, да представи и поетапен план за изпълнение, включващ подкрепа за държавите членки с ограничени ресурси и редовни мерки за оценка на въздействието</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изисква Комисията да представи, не по-късно от първия триместър на 2026 г., на основание член </w:t>
            </w:r>
            <w:r>
              <w:rPr>
                <w:b/>
                <w:i/>
              </w:rPr>
              <w:t>50 и член 114</w:t>
            </w:r>
            <w:r>
              <w:t xml:space="preserve"> от ДФЕС, предложение за </w:t>
            </w:r>
            <w:r>
              <w:rPr>
                <w:b/>
                <w:i/>
              </w:rPr>
              <w:t>директива, като</w:t>
            </w:r>
            <w:r>
              <w:t xml:space="preserve"> следва препоръките, </w:t>
            </w:r>
            <w:r>
              <w:rPr>
                <w:b/>
                <w:i/>
              </w:rPr>
              <w:t>посочени</w:t>
            </w:r>
            <w:r>
              <w:t xml:space="preserve"> в приложението по-долу;</w:t>
            </w:r>
          </w:p>
        </w:tc>
        <w:tc>
          <w:tcPr>
            <w:tcW w:w="4876" w:type="dxa"/>
            <w:tcBorders>
              <w:top w:val="nil"/>
              <w:left w:val="nil"/>
              <w:bottom w:val="nil"/>
              <w:right w:val="nil"/>
            </w:tcBorders>
          </w:tcPr>
          <w:p>
            <w:pPr>
              <w:pStyle w:val="Normal6a"/>
            </w:pPr>
            <w:r>
              <w:t>24.</w:t>
            </w:r>
            <w:r>
              <w:tab/>
            </w:r>
            <w:r>
              <w:t>изисква Комисията да представи, не по-късно от първия триместър на 2026 г., на основание член </w:t>
            </w:r>
            <w:r>
              <w:rPr>
                <w:b/>
                <w:i/>
              </w:rPr>
              <w:t>352, параграф 1</w:t>
            </w:r>
            <w:r>
              <w:t xml:space="preserve"> от ДФЕС, предложение за </w:t>
            </w:r>
            <w:r>
              <w:rPr>
                <w:b/>
                <w:i/>
              </w:rPr>
              <w:t>регламент, който да</w:t>
            </w:r>
            <w:r>
              <w:t xml:space="preserve"> следва препоръките, </w:t>
            </w:r>
            <w:r>
              <w:rPr>
                <w:b/>
                <w:i/>
              </w:rPr>
              <w:t>съдържащи се</w:t>
            </w:r>
            <w:r>
              <w:t xml:space="preserve"> в приложението по-долу;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изисква Комисията да представи, не по-късно от първия триместър на 2026 г., </w:t>
            </w:r>
            <w:r>
              <w:rPr>
                <w:b/>
                <w:i/>
              </w:rPr>
              <w:t>на основание член 50 и член 114 от ДФЕС,</w:t>
            </w:r>
            <w:r>
              <w:t xml:space="preserve"> предложение за </w:t>
            </w:r>
            <w:r>
              <w:rPr>
                <w:b/>
                <w:i/>
              </w:rPr>
              <w:t>директива</w:t>
            </w:r>
            <w:r>
              <w:t>, като следва препоръките, посочени в приложението по-долу;</w:t>
            </w:r>
          </w:p>
        </w:tc>
        <w:tc>
          <w:tcPr>
            <w:tcW w:w="4876" w:type="dxa"/>
            <w:tcBorders>
              <w:top w:val="nil"/>
              <w:left w:val="nil"/>
              <w:bottom w:val="nil"/>
              <w:right w:val="nil"/>
            </w:tcBorders>
          </w:tcPr>
          <w:p>
            <w:pPr>
              <w:pStyle w:val="Normal6a"/>
            </w:pPr>
            <w:r>
              <w:t>24.</w:t>
            </w:r>
            <w:r>
              <w:tab/>
            </w:r>
            <w:r>
              <w:t xml:space="preserve">изисква Комисията да представи, не по-късно от първия триместър на 2026 г., предложение за </w:t>
            </w:r>
            <w:r>
              <w:rPr>
                <w:b/>
                <w:i/>
              </w:rPr>
              <w:t>регламент</w:t>
            </w:r>
            <w:r>
              <w:t>, като следва препоръките, посочени в приложението по-долу;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изисква Комисията да представи, не по-късно от първия триместър на 2026 г., </w:t>
            </w:r>
            <w:r>
              <w:rPr>
                <w:b/>
                <w:i/>
              </w:rPr>
              <w:t>на основание член 50 и член 114 от ДФЕС,</w:t>
            </w:r>
            <w:r>
              <w:t xml:space="preserve"> предложение за </w:t>
            </w:r>
            <w:r>
              <w:rPr>
                <w:b/>
                <w:i/>
              </w:rPr>
              <w:t>директива</w:t>
            </w:r>
            <w:r>
              <w:t>, като следва препоръките, посочени в приложението по-долу;</w:t>
            </w:r>
          </w:p>
        </w:tc>
        <w:tc>
          <w:tcPr>
            <w:tcW w:w="4876" w:type="dxa"/>
            <w:tcBorders>
              <w:top w:val="nil"/>
              <w:left w:val="nil"/>
              <w:bottom w:val="nil"/>
              <w:right w:val="nil"/>
            </w:tcBorders>
          </w:tcPr>
          <w:p>
            <w:pPr>
              <w:pStyle w:val="Normal6a"/>
            </w:pPr>
            <w:r>
              <w:t>24.</w:t>
            </w:r>
            <w:r>
              <w:tab/>
            </w:r>
            <w:r>
              <w:t xml:space="preserve">изисква Комисията да представи, не по-късно от първия триместър на 2026 г., предложение за </w:t>
            </w:r>
            <w:r>
              <w:rPr>
                <w:b/>
                <w:i/>
              </w:rPr>
              <w:t>регламент</w:t>
            </w:r>
            <w:r>
              <w:t>, като следва препоръките, посочени в приложението по-долу</w:t>
            </w:r>
            <w:r>
              <w:rPr>
                <w:b/>
                <w:i/>
              </w:rPr>
              <w:t>, в съответствие с принципите на по-добро регулиране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изисква Комисията да представи, не по-късно от първия триместър на 2026 г., на основание член 50 </w:t>
            </w:r>
            <w:r>
              <w:rPr>
                <w:b/>
                <w:i/>
              </w:rPr>
              <w:t>и член 114</w:t>
            </w:r>
            <w:r>
              <w:t xml:space="preserve"> от ДФЕС, предложение за директива, като следва препоръките, посочени в приложението по-долу;</w:t>
            </w:r>
          </w:p>
        </w:tc>
        <w:tc>
          <w:tcPr>
            <w:tcW w:w="4876" w:type="dxa"/>
            <w:tcBorders>
              <w:top w:val="nil"/>
              <w:left w:val="nil"/>
              <w:bottom w:val="nil"/>
              <w:right w:val="nil"/>
            </w:tcBorders>
          </w:tcPr>
          <w:p>
            <w:pPr>
              <w:pStyle w:val="Normal6a"/>
            </w:pPr>
            <w:r>
              <w:t>24.</w:t>
            </w:r>
            <w:r>
              <w:tab/>
            </w:r>
            <w:r>
              <w:t>изисква Комисията да представи, не по-късно от първия триместър на 2026 г., на основание член 50 от ДФЕС, предложение за директива, като следва препоръките, посочени в приложението по-долу;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Парламентът предлага дружествената форма, обхваната от 28-ия режим, да се нарича „европейско стартиращо и разрастващо се предприятие“ (European Start-Up and Scale-Up’ company, ESSU). ESSU не следва да бъде автономна общоевропейска дружествена форма, а национална дружествена форма във всички държави членки, която трябва да се състои от определени елементи, хармонизирани от правото на Съюза. Съкращението „ESSU“ следва да бъде добавено към съществуващите съкращения за национални дружествени форми.</w:t>
            </w:r>
          </w:p>
        </w:tc>
        <w:tc>
          <w:tcPr>
            <w:tcW w:w="4876" w:type="dxa"/>
            <w:tcBorders>
              <w:top w:val="nil"/>
              <w:left w:val="nil"/>
              <w:bottom w:val="nil"/>
              <w:right w:val="nil"/>
            </w:tcBorders>
          </w:tcPr>
          <w:p>
            <w:pPr>
              <w:pStyle w:val="Normal6a"/>
            </w:pPr>
            <w:r>
              <w:t xml:space="preserve">Парламентът предлага дружествената форма, обхваната от 28-ия режим, да се нарича „европейско стартиращо и разрастващо се предприятие“ (European Start-Up and Scale-Up’ company, ESSU). </w:t>
            </w:r>
            <w:r>
              <w:rPr>
                <w:b/>
                <w:i/>
              </w:rPr>
              <w:t>За да бъде амбициозен по същество, Парламентът настоява за приемане на ESSU на правно основание, което предвижда обикновената законодателна процедура с гласуване с квалифицирано мнозинство в Съвета.</w:t>
            </w:r>
            <w:r>
              <w:t xml:space="preserve"> </w:t>
            </w:r>
            <w:r>
              <w:rPr>
                <w:b/>
                <w:i/>
              </w:rPr>
              <w:t>Поради това може да се наложи ESSU да бъде приет чрез набор от правни актове вместо един всеобхватен правен акт.</w:t>
            </w:r>
            <w:r>
              <w:t xml:space="preserve"> </w:t>
            </w:r>
            <w:r>
              <w:rPr>
                <w:b/>
                <w:i/>
              </w:rPr>
              <w:t>Елементите на дружественото право ще трябва да бъдат приети съгласно членове 50 и 114, параграф 1 от ДФЕС, които позволяват единствено приемането на директиви.</w:t>
            </w:r>
            <w:r>
              <w:t xml:space="preserve"> </w:t>
            </w:r>
            <w:r>
              <w:rPr>
                <w:b/>
                <w:i/>
              </w:rPr>
              <w:t>В този контекст</w:t>
            </w:r>
            <w:r>
              <w:t xml:space="preserve"> ESSU не следва да бъде автономна общоевропейска дружествена форма, а национална дружествена форма във всички държави членки, която трябва да се състои от определени елементи, хармонизирани от правото на Съюза. Съкращението „ESSU“ следва да бъде добавено към съществуващите съкращения за национални дружествени 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Парламентът предлага дружествената форма, обхваната от 28-ия режим, да се нарича „европейско стартиращо и разрастващо се предприятие“ (European Start-Up and Scale-Up’ company, ESSU). </w:t>
            </w:r>
            <w:r>
              <w:rPr>
                <w:b/>
                <w:i/>
              </w:rPr>
              <w:t>ESSU не следва да бъде автономна общоевропейска дружествена форма, а национална дружествена форма във всички държави членки, която трябва да се състои от определени елементи, хармонизирани от правото на Съюза. Съкращението „ESSU“ следва да бъде добавено към съществуващите съкращения за национални дружествени форми.</w:t>
            </w:r>
          </w:p>
        </w:tc>
        <w:tc>
          <w:tcPr>
            <w:tcW w:w="4876" w:type="dxa"/>
            <w:tcBorders>
              <w:top w:val="nil"/>
              <w:left w:val="nil"/>
              <w:bottom w:val="nil"/>
              <w:right w:val="nil"/>
            </w:tcBorders>
          </w:tcPr>
          <w:p>
            <w:pPr>
              <w:pStyle w:val="Normal6a"/>
            </w:pPr>
            <w:r>
              <w:t>Парламентът предлага дружествената форма, обхваната от 28-ия режим, да се нарича „европейско стартиращо и разрастващо се предприятие“ (European Start-Up and Scale-Up’ company,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Парламентът предлага дружествената форма, обхваната от 28-ия режим, да се нарича „европейско стартиращо и разрастващо се предприятие“ (European Start-Up and Scale-Up’ company, ESSU). </w:t>
            </w:r>
            <w:r>
              <w:rPr>
                <w:b/>
                <w:i/>
              </w:rPr>
              <w:t>ESSU не следва да бъде автономна общоевропейска дружествена форма, а национална дружествена форма във всички държави членки, която трябва да се състои от определени елементи, хармонизирани от правото на Съюза. Съкращението „ESSU“ следва да бъде добавено към съществуващите съкращения за национални дружествени форми.</w:t>
            </w:r>
          </w:p>
        </w:tc>
        <w:tc>
          <w:tcPr>
            <w:tcW w:w="4876" w:type="dxa"/>
            <w:tcBorders>
              <w:top w:val="nil"/>
              <w:left w:val="nil"/>
              <w:bottom w:val="nil"/>
              <w:right w:val="nil"/>
            </w:tcBorders>
          </w:tcPr>
          <w:p>
            <w:pPr>
              <w:pStyle w:val="Normal6a"/>
            </w:pPr>
            <w:r>
              <w:t>Парламентът предлага дружествената форма, обхваната от 28-ия режим, да се нарича „европейско стартиращо и разрастващо се предприятие“ (European Start-Up and Scale-Up’ company,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Парламентът предлага дружествената форма, обхваната от 28-ия режим, да се нарича </w:t>
            </w:r>
            <w:r>
              <w:rPr>
                <w:b/>
                <w:i/>
              </w:rPr>
              <w:t>„европейско стартиращо и разрастващо се предприятие“ (</w:t>
            </w:r>
            <w:r>
              <w:t xml:space="preserve">European </w:t>
            </w:r>
            <w:r>
              <w:rPr>
                <w:b/>
                <w:i/>
              </w:rPr>
              <w:t>Start-Up and Scale-Up’ company, ESSU</w:t>
            </w:r>
            <w:r>
              <w:t xml:space="preserve">). </w:t>
            </w:r>
            <w:r>
              <w:rPr>
                <w:b/>
                <w:i/>
              </w:rPr>
              <w:t>ESSU</w:t>
            </w:r>
            <w:r>
              <w:t xml:space="preserve"> не следва да бъде автономна общоевропейска дружествена форма, а национална дружествена форма във всички държави членки, която трябва да се състои от </w:t>
            </w:r>
            <w:r>
              <w:rPr>
                <w:b/>
                <w:i/>
              </w:rPr>
              <w:t>определени елементи</w:t>
            </w:r>
            <w:r>
              <w:t>, хармонизирани от правото на Съюза. Съкращението „</w:t>
            </w:r>
            <w:r>
              <w:rPr>
                <w:b/>
                <w:i/>
              </w:rPr>
              <w:t>ESSU</w:t>
            </w:r>
            <w:r>
              <w:t>“ следва да бъде добавено към съществуващите съкращения за национални дружествени форми.</w:t>
            </w:r>
          </w:p>
        </w:tc>
        <w:tc>
          <w:tcPr>
            <w:tcW w:w="4876" w:type="dxa"/>
            <w:tcBorders>
              <w:top w:val="nil"/>
              <w:left w:val="nil"/>
              <w:bottom w:val="nil"/>
              <w:right w:val="nil"/>
            </w:tcBorders>
          </w:tcPr>
          <w:p>
            <w:pPr>
              <w:pStyle w:val="Normal6a"/>
            </w:pPr>
            <w:r>
              <w:t xml:space="preserve">Парламентът предлага дружествената форма, обхваната от 28-ия режим, да се нарича </w:t>
            </w:r>
            <w:r>
              <w:rPr>
                <w:b/>
                <w:i/>
              </w:rPr>
              <w:t>(дружество с) „Опростен европейски статут“ (Simplified </w:t>
            </w:r>
            <w:r>
              <w:t>European </w:t>
            </w:r>
            <w:r>
              <w:rPr>
                <w:b/>
                <w:i/>
              </w:rPr>
              <w:t>Status, SES</w:t>
            </w:r>
            <w:r>
              <w:t xml:space="preserve">). </w:t>
            </w:r>
            <w:r>
              <w:rPr>
                <w:b/>
                <w:i/>
              </w:rPr>
              <w:t>SES</w:t>
            </w:r>
            <w:r>
              <w:t xml:space="preserve"> не следва да бъде автономна общоевропейска дружествена форма, а национална дружествена форма във всички държави членки, която трябва да се състои от </w:t>
            </w:r>
            <w:r>
              <w:rPr>
                <w:b/>
                <w:i/>
              </w:rPr>
              <w:t>по-голямата част от елементите</w:t>
            </w:r>
            <w:r>
              <w:t>, хармонизирани от правото на Съюза</w:t>
            </w:r>
            <w:r>
              <w:rPr>
                <w:b/>
                <w:i/>
              </w:rPr>
              <w:t>, за да се избягва свръхрегулирането (т.нар. „позлатяване“) и разнообразните национални форми на SES, което би било в противоречие с целта на 28-ия режим</w:t>
            </w:r>
            <w:r>
              <w:t>. Съкращението „</w:t>
            </w:r>
            <w:r>
              <w:rPr>
                <w:b/>
                <w:i/>
              </w:rPr>
              <w:t>SES</w:t>
            </w:r>
            <w:r>
              <w:t>“ следва да бъде добавено към съществуващите съкращения за национални дружествени 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w:t>
            </w:r>
            <w:r>
              <w:rPr>
                <w:b/>
                <w:i/>
              </w:rPr>
              <w:t>следва да се основава на дружествените форми, установени съгласно националното право.</w:t>
            </w:r>
            <w:r>
              <w:t xml:space="preserve"> </w:t>
            </w:r>
            <w:r>
              <w:rPr>
                <w:b/>
                <w:i/>
              </w:rPr>
              <w:t>Държавите членки</w:t>
            </w:r>
            <w:r>
              <w:t xml:space="preserve"> следва да </w:t>
            </w:r>
            <w:r>
              <w:rPr>
                <w:b/>
                <w:i/>
              </w:rPr>
              <w:t>имат свободата да решат дали да разрешат на съществуващите национални</w:t>
            </w:r>
            <w:r>
              <w:t xml:space="preserve"> дружествени форми </w:t>
            </w:r>
            <w:r>
              <w:rPr>
                <w:b/>
                <w:i/>
              </w:rPr>
              <w:t>да се преобразуват в ESSU или да създадат нова национална дружествена форма</w:t>
            </w:r>
            <w:r>
              <w:t xml:space="preserve">. Учредителите или собствениците на национална дружествена форма следва да могат доброволно да се включат в новия режим, </w:t>
            </w:r>
            <w:r>
              <w:rPr>
                <w:b/>
                <w:i/>
              </w:rPr>
              <w:t>който би позволил</w:t>
            </w:r>
            <w:r>
              <w:t xml:space="preserve"> използването на обозначението „ESSU“ на дружеството.</w:t>
            </w:r>
          </w:p>
        </w:tc>
        <w:tc>
          <w:tcPr>
            <w:tcW w:w="4876" w:type="dxa"/>
            <w:tcBorders>
              <w:top w:val="nil"/>
              <w:left w:val="nil"/>
              <w:bottom w:val="nil"/>
              <w:right w:val="nil"/>
            </w:tcBorders>
          </w:tcPr>
          <w:p>
            <w:pPr>
              <w:pStyle w:val="Normal6a"/>
            </w:pPr>
            <w:r>
              <w:t xml:space="preserve">ESSU </w:t>
            </w:r>
            <w:r>
              <w:rPr>
                <w:b/>
                <w:i/>
              </w:rPr>
              <w:t>ще въведе нов регулаторен режим и нова и автономна дружествена форма и понятието</w:t>
            </w:r>
            <w:r>
              <w:t xml:space="preserve"> следва да </w:t>
            </w:r>
            <w:r>
              <w:rPr>
                <w:b/>
                <w:i/>
              </w:rPr>
              <w:t>бъде определен, в съответствие с правото на Съюза и член 352, параграф 1 от ДФЕС, чрез регулаторния инструмент на регламента, без да се изисква транспониране в националните</w:t>
            </w:r>
            <w:r>
              <w:t xml:space="preserve"> дружествени форми</w:t>
            </w:r>
            <w:r>
              <w:rPr>
                <w:b/>
                <w:i/>
              </w:rPr>
              <w:t>.</w:t>
            </w:r>
            <w:r>
              <w:t xml:space="preserve"> </w:t>
            </w:r>
            <w:r>
              <w:rPr>
                <w:b/>
                <w:i/>
              </w:rPr>
              <w:t>Учредяването ще се извършва чрез единен регистър на равнището на ЕС с правно действие в целия Съюз</w:t>
            </w:r>
            <w:r>
              <w:t xml:space="preserve">. Учредителите или собствениците на национална дружествена форма следва да могат доброволно да се включат в новия режим, </w:t>
            </w:r>
            <w:r>
              <w:rPr>
                <w:b/>
                <w:i/>
              </w:rPr>
              <w:t>чрез структурирана трансформация в съответствие с приложимите правни изисквания, които биха позволили</w:t>
            </w:r>
            <w:r>
              <w:t xml:space="preserve"> използването на обозначението „ESSU“ на дружеството.</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следва да </w:t>
            </w:r>
            <w:r>
              <w:rPr>
                <w:b/>
                <w:i/>
              </w:rPr>
              <w:t>се основава на дружествените форми</w:t>
            </w:r>
            <w:r>
              <w:t xml:space="preserve">, установени съгласно националното </w:t>
            </w:r>
            <w:r>
              <w:rPr>
                <w:b/>
                <w:i/>
              </w:rPr>
              <w:t>право</w:t>
            </w:r>
            <w:r>
              <w:t xml:space="preserve">. Държавите членки следва да имат свободата да </w:t>
            </w:r>
            <w:r>
              <w:rPr>
                <w:b/>
                <w:i/>
              </w:rPr>
              <w:t>решат</w:t>
            </w:r>
            <w:r>
              <w:t xml:space="preserve"> дали да разрешат </w:t>
            </w:r>
            <w:r>
              <w:rPr>
                <w:b/>
                <w:i/>
              </w:rPr>
              <w:t>на</w:t>
            </w:r>
            <w:r>
              <w:t xml:space="preserve"> съществуващите национални </w:t>
            </w:r>
            <w:r>
              <w:rPr>
                <w:b/>
                <w:i/>
              </w:rPr>
              <w:t>дружествени</w:t>
            </w:r>
            <w:r>
              <w:t xml:space="preserve"> форми </w:t>
            </w:r>
            <w:r>
              <w:rPr>
                <w:b/>
                <w:i/>
              </w:rPr>
              <w:t>да се преобразуват</w:t>
            </w:r>
            <w:r>
              <w:t xml:space="preserve"> в ESSU или да създадат нова </w:t>
            </w:r>
            <w:r>
              <w:rPr>
                <w:b/>
                <w:i/>
              </w:rPr>
              <w:t>национална дружествена форма.</w:t>
            </w:r>
            <w:r>
              <w:t xml:space="preserve"> </w:t>
            </w:r>
            <w:r>
              <w:rPr>
                <w:b/>
                <w:i/>
              </w:rPr>
              <w:t>Учредителите или собствениците на национална дружествена</w:t>
            </w:r>
            <w:r>
              <w:t xml:space="preserve"> форма </w:t>
            </w:r>
            <w:r>
              <w:rPr>
                <w:b/>
                <w:i/>
              </w:rPr>
              <w:t>следва да могат доброволно</w:t>
            </w:r>
            <w:r>
              <w:t xml:space="preserve"> да се </w:t>
            </w:r>
            <w:r>
              <w:rPr>
                <w:b/>
                <w:i/>
              </w:rPr>
              <w:t>включат в новия режим, който би позволил използването на обозначението „ESSU“ на дружеството</w:t>
            </w:r>
            <w:r>
              <w:t>.</w:t>
            </w:r>
          </w:p>
        </w:tc>
        <w:tc>
          <w:tcPr>
            <w:tcW w:w="4876" w:type="dxa"/>
            <w:tcBorders>
              <w:top w:val="nil"/>
              <w:left w:val="nil"/>
              <w:bottom w:val="nil"/>
              <w:right w:val="nil"/>
            </w:tcBorders>
          </w:tcPr>
          <w:p>
            <w:pPr>
              <w:pStyle w:val="Normal6a"/>
            </w:pPr>
            <w:r>
              <w:t xml:space="preserve">ESSU следва да </w:t>
            </w:r>
            <w:r>
              <w:rPr>
                <w:b/>
                <w:i/>
              </w:rPr>
              <w:t>изгради формите на дружества с ограничена отговорност</w:t>
            </w:r>
            <w:r>
              <w:t xml:space="preserve">, </w:t>
            </w:r>
            <w:r>
              <w:rPr>
                <w:b/>
                <w:i/>
              </w:rPr>
              <w:t>които вече са</w:t>
            </w:r>
            <w:r>
              <w:t xml:space="preserve"> установени съгласно националното </w:t>
            </w:r>
            <w:r>
              <w:rPr>
                <w:b/>
                <w:i/>
              </w:rPr>
              <w:t>законодателство и както е предвидено в Директива (ЕС) 2017/1132, Директива 2009/102/ЕО и Директива 2013/34/ЕС</w:t>
            </w:r>
            <w:r>
              <w:t xml:space="preserve">. Държавите членки следва да имат свободата да </w:t>
            </w:r>
            <w:r>
              <w:rPr>
                <w:b/>
                <w:i/>
              </w:rPr>
              <w:t>решават</w:t>
            </w:r>
            <w:r>
              <w:t xml:space="preserve"> дали да разрешат съществуващите национални форми </w:t>
            </w:r>
            <w:r>
              <w:rPr>
                <w:b/>
                <w:i/>
              </w:rPr>
              <w:t>на дружества с ограничена отговорност да бъдат обозначени като такива или като преобразувани</w:t>
            </w:r>
            <w:r>
              <w:t xml:space="preserve"> в ESSU или да създадат нова форма </w:t>
            </w:r>
            <w:r>
              <w:rPr>
                <w:b/>
                <w:i/>
              </w:rPr>
              <w:t>на дружество с ограничена отговорност съгласно националното законодателство, като продължават</w:t>
            </w:r>
            <w:r>
              <w:t xml:space="preserve"> да се </w:t>
            </w:r>
            <w:r>
              <w:rPr>
                <w:b/>
                <w:i/>
              </w:rPr>
              <w:t>бъдат предмет, пряко, на достиженията на правото на ЕС, приложими за дружествата с ограничена отговорност, и по-специално на Директива (ЕС) 2017/1132, Директива 2009/102/ЕО и Директива 2013/34/ЕС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следва да се основава на дружествените форми, установени съгласно националното право.</w:t>
            </w:r>
            <w:r>
              <w:t xml:space="preserve"> Държавите членки следва </w:t>
            </w:r>
            <w:r>
              <w:rPr>
                <w:b/>
                <w:i/>
              </w:rPr>
              <w:t>да имат свободата да решат дали да разрешат на съществуващите национални дружествени форми да се преобразуват в ESSU или</w:t>
            </w:r>
            <w:r>
              <w:t xml:space="preserve"> да създадат нова национална дружествена форма. Учредителите или собствениците на национална дружествена форма следва да могат доброволно да се включат в новия режим, който би позволил използването на обозначението „ESSU“ на дружеството.</w:t>
            </w:r>
          </w:p>
        </w:tc>
        <w:tc>
          <w:tcPr>
            <w:tcW w:w="4876" w:type="dxa"/>
            <w:tcBorders>
              <w:top w:val="nil"/>
              <w:left w:val="nil"/>
              <w:bottom w:val="nil"/>
              <w:right w:val="nil"/>
            </w:tcBorders>
          </w:tcPr>
          <w:p>
            <w:pPr>
              <w:pStyle w:val="Normal6a"/>
            </w:pPr>
            <w:r>
              <w:t xml:space="preserve">Държавите членки следва да създадат нова национална дружествена форма </w:t>
            </w:r>
            <w:r>
              <w:rPr>
                <w:b/>
                <w:i/>
              </w:rPr>
              <w:t>— ESSU</w:t>
            </w:r>
            <w:r>
              <w:t>. Учредителите или собствениците на национална дружествена форма следва да могат доброволно да се включат в новия режим, който би позволил използването на обозначението „ESSU“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следва да се основава на дружествените форми, установени съгласно националното право.</w:t>
            </w:r>
            <w:r>
              <w:t xml:space="preserve"> Държавите членки следва да </w:t>
            </w:r>
            <w:r>
              <w:rPr>
                <w:b/>
                <w:i/>
              </w:rPr>
              <w:t>имат свободата да решат дали да разрешат на съществуващите национални дружествени форми да се преобразуват в ESSU или да</w:t>
            </w:r>
            <w:r>
              <w:t xml:space="preserve"> създадат нова национална дружествена форма. Учредителите или собствениците на национална дружествена форма следва да могат доброволно да се включат в новия режим, който би позволил използването на обозначението „ESSU“ на дружеството.</w:t>
            </w:r>
          </w:p>
        </w:tc>
        <w:tc>
          <w:tcPr>
            <w:tcW w:w="4876" w:type="dxa"/>
            <w:tcBorders>
              <w:top w:val="nil"/>
              <w:left w:val="nil"/>
              <w:bottom w:val="nil"/>
              <w:right w:val="nil"/>
            </w:tcBorders>
          </w:tcPr>
          <w:p>
            <w:pPr>
              <w:pStyle w:val="Normal6a"/>
            </w:pPr>
            <w:r>
              <w:t xml:space="preserve">Държавите членки следва да създадат </w:t>
            </w:r>
            <w:r>
              <w:rPr>
                <w:b/>
                <w:i/>
              </w:rPr>
              <w:t>ESSU като</w:t>
            </w:r>
            <w:r>
              <w:t xml:space="preserve"> нова национална дружествена форма. Учредителите или собствениците на национална дружествена форма следва да могат доброволно да се включат в новия режим, който би позволил използването на обозначението „ESSU“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ESSU следва да се основава на дружествените форми</w:t>
            </w:r>
            <w:r>
              <w:rPr>
                <w:b/>
                <w:i/>
              </w:rPr>
              <w:t>, установени съгласно</w:t>
            </w:r>
            <w:r>
              <w:t xml:space="preserve"> националното право. Държавите членки следва да </w:t>
            </w:r>
            <w:r>
              <w:rPr>
                <w:b/>
                <w:i/>
              </w:rPr>
              <w:t>имат свободата да решат</w:t>
            </w:r>
            <w:r>
              <w:t xml:space="preserve"> дали да разрешат </w:t>
            </w:r>
            <w:r>
              <w:rPr>
                <w:b/>
                <w:i/>
              </w:rPr>
              <w:t>на</w:t>
            </w:r>
            <w:r>
              <w:t xml:space="preserve"> съществуващите национални </w:t>
            </w:r>
            <w:r>
              <w:rPr>
                <w:b/>
                <w:i/>
              </w:rPr>
              <w:t>дружествени</w:t>
            </w:r>
            <w:r>
              <w:t xml:space="preserve"> форми </w:t>
            </w:r>
            <w:r>
              <w:rPr>
                <w:b/>
                <w:i/>
              </w:rPr>
              <w:t>да се преобразуват</w:t>
            </w:r>
            <w:r>
              <w:t xml:space="preserve"> в ESSU или да създадат нова национална </w:t>
            </w:r>
            <w:r>
              <w:rPr>
                <w:b/>
                <w:i/>
              </w:rPr>
              <w:t>дружествена форма.</w:t>
            </w:r>
            <w:r>
              <w:t xml:space="preserve"> </w:t>
            </w:r>
            <w:r>
              <w:rPr>
                <w:b/>
                <w:i/>
              </w:rPr>
              <w:t>Учредителите или собствениците на национална дружествена</w:t>
            </w:r>
            <w:r>
              <w:t xml:space="preserve"> форма </w:t>
            </w:r>
            <w:r>
              <w:rPr>
                <w:b/>
                <w:i/>
              </w:rPr>
              <w:t>следва да могат доброволно да се включат в новия режим, който би позволил използването на обозначението „ESSU“ на дружеството</w:t>
            </w:r>
            <w:r>
              <w:t>.</w:t>
            </w:r>
          </w:p>
        </w:tc>
        <w:tc>
          <w:tcPr>
            <w:tcW w:w="4876" w:type="dxa"/>
            <w:tcBorders>
              <w:top w:val="nil"/>
              <w:left w:val="nil"/>
              <w:bottom w:val="nil"/>
              <w:right w:val="nil"/>
            </w:tcBorders>
          </w:tcPr>
          <w:p>
            <w:pPr>
              <w:pStyle w:val="Normal6a"/>
            </w:pPr>
            <w:r>
              <w:t xml:space="preserve">ESSU следва да се основава на дружествените форми </w:t>
            </w:r>
            <w:r>
              <w:rPr>
                <w:b/>
                <w:i/>
              </w:rPr>
              <w:t>с ограничена отговорност, изброени в приложенията към Директива (ЕС) 2017/1132, Директива 2009/102/ЕО и Директива 2013/34/ЕС, както е определено в</w:t>
            </w:r>
            <w:r>
              <w:t xml:space="preserve"> националното право. Държавите членки следва да </w:t>
            </w:r>
            <w:r>
              <w:rPr>
                <w:b/>
                <w:i/>
              </w:rPr>
              <w:t>бъдат свободни да решават</w:t>
            </w:r>
            <w:r>
              <w:t xml:space="preserve"> дали да разрешат съществуващите национални форми </w:t>
            </w:r>
            <w:r>
              <w:rPr>
                <w:b/>
                <w:i/>
              </w:rPr>
              <w:t>на дружества с ограничена отговорност да бъдат обозначени като ESSU или като преобразувани</w:t>
            </w:r>
            <w:r>
              <w:t xml:space="preserve"> в ESSU</w:t>
            </w:r>
            <w:r>
              <w:rPr>
                <w:b/>
                <w:i/>
              </w:rPr>
              <w:t>,</w:t>
            </w:r>
            <w:r>
              <w:t xml:space="preserve"> или да създадат нова национална форма </w:t>
            </w:r>
            <w:r>
              <w:rPr>
                <w:b/>
                <w:i/>
              </w:rPr>
              <w:t>на дружество с ограничена отговорност, която е предмет на достиженията на правото на ЕС, приложими за дружествата с ограничена отговорност, и по-специално Директива (ЕС) 2017/1132, Директива 2009/102/ЕО и Директива 2013/34/ЕС</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следва да се основава на дружествените форми, установени съгласно националното право. Държавите членки следва да имат свободата да решат дали да разрешат на съществуващите национални дружествени форми да се преобразуват в </w:t>
            </w:r>
            <w:r>
              <w:rPr>
                <w:b/>
                <w:i/>
              </w:rPr>
              <w:t>ESSU</w:t>
            </w:r>
            <w:r>
              <w:t xml:space="preserve"> или да създадат нова национална дружествена форма. Учредителите или собствениците на национална дружествена форма следва да могат доброволно да се включат в новия режим, който би позволил използването на обозначението „</w:t>
            </w:r>
            <w:r>
              <w:rPr>
                <w:b/>
                <w:i/>
              </w:rPr>
              <w:t>ESSU</w:t>
            </w:r>
            <w:r>
              <w:t>“ на дружеството.</w:t>
            </w:r>
          </w:p>
        </w:tc>
        <w:tc>
          <w:tcPr>
            <w:tcW w:w="4876" w:type="dxa"/>
            <w:tcBorders>
              <w:top w:val="nil"/>
              <w:left w:val="nil"/>
              <w:bottom w:val="nil"/>
              <w:right w:val="nil"/>
            </w:tcBorders>
          </w:tcPr>
          <w:p>
            <w:pPr>
              <w:pStyle w:val="Normal6a"/>
            </w:pPr>
            <w:r>
              <w:rPr>
                <w:b/>
                <w:i/>
              </w:rPr>
              <w:t>SES</w:t>
            </w:r>
            <w:r>
              <w:t xml:space="preserve"> следва да се основава на дружествените форми, установени съгласно националното право. Държавите членки следва да имат свободата да решат дали да разрешат на съществуващите национални дружествени форми да се преобразуват в </w:t>
            </w:r>
            <w:r>
              <w:rPr>
                <w:b/>
                <w:i/>
              </w:rPr>
              <w:t>SES</w:t>
            </w:r>
            <w:r>
              <w:t xml:space="preserve"> или да създадат нова национална дружествена форма. Учредителите или собствениците на национална дружествена форма следва да могат доброволно да се включат в новия режим </w:t>
            </w:r>
            <w:r>
              <w:rPr>
                <w:b/>
                <w:i/>
              </w:rPr>
              <w:t>за своите съществуващи или нови дружества</w:t>
            </w:r>
            <w:r>
              <w:t>, който би позволил използването на обозначението „</w:t>
            </w:r>
            <w:r>
              <w:rPr>
                <w:b/>
                <w:i/>
              </w:rPr>
              <w:t>SES</w:t>
            </w:r>
            <w:r>
              <w:t>“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Съществуването на ESSU следва да се признава автоматично от националния правен ред на всички държави членки като дружество с ограничена отговорност</w:t>
            </w:r>
            <w:r>
              <w:rPr>
                <w:b/>
                <w:i/>
              </w:rPr>
              <w:t>.</w:t>
            </w:r>
          </w:p>
        </w:tc>
        <w:tc>
          <w:tcPr>
            <w:tcW w:w="4876" w:type="dxa"/>
            <w:tcBorders>
              <w:top w:val="nil"/>
              <w:left w:val="nil"/>
              <w:bottom w:val="nil"/>
              <w:right w:val="nil"/>
            </w:tcBorders>
          </w:tcPr>
          <w:p>
            <w:pPr>
              <w:pStyle w:val="Normal6a"/>
            </w:pPr>
            <w:r>
              <w:t>Съществуването на ESSU следва да се признава автоматично</w:t>
            </w:r>
            <w:r>
              <w:rPr>
                <w:b/>
                <w:i/>
              </w:rPr>
              <w:t>, по силата на своето вписване в регистъра на Съюза,</w:t>
            </w:r>
            <w:r>
              <w:t xml:space="preserve"> от националния правен ред на всички държави членки като дружество с ограничена отговорност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Съществуването на </w:t>
            </w:r>
            <w:r>
              <w:rPr>
                <w:b/>
                <w:i/>
              </w:rPr>
              <w:t>ESSU</w:t>
            </w:r>
            <w:r>
              <w:t xml:space="preserve"> следва да се признава автоматично от националния правен ред на всички държави членки като дружество с ограничена отговорност.</w:t>
            </w:r>
          </w:p>
        </w:tc>
        <w:tc>
          <w:tcPr>
            <w:tcW w:w="4876" w:type="dxa"/>
            <w:tcBorders>
              <w:top w:val="nil"/>
              <w:left w:val="nil"/>
              <w:bottom w:val="nil"/>
              <w:right w:val="nil"/>
            </w:tcBorders>
          </w:tcPr>
          <w:p>
            <w:pPr>
              <w:pStyle w:val="Normal6a"/>
            </w:pPr>
            <w:r>
              <w:t xml:space="preserve">Съществуването на </w:t>
            </w:r>
            <w:r>
              <w:rPr>
                <w:b/>
                <w:i/>
              </w:rPr>
              <w:t>SES</w:t>
            </w:r>
            <w:r>
              <w:t xml:space="preserve"> следва да се признава автоматично от националния правен ред на всички държави членки като дружество с ограничена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Приложимото право за създаването на ESSU следва да бъде правото на държавата членка, в която е учредено въпросното дружество.</w:t>
            </w:r>
            <w:r>
              <w:t xml:space="preserve"> </w:t>
            </w:r>
            <w:r>
              <w:rPr>
                <w:b/>
                <w:i/>
              </w:rPr>
              <w:t>Чрез дерогация от този принцип и с цел защита на предварително определени обществени интереси следва да е възможно приложимото право да се определи въз основа на по-висш свързващ фактор, а не от мястото на учредяване.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Приложимото право за създаването на </w:t>
            </w:r>
            <w:r>
              <w:rPr>
                <w:b/>
                <w:i/>
              </w:rPr>
              <w:t>ESSU</w:t>
            </w:r>
            <w:r>
              <w:t xml:space="preserve"> следва да бъде правото на държавата членка, в която е учредено въпросното дружество. Чрез дерогация от този принцип и с цел защита на предварително определени обществени интереси следва да е възможно приложимото право да се определи въз основа на по-висш свързващ фактор, а не от мястото на учредяване.</w:t>
            </w:r>
          </w:p>
        </w:tc>
        <w:tc>
          <w:tcPr>
            <w:tcW w:w="4876" w:type="dxa"/>
            <w:tcBorders>
              <w:top w:val="nil"/>
              <w:left w:val="nil"/>
              <w:bottom w:val="nil"/>
              <w:right w:val="nil"/>
            </w:tcBorders>
          </w:tcPr>
          <w:p>
            <w:pPr>
              <w:pStyle w:val="Normal6a"/>
            </w:pPr>
            <w:r>
              <w:t xml:space="preserve">Приложимото право за създаването на </w:t>
            </w:r>
            <w:r>
              <w:rPr>
                <w:b/>
                <w:i/>
              </w:rPr>
              <w:t>SES</w:t>
            </w:r>
            <w:r>
              <w:t xml:space="preserve"> следва да бъде правото на държавата членка, в която е учредено въпросното дружество. Чрез дерогация от този принцип и с цел защита на предварително определени обществени интереси следва да е възможно приложимото право да се определи въз основа на по-висш свързващ фактор, а не от мястото на учредяване.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Приложимото право за </w:t>
            </w:r>
            <w:r>
              <w:rPr>
                <w:b/>
                <w:i/>
              </w:rPr>
              <w:t>създаването на</w:t>
            </w:r>
            <w:r>
              <w:t xml:space="preserve"> ESSU следва да бъде правото на държавата членка, в която е учредено въпросното дружество. Чрез дерогация от този принцип и с цел защита на предварително определени обществени интереси следва да е възможно приложимото право да се определи въз основа на по-висш свързващ фактор, а не от мястото на учредяване.</w:t>
            </w:r>
          </w:p>
        </w:tc>
        <w:tc>
          <w:tcPr>
            <w:tcW w:w="4876" w:type="dxa"/>
            <w:tcBorders>
              <w:top w:val="nil"/>
              <w:left w:val="nil"/>
              <w:bottom w:val="nil"/>
              <w:right w:val="nil"/>
            </w:tcBorders>
          </w:tcPr>
          <w:p>
            <w:pPr>
              <w:pStyle w:val="Normal6a"/>
            </w:pPr>
            <w:r>
              <w:t>Приложимото право за ESSU следва да бъде правото на държавата членка, в която е учредено въпросното дружество. Чрез дерогация от този принцип и с цел защита на предварително определени обществени интереси следва да е възможно приложимото право да се определи въз основа на по-висш свързващ фактор, а не от мястото на учредяване.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Правните основания за ESSU следва да бъдат член 50 и член 114, параграф 1 от ДФЕС.</w:t>
            </w:r>
            <w:r>
              <w:t xml:space="preserve"> </w:t>
            </w:r>
            <w:r>
              <w:rPr>
                <w:b/>
                <w:i/>
              </w:rPr>
              <w:t>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Правните основания за ESSU следва да бъдат член 50 и член 114, параграф 1 от ДФЕС.</w:t>
            </w:r>
            <w:r>
              <w:t xml:space="preserve"> </w:t>
            </w:r>
            <w:r>
              <w:rPr>
                <w:b/>
                <w:i/>
              </w:rPr>
              <w:t>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Правните основания за ESSU следва да бъдат член 50 и член 114, параграф 1 от ДФЕС.</w:t>
            </w:r>
            <w:r>
              <w:t xml:space="preserve"> </w:t>
            </w:r>
            <w:r>
              <w:rPr>
                <w:b/>
                <w:i/>
              </w:rPr>
              <w:t>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Правните основания за </w:t>
            </w:r>
            <w:r>
              <w:rPr>
                <w:b/>
                <w:i/>
              </w:rPr>
              <w:t>ESSU</w:t>
            </w:r>
            <w:r>
              <w:t xml:space="preserve"> следва да бъдат член 50 и член 114, параграф 1 от ДФЕС. 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w:t>
            </w:r>
          </w:p>
        </w:tc>
        <w:tc>
          <w:tcPr>
            <w:tcW w:w="4876" w:type="dxa"/>
            <w:tcBorders>
              <w:top w:val="nil"/>
              <w:left w:val="nil"/>
              <w:bottom w:val="nil"/>
              <w:right w:val="nil"/>
            </w:tcBorders>
          </w:tcPr>
          <w:p>
            <w:pPr>
              <w:pStyle w:val="Normal6a"/>
            </w:pPr>
            <w:r>
              <w:t xml:space="preserve">Правните основания за </w:t>
            </w:r>
            <w:r>
              <w:rPr>
                <w:b/>
                <w:i/>
              </w:rPr>
              <w:t>SES</w:t>
            </w:r>
            <w:r>
              <w:t xml:space="preserve"> следва да бъдат член 50 и член 114, параграф 1 от ДФЕС. 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 </w:t>
            </w:r>
            <w:r>
              <w:rPr>
                <w:b/>
                <w:i/>
              </w:rPr>
              <w:t>За да се гарантира реално въздействие, Парламентът насърчава Комисията да ограничи във възможно най-голяма степен областите, оставени на националното законодателство, така че инвеститорите и предприемачите да могат да имат представа какво представлява SES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Правните основания</w:t>
            </w:r>
            <w:r>
              <w:t xml:space="preserve"> за ESSU следва да </w:t>
            </w:r>
            <w:r>
              <w:rPr>
                <w:b/>
                <w:i/>
              </w:rPr>
              <w:t>бъдат</w:t>
            </w:r>
            <w:r>
              <w:t xml:space="preserve"> член 50 </w:t>
            </w:r>
            <w:r>
              <w:rPr>
                <w:b/>
                <w:i/>
              </w:rPr>
              <w:t>и член 114, параграф 1</w:t>
            </w:r>
            <w:r>
              <w:t xml:space="preserve"> от ДФЕС. За да се постигне правна сигурност по отношение на съставните елементи на ESSU, директивата, приета на основание член 50 </w:t>
            </w:r>
            <w:r>
              <w:rPr>
                <w:b/>
                <w:i/>
              </w:rPr>
              <w:t>и член 114, параграф 1 от ДФЕС</w:t>
            </w:r>
            <w:r>
              <w:t>, трябва да бъде директива за максимална хармонизация.</w:t>
            </w:r>
          </w:p>
        </w:tc>
        <w:tc>
          <w:tcPr>
            <w:tcW w:w="4876" w:type="dxa"/>
            <w:tcBorders>
              <w:top w:val="nil"/>
              <w:left w:val="nil"/>
              <w:bottom w:val="nil"/>
              <w:right w:val="nil"/>
            </w:tcBorders>
          </w:tcPr>
          <w:p>
            <w:pPr>
              <w:pStyle w:val="Normal6a"/>
            </w:pPr>
            <w:r>
              <w:rPr>
                <w:b/>
                <w:i/>
              </w:rPr>
              <w:t>Правното основание</w:t>
            </w:r>
            <w:r>
              <w:t xml:space="preserve"> за ESSU следва да </w:t>
            </w:r>
            <w:r>
              <w:rPr>
                <w:b/>
                <w:i/>
              </w:rPr>
              <w:t>бъде</w:t>
            </w:r>
            <w:r>
              <w:t xml:space="preserve"> член 50 от ДФЕС. За да се постигне правна сигурност по отношение на съставните елементи на ESSU, директивата, приета на основание член 50, трябва да бъде директива за максимална хармонизация.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Правните основания за ESSU следва да бъдат член 50 и член 114, параграф 1 от ДФЕС.</w:t>
            </w:r>
            <w:r>
              <w:t xml:space="preserve"> 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w:t>
            </w:r>
          </w:p>
        </w:tc>
        <w:tc>
          <w:tcPr>
            <w:tcW w:w="4876" w:type="dxa"/>
            <w:tcBorders>
              <w:top w:val="nil"/>
              <w:left w:val="nil"/>
              <w:bottom w:val="nil"/>
              <w:right w:val="nil"/>
            </w:tcBorders>
          </w:tcPr>
          <w:p>
            <w:pPr>
              <w:pStyle w:val="Normal6a"/>
            </w:pPr>
            <w:r>
              <w:t>За да се постигне правна сигурност по отношение на съставните елементи на ESSU, директивата, приета на основание член 50 и член 114, параграф 1 от ДФЕС, трябва да бъде директива за максимална хармонизация.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Парламентът отчита риска, че едно автоматично признавано ESSU би могло да доведе до заобикаляне на задължителни вътрешни правила в защита на по-слабите страни.</w:t>
            </w:r>
            <w:r>
              <w:t xml:space="preserve"> </w:t>
            </w:r>
            <w:r>
              <w:rPr>
                <w:b/>
                <w:i/>
              </w:rPr>
              <w:t>Поради това корпоративните правила на ESSU не следва да засягат правото на Съюза и националното право в областта на индивидуалното и колективното трудово право, включително правилата за съвместно вземане на решения от служителите, и следва да съдържат гаранции, които ефективно предотвратяват злоупотребата с ESSU.</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Парламентът отчита риска, че едно автоматично признавано ESSU би могло да доведе до заобикаляне на задължителни вътрешни правила в защита на по-слабите страни. Поради това корпоративните правила на ESSU не следва да засягат правото на Съюза и националното право в областта на индивидуалното и колективното трудово право, включително правилата за съвместно вземане на решения от служителите, и следва да съдържат гаранции, които ефективно предотвратяват злоупотребата с ESSU.</w:t>
            </w:r>
          </w:p>
        </w:tc>
        <w:tc>
          <w:tcPr>
            <w:tcW w:w="4876" w:type="dxa"/>
            <w:tcBorders>
              <w:top w:val="nil"/>
              <w:left w:val="nil"/>
              <w:bottom w:val="nil"/>
              <w:right w:val="nil"/>
            </w:tcBorders>
          </w:tcPr>
          <w:p>
            <w:pPr>
              <w:pStyle w:val="Normal6a"/>
            </w:pPr>
            <w:r>
              <w:t xml:space="preserve">Парламентът отчита риска, че едно автоматично признавано ESSU би могло да доведе до заобикаляне на задължителни вътрешни правила в защита на по-слабите страни </w:t>
            </w:r>
            <w:r>
              <w:rPr>
                <w:b/>
                <w:i/>
              </w:rPr>
              <w:t>или на всеки друг обществен интерес</w:t>
            </w:r>
            <w:r>
              <w:t xml:space="preserve">. Поради това корпоративните правила на ESSU не следва да засягат правото на Съюза и националното право в областта на индивидуалното и колективното трудово право, включително правилата за съвместно вземане на решения от служителите </w:t>
            </w:r>
            <w:r>
              <w:rPr>
                <w:b/>
                <w:i/>
              </w:rPr>
              <w:t>или формалните изисквания за създаване на такова дружество, или трансфера на акции</w:t>
            </w:r>
            <w:r>
              <w:t>, и следва да съдържат гаранции, които ефективно предотвратяват злоупотребата с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1 – 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Парламентът отчита риска, че едно автоматично признавано </w:t>
            </w:r>
            <w:r>
              <w:rPr>
                <w:b/>
                <w:i/>
              </w:rPr>
              <w:t>ESSU</w:t>
            </w:r>
            <w:r>
              <w:t xml:space="preserve"> би могло да доведе до заобикаляне на задължителни вътрешни правила в защита на по-слабите страни. Поради това корпоративните правила на ESSU не следва да засягат правото на Съюза и националното право в областта на индивидуалното и колективното трудово право, включително правилата за съвместно вземане на решения от служителите, и следва да съдържат гаранции, които ефективно предотвратяват злоупотребата с </w:t>
            </w:r>
            <w:r>
              <w:rPr>
                <w:b/>
                <w:i/>
              </w:rPr>
              <w:t>ESSU</w:t>
            </w:r>
            <w:r>
              <w:t>.</w:t>
            </w:r>
          </w:p>
        </w:tc>
        <w:tc>
          <w:tcPr>
            <w:tcW w:w="4876" w:type="dxa"/>
            <w:tcBorders>
              <w:top w:val="nil"/>
              <w:left w:val="nil"/>
              <w:bottom w:val="nil"/>
              <w:right w:val="nil"/>
            </w:tcBorders>
          </w:tcPr>
          <w:p>
            <w:pPr>
              <w:pStyle w:val="Normal6a"/>
            </w:pPr>
            <w:r>
              <w:t xml:space="preserve">Парламентът отчита риска, че едно автоматично признавано </w:t>
            </w:r>
            <w:r>
              <w:rPr>
                <w:b/>
                <w:i/>
              </w:rPr>
              <w:t>SES</w:t>
            </w:r>
            <w:r>
              <w:t xml:space="preserve"> би могло да доведе до заобикаляне на задължителни вътрешни правила в защита на по-слабите страни. Поради това корпоративните правила на ESSU не следва да засягат правото на Съюза и националното право в областта на индивидуалното и колективното трудово право, включително правилата за съвместно вземане на решения от служителите, и следва да съдържат гаранции, които ефективно предотвратяват злоупотребата с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Маравиляс Абадия Ховер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7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С оглед на значението на наблюдението на ефективността на 28-ия режим за насърчаване на иновациите, гарантиране на правната сигурност и предотвратяване на заобикалянето на нормативните изисквания;</w:t>
            </w:r>
            <w:r>
              <w:t xml:space="preserve"> </w:t>
            </w:r>
            <w:r>
              <w:rPr>
                <w:b/>
                <w:i/>
              </w:rPr>
              <w:t>в срок от три години след влизането в сила на 28-ия режим Комисията следва да извърши цялостен преглед на неговото прилагане и на въздействието му върху МСП, стартиращите и разрастващите се предприятия в целия Съюз;</w:t>
            </w:r>
            <w:r>
              <w:t xml:space="preserve"> </w:t>
            </w:r>
            <w:r>
              <w:rPr>
                <w:b/>
                <w:i/>
              </w:rPr>
              <w:t>при този преглед следва да се оцени дали са постигнати целите за опростяване, трансгранично признаване и конкурентоспособност и, когато е целесъобразно, следва да бъде придружен от законодателни предложения за преразглеждане.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Държавите членки следва да предвидят в своя национален правен ред набор от правила, които, когато са спазени, позволяват на националната дружествена форма да включва съкращението „ESSU“ в името на дружеството.</w:t>
            </w:r>
            <w:r>
              <w:t xml:space="preserve"> За да отговаря на условията за регистрация като ESSU, национална дружествена форма следва да изпълнява следното:</w:t>
            </w:r>
          </w:p>
        </w:tc>
        <w:tc>
          <w:tcPr>
            <w:tcW w:w="4876" w:type="dxa"/>
            <w:tcBorders>
              <w:top w:val="nil"/>
              <w:left w:val="nil"/>
              <w:bottom w:val="nil"/>
              <w:right w:val="nil"/>
            </w:tcBorders>
          </w:tcPr>
          <w:p>
            <w:pPr>
              <w:pStyle w:val="Normal6a"/>
            </w:pPr>
            <w:r>
              <w:t>За да отговаря на условията за регистрация като ESSU, национална дружествена форма следва да изпълнява следното:</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Държавите членки следва да предвидят в своя национален правен ред набор от правила, които, когато са спазени, позволяват на националната дружествена форма да включва съкращението „</w:t>
            </w:r>
            <w:r>
              <w:rPr>
                <w:b/>
                <w:i/>
              </w:rPr>
              <w:t>ESSU</w:t>
            </w:r>
            <w:r>
              <w:t xml:space="preserve">“ в името на дружеството. За да отговаря на условията за регистрация като </w:t>
            </w:r>
            <w:r>
              <w:rPr>
                <w:b/>
                <w:i/>
              </w:rPr>
              <w:t>ESSU</w:t>
            </w:r>
            <w:r>
              <w:t>, национална дружествена форма следва да изпълнява следното:</w:t>
            </w:r>
          </w:p>
        </w:tc>
        <w:tc>
          <w:tcPr>
            <w:tcW w:w="4876" w:type="dxa"/>
            <w:tcBorders>
              <w:top w:val="nil"/>
              <w:left w:val="nil"/>
              <w:bottom w:val="nil"/>
              <w:right w:val="nil"/>
            </w:tcBorders>
          </w:tcPr>
          <w:p>
            <w:pPr>
              <w:pStyle w:val="Normal6a"/>
            </w:pPr>
            <w:r>
              <w:t>Държавите членки следва да предвидят в своя национален правен ред набор от правила, които, когато са спазени, позволяват на националната дружествена форма да включва съкращението „</w:t>
            </w:r>
            <w:r>
              <w:rPr>
                <w:b/>
                <w:i/>
              </w:rPr>
              <w:t>SES</w:t>
            </w:r>
            <w:r>
              <w:t xml:space="preserve">“ в името на дружеството. За да отговаря на условията за регистрация като </w:t>
            </w:r>
            <w:r>
              <w:rPr>
                <w:b/>
                <w:i/>
              </w:rPr>
              <w:t>SES</w:t>
            </w:r>
            <w:r>
              <w:t>, национална дружествена форма следва да изпълнява следното: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трябва да бъде юридическо лице с правоспособност, което се признава автоматично във всички държави членки към датата на регистрацията му;</w:t>
            </w:r>
          </w:p>
        </w:tc>
        <w:tc>
          <w:tcPr>
            <w:tcW w:w="4876" w:type="dxa"/>
            <w:tcBorders>
              <w:top w:val="nil"/>
              <w:left w:val="nil"/>
              <w:bottom w:val="nil"/>
              <w:right w:val="nil"/>
            </w:tcBorders>
          </w:tcPr>
          <w:p>
            <w:pPr>
              <w:pStyle w:val="Normal6a"/>
            </w:pPr>
            <w:r>
              <w:rPr>
                <w:b/>
                <w:i/>
              </w:rPr>
              <w:t>–</w:t>
            </w:r>
            <w:r>
              <w:tab/>
            </w:r>
            <w:r>
              <w:t>трябва да бъде юридическо лице с правоспособност</w:t>
            </w:r>
            <w:r>
              <w:rPr>
                <w:b/>
                <w:i/>
              </w:rPr>
              <w:t>, регистрирано също така на регулиран пазар</w:t>
            </w:r>
            <w:r>
              <w:t>, което се признава автоматично във всички държави членки към датата на регистрацията му;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1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следва да се има предвид правен субект, развиващ дейност в цифровия сектор;</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трябва да бъде дружество с ограничена отговорност, в което отговорността на собствениците за дълговете на дружеството е ограничена до размера на техните вноски;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 трябва да бъде дружество, чиито ценни книжа са допуснати до борсова търговия;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трябва да бъде учредено от едно или повече физически или юридически лица, които пребивават или са установени в държава членка;</w:t>
            </w:r>
          </w:p>
        </w:tc>
        <w:tc>
          <w:tcPr>
            <w:tcW w:w="4876" w:type="dxa"/>
            <w:tcBorders>
              <w:top w:val="nil"/>
              <w:left w:val="nil"/>
              <w:bottom w:val="nil"/>
              <w:right w:val="nil"/>
            </w:tcBorders>
          </w:tcPr>
          <w:p>
            <w:pPr>
              <w:pStyle w:val="Normal6a"/>
            </w:pPr>
            <w:r>
              <w:rPr>
                <w:b/>
                <w:i/>
              </w:rPr>
              <w:t>–</w:t>
            </w:r>
            <w:r>
              <w:tab/>
            </w:r>
            <w:r>
              <w:t xml:space="preserve">трябва да бъде учредено от едно или повече физически или юридически лица, които пребивават или са установени в държава членка; </w:t>
            </w:r>
            <w:r>
              <w:rPr>
                <w:b/>
                <w:i/>
              </w:rPr>
              <w:t>и трябва да има право да премести седалището си в друга държава членка в рамките на Съюза, без да е необходимо разпускане или повторно учредяване, в съответствие с хармонизирани процедури, гарантиращи непрекъснатост на юридическата правосубектност;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трябва да бъде учредено от едно или повече физически или юридически лица, </w:t>
            </w:r>
            <w:r>
              <w:rPr>
                <w:b/>
                <w:i/>
              </w:rPr>
              <w:t>които пребивават или са установени</w:t>
            </w:r>
            <w:r>
              <w:t xml:space="preserve"> в държава членка;</w:t>
            </w:r>
          </w:p>
        </w:tc>
        <w:tc>
          <w:tcPr>
            <w:tcW w:w="4876" w:type="dxa"/>
            <w:tcBorders>
              <w:top w:val="nil"/>
              <w:left w:val="nil"/>
              <w:bottom w:val="nil"/>
              <w:right w:val="nil"/>
            </w:tcBorders>
          </w:tcPr>
          <w:p>
            <w:pPr>
              <w:pStyle w:val="Normal6a"/>
            </w:pPr>
            <w:r>
              <w:rPr>
                <w:b/>
                <w:i/>
              </w:rPr>
              <w:t>–</w:t>
            </w:r>
            <w:r>
              <w:tab/>
            </w:r>
            <w:r>
              <w:t xml:space="preserve">трябва да бъде учредено от едно или повече физически или юридически лица, </w:t>
            </w:r>
            <w:r>
              <w:rPr>
                <w:b/>
                <w:i/>
              </w:rPr>
              <w:t>независимо от изискването за пребиваване или установяване</w:t>
            </w:r>
            <w:r>
              <w:t xml:space="preserve"> в държава членка;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трябва да бъде възможно да функционира като самостоятелно еднолично дружество или като дъщерно дружество на дружество майка ESSU;</w:t>
            </w:r>
          </w:p>
        </w:tc>
        <w:tc>
          <w:tcPr>
            <w:tcW w:w="4876" w:type="dxa"/>
            <w:tcBorders>
              <w:top w:val="nil"/>
              <w:left w:val="nil"/>
              <w:bottom w:val="nil"/>
              <w:right w:val="nil"/>
            </w:tcBorders>
          </w:tcPr>
          <w:p>
            <w:pPr>
              <w:pStyle w:val="Normal6a"/>
            </w:pPr>
            <w:r>
              <w:rPr>
                <w:b/>
                <w:i/>
              </w:rPr>
              <w:t>–</w:t>
            </w:r>
            <w:r>
              <w:tab/>
            </w:r>
            <w:r>
              <w:t>трябва да бъде възможно да функционира като самостоятелно еднолично дружество</w:t>
            </w:r>
            <w:r>
              <w:rPr>
                <w:b/>
                <w:i/>
              </w:rPr>
              <w:t>, дъщерно дружество на дружество майка</w:t>
            </w:r>
            <w:r>
              <w:t xml:space="preserve"> или като дъщерно дружество на дружество майка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2 – тире 5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в контекста на регионалните различия държавите членки могат да създават схеми и механизми за подпомагане на дружества, регистрирани като ESSU, в области с по-слабо икономическо развитие, за да се намалят пропуските в областта на иновациите.</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Ако националното дружествено право предвижда минимален внесен капитал за учредяването на дружество, което може да се регистрира като ESSU, за целите на регистрацията на това дружество</w:t>
            </w:r>
            <w:r>
              <w:t xml:space="preserve"> незабавно внесеният капитал трябва да бъде определен на 1 EUR </w:t>
            </w:r>
            <w:r>
              <w:rPr>
                <w:b/>
                <w:i/>
              </w:rPr>
              <w:t>и дружеството следва да бъде задължено да разпредели най-малко 25% от годишната си печалба в законен резерв, докато този резерв, заедно с първоначално внесения капитал, достигне минималния капитал, изискван съгласно въпросното национално право</w:t>
            </w:r>
            <w:r>
              <w:t>.</w:t>
            </w:r>
          </w:p>
        </w:tc>
        <w:tc>
          <w:tcPr>
            <w:tcW w:w="4876" w:type="dxa"/>
            <w:tcBorders>
              <w:top w:val="nil"/>
              <w:left w:val="nil"/>
              <w:bottom w:val="nil"/>
              <w:right w:val="nil"/>
            </w:tcBorders>
          </w:tcPr>
          <w:p>
            <w:pPr>
              <w:pStyle w:val="Normal6a"/>
            </w:pPr>
            <w:r>
              <w:t xml:space="preserve">Незабавно внесеният </w:t>
            </w:r>
            <w:r>
              <w:rPr>
                <w:b/>
                <w:i/>
              </w:rPr>
              <w:t>минимален</w:t>
            </w:r>
            <w:r>
              <w:t xml:space="preserve"> капитал трябва да бъде определен на 1 EUR.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Ако националното дружествено право предвижда минимален внесен капитал за учредяването на дружество, което може да се регистрира като ESSU,</w:t>
            </w:r>
            <w:r>
              <w:t xml:space="preserve"> за целите на регистрацията на това дружество незабавно внесеният капитал трябва да бъде определен на 1 EUR </w:t>
            </w:r>
            <w:r>
              <w:rPr>
                <w:b/>
                <w:i/>
              </w:rPr>
              <w:t>и дружеството следва да бъде задължено да разпредели най-малко 25% от годишната си печалба в законен резерв, докато този резерв, заедно с първоначално внесения капитал, достигне минималния капитал, изискван съгласно въпросното национално право</w:t>
            </w:r>
            <w:r>
              <w:t>.</w:t>
            </w:r>
          </w:p>
        </w:tc>
        <w:tc>
          <w:tcPr>
            <w:tcW w:w="4876" w:type="dxa"/>
            <w:tcBorders>
              <w:top w:val="nil"/>
              <w:left w:val="nil"/>
              <w:bottom w:val="nil"/>
              <w:right w:val="nil"/>
            </w:tcBorders>
          </w:tcPr>
          <w:p>
            <w:pPr>
              <w:pStyle w:val="Normal6a"/>
            </w:pPr>
            <w:r>
              <w:t>За целите на регистрацията на това дружество незабавно внесеният капитал трябва да бъде определен на 1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Ако националното дружествено право предвижда минимален внесен капитал за учредяването на дружество, което може да се регистрира като ESSU,</w:t>
            </w:r>
            <w:r>
              <w:t xml:space="preserve"> за целите на регистрацията на това дружество незабавно внесеният капитал трябва да бъде определен на 1 EUR </w:t>
            </w:r>
            <w:r>
              <w:rPr>
                <w:b/>
                <w:i/>
              </w:rPr>
              <w:t>и дружеството следва да бъде задължено да разпредели най-малко 25% от годишната си печалба в законен резерв, докато този резерв, заедно с първоначално внесения капитал, достигне минималния капитал, изискван съгласно въпросното национално право</w:t>
            </w:r>
            <w:r>
              <w:t>.</w:t>
            </w:r>
          </w:p>
        </w:tc>
        <w:tc>
          <w:tcPr>
            <w:tcW w:w="4876" w:type="dxa"/>
            <w:tcBorders>
              <w:top w:val="nil"/>
              <w:left w:val="nil"/>
              <w:bottom w:val="nil"/>
              <w:right w:val="nil"/>
            </w:tcBorders>
          </w:tcPr>
          <w:p>
            <w:pPr>
              <w:pStyle w:val="Normal6a"/>
            </w:pPr>
            <w:r>
              <w:t>За целите на регистрацията на това дружество незабавно внесеният капитал трябва да бъде определен на 1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Ако националното дружествено право предвижда минимален внесен капитал за учредяването на дружество, което може да се регистрира като </w:t>
            </w:r>
            <w:r>
              <w:rPr>
                <w:b/>
                <w:i/>
              </w:rPr>
              <w:t>ESSU</w:t>
            </w:r>
            <w:r>
              <w:t>, за целите на регистрацията на това дружество незабавно внесеният капитал трябва да бъде определен на 1 EUR и дружеството следва да бъде задължено да разпредели най-малко 25% от годишната си печалба в законен резерв, докато този резерв, заедно с първоначално внесения капитал, достигне минималния капитал, изискван съгласно въпросното национално право.</w:t>
            </w:r>
          </w:p>
        </w:tc>
        <w:tc>
          <w:tcPr>
            <w:tcW w:w="4876" w:type="dxa"/>
            <w:tcBorders>
              <w:top w:val="nil"/>
              <w:left w:val="nil"/>
              <w:bottom w:val="nil"/>
              <w:right w:val="nil"/>
            </w:tcBorders>
          </w:tcPr>
          <w:p>
            <w:pPr>
              <w:pStyle w:val="Normal6a"/>
            </w:pPr>
            <w:r>
              <w:t xml:space="preserve">Ако националното дружествено право предвижда минимален внесен капитал за учредяването на дружество, което може да се регистрира като </w:t>
            </w:r>
            <w:r>
              <w:rPr>
                <w:b/>
                <w:i/>
              </w:rPr>
              <w:t>SES</w:t>
            </w:r>
            <w:r>
              <w:t>, за целите на регистрацията на това дружество незабавно внесеният капитал трябва да бъде определен на 1 EUR и дружеството следва да бъде задължено да разпредели най-малко 25% от годишната си печалба</w:t>
            </w:r>
            <w:r>
              <w:rPr>
                <w:b/>
                <w:i/>
              </w:rPr>
              <w:t>, когато започне да има печалби,</w:t>
            </w:r>
            <w:r>
              <w:t xml:space="preserve"> в законен резерв, докато този резерв, заедно с първоначално внесения капитал, достигне минималния капитал, изискван съгласно въпросното национално право. </w:t>
            </w:r>
            <w:r>
              <w:rPr>
                <w:b/>
                <w:i/>
              </w:rPr>
              <w:t>За да се избегне всякаква национална дискриминация спрямо SES, изискваният минимален внесен капитал не следва да надвишава минималния внесен капитал, съществуващ в държавата членка за дружествата с ограничена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Ако националното дружествено право предвижда минимален внесен капитал за учредяването на дружество, което може да се регистрира като ESSU, за целите на регистрацията на това дружество незабавно внесеният капитал трябва да бъде определен на </w:t>
            </w:r>
            <w:r>
              <w:rPr>
                <w:b/>
                <w:i/>
              </w:rPr>
              <w:t>1</w:t>
            </w:r>
            <w:r>
              <w:t xml:space="preserve"> EUR и дружеството следва да бъде задължено да разпредели най-малко 25% от годишната си печалба в законен резерв, докато този резерв, заедно с първоначално внесения капитал, достигне минималния капитал, изискван съгласно въпросното национално право.</w:t>
            </w:r>
          </w:p>
        </w:tc>
        <w:tc>
          <w:tcPr>
            <w:tcW w:w="4876" w:type="dxa"/>
            <w:tcBorders>
              <w:top w:val="nil"/>
              <w:left w:val="nil"/>
              <w:bottom w:val="nil"/>
              <w:right w:val="nil"/>
            </w:tcBorders>
          </w:tcPr>
          <w:p>
            <w:pPr>
              <w:pStyle w:val="Normal6a"/>
            </w:pPr>
            <w:r>
              <w:t xml:space="preserve">Ако националното дружествено право предвижда минимален внесен капитал за учредяването на дружество, което може да се регистрира като ESSU, за целите на регистрацията на това дружество незабавно внесеният капитал трябва да бъде определен на </w:t>
            </w:r>
            <w:r>
              <w:rPr>
                <w:b/>
                <w:i/>
              </w:rPr>
              <w:t>100</w:t>
            </w:r>
            <w:r>
              <w:t xml:space="preserve"> EUR и дружеството следва да бъде задължено да разпредели най-малко 25% от годишната си печалба в законен резерв, докато този резерв, заедно с първоначално внесения капитал, достигне минималния капитал, изискван съгласно въпросното национално право.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целите на опростяването, възможността за регистрация като ESSU не следва да се ограничава до нова категория „иновативни дружества“ или до други ограничаващи фактори, тъй като това би създало допълнително бюрократична работа и ненужна бюрократична тежест.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целите на опростяването, възможността за регистрация като </w:t>
            </w:r>
            <w:r>
              <w:rPr>
                <w:b/>
                <w:i/>
              </w:rPr>
              <w:t>ESSU</w:t>
            </w:r>
            <w:r>
              <w:t xml:space="preserve"> не следва да се ограничава до нова категория „иновативни дружества“ или до други ограничаващи фактори, тъй като това би създало допълнително бюрократична работа и ненужна бюрократична тежест.</w:t>
            </w:r>
          </w:p>
        </w:tc>
        <w:tc>
          <w:tcPr>
            <w:tcW w:w="4876" w:type="dxa"/>
            <w:tcBorders>
              <w:top w:val="nil"/>
              <w:left w:val="nil"/>
              <w:bottom w:val="nil"/>
              <w:right w:val="nil"/>
            </w:tcBorders>
          </w:tcPr>
          <w:p>
            <w:pPr>
              <w:pStyle w:val="Normal6a"/>
            </w:pPr>
            <w:r>
              <w:t xml:space="preserve">За целите на опростяването, възможността за регистрация като </w:t>
            </w:r>
            <w:r>
              <w:rPr>
                <w:b/>
                <w:i/>
              </w:rPr>
              <w:t>SES</w:t>
            </w:r>
            <w:r>
              <w:t xml:space="preserve"> не следва да се ограничава до нова категория „иновативни дружества“ или до други ограничаващи фактори, тъй като това би създало допълнително бюрократична работа и ненужна бюрократична тежест.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Ако ESSU възнамерява да се регистрира на фондовия пазар, от него следва да се изисква да се преобразува в акционерно дружество съгласно националното право или правото на Съюза в съответствие с националните правила и правилата на Съюза за преобразуване.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2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Ако </w:t>
            </w:r>
            <w:r>
              <w:rPr>
                <w:b/>
                <w:i/>
              </w:rPr>
              <w:t>ESSU</w:t>
            </w:r>
            <w:r>
              <w:t xml:space="preserve"> възнамерява да се регистрира на фондовия пазар, от него следва да се изисква да се преобразува в акционерно дружество съгласно националното право или правото на Съюза в съответствие с националните правила и правилата на Съюза за преобразуване.</w:t>
            </w:r>
          </w:p>
        </w:tc>
        <w:tc>
          <w:tcPr>
            <w:tcW w:w="4876" w:type="dxa"/>
            <w:tcBorders>
              <w:top w:val="nil"/>
              <w:left w:val="nil"/>
              <w:bottom w:val="nil"/>
              <w:right w:val="nil"/>
            </w:tcBorders>
          </w:tcPr>
          <w:p>
            <w:pPr>
              <w:pStyle w:val="Normal6a"/>
            </w:pPr>
            <w:r>
              <w:t xml:space="preserve">Ако </w:t>
            </w:r>
            <w:r>
              <w:rPr>
                <w:b/>
                <w:i/>
              </w:rPr>
              <w:t>SES</w:t>
            </w:r>
            <w:r>
              <w:t xml:space="preserve"> възнамерява да се регистрира на фондовия пазар, от него следва да се изисква да се преобразува в акционерно дружество съгласно националното право или правото на Съюза в съответствие с националните правила и правилата на Съюза за преобразуване.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Създаването и регистрацията на </w:t>
            </w:r>
            <w:r>
              <w:rPr>
                <w:b/>
                <w:i/>
              </w:rPr>
              <w:t>ESSU</w:t>
            </w:r>
            <w:r>
              <w:t xml:space="preserve"> следва да </w:t>
            </w:r>
            <w:r>
              <w:rPr>
                <w:b/>
                <w:i/>
              </w:rPr>
              <w:t>бъдат</w:t>
            </w:r>
            <w:r>
              <w:t xml:space="preserve"> изцяло </w:t>
            </w:r>
            <w:r>
              <w:rPr>
                <w:b/>
                <w:i/>
              </w:rPr>
              <w:t>цифрови и да са</w:t>
            </w:r>
            <w:r>
              <w:t xml:space="preserve"> в съответствие с принципа на еднократност. Създаването на </w:t>
            </w:r>
            <w:r>
              <w:rPr>
                <w:b/>
                <w:i/>
              </w:rPr>
              <w:t>ESSU</w:t>
            </w:r>
            <w:r>
              <w:t xml:space="preserve"> трябва да приключи в рамките на 48 часа.</w:t>
            </w:r>
          </w:p>
        </w:tc>
        <w:tc>
          <w:tcPr>
            <w:tcW w:w="4876" w:type="dxa"/>
            <w:tcBorders>
              <w:top w:val="nil"/>
              <w:left w:val="nil"/>
              <w:bottom w:val="nil"/>
              <w:right w:val="nil"/>
            </w:tcBorders>
          </w:tcPr>
          <w:p>
            <w:pPr>
              <w:pStyle w:val="Normal6a"/>
            </w:pPr>
            <w:r>
              <w:t xml:space="preserve">Създаването и регистрацията на </w:t>
            </w:r>
            <w:r>
              <w:rPr>
                <w:b/>
                <w:i/>
              </w:rPr>
              <w:t>SES</w:t>
            </w:r>
            <w:r>
              <w:t xml:space="preserve"> следва да </w:t>
            </w:r>
            <w:r>
              <w:rPr>
                <w:b/>
                <w:i/>
              </w:rPr>
              <w:t>бъде</w:t>
            </w:r>
            <w:r>
              <w:t xml:space="preserve"> изцяло </w:t>
            </w:r>
            <w:r>
              <w:rPr>
                <w:b/>
                <w:i/>
              </w:rPr>
              <w:t>цифрово и да е</w:t>
            </w:r>
            <w:r>
              <w:t xml:space="preserve"> в съответствие с принципа на еднократност</w:t>
            </w:r>
            <w:r>
              <w:rPr>
                <w:b/>
                <w:i/>
              </w:rPr>
              <w:t>, съгласно който дружествата, подаващи документ в една държава членка, не следва да трябва да подават в друга държава членка, в която се установяват</w:t>
            </w:r>
            <w:r>
              <w:t xml:space="preserve">. Създаването на </w:t>
            </w:r>
            <w:r>
              <w:rPr>
                <w:b/>
                <w:i/>
              </w:rPr>
              <w:t>SES</w:t>
            </w:r>
            <w:r>
              <w:t xml:space="preserve"> трябва да приключи в рамките на 48 часа.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Създаването и регистрацията на ESSU следва да бъдат изцяло цифрови и да са в съответствие с принципа на еднократност. Създаването на ESSU трябва да приключи в рамките на </w:t>
            </w:r>
            <w:r>
              <w:rPr>
                <w:b/>
                <w:i/>
              </w:rPr>
              <w:t>48</w:t>
            </w:r>
            <w:r>
              <w:t xml:space="preserve"> часа.</w:t>
            </w:r>
          </w:p>
        </w:tc>
        <w:tc>
          <w:tcPr>
            <w:tcW w:w="4876" w:type="dxa"/>
            <w:tcBorders>
              <w:top w:val="nil"/>
              <w:left w:val="nil"/>
              <w:bottom w:val="nil"/>
              <w:right w:val="nil"/>
            </w:tcBorders>
          </w:tcPr>
          <w:p>
            <w:pPr>
              <w:pStyle w:val="Normal6a"/>
            </w:pPr>
            <w:r>
              <w:t xml:space="preserve">Създаването и регистрацията на ESSU следва да бъдат </w:t>
            </w:r>
            <w:r>
              <w:rPr>
                <w:b/>
                <w:i/>
              </w:rPr>
              <w:t>извършвани чрез централна платформа на ЕС и да бъдат</w:t>
            </w:r>
            <w:r>
              <w:t xml:space="preserve"> изцяло цифрови</w:t>
            </w:r>
            <w:r>
              <w:rPr>
                <w:b/>
                <w:i/>
              </w:rPr>
              <w:t>, налични на всички официални езици на ЕС</w:t>
            </w:r>
            <w:r>
              <w:t xml:space="preserve"> и да са в съответствие с принципа на еднократност. Създаването на ESSU трябва да приключи в рамките на </w:t>
            </w:r>
            <w:r>
              <w:rPr>
                <w:b/>
                <w:i/>
              </w:rPr>
              <w:t>24</w:t>
            </w:r>
            <w:r>
              <w:t xml:space="preserve"> часа.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Създаването и регистрацията на ESSU следва да бъдат изцяло цифрови и да са в съответствие с принципа на еднократност. Създаването на ESSU трябва да приключи в рамките на 48 часа.</w:t>
            </w:r>
          </w:p>
        </w:tc>
        <w:tc>
          <w:tcPr>
            <w:tcW w:w="4876" w:type="dxa"/>
            <w:tcBorders>
              <w:top w:val="nil"/>
              <w:left w:val="nil"/>
              <w:bottom w:val="nil"/>
              <w:right w:val="nil"/>
            </w:tcBorders>
          </w:tcPr>
          <w:p>
            <w:pPr>
              <w:pStyle w:val="Normal6a"/>
            </w:pPr>
            <w:r>
              <w:rPr>
                <w:b/>
                <w:i/>
              </w:rPr>
              <w:t>Като се има предвид Директива (ЕС) 2025/25,</w:t>
            </w:r>
            <w:r>
              <w:t xml:space="preserve"> създаването и регистрацията на ESSU следва да бъдат изцяло цифрови и да са в съответствие с принципа на еднократност. Създаването на ESSU трябва да приключи в рамките на 48 часа.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Създаването и регистрацията на ESSU </w:t>
            </w:r>
            <w:r>
              <w:rPr>
                <w:b/>
                <w:i/>
              </w:rPr>
              <w:t>следва да бъдат</w:t>
            </w:r>
            <w:r>
              <w:t xml:space="preserve"> изцяло цифрови и да са в съответствие с принципа на еднократност. Създаването на ESSU трябва да приключи в рамките на 48 часа.</w:t>
            </w:r>
          </w:p>
        </w:tc>
        <w:tc>
          <w:tcPr>
            <w:tcW w:w="4876" w:type="dxa"/>
            <w:tcBorders>
              <w:top w:val="nil"/>
              <w:left w:val="nil"/>
              <w:bottom w:val="nil"/>
              <w:right w:val="nil"/>
            </w:tcBorders>
          </w:tcPr>
          <w:p>
            <w:pPr>
              <w:pStyle w:val="Normal6a"/>
            </w:pPr>
            <w:r>
              <w:t>Създаването и регистрацията на ESSU </w:t>
            </w:r>
            <w:r>
              <w:rPr>
                <w:b/>
                <w:i/>
              </w:rPr>
              <w:t>са</w:t>
            </w:r>
            <w:r>
              <w:t xml:space="preserve"> изцяло цифрови и да са в съответствие с принципа на еднократност. Създаването на ESSU трябва да приключи в рамките на 48 часа.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Създаването и регистрацията на ESSU </w:t>
            </w:r>
            <w:r>
              <w:rPr>
                <w:b/>
                <w:i/>
              </w:rPr>
              <w:t>следва да бъдат</w:t>
            </w:r>
            <w:r>
              <w:t xml:space="preserve"> изцяло цифрови и да са в съответствие с принципа на еднократност. Създаването на ESSU трябва да приключи в рамките на </w:t>
            </w:r>
            <w:r>
              <w:rPr>
                <w:b/>
                <w:i/>
              </w:rPr>
              <w:t>48</w:t>
            </w:r>
            <w:r>
              <w:t xml:space="preserve"> часа.</w:t>
            </w:r>
          </w:p>
        </w:tc>
        <w:tc>
          <w:tcPr>
            <w:tcW w:w="4876" w:type="dxa"/>
            <w:tcBorders>
              <w:top w:val="nil"/>
              <w:left w:val="nil"/>
              <w:bottom w:val="nil"/>
              <w:right w:val="nil"/>
            </w:tcBorders>
          </w:tcPr>
          <w:p>
            <w:pPr>
              <w:pStyle w:val="Normal6a"/>
            </w:pPr>
            <w:r>
              <w:t xml:space="preserve">Създаването и регистрацията на ESSU </w:t>
            </w:r>
            <w:r>
              <w:rPr>
                <w:b/>
                <w:i/>
              </w:rPr>
              <w:t>са</w:t>
            </w:r>
            <w:r>
              <w:t xml:space="preserve"> изцяло цифрови и да са в съответствие с принципа на еднократност. Създаването на ESSU трябва да приключи в рамките на </w:t>
            </w:r>
            <w:r>
              <w:rPr>
                <w:b/>
                <w:i/>
              </w:rPr>
              <w:t>24</w:t>
            </w:r>
            <w:r>
              <w:t xml:space="preserve"> часа.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При създаването си ESSU следва да получи единна цифрова самоличност и идентификационен код на дружеството,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w:t>
            </w:r>
            <w:r>
              <w:rPr>
                <w:b/>
                <w:i/>
              </w:rPr>
              <w:t>и</w:t>
            </w:r>
            <w:r>
              <w:t xml:space="preserve"> отклонението от данъчно облагане.</w:t>
            </w:r>
          </w:p>
        </w:tc>
        <w:tc>
          <w:tcPr>
            <w:tcW w:w="4876" w:type="dxa"/>
            <w:tcBorders>
              <w:top w:val="nil"/>
              <w:left w:val="nil"/>
              <w:bottom w:val="nil"/>
              <w:right w:val="nil"/>
            </w:tcBorders>
          </w:tcPr>
          <w:p>
            <w:pPr>
              <w:pStyle w:val="Normal6a"/>
            </w:pPr>
            <w:r>
              <w:t>При създаването си ESSU следва да получи единна цифрова самоличност и идентификационен код на дружеството,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w:t>
            </w:r>
            <w:r>
              <w:rPr>
                <w:b/>
                <w:i/>
              </w:rPr>
              <w:t>, с изпирането на пари и с</w:t>
            </w:r>
            <w:r>
              <w:t xml:space="preserve"> отклонението от данъчно облагане.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При създаването си </w:t>
            </w:r>
            <w:r>
              <w:rPr>
                <w:b/>
                <w:i/>
              </w:rPr>
              <w:t>ESSU</w:t>
            </w:r>
            <w:r>
              <w:t xml:space="preserve"> следва да получи единна цифрова самоличност и идентификационен код на дружеството,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c>
          <w:tcPr>
            <w:tcW w:w="4876" w:type="dxa"/>
            <w:tcBorders>
              <w:top w:val="nil"/>
              <w:left w:val="nil"/>
              <w:bottom w:val="nil"/>
              <w:right w:val="nil"/>
            </w:tcBorders>
          </w:tcPr>
          <w:p>
            <w:pPr>
              <w:pStyle w:val="Normal6a"/>
            </w:pPr>
            <w:r>
              <w:t xml:space="preserve">При създаването си </w:t>
            </w:r>
            <w:r>
              <w:rPr>
                <w:b/>
                <w:i/>
              </w:rPr>
              <w:t>SES</w:t>
            </w:r>
            <w:r>
              <w:t xml:space="preserve"> следва да получи единна цифрова самоличност и идентификационен код на дружеството, за да се рационализира регистрацията, да се повишат прозрачността и доверието, да се улесни проверката на идентичността на дружествата и да се води борба с измамите и отклонението от данъчно облагане.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За да се улесни постигането на тези цели, Комисията следва да създаде и управлява единен цифров дружествен регистър на равнището на Съюза за ESSU. Такъв регистър ще допълни и разшири съществуващата система за взаимно свързване на търговските регистри (BRIS). Единният цифров регистър на дружествата на равнището на Съюза не следва да заменя съществуващите национални правила за учредяване, а по-скоро да служи като общ портал. Когато се регистрира в цифровия регистър на дружествата на равнището на Съюза, дружеството трябва да избере държава членка като място на учредяване и по този начин — националното право, приложимо към учредяването.</w:t>
            </w:r>
          </w:p>
        </w:tc>
        <w:tc>
          <w:tcPr>
            <w:tcW w:w="4876" w:type="dxa"/>
            <w:tcBorders>
              <w:top w:val="nil"/>
              <w:left w:val="nil"/>
              <w:bottom w:val="nil"/>
              <w:right w:val="nil"/>
            </w:tcBorders>
          </w:tcPr>
          <w:p>
            <w:pPr>
              <w:pStyle w:val="Normal6a"/>
            </w:pPr>
            <w:r>
              <w:t>За да се улесни постигането на тези цели, Комисията следва да създаде и управлява единен цифров дружествен регистър на равнището на Съюза за ESSU. Такъв регистър ще допълни и разшири съществуващата система за взаимно свързване на търговските регистри (BRIS)</w:t>
            </w:r>
            <w:r>
              <w:rPr>
                <w:b/>
                <w:i/>
              </w:rPr>
              <w:t>, която понастоящем не е нито практична, нито достатъчно известна</w:t>
            </w:r>
            <w:r>
              <w:t>. Единният цифров регистър на дружествата на равнището на Съюза не следва да заменя съществуващите национални правила за учредяване, а по-скоро да служи като общ портал</w:t>
            </w:r>
            <w:r>
              <w:rPr>
                <w:b/>
                <w:i/>
              </w:rPr>
              <w:t>, където цялата информация, необходима на инвеститорите, ще бъде обобщена.</w:t>
            </w:r>
            <w:r>
              <w:t xml:space="preserve"> </w:t>
            </w:r>
            <w:r>
              <w:rPr>
                <w:b/>
                <w:i/>
              </w:rPr>
              <w:t>Поради това държавите членки следва да предават автоматично документите на регистъра на Съюза, като гарантират признаване и безпрепятствен достъп за заинтересованите страни.</w:t>
            </w:r>
            <w:r>
              <w:t xml:space="preserve"> </w:t>
            </w:r>
            <w:r>
              <w:rPr>
                <w:b/>
                <w:i/>
              </w:rPr>
              <w:t>Платформата следва също така да предоставя информация за националните процедури и ресурси, както и образци на документи на инвеститорите за SES</w:t>
            </w:r>
            <w:r>
              <w:t>. Когато се регистрира в цифровия регистър на дружествата на равнището на Съюза, дружеството трябва да избере държава членка като място на учредяване и по този начин — националното право, приложимо към учредяването.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w:t>
            </w:r>
            <w:r>
              <w:rPr>
                <w:b/>
                <w:i/>
              </w:rPr>
              <w:t>единен цифров дружествен регистър</w:t>
            </w:r>
            <w:r>
              <w:t xml:space="preserve"> на равнището на Съюза </w:t>
            </w:r>
            <w:r>
              <w:rPr>
                <w:b/>
                <w:i/>
              </w:rPr>
              <w:t>за</w:t>
            </w:r>
            <w:r>
              <w:t xml:space="preserve"> ESSU. </w:t>
            </w:r>
            <w:r>
              <w:rPr>
                <w:b/>
                <w:i/>
              </w:rPr>
              <w:t>Такъв регистър</w:t>
            </w:r>
            <w:r>
              <w:t xml:space="preserve"> ще допълни и разшири </w:t>
            </w:r>
            <w:r>
              <w:rPr>
                <w:b/>
                <w:i/>
              </w:rPr>
              <w:t>съществуващата система</w:t>
            </w:r>
            <w:r>
              <w:t xml:space="preserve"> за взаимно свързване на търговските регистри (BRIS). </w:t>
            </w:r>
            <w:r>
              <w:rPr>
                <w:b/>
                <w:i/>
              </w:rPr>
              <w:t>Единният цифров регистър на дружествата</w:t>
            </w:r>
            <w:r>
              <w:t xml:space="preserve"> на равнището на Съюза не следва да заменя </w:t>
            </w:r>
            <w:r>
              <w:rPr>
                <w:b/>
                <w:i/>
              </w:rPr>
              <w:t>съществуващите национални</w:t>
            </w:r>
            <w:r>
              <w:t xml:space="preserve"> правила </w:t>
            </w:r>
            <w:r>
              <w:rPr>
                <w:b/>
                <w:i/>
              </w:rPr>
              <w:t>за учредяване, а по-скоро да служи</w:t>
            </w:r>
            <w:r>
              <w:t xml:space="preserve"> като общ портал. </w:t>
            </w:r>
            <w:r>
              <w:rPr>
                <w:b/>
                <w:i/>
              </w:rPr>
              <w:t>Когато се регистрира в цифровия регистър на дружествата на равнището на Съюза,</w:t>
            </w:r>
            <w:r>
              <w:t xml:space="preserve"> дружеството трябва да избере държава членка като място на учредяване и </w:t>
            </w:r>
            <w:r>
              <w:rPr>
                <w:b/>
                <w:i/>
              </w:rPr>
              <w:t>по този начин —</w:t>
            </w:r>
            <w:r>
              <w:t xml:space="preserve"> националното право, приложимо към учредяването.</w:t>
            </w:r>
          </w:p>
        </w:tc>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w:t>
            </w:r>
            <w:r>
              <w:rPr>
                <w:b/>
                <w:i/>
              </w:rPr>
              <w:t>точка за достъп</w:t>
            </w:r>
            <w:r>
              <w:t xml:space="preserve"> на равнището на Съюза </w:t>
            </w:r>
            <w:r>
              <w:rPr>
                <w:b/>
                <w:i/>
              </w:rPr>
              <w:t>на европейския портал за електронно правосъдие за регистрацията на</w:t>
            </w:r>
            <w:r>
              <w:t xml:space="preserve"> ESSU. </w:t>
            </w:r>
            <w:r>
              <w:rPr>
                <w:b/>
                <w:i/>
              </w:rPr>
              <w:t>Тази точка за достъп</w:t>
            </w:r>
            <w:r>
              <w:t xml:space="preserve"> ще допълни и разшири </w:t>
            </w:r>
            <w:r>
              <w:rPr>
                <w:b/>
                <w:i/>
              </w:rPr>
              <w:t>системата</w:t>
            </w:r>
            <w:r>
              <w:t xml:space="preserve"> за взаимно свързване на търговските регистри (BRIS). </w:t>
            </w:r>
            <w:r>
              <w:rPr>
                <w:b/>
                <w:i/>
              </w:rPr>
              <w:t>Точката за достъп</w:t>
            </w:r>
            <w:r>
              <w:t xml:space="preserve"> на равнището на Съюза не следва да заменя </w:t>
            </w:r>
            <w:r>
              <w:rPr>
                <w:b/>
                <w:i/>
              </w:rPr>
              <w:t>националните учредителни</w:t>
            </w:r>
            <w:r>
              <w:t xml:space="preserve"> правила</w:t>
            </w:r>
            <w:r>
              <w:rPr>
                <w:b/>
                <w:i/>
              </w:rPr>
              <w:t>, а да функционира</w:t>
            </w:r>
            <w:r>
              <w:t xml:space="preserve"> като общ портал. </w:t>
            </w:r>
            <w:r>
              <w:rPr>
                <w:b/>
                <w:i/>
              </w:rPr>
              <w:t>При достъпа до тази точка за достъп</w:t>
            </w:r>
            <w:r>
              <w:t xml:space="preserve"> дружеството трябва да избере държава членка като място на учредяване и </w:t>
            </w:r>
            <w:r>
              <w:rPr>
                <w:b/>
                <w:i/>
              </w:rPr>
              <w:t>съответно</w:t>
            </w:r>
            <w:r>
              <w:t xml:space="preserve"> националното право, приложимо към учредяването. </w:t>
            </w:r>
            <w:r>
              <w:rPr>
                <w:b/>
                <w:i/>
              </w:rPr>
              <w:t>Точката за достъп ще функционира като директно влизане в националните системи за обслужване на едно гише, за да могат дружествата да бъдат регистрирани като ESSU.</w:t>
            </w:r>
            <w:r>
              <w:t xml:space="preserve"> </w:t>
            </w:r>
            <w:r>
              <w:rPr>
                <w:b/>
                <w:i/>
              </w:rPr>
              <w:t>Създаването, подаването и актуализациите следва да се управляват в съответствие с националното право веднъж чрез единичните звена за контакт, достъпни чрез точката за достъп, въз основа на многоезичен интерфейс и стандартите за идентификация, предвидени в Регламента относно електронната идентификация и удостоверителните услуги.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w:t>
            </w:r>
            <w:r>
              <w:rPr>
                <w:b/>
                <w:i/>
              </w:rPr>
              <w:t>единен цифров дружествен регистър на</w:t>
            </w:r>
            <w:r>
              <w:t xml:space="preserve"> равнището на Съюза </w:t>
            </w:r>
            <w:r>
              <w:rPr>
                <w:b/>
                <w:i/>
              </w:rPr>
              <w:t>за ESSU.</w:t>
            </w:r>
            <w:r>
              <w:t xml:space="preserve"> </w:t>
            </w:r>
            <w:r>
              <w:rPr>
                <w:b/>
                <w:i/>
              </w:rPr>
              <w:t>Такъв регистър</w:t>
            </w:r>
            <w:r>
              <w:t xml:space="preserve"> ще допълни и разшири съществуващата система за взаимно свързване на търговските регистри (BRIS). </w:t>
            </w:r>
            <w:r>
              <w:rPr>
                <w:b/>
                <w:i/>
              </w:rPr>
              <w:t>Единният цифров регистър на дружествата</w:t>
            </w:r>
            <w:r>
              <w:t xml:space="preserve"> на равнището на Съюза не следва да заменя съществуващите национални правила за учредяване, а по-скоро да служи като общ портал. </w:t>
            </w:r>
            <w:r>
              <w:rPr>
                <w:b/>
                <w:i/>
              </w:rPr>
              <w:t>Когато се регистрира в цифровия регистър на дружествата на равнището на Съюза, дружеството трябва да избере държава членка като място на учредяване и по този начин — националното право, приложимо към учредяването.</w:t>
            </w:r>
          </w:p>
        </w:tc>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w:t>
            </w:r>
            <w:r>
              <w:rPr>
                <w:b/>
                <w:i/>
              </w:rPr>
              <w:t>а</w:t>
            </w:r>
            <w:r>
              <w:t xml:space="preserve"> равнището на Съюза </w:t>
            </w:r>
            <w:r>
              <w:rPr>
                <w:b/>
                <w:i/>
              </w:rPr>
              <w:t>точка за достъп на европейския портал за електронно правосъдие.</w:t>
            </w:r>
            <w:r>
              <w:t xml:space="preserve"> </w:t>
            </w:r>
            <w:r>
              <w:rPr>
                <w:b/>
                <w:i/>
              </w:rPr>
              <w:t>Тази точка за достъп</w:t>
            </w:r>
            <w:r>
              <w:t xml:space="preserve"> ще допълни и разшири съществуващата система за взаимно свързване на търговските регистри (BRIS). </w:t>
            </w:r>
            <w:r>
              <w:rPr>
                <w:b/>
                <w:i/>
              </w:rPr>
              <w:t>Точката за достъп</w:t>
            </w:r>
            <w:r>
              <w:t xml:space="preserve"> на равнището на Съюза не следва да заменя съществуващите национални правила за учредяване, а по-скоро да служи като общ портал.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w:t>
            </w:r>
            <w:r>
              <w:rPr>
                <w:b/>
                <w:i/>
              </w:rPr>
              <w:t>единен цифров дружествен регистър</w:t>
            </w:r>
            <w:r>
              <w:t xml:space="preserve"> на равнището на Съюза за ESSU. </w:t>
            </w:r>
            <w:r>
              <w:rPr>
                <w:b/>
                <w:i/>
              </w:rPr>
              <w:t>Такъв регистър</w:t>
            </w:r>
            <w:r>
              <w:t xml:space="preserve"> ще допълни и разшири съществуващата система за взаимно свързване на търговските регистри (BRIS)</w:t>
            </w:r>
            <w:r>
              <w:rPr>
                <w:b/>
                <w:i/>
              </w:rPr>
              <w:t>.</w:t>
            </w:r>
            <w:r>
              <w:t xml:space="preserve"> </w:t>
            </w:r>
            <w:r>
              <w:rPr>
                <w:b/>
                <w:i/>
              </w:rPr>
              <w:t>Единният цифров</w:t>
            </w:r>
            <w:r>
              <w:t xml:space="preserve"> регистър </w:t>
            </w:r>
            <w:r>
              <w:rPr>
                <w:b/>
                <w:i/>
              </w:rPr>
              <w:t>на дружествата на равнището на Съюза</w:t>
            </w:r>
            <w:r>
              <w:t xml:space="preserve"> не следва да заменя съществуващите национални правила за учредяване, а по-скоро да служи като общ портал. Когато </w:t>
            </w:r>
            <w:r>
              <w:rPr>
                <w:b/>
                <w:i/>
              </w:rPr>
              <w:t>се регистрира в цифровия регистър на дружествата на равнището на Съюза, дружеството</w:t>
            </w:r>
            <w:r>
              <w:t xml:space="preserve"> трябва да избере държава членка като място на учредяване и по този начин — националното право, приложимо към учредяването.</w:t>
            </w:r>
          </w:p>
        </w:tc>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w:t>
            </w:r>
            <w:r>
              <w:rPr>
                <w:b/>
                <w:i/>
              </w:rPr>
              <w:t>точка за пряк достъп</w:t>
            </w:r>
            <w:r>
              <w:t xml:space="preserve"> на равнището на Съюза за ESSU. </w:t>
            </w:r>
            <w:r>
              <w:rPr>
                <w:b/>
                <w:i/>
              </w:rPr>
              <w:t>Тази входна точка</w:t>
            </w:r>
            <w:r>
              <w:t xml:space="preserve"> ще допълни и разшири съществуващата система за взаимно свързване на търговските регистри (BRIS) </w:t>
            </w:r>
            <w:r>
              <w:rPr>
                <w:b/>
                <w:i/>
              </w:rPr>
              <w:t>чрез осигуряване на хармонизиран интерфейс с единен достъп за трансгранично използване, без да се създава отделен или паралелен</w:t>
            </w:r>
            <w:r>
              <w:t xml:space="preserve"> регистър</w:t>
            </w:r>
            <w:r>
              <w:rPr>
                <w:b/>
                <w:i/>
              </w:rPr>
              <w:t>.</w:t>
            </w:r>
            <w:r>
              <w:t xml:space="preserve"> </w:t>
            </w:r>
            <w:r>
              <w:rPr>
                <w:b/>
                <w:i/>
              </w:rPr>
              <w:t>Цифровата точка за пряк достъп</w:t>
            </w:r>
            <w:r>
              <w:t xml:space="preserve"> не следва да заменя съществуващите национални правила за учредяване, а по-скоро да служи като общ портал </w:t>
            </w:r>
            <w:r>
              <w:rPr>
                <w:b/>
                <w:i/>
              </w:rPr>
              <w:t>за тези правила</w:t>
            </w:r>
            <w:r>
              <w:t xml:space="preserve">. Когато </w:t>
            </w:r>
            <w:r>
              <w:rPr>
                <w:b/>
                <w:i/>
              </w:rPr>
              <w:t>използва тази входна точка за регистриране на дадено ESSU, заявителят</w:t>
            </w:r>
            <w:r>
              <w:t xml:space="preserve"> трябва да избере държава членка като място на учредяване и по този начин — националното право, приложимо към учредяването.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единен цифров дружествен регистър на равнището на Съюза за </w:t>
            </w:r>
            <w:r>
              <w:rPr>
                <w:b/>
                <w:i/>
              </w:rPr>
              <w:t>ESSU</w:t>
            </w:r>
            <w:r>
              <w:t>. Такъв регистър ще допълни и разшири съществуващата система за взаимно свързване на търговските регистри (BRIS). Единният цифров регистър на дружествата на равнището на Съюза не следва да заменя съществуващите национални правила за учредяване, а по-скоро да служи като общ портал. Когато се регистрира в цифровия регистър на дружествата на равнището на Съюза, дружеството трябва да избере държава членка като място на учредяване и по този начин — националното право, приложимо към учредяването.</w:t>
            </w:r>
          </w:p>
        </w:tc>
        <w:tc>
          <w:tcPr>
            <w:tcW w:w="4876" w:type="dxa"/>
            <w:tcBorders>
              <w:top w:val="nil"/>
              <w:left w:val="nil"/>
              <w:bottom w:val="nil"/>
              <w:right w:val="nil"/>
            </w:tcBorders>
          </w:tcPr>
          <w:p>
            <w:pPr>
              <w:pStyle w:val="Normal6a"/>
            </w:pPr>
            <w:r>
              <w:t xml:space="preserve">За да се улесни постигането на тези цели, Комисията следва да създаде и управлява единен цифров дружествен регистър на равнището на Съюза за </w:t>
            </w:r>
            <w:r>
              <w:rPr>
                <w:b/>
                <w:i/>
              </w:rPr>
              <w:t>SES</w:t>
            </w:r>
            <w:r>
              <w:t>. Такъв регистър ще допълни и разшири съществуващата система за взаимно свързване на търговските регистри (BRIS). Единният цифров регистър на дружествата на равнището на Съюза не следва да заменя съществуващите национални правила за учредяване, а по-скоро да служи като общ портал. Когато се регистрира в цифровия регистър на дружествата на равнището на Съюза, дружеството трябва да избере държава членка като място на учредяване и по този начин — националното право, приложимо към учредяването.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Единният цифров регистър на дружествата на равнището на Съюза ще създаде пряка</w:t>
            </w:r>
            <w:r>
              <w:t xml:space="preserve"> входна точка за </w:t>
            </w:r>
            <w:r>
              <w:rPr>
                <w:b/>
                <w:i/>
              </w:rPr>
              <w:t>дружествата, които желаят да се регистрират</w:t>
            </w:r>
            <w:r>
              <w:t xml:space="preserve"> като ESSU. Учредяването, попълването и актуализирането следва да се извършват </w:t>
            </w:r>
            <w:r>
              <w:rPr>
                <w:b/>
                <w:i/>
              </w:rPr>
              <w:t>от този регистър еднократно и до тях следва да има достъп във всички държави членки въз основа на многоезичен интерфейс и хармонизирани стандарти за идентификация съгласно Регламента относно електронната идентификация и удостоверителните услуги</w:t>
            </w:r>
            <w:r>
              <w:rPr>
                <w:b/>
                <w:i/>
                <w:vertAlign w:val="superscript"/>
              </w:rPr>
              <w:t>1</w:t>
            </w:r>
            <w:r>
              <w:rPr>
                <w:b/>
                <w:i/>
              </w:rPr>
              <w:t>.</w:t>
            </w:r>
            <w:r>
              <w:t xml:space="preserve"> </w:t>
            </w:r>
            <w:r>
              <w:rPr>
                <w:b/>
                <w:i/>
              </w:rPr>
              <w:t>Регистърът може да използва мрежа от оправомощени децентрализирани регистри (ТДР), която записва най-важните свързани с предприятието събития, като регистрации или прехвърляне на дялове, с неизменими времеви печати</w:t>
            </w:r>
            <w:r>
              <w:t>.</w:t>
            </w:r>
          </w:p>
        </w:tc>
        <w:tc>
          <w:tcPr>
            <w:tcW w:w="4876" w:type="dxa"/>
            <w:tcBorders>
              <w:top w:val="nil"/>
              <w:left w:val="nil"/>
              <w:bottom w:val="nil"/>
              <w:right w:val="nil"/>
            </w:tcBorders>
          </w:tcPr>
          <w:p>
            <w:pPr>
              <w:pStyle w:val="Normal6a"/>
            </w:pPr>
            <w:r>
              <w:rPr>
                <w:b/>
                <w:i/>
              </w:rPr>
              <w:t>Точката за достъп ще служи като директна</w:t>
            </w:r>
            <w:r>
              <w:t xml:space="preserve"> входна точка за </w:t>
            </w:r>
            <w:r>
              <w:rPr>
                <w:b/>
                <w:i/>
              </w:rPr>
              <w:t>търсене на дружества, регистрирани</w:t>
            </w:r>
            <w:r>
              <w:t xml:space="preserve"> като ESSU. Учредяването, попълването и актуализирането следва да се извършват </w:t>
            </w:r>
            <w:r>
              <w:rPr>
                <w:b/>
                <w:i/>
              </w:rPr>
              <w:t>в съответствие с Директива (ЕС) 2025/25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Регламент (ЕС) № 910/2014 на Европейския парламент и на Съвета от 23 юли 2014 г.</w:t>
            </w:r>
            <w:r>
              <w:t xml:space="preserve"> </w:t>
            </w:r>
            <w:r>
              <w:rPr>
                <w:b/>
                <w:i/>
              </w:rPr>
              <w:t>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w:t>
            </w:r>
            <w:r>
              <w:t xml:space="preserve"> </w:t>
            </w:r>
            <w:r>
              <w:rPr>
                <w:b/>
                <w:i/>
              </w:rPr>
              <w:t>73, ELI: http://data.europa.eu/eli/reg/2014/910/oj).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Единният цифров регистър на дружествата</w:t>
            </w:r>
            <w:r>
              <w:t xml:space="preserve"> на равнището на Съюза </w:t>
            </w:r>
            <w:r>
              <w:rPr>
                <w:b/>
                <w:i/>
              </w:rPr>
              <w:t>ще създаде пряка входна точка за</w:t>
            </w:r>
            <w:r>
              <w:t xml:space="preserve"> дружествата</w:t>
            </w:r>
            <w:r>
              <w:rPr>
                <w:b/>
                <w:i/>
              </w:rPr>
              <w:t>, които желаят</w:t>
            </w:r>
            <w:r>
              <w:t xml:space="preserve"> да се регистрират като ESSU</w:t>
            </w:r>
            <w:r>
              <w:rPr>
                <w:b/>
                <w:i/>
              </w:rPr>
              <w:t>.</w:t>
            </w:r>
            <w:r>
              <w:t xml:space="preserve"> Учредяването, попълването и </w:t>
            </w:r>
            <w:r>
              <w:rPr>
                <w:b/>
                <w:i/>
              </w:rPr>
              <w:t>актуализирането</w:t>
            </w:r>
            <w:r>
              <w:t xml:space="preserve"> следва да </w:t>
            </w:r>
            <w:r>
              <w:rPr>
                <w:b/>
                <w:i/>
              </w:rPr>
              <w:t>се извършват от този регистър еднократно и до тях следва да има достъп</w:t>
            </w:r>
            <w:r>
              <w:t xml:space="preserve"> във всички държави членки въз основа на многоезичен интерфейс и хармонизирани стандарти за идентификация съгласно Регламента относно електронната идентификация и удостоверителните услуги</w:t>
            </w:r>
            <w:r>
              <w:rPr>
                <w:vertAlign w:val="superscript"/>
              </w:rPr>
              <w:t>1</w:t>
            </w:r>
            <w:r>
              <w:t>. Регистърът може да използва мрежа от оправомощени децентрализирани регистри (ТДР), която записва най-важните свързани с предприятието събития, като регистрации или прехвърляне на дялове, с неизменими времеви печати.</w:t>
            </w:r>
          </w:p>
        </w:tc>
        <w:tc>
          <w:tcPr>
            <w:tcW w:w="4876" w:type="dxa"/>
            <w:tcBorders>
              <w:top w:val="nil"/>
              <w:left w:val="nil"/>
              <w:bottom w:val="nil"/>
              <w:right w:val="nil"/>
            </w:tcBorders>
          </w:tcPr>
          <w:p>
            <w:pPr>
              <w:pStyle w:val="Normal6a"/>
            </w:pPr>
            <w:r>
              <w:rPr>
                <w:b/>
                <w:i/>
              </w:rPr>
              <w:t>Единната цифрова директна входна точка</w:t>
            </w:r>
            <w:r>
              <w:t xml:space="preserve"> на равнището на Съюза</w:t>
            </w:r>
            <w:r>
              <w:rPr>
                <w:b/>
                <w:i/>
              </w:rPr>
              <w:t>, където</w:t>
            </w:r>
            <w:r>
              <w:t xml:space="preserve"> дружествата да се регистрират като ESSU</w:t>
            </w:r>
            <w:r>
              <w:rPr>
                <w:b/>
                <w:i/>
              </w:rPr>
              <w:t>, следва да управлява</w:t>
            </w:r>
            <w:r>
              <w:t xml:space="preserve"> учредяването, попълването и </w:t>
            </w:r>
            <w:r>
              <w:rPr>
                <w:b/>
                <w:i/>
              </w:rPr>
              <w:t>актуализациите само веднъж и</w:t>
            </w:r>
            <w:r>
              <w:t xml:space="preserve"> следва да </w:t>
            </w:r>
            <w:r>
              <w:rPr>
                <w:b/>
                <w:i/>
              </w:rPr>
              <w:t>бъде достъпна</w:t>
            </w:r>
            <w:r>
              <w:t xml:space="preserve"> във всички държави членки въз основа на многоезичен интерфейс и хармонизирани стандарти за идентификация съгласно Регламента относно електронната идентификация и удостоверителните услуги</w:t>
            </w:r>
            <w:r>
              <w:rPr>
                <w:vertAlign w:val="superscript"/>
              </w:rPr>
              <w:t>1</w:t>
            </w:r>
            <w:r>
              <w:t>. Регистърът може да използва мрежа от оправомощени децентрализирани регистри (ТДР), която записва най-важните свързани с предприятието събития, като регистрации или прехвърляне на дялове, с неизменими времеви печати.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w:t>
            </w:r>
            <w:r>
              <w:rPr>
                <w:b/>
                <w:i/>
              </w:rPr>
              <w:t> </w:t>
            </w:r>
            <w:r>
              <w:t xml:space="preserve">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Единният цифров регистър на дружествата на равнището на Съюза ще създаде пряка входна точка за дружествата, които желаят да се регистрират като </w:t>
            </w:r>
            <w:r>
              <w:rPr>
                <w:b/>
                <w:i/>
              </w:rPr>
              <w:t>ESSU</w:t>
            </w:r>
            <w:r>
              <w:t>. Учредяването, попълването и актуализирането следва да се извършват от този регистър еднократно и до тях следва да има достъп във всички държави членки въз основа на многоезичен интерфейс и хармонизирани стандарти за идентификация съгласно Регламента относно електронната идентификация и удостоверителните услуги</w:t>
            </w:r>
            <w:r>
              <w:rPr>
                <w:vertAlign w:val="superscript"/>
              </w:rPr>
              <w:t>1</w:t>
            </w:r>
            <w:r>
              <w:t>. Регистърът може да използва мрежа от оправомощени децентрализирани регистри (ТДР), която записва най-важните свързани с предприятието събития, като регистрации или прехвърляне на дялове, с неизменими времеви печати.</w:t>
            </w:r>
          </w:p>
        </w:tc>
        <w:tc>
          <w:tcPr>
            <w:tcW w:w="4876" w:type="dxa"/>
            <w:tcBorders>
              <w:top w:val="nil"/>
              <w:left w:val="nil"/>
              <w:bottom w:val="nil"/>
              <w:right w:val="nil"/>
            </w:tcBorders>
          </w:tcPr>
          <w:p>
            <w:pPr>
              <w:pStyle w:val="Normal6a"/>
            </w:pPr>
            <w:r>
              <w:t xml:space="preserve">Единният цифров регистър на дружествата на равнището на Съюза ще създаде пряка входна точка за дружествата, които желаят да се регистрират като </w:t>
            </w:r>
            <w:r>
              <w:rPr>
                <w:b/>
                <w:i/>
              </w:rPr>
              <w:t>SES</w:t>
            </w:r>
            <w:r>
              <w:t>. Учредяването, попълването и актуализирането следва да се извършват от този регистър еднократно и до тях следва да има достъп във всички държави членки въз основа на многоезичен интерфейс и хармонизирани стандарти за идентификация съгласно Регламента относно електронната идентификация и удостоверителните услуги</w:t>
            </w:r>
            <w:r>
              <w:rPr>
                <w:vertAlign w:val="superscript"/>
              </w:rPr>
              <w:t>1</w:t>
            </w:r>
            <w:r>
              <w:t>. Регистърът може да използва мрежа от оправомощени децентрализирани регистри (ТДР), която записва най-важните свързани с предприятието събития, като регистрации или прехвърляне на дялове, с неизменими времеви печати.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w:t>
            </w:r>
            <w:r>
              <w:rPr>
                <w:b/>
                <w:i/>
              </w:rPr>
              <w:t> </w:t>
            </w:r>
            <w:r>
              <w:t xml:space="preserve">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Цифровият дружествен регистър следва също така да включва задвижвани от ИИ системи за валидиране и цифрови механизми за проверка, за да се ускори допълнително регистрацията и да се сведат до минимум грешките.</w:t>
            </w:r>
            <w:r>
              <w:t xml:space="preserve"> </w:t>
            </w:r>
            <w:r>
              <w:rPr>
                <w:b/>
                <w:i/>
              </w:rPr>
              <w:t>Тези системи да проверяват автоматично учредителните документи, електронните самоличности (e-ID) и нотариално заверените удостоверения за пълнота и спазване на правните изисквания, като сигнализират за несъответствия в реално време.</w:t>
            </w:r>
            <w:r>
              <w:t xml:space="preserve"> </w:t>
            </w:r>
            <w:r>
              <w:rPr>
                <w:b/>
                <w:i/>
              </w:rPr>
              <w:t>Освен това те следва да се интегрират в съществуващите бази данни на електронното правосъдие и националните търговски регистри, както и в списъците за наблюдение „Опознай клиента си“ (KYC)/„Борба с изпирането на пари“ (AML), за да проверяват данните в реално време спрямо списъците за наблюдение на национално равнище и на равнището на Съюза (като например списъци на крайните действителни собственици или списъци със санкции).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Освен това следва да се създаде онлайн платформа за дружества, за да се улесни сигурното цифрово подписване на документи, включително за нотариусите, продажбата и разпределянето на акции, създаването и приемането на решения на управителните съвети и предоставянето на услуги за електронно фактуриране.</w:t>
            </w:r>
            <w:r>
              <w:t xml:space="preserve"> </w:t>
            </w:r>
            <w:r>
              <w:rPr>
                <w:b/>
                <w:i/>
              </w:rPr>
              <w:t>Тази платформа следва също така да позволява преносимостта на сертификатите, лицензите и разрешенията, издадени в една държава членка, да бъдат признати и използвани в целия Съюз в съответствие с приложимото право на Съюза и национално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Следва да се въведе опростена процедура за учредяването на ESSUs, когато всички потенциални членове или акционери са граждани на Съюза, които са в състояние да удостоверят автентичността на електронната самоличност (eiDAS), или ESSU, за които това е така и при която се използва образецът на устав, разработен от Европейската комисия.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3 – параграф 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Трябва да се даде възможност всички парични вноски в брой, които се изискват по закон за учредяването на дружеството, да могат да се правят в публична доверителна агенция за периода преди приключването на откриването на банкова сметка.</w:t>
            </w:r>
            <w:r>
              <w:t xml:space="preserve"> </w:t>
            </w:r>
            <w:r>
              <w:rPr>
                <w:b/>
                <w:i/>
              </w:rPr>
              <w:t>След откриването на банковата сметка доверителната агенция превежда паричните вноски по тази банкова сметка.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Гаранции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Правилата относно ESSU не следва да засягат индивидуалното и колективното трудово право, нито правилата относно съвместното вземане на решения от служителите.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Правилата относно </w:t>
            </w:r>
            <w:r>
              <w:rPr>
                <w:b/>
                <w:i/>
              </w:rPr>
              <w:t>ESSU</w:t>
            </w:r>
            <w:r>
              <w:t xml:space="preserve"> не следва да засягат индивидуалното и колективното трудово право, нито правилата относно съвместното вземане на решения от служителите.</w:t>
            </w:r>
          </w:p>
        </w:tc>
        <w:tc>
          <w:tcPr>
            <w:tcW w:w="4876" w:type="dxa"/>
            <w:tcBorders>
              <w:top w:val="nil"/>
              <w:left w:val="nil"/>
              <w:bottom w:val="nil"/>
              <w:right w:val="nil"/>
            </w:tcBorders>
          </w:tcPr>
          <w:p>
            <w:pPr>
              <w:pStyle w:val="Normal6a"/>
            </w:pPr>
            <w:r>
              <w:t xml:space="preserve">Правилата относно </w:t>
            </w:r>
            <w:r>
              <w:rPr>
                <w:b/>
                <w:i/>
              </w:rPr>
              <w:t>SES</w:t>
            </w:r>
            <w:r>
              <w:t xml:space="preserve"> не следва да засягат индивидуалното и колективното трудово право, нито правилата относно съвместното вземане на решения от служителите.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Правилата относно ESSU не следва да засягат </w:t>
            </w:r>
            <w:r>
              <w:rPr>
                <w:b/>
                <w:i/>
              </w:rPr>
              <w:t>индивидуалното и колективното</w:t>
            </w:r>
            <w:r>
              <w:t xml:space="preserve"> трудово право, </w:t>
            </w:r>
            <w:r>
              <w:rPr>
                <w:b/>
                <w:i/>
              </w:rPr>
              <w:t>нито</w:t>
            </w:r>
            <w:r>
              <w:t xml:space="preserve"> правилата относно съвместното вземане на решения от служителите.</w:t>
            </w:r>
          </w:p>
        </w:tc>
        <w:tc>
          <w:tcPr>
            <w:tcW w:w="4876" w:type="dxa"/>
            <w:tcBorders>
              <w:top w:val="nil"/>
              <w:left w:val="nil"/>
              <w:bottom w:val="nil"/>
              <w:right w:val="nil"/>
            </w:tcBorders>
          </w:tcPr>
          <w:p>
            <w:pPr>
              <w:pStyle w:val="Normal6a"/>
            </w:pPr>
            <w:r>
              <w:t xml:space="preserve">Правилата относно ESSU не следва да засягат </w:t>
            </w:r>
            <w:r>
              <w:rPr>
                <w:b/>
                <w:i/>
              </w:rPr>
              <w:t>трудовото право на Съюза и националното</w:t>
            </w:r>
            <w:r>
              <w:t xml:space="preserve"> трудово право, </w:t>
            </w:r>
            <w:r>
              <w:rPr>
                <w:b/>
                <w:i/>
              </w:rPr>
              <w:t>включително</w:t>
            </w:r>
            <w:r>
              <w:t xml:space="preserve"> правилата относно съвместното вземане на решения от служителите.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Приложимото право за индивидуалните трудови договори следва да се определя единствено и само от член 8 от Регламент (ЕО) № 593/2008.</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Приложимото право за индивидуалните трудови договори следва да се определя единствено и само от член 8 от Регламент (ЕО) № 593/2008.</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Приложимото право за индивидуалните трудови договори </w:t>
            </w:r>
            <w:r>
              <w:rPr>
                <w:b/>
                <w:i/>
              </w:rPr>
              <w:t>следва</w:t>
            </w:r>
            <w:r>
              <w:t xml:space="preserve"> да се определя единствено и само от член 8 от Регламент (ЕО) № 593/2008.</w:t>
            </w:r>
          </w:p>
        </w:tc>
        <w:tc>
          <w:tcPr>
            <w:tcW w:w="4876" w:type="dxa"/>
            <w:tcBorders>
              <w:top w:val="nil"/>
              <w:left w:val="nil"/>
              <w:bottom w:val="nil"/>
              <w:right w:val="nil"/>
            </w:tcBorders>
          </w:tcPr>
          <w:p>
            <w:pPr>
              <w:pStyle w:val="Normal6a"/>
            </w:pPr>
            <w:r>
              <w:t xml:space="preserve">Приложимото право за индивидуалните трудови договори </w:t>
            </w:r>
            <w:r>
              <w:rPr>
                <w:b/>
                <w:i/>
              </w:rPr>
              <w:t>продължава</w:t>
            </w:r>
            <w:r>
              <w:t xml:space="preserve"> да се определя единствено и само от член 8 от Регламент (ЕО) № 593/2008.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въпросите, свързани със съвместното вземане на решения от служителите, приложимото право следва да се определя от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въпросите, свързани със съвместното вземане на решения от служителите, приложимото право следва да се определя от действителното седалище на дружеството, което е мястото на централното управление на дружеството.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въпросите, свързани със съвместното вземане на решения от служителите, приложимото право следва да се определя от </w:t>
            </w:r>
            <w:r>
              <w:rPr>
                <w:b/>
                <w:i/>
              </w:rPr>
              <w:t>действителното седалище на дружеството, което е</w:t>
            </w:r>
            <w:r>
              <w:t xml:space="preserve"> мястото на </w:t>
            </w:r>
            <w:r>
              <w:rPr>
                <w:b/>
                <w:i/>
              </w:rPr>
              <w:t>централното управление</w:t>
            </w:r>
            <w:r>
              <w:t xml:space="preserve"> на дружеството.</w:t>
            </w:r>
          </w:p>
        </w:tc>
        <w:tc>
          <w:tcPr>
            <w:tcW w:w="4876" w:type="dxa"/>
            <w:tcBorders>
              <w:top w:val="nil"/>
              <w:left w:val="nil"/>
              <w:bottom w:val="nil"/>
              <w:right w:val="nil"/>
            </w:tcBorders>
          </w:tcPr>
          <w:p>
            <w:pPr>
              <w:pStyle w:val="Normal6a"/>
            </w:pPr>
            <w:r>
              <w:t xml:space="preserve">За въпросите, свързани със съвместното вземане на решения от служителите, приложимото право следва да се определя от </w:t>
            </w:r>
            <w:r>
              <w:rPr>
                <w:b/>
                <w:i/>
              </w:rPr>
              <w:t>правото на</w:t>
            </w:r>
            <w:r>
              <w:t xml:space="preserve"> мястото на </w:t>
            </w:r>
            <w:r>
              <w:rPr>
                <w:b/>
                <w:i/>
              </w:rPr>
              <w:t>заетост на служителите</w:t>
            </w:r>
            <w:r>
              <w:t xml:space="preserve">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4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Ако дадено дружество има служители в няколко държави членки, приложимото право е мястото на заетост на най-големия брой служители.</w:t>
            </w:r>
            <w:r>
              <w:t xml:space="preserve"> </w:t>
            </w:r>
            <w:r>
              <w:rPr>
                <w:b/>
                <w:i/>
              </w:rPr>
              <w:t>След като броят на работниците и служителите на дружеството надхвърли 500 човека в държава членка, различна от държавата членка, в която дружеството е било първоначално регистрирано, регистрираното седалище на дружеството се прехвърля в държавата членка на заетост.</w:t>
            </w:r>
            <w:r>
              <w:t xml:space="preserve"> </w:t>
            </w:r>
            <w:r>
              <w:rPr>
                <w:b/>
                <w:i/>
              </w:rPr>
              <w:t>Когато броят на служителите на дружеството не надвишава 500 човека, но дружеството е дружество майка на група от дружества, достигаща този праг в една държава членка, всички служители в групата в тази държава членка се отнасят към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4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Като се има предвид необходимостта от избягване на отклонението от данъчно облагане, злоупотребите и изпирането на пари, както и заобикалянето на санкциите, е необходимо да бъдат разработени предпазни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Когато има спор или несигурност относно това кое национално право урежда въпроси, свързани със съвместното вземане на решения от служителите, управителният съвет на ESSU, представителите на работниците и служителите или синдикалните организации, които биха имали право на номиниране съгласно националното право, чието прилагане е спорно или несигурно, следва да могат да поискат от съда или правораздавателния орган на държавата членка, в която се намира седалището на дружеството, да вземе решение относно приложимото право.</w:t>
            </w:r>
            <w:r>
              <w:t xml:space="preserve"> </w:t>
            </w:r>
            <w:r>
              <w:rPr>
                <w:b/>
                <w:i/>
              </w:rPr>
              <w:t>Този съд или правораздавателен орган следва да има изключителна компетентност да реши въпроса.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Когато има спор или несигурност относно това кое национално право урежда въпроси, свързани със съвместното вземане на решения от служителите, управителният съвет на ESSU, представителите на работниците и служителите или синдикалните организации, които биха имали право на номиниране съгласно националното право, чието прилагане е спорно или несигурно, следва да могат да поискат от съда или правораздавателния орган на държавата членка, в която се намира седалището на дружеството, да вземе решение относно приложимото право.</w:t>
            </w:r>
            <w:r>
              <w:t xml:space="preserve"> </w:t>
            </w:r>
            <w:r>
              <w:rPr>
                <w:b/>
                <w:i/>
              </w:rPr>
              <w:t>Този съд или правораздавателен орган следва да има изключителна компетентност да реши въпроса.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Когато има спор или несигурност относно това кое национално право урежда въпроси, свързани със съвместното вземане на решения от служителите, управителният съвет на ESSU, представителите на работниците и служителите или синдикалните организации, които биха имали право на номиниране съгласно националното право, чието прилагане е спорно или несигурно, следва да могат да поискат от съда или правораздавателния орган на държавата членка, в която се намира седалището на дружеството, да вземе решение относно приложимото право. Този съд или правораздавателен орган следва да има изключителна компетентност да реши въпроса.</w:t>
            </w:r>
          </w:p>
        </w:tc>
        <w:tc>
          <w:tcPr>
            <w:tcW w:w="4876" w:type="dxa"/>
            <w:tcBorders>
              <w:top w:val="nil"/>
              <w:left w:val="nil"/>
              <w:bottom w:val="nil"/>
              <w:right w:val="nil"/>
            </w:tcBorders>
          </w:tcPr>
          <w:p>
            <w:pPr>
              <w:pStyle w:val="Normal6a"/>
            </w:pPr>
            <w:r>
              <w:t xml:space="preserve">Когато има спор или несигурност относно това кое национално право урежда въпроси, свързани със съвместното вземане на решения от служителите, управителният съвет на ESSU, представителите на работниците и служителите или синдикалните организации, които биха имали право на номиниране съгласно националното право, чието прилагане е спорно или несигурно, следва да могат да поискат от съда или правораздавателния орган на държавата членка, в която се намира седалището на дружеството, да вземе решение относно приложимото право </w:t>
            </w:r>
            <w:r>
              <w:rPr>
                <w:b/>
                <w:i/>
              </w:rPr>
              <w:t>и относно задължителното прехвърляне на регистрираното седалище</w:t>
            </w:r>
            <w:r>
              <w:t>. Този съд или правораздавателен орган следва да има изключителна компетентност да реши въпроса.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4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Когато има спор или несигурност относно това кое национално право урежда въпроси, свързани със съвместното вземане на решения от служителите, управителният съвет на </w:t>
            </w:r>
            <w:r>
              <w:rPr>
                <w:b/>
                <w:i/>
              </w:rPr>
              <w:t>ESSU</w:t>
            </w:r>
            <w:r>
              <w:t>, представителите на работниците и служителите или синдикалните организации, които биха имали право на номиниране съгласно националното право, чието прилагане е спорно или несигурно, следва да могат да поискат от съда или правораздавателния орган на държавата членка, в която се намира седалището на дружеството, да вземе решение относно приложимото право. Този съд или правораздавателен орган следва да има изключителна компетентност да реши въпроса.</w:t>
            </w:r>
          </w:p>
        </w:tc>
        <w:tc>
          <w:tcPr>
            <w:tcW w:w="4876" w:type="dxa"/>
            <w:tcBorders>
              <w:top w:val="nil"/>
              <w:left w:val="nil"/>
              <w:bottom w:val="nil"/>
              <w:right w:val="nil"/>
            </w:tcBorders>
          </w:tcPr>
          <w:p>
            <w:pPr>
              <w:pStyle w:val="Normal6a"/>
            </w:pPr>
            <w:r>
              <w:t xml:space="preserve">Когато има спор или несигурност относно това кое национално право урежда въпроси, свързани със съвместното вземане на решения от служителите, управителният съвет на </w:t>
            </w:r>
            <w:r>
              <w:rPr>
                <w:b/>
                <w:i/>
              </w:rPr>
              <w:t>SES</w:t>
            </w:r>
            <w:r>
              <w:t>, представителите на работниците и служителите или синдикалните организации, които биха имали право на номиниране съгласно националното право, чието прилагане е спорно или несигурно, следва да могат да поискат от съда или правораздавателния орган на държавата членка, в която се намира седалището на дружеството, да вземе решение относно приложимото право. Този съд или правораздавателен орган следва да има изключителна компетентност да реши въпроса.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Насърчаване на</w:t>
            </w:r>
            <w:r>
              <w:t xml:space="preserve"> незадължителна дългосрочна ориентираност</w:t>
            </w:r>
          </w:p>
        </w:tc>
        <w:tc>
          <w:tcPr>
            <w:tcW w:w="4876" w:type="dxa"/>
            <w:tcBorders>
              <w:top w:val="nil"/>
              <w:left w:val="nil"/>
              <w:bottom w:val="nil"/>
              <w:right w:val="nil"/>
            </w:tcBorders>
          </w:tcPr>
          <w:p>
            <w:pPr>
              <w:pStyle w:val="Normal6a"/>
            </w:pPr>
            <w:r>
              <w:t>Незадължителна дългосрочна ориентираност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цел да се защитят европейските иновативни дружества от „придобивания убийци“ и да се предотврати преместването на иновации, чието създаване често се подкрепя от европейски публични фондове за научни изследвания, в държави извън Съюза, държавите членки следва да въведат правила, които позволяват на дружествата да изберат неотменимо допълнителни схеми за правна защита, като:</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разделянето на правата на глас и икономическите права чрез различни класове дялове, особено дялове от два класа;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определянето на правата на глас като непрехвърляеми и ненаследими;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разпределяне на печалбата между инвеститорите или носителите на икономически права въз основа на договорно споразумение, ограничено във времето или по сума и което може да бъде прекратено по всяко време от всяка от страните;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ограничаването на презграничното преобразуване в субекти, които са избрали схемата за допълнителна правна защита, по-специално по отношение на заключването на активи.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 цел </w:t>
            </w:r>
            <w:r>
              <w:rPr>
                <w:b/>
                <w:i/>
              </w:rPr>
              <w:t>да се защитят</w:t>
            </w:r>
            <w:r>
              <w:t xml:space="preserve"> европейските иновативни дружества </w:t>
            </w:r>
            <w:r>
              <w:rPr>
                <w:b/>
                <w:i/>
              </w:rPr>
              <w:t>от „придобивания убийци“ и да се предотврати преместването на иновации, чието създаване често се подкрепя от европейски публични фондове за научни изследвания, в държави извън Съюза,</w:t>
            </w:r>
            <w:r>
              <w:t xml:space="preserve"> държавите членки следва да въведат правила, които позволяват на дружествата да изберат неотменимо допълнителни схеми за правна защита, като:</w:t>
            </w:r>
          </w:p>
        </w:tc>
        <w:tc>
          <w:tcPr>
            <w:tcW w:w="4876" w:type="dxa"/>
            <w:tcBorders>
              <w:top w:val="nil"/>
              <w:left w:val="nil"/>
              <w:bottom w:val="nil"/>
              <w:right w:val="nil"/>
            </w:tcBorders>
          </w:tcPr>
          <w:p>
            <w:pPr>
              <w:pStyle w:val="Normal6a"/>
            </w:pPr>
            <w:r>
              <w:t xml:space="preserve">С цел </w:t>
            </w:r>
            <w:r>
              <w:rPr>
                <w:b/>
                <w:i/>
              </w:rPr>
              <w:t>стимулиране на</w:t>
            </w:r>
            <w:r>
              <w:t xml:space="preserve"> европейските иновативни дружества държавите членки следва да въведат правила, които позволяват на дружествата да изберат неотменимо допълнителни схеми за правна защита, като </w:t>
            </w:r>
            <w:r>
              <w:rPr>
                <w:b/>
                <w:i/>
              </w:rPr>
              <w:t>например</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 цел да се </w:t>
            </w:r>
            <w:r>
              <w:rPr>
                <w:b/>
                <w:i/>
              </w:rPr>
              <w:t>защитят</w:t>
            </w:r>
            <w:r>
              <w:t xml:space="preserve"> европейските иновативни дружества </w:t>
            </w:r>
            <w:r>
              <w:rPr>
                <w:b/>
                <w:i/>
              </w:rPr>
              <w:t>от „придобивания убийци“ и да се предотврати</w:t>
            </w:r>
            <w:r>
              <w:t xml:space="preserve"> преместването на </w:t>
            </w:r>
            <w:r>
              <w:rPr>
                <w:b/>
                <w:i/>
              </w:rPr>
              <w:t>иновации, чието създаване често се подкрепя от европейски публични фондове за научни изследвания, в държави извън Съюза, държавите членки</w:t>
            </w:r>
            <w:r>
              <w:t xml:space="preserve"> следва да </w:t>
            </w:r>
            <w:r>
              <w:rPr>
                <w:b/>
                <w:i/>
              </w:rPr>
              <w:t>въведат</w:t>
            </w:r>
            <w:r>
              <w:t xml:space="preserve"> правила, които позволяват на дружествата да изберат неотменимо допълнителни схеми за правна защита, като:</w:t>
            </w:r>
          </w:p>
        </w:tc>
        <w:tc>
          <w:tcPr>
            <w:tcW w:w="4876" w:type="dxa"/>
            <w:tcBorders>
              <w:top w:val="nil"/>
              <w:left w:val="nil"/>
              <w:bottom w:val="nil"/>
              <w:right w:val="nil"/>
            </w:tcBorders>
          </w:tcPr>
          <w:p>
            <w:pPr>
              <w:pStyle w:val="Normal6a"/>
            </w:pPr>
            <w:r>
              <w:t xml:space="preserve">С цел да се </w:t>
            </w:r>
            <w:r>
              <w:rPr>
                <w:b/>
                <w:i/>
              </w:rPr>
              <w:t>подпомогнат</w:t>
            </w:r>
            <w:r>
              <w:t xml:space="preserve"> европейските иновативни дружества </w:t>
            </w:r>
            <w:r>
              <w:rPr>
                <w:b/>
                <w:i/>
              </w:rPr>
              <w:t>при достъпа до капитал, привличането на таланти и предотвратяването на</w:t>
            </w:r>
            <w:r>
              <w:t xml:space="preserve"> преместването на </w:t>
            </w:r>
            <w:r>
              <w:rPr>
                <w:b/>
                <w:i/>
              </w:rPr>
              <w:t>иновациите, регламентът</w:t>
            </w:r>
            <w:r>
              <w:t xml:space="preserve"> следва да </w:t>
            </w:r>
            <w:r>
              <w:rPr>
                <w:b/>
                <w:i/>
              </w:rPr>
              <w:t>въведе</w:t>
            </w:r>
            <w:r>
              <w:t xml:space="preserve"> правила, които позволяват на дружествата да изберат неотменимо допълнителни схеми за правна защита, като </w:t>
            </w:r>
            <w:r>
              <w:rPr>
                <w:b/>
                <w:i/>
              </w:rPr>
              <w:t>например</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цел да се защитят европейските иновативни дружества от „придобивания убийци“ и да се предотврати преместването на иновации, чието създаване често се подкрепя от европейски публични фондове за научни изследвания, в държави извън Съюза,</w:t>
            </w:r>
            <w:r>
              <w:t xml:space="preserve"> държавите членки следва да въведат правила, които позволяват на дружествата </w:t>
            </w:r>
            <w:r>
              <w:rPr>
                <w:b/>
                <w:i/>
              </w:rPr>
              <w:t>да изберат</w:t>
            </w:r>
            <w:r>
              <w:t xml:space="preserve"> неотменимо допълнителни схеми за правна защита</w:t>
            </w:r>
            <w:r>
              <w:rPr>
                <w:b/>
                <w:i/>
              </w:rPr>
              <w:t>, като</w:t>
            </w:r>
            <w:r>
              <w:t>:</w:t>
            </w:r>
          </w:p>
        </w:tc>
        <w:tc>
          <w:tcPr>
            <w:tcW w:w="4876" w:type="dxa"/>
            <w:tcBorders>
              <w:top w:val="nil"/>
              <w:left w:val="nil"/>
              <w:bottom w:val="nil"/>
              <w:right w:val="nil"/>
            </w:tcBorders>
          </w:tcPr>
          <w:p>
            <w:pPr>
              <w:pStyle w:val="Normal6a"/>
            </w:pPr>
            <w:r>
              <w:t xml:space="preserve">Държавите членки следва да въведат правила, които позволяват на дружествата </w:t>
            </w:r>
            <w:r>
              <w:rPr>
                <w:b/>
                <w:i/>
              </w:rPr>
              <w:t>доброволно и</w:t>
            </w:r>
            <w:r>
              <w:t xml:space="preserve"> неотменимо </w:t>
            </w:r>
            <w:r>
              <w:rPr>
                <w:b/>
                <w:i/>
              </w:rPr>
              <w:t>да се включат в</w:t>
            </w:r>
            <w:r>
              <w:t xml:space="preserve"> допълнителни схеми за правна защита</w:t>
            </w:r>
            <w:r>
              <w:rPr>
                <w:b/>
                <w:i/>
              </w:rPr>
              <w:t>.</w:t>
            </w:r>
            <w:r>
              <w:t xml:space="preserve"> </w:t>
            </w:r>
            <w:r>
              <w:rPr>
                <w:b/>
                <w:i/>
              </w:rPr>
              <w:t>Те биха могли да защитят европейските дружества, които желаят да продължат своята традиционна стопанска дейност, от придобивания с цел ликвидация („придобивания убийци“) и преместване.</w:t>
            </w:r>
            <w:r>
              <w:t xml:space="preserve"> </w:t>
            </w:r>
            <w:r>
              <w:rPr>
                <w:b/>
                <w:i/>
              </w:rPr>
              <w:t>Тези схеми могат да се състоят от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 цел да се защитят европейските иновативни дружества от „придобивания убийци“ и да се предотврати преместването на иновации, чието създаване често се подкрепя от европейски публични фондове за научни изследвания, в държави извън Съюза, </w:t>
            </w:r>
            <w:r>
              <w:rPr>
                <w:b/>
                <w:i/>
              </w:rPr>
              <w:t>държавите членки</w:t>
            </w:r>
            <w:r>
              <w:t xml:space="preserve"> следва да </w:t>
            </w:r>
            <w:r>
              <w:rPr>
                <w:b/>
                <w:i/>
              </w:rPr>
              <w:t>въведат</w:t>
            </w:r>
            <w:r>
              <w:t xml:space="preserve"> правила, които позволяват на дружествата да изберат неотменимо допълнителни схеми за правна защита, като:</w:t>
            </w:r>
          </w:p>
        </w:tc>
        <w:tc>
          <w:tcPr>
            <w:tcW w:w="4876" w:type="dxa"/>
            <w:tcBorders>
              <w:top w:val="nil"/>
              <w:left w:val="nil"/>
              <w:bottom w:val="nil"/>
              <w:right w:val="nil"/>
            </w:tcBorders>
          </w:tcPr>
          <w:p>
            <w:pPr>
              <w:pStyle w:val="Normal6a"/>
            </w:pPr>
            <w:r>
              <w:t xml:space="preserve">С цел да се защитят европейските иновативни дружества от „придобивания убийци“ и да се предотврати преместването на иновации, чието създаване често се подкрепя от европейски публични фондове за научни изследвания, в държави извън Съюза, </w:t>
            </w:r>
            <w:r>
              <w:rPr>
                <w:b/>
                <w:i/>
              </w:rPr>
              <w:t>с нормативната уредба по линия на 28-ия режим</w:t>
            </w:r>
            <w:r>
              <w:t xml:space="preserve"> следва да </w:t>
            </w:r>
            <w:r>
              <w:rPr>
                <w:b/>
                <w:i/>
              </w:rPr>
              <w:t>бъдат въведени</w:t>
            </w:r>
            <w:r>
              <w:t xml:space="preserve"> правила, които позволяват на дружествата да изберат неотменимо допълнителни схеми за правна защита, като:</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разделянето на правата на глас и икономическите права чрез различни класове дялове, </w:t>
            </w:r>
            <w:r>
              <w:rPr>
                <w:b/>
                <w:i/>
              </w:rPr>
              <w:t>особено</w:t>
            </w:r>
            <w:r>
              <w:t xml:space="preserve"> дялове от два класа;</w:t>
            </w:r>
          </w:p>
        </w:tc>
        <w:tc>
          <w:tcPr>
            <w:tcW w:w="4876" w:type="dxa"/>
            <w:tcBorders>
              <w:top w:val="nil"/>
              <w:left w:val="nil"/>
              <w:bottom w:val="nil"/>
              <w:right w:val="nil"/>
            </w:tcBorders>
          </w:tcPr>
          <w:p>
            <w:pPr>
              <w:pStyle w:val="Normal6a"/>
            </w:pPr>
            <w:r>
              <w:rPr>
                <w:b/>
                <w:i/>
              </w:rPr>
              <w:t>–</w:t>
            </w:r>
            <w:r>
              <w:tab/>
            </w:r>
            <w:r>
              <w:t xml:space="preserve">разделянето на правата на глас и икономическите права чрез различни класове дялове, </w:t>
            </w:r>
            <w:r>
              <w:rPr>
                <w:b/>
                <w:i/>
              </w:rPr>
              <w:t>включително</w:t>
            </w:r>
            <w:r>
              <w:t xml:space="preserve"> дялове </w:t>
            </w:r>
            <w:r>
              <w:rPr>
                <w:b/>
                <w:i/>
              </w:rPr>
              <w:t>(акции)</w:t>
            </w:r>
            <w:r>
              <w:t xml:space="preserve"> от два класа</w:t>
            </w:r>
            <w:r>
              <w:rPr>
                <w:b/>
                <w:i/>
              </w:rPr>
              <w:t>, акции с право на вето и привилегировани акции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ограничаването на презграничното преобразуване в субекти, които са избрали схемата за допълнителна правна защита, по-специално по отношение на заключването на активи.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2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ограничаването на презграничното преобразуване в субекти, които са избрали схемата за допълнителна правна защита, по-специално по отношение на заключването на активи.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Дружествата, които са избрали да участват в подобни допълнителни схеми за правна защита, следва да могат да включат обозначението „steward-owned“ (с разделени икономически права и права на глас) в името на своето дружество.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Дружествата, които са избрали да участват в подобни допълнителни схеми за правна защита, следва да могат да включат обозначението „steward-owned“ (с разделени икономически права и права на глас) в името на своето дружество.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Директива (ЕС) 2017/1132 по отношение на презграничните преобразувания, сливания и разделяния следва да бъде изменена, за да се даде възможност на държавите членки, които са избрали да въведат своя собствена национална дружествена форма с разделени права, да ограничат презграничното преобразуване на подобна национална дружествена форма до дружествените форми на други държави членки, които също предвиждат подобни форми на управление.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5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Директива (ЕС) 2017/1132 по отношение на презграничните преобразувания, сливания и разделяния следва да бъде изменена, за да се даде възможност на държавите членки, които са избрали да въведат своя собствена национална дружествена форма с разделени права, да ограничат презграничното преобразуване на подобна национална дружествена форма до дружествените форми на други държави членки, които също предвиждат подобни форми на управление.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І – точка 5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Допълнителни мерки в подкрепа на иновациите.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Както посочва Европейската комисия, 28-ият режим за иновационните предприятия ще се състои от пакет от допълващи се предложения и ще бъде допълнен от модулни мерки, обхващащи множество политики и различни регулаторни области.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 да се повиши конкурентоспособността на Европейския съюз, ще бъде от съществено значение 28-ият европейски режим за иновативните предприятия да включи в своите регулаторни промени и в последващите предложения Комисията да представи предизвикателството, а именно да направи управлението в областта на данъчното облагане на европейския иновационен сектор, стартиращите и разрастващите се предприятия значително по-привлекателно и да насърчава благоприятни форми на участие на работниците и служителите, като постави европейското законодателство в областта на иновациите на равнището на най-добрите световни стандарти.</w:t>
            </w:r>
            <w:r>
              <w:rPr>
                <w:b/>
                <w:i/>
              </w:rPr>
              <w:t>Всъщност икономическите данни показват, че юрисдикциите, които са направили значително полезен управленски избор, са успели успешно да привлекат и задържат капитал, инвестиции и таланти.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Този подход не само ще даде възможност за конкуренция във всяка област с най-ефективните чуждестранни юрисдикции, но и ще изгради мощен катализатор за растежа на европейската конкурентоспособност и създаването на нови работни места с висока добавена стойност в рамките на ЕС и ще укрепи европейския суверенитет, технологичната независимост и лидерството в световната иновационна среда.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Привличане на таланти</w:t>
            </w:r>
          </w:p>
        </w:tc>
        <w:tc>
          <w:tcPr>
            <w:tcW w:w="4876" w:type="dxa"/>
            <w:tcBorders>
              <w:top w:val="nil"/>
              <w:left w:val="nil"/>
              <w:bottom w:val="nil"/>
              <w:right w:val="nil"/>
            </w:tcBorders>
          </w:tcPr>
          <w:p>
            <w:pPr>
              <w:pStyle w:val="Normal6a"/>
            </w:pPr>
            <w:r>
              <w:t xml:space="preserve">Привличане </w:t>
            </w:r>
            <w:r>
              <w:rPr>
                <w:b/>
                <w:i/>
              </w:rPr>
              <w:t>и подпомагане</w:t>
            </w:r>
            <w:r>
              <w:t xml:space="preserve"> на таланти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Увеличаването на производителността, иновациите и социалното приобщаване трябва да вървят ръка за ръка. </w:t>
            </w:r>
            <w:r>
              <w:rPr>
                <w:b/>
                <w:i/>
              </w:rPr>
              <w:t>ESSU</w:t>
            </w:r>
            <w:r>
              <w:t xml:space="preserve"> следва да предвиди незадължителни хармонизирани правила в целия Съюз относно структурирането на </w:t>
            </w:r>
            <w:r>
              <w:rPr>
                <w:b/>
                <w:i/>
              </w:rPr>
              <w:t>плановете</w:t>
            </w:r>
            <w:r>
              <w:t xml:space="preserve"> за придобиване на дялове от работниците и служителите, улеснявани чрез отделен </w:t>
            </w:r>
            <w:r>
              <w:rPr>
                <w:b/>
                <w:i/>
              </w:rPr>
              <w:t>посредник.</w:t>
            </w:r>
            <w:r>
              <w:t xml:space="preserve"> </w:t>
            </w:r>
            <w:r>
              <w:rPr>
                <w:b/>
                <w:i/>
              </w:rPr>
              <w:t>Това</w:t>
            </w:r>
            <w:r>
              <w:t xml:space="preserve">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w:t>
            </w:r>
            <w:r>
              <w:rPr>
                <w:b/>
                <w:i/>
              </w:rPr>
              <w:t>ESSU</w:t>
            </w:r>
            <w:r>
              <w:t xml:space="preserve"> трябва да се вземат предвид следните принципи:</w:t>
            </w:r>
          </w:p>
        </w:tc>
        <w:tc>
          <w:tcPr>
            <w:tcW w:w="4876" w:type="dxa"/>
            <w:tcBorders>
              <w:top w:val="nil"/>
              <w:left w:val="nil"/>
              <w:bottom w:val="nil"/>
              <w:right w:val="nil"/>
            </w:tcBorders>
          </w:tcPr>
          <w:p>
            <w:pPr>
              <w:pStyle w:val="Normal6a"/>
            </w:pPr>
            <w:r>
              <w:t xml:space="preserve">Увеличаването на производителността, иновациите и социалното приобщаване трябва да вървят ръка за ръка. </w:t>
            </w:r>
            <w:r>
              <w:rPr>
                <w:b/>
                <w:i/>
              </w:rPr>
              <w:t>SES</w:t>
            </w:r>
            <w:r>
              <w:t xml:space="preserve"> следва да предвиди незадължителни хармонизирани правила в целия Съюз относно структурирането на </w:t>
            </w:r>
            <w:r>
              <w:rPr>
                <w:b/>
                <w:i/>
              </w:rPr>
              <w:t>незадължителните планове</w:t>
            </w:r>
            <w:r>
              <w:t xml:space="preserve"> за придобиване на дялове от работниците и служителите, улеснявани чрез отделен </w:t>
            </w:r>
            <w:r>
              <w:rPr>
                <w:b/>
                <w:i/>
              </w:rPr>
              <w:t>посредник.Това</w:t>
            </w:r>
            <w:r>
              <w:t xml:space="preserve"> не само ще даде възможност на МСП, стартиращите и разрастващите се предприятия да привличат таланти и ще стимулира дългосрочната ангажираност</w:t>
            </w:r>
            <w:r>
              <w:rPr>
                <w:b/>
                <w:i/>
              </w:rPr>
              <w:t>, както и ще улесни дейността им на различните национални пазари поради структурата на съществуващите различни рамки</w:t>
            </w:r>
            <w:r>
              <w:t xml:space="preserve">,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w:t>
            </w:r>
            <w:r>
              <w:rPr>
                <w:b/>
                <w:i/>
              </w:rPr>
              <w:t>ESOP следва да се съсредоточат върху хармонизирането на елементите на плановете за собственост на служителите, без да се засяга фискалният суверенитет на държавите членки.</w:t>
            </w:r>
            <w:r>
              <w:t xml:space="preserve"> </w:t>
            </w:r>
            <w:r>
              <w:rPr>
                <w:b/>
                <w:i/>
              </w:rPr>
              <w:t>Поради тази причина данъчната ставка на собствеността върху акциите ще остане в ръцете на държавите членки.</w:t>
            </w:r>
            <w:r>
              <w:t xml:space="preserve"> </w:t>
            </w:r>
            <w:r>
              <w:rPr>
                <w:b/>
                <w:i/>
              </w:rPr>
              <w:t>ESOP следва да се отнасят главно до момента на данъчното облагане в момента на продажбата на акции, изчисляването на капиталовите печалби, за да се гарантира хармонизация, и рамката на такава схема, като например периодите преди придобиването на права и периодите на придобиване на права, през които служителите могат да задействат придобиването на опции върху акции</w:t>
            </w:r>
            <w:r>
              <w:t xml:space="preserve">. При разработването на хармонизирани правила в рамките на </w:t>
            </w:r>
            <w:r>
              <w:rPr>
                <w:b/>
                <w:i/>
              </w:rPr>
              <w:t>SES</w:t>
            </w:r>
            <w:r>
              <w:t xml:space="preserve"> трябва да се вземат предвид следните принципи: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Увеличаването на производителността, иновациите и социалното приобщаване трябва да вървят ръка за ръка. ESSU следва да предвиди незадължителни хармонизирани правила в целия Съюз относно структурирането на плановете за придобиване на дялове от работниците и служителите</w:t>
            </w:r>
            <w:r>
              <w:rPr>
                <w:b/>
                <w:i/>
              </w:rPr>
              <w:t>, улеснявани чрез отделен посредник</w:t>
            </w:r>
            <w:r>
              <w:t>. Това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ESSU трябва да се вземат предвид следните принципи:</w:t>
            </w:r>
          </w:p>
        </w:tc>
        <w:tc>
          <w:tcPr>
            <w:tcW w:w="4876" w:type="dxa"/>
            <w:tcBorders>
              <w:top w:val="nil"/>
              <w:left w:val="nil"/>
              <w:bottom w:val="nil"/>
              <w:right w:val="nil"/>
            </w:tcBorders>
          </w:tcPr>
          <w:p>
            <w:pPr>
              <w:pStyle w:val="Normal6a"/>
            </w:pPr>
            <w:r>
              <w:rPr>
                <w:b/>
                <w:i/>
              </w:rPr>
              <w:t>Привличането на квалифицирани и иновативни таланти е от решаващо значение за стимулирането на икономическия растеж, насърчаването на иновациите и поддържането на конкурентоспособността в условията на един бързо развиващ се световен пазар.</w:t>
            </w:r>
            <w:r>
              <w:t xml:space="preserve"> Увеличаването на производителността, иновациите и социалното приобщаване трябва да вървят ръка за ръка. ESSU следва да предвиди незадължителни хармонизирани правила в целия Съюз относно структурирането на плановете за придобиване на дялове от работниците и служителите </w:t>
            </w:r>
            <w:r>
              <w:rPr>
                <w:b/>
                <w:i/>
              </w:rPr>
              <w:t>(„ESOP“)</w:t>
            </w:r>
            <w:r>
              <w:t>. Това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ESSU трябва да се вземат предвид следните принципи: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Увеличаването на производителността, иновациите и социалното приобщаване трябва да вървят ръка за ръка. ESSU следва да предвиди незадължителни хармонизирани правила в целия Съюз относно структурирането на плановете за придобиване на дялове от работниците и служителите</w:t>
            </w:r>
            <w:r>
              <w:rPr>
                <w:b/>
                <w:i/>
              </w:rPr>
              <w:t>, улеснявани чрез отделен посредник</w:t>
            </w:r>
            <w:r>
              <w:t>. Това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ESSU трябва да се вземат предвид следните принципи:</w:t>
            </w:r>
          </w:p>
        </w:tc>
        <w:tc>
          <w:tcPr>
            <w:tcW w:w="4876" w:type="dxa"/>
            <w:tcBorders>
              <w:top w:val="nil"/>
              <w:left w:val="nil"/>
              <w:bottom w:val="nil"/>
              <w:right w:val="nil"/>
            </w:tcBorders>
          </w:tcPr>
          <w:p>
            <w:pPr>
              <w:pStyle w:val="Normal6a"/>
            </w:pPr>
            <w:r>
              <w:t xml:space="preserve">Увеличаването на производителността, иновациите и социалното приобщаване трябва да вървят ръка за ръка. ESSU следва да предвиди незадължителни хармонизирани правила в целия Съюз относно структурирането на плановете за придобиване на дялове от работниците и служителите </w:t>
            </w:r>
            <w:r>
              <w:rPr>
                <w:b/>
                <w:i/>
              </w:rPr>
              <w:t>(„ESOP“)</w:t>
            </w:r>
            <w:r>
              <w:t>. Това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ESSU трябва да се вземат предвид следните принципи:</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Увеличаването на производителността, иновациите и социалното приобщаване трябва да вървят ръка за ръка. ESSU следва да предвиди незадължителни хармонизирани правила в целия Съюз относно структурирането на плановете за придобиване на дялове от работниците и служителите, улеснявани чрез отделен </w:t>
            </w:r>
            <w:r>
              <w:rPr>
                <w:b/>
                <w:i/>
              </w:rPr>
              <w:t>посредник</w:t>
            </w:r>
            <w:r>
              <w:t>. Това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ESSU трябва да се вземат предвид следните принципи:</w:t>
            </w:r>
          </w:p>
        </w:tc>
        <w:tc>
          <w:tcPr>
            <w:tcW w:w="4876" w:type="dxa"/>
            <w:tcBorders>
              <w:top w:val="nil"/>
              <w:left w:val="nil"/>
              <w:bottom w:val="nil"/>
              <w:right w:val="nil"/>
            </w:tcBorders>
          </w:tcPr>
          <w:p>
            <w:pPr>
              <w:pStyle w:val="Normal6a"/>
            </w:pPr>
            <w:r>
              <w:t xml:space="preserve">Увеличаването на производителността, иновациите и социалното приобщаване трябва да вървят ръка за ръка. ESSU следва да предвиди незадължителни хармонизирани правила в целия Съюз относно структурирането на плановете за придобиване на дялове от работниците и служителите, улеснявани чрез отделен </w:t>
            </w:r>
            <w:r>
              <w:rPr>
                <w:b/>
                <w:i/>
              </w:rPr>
              <w:t>правен субект</w:t>
            </w:r>
            <w:r>
              <w:t>. Това не само ще даде възможност на МСП, стартиращите и разрастващите се предприятия да привличат таланти и ще стимулира дългосрочната ангажираност, но и ще осигури пълноценното и справедливо участие на работниците и служителите в стойността, за чието създаване те допринасят чрез своя труд и интелектуален капитал. При разработването на хармонизирани правила в рамките на ESSU трябва да се вземат предвид следните принципи: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предварително условие подобни схеми не следва при никакви обстоятелства да заменят или намаляват обичайното основно възнаграждение или всяка друга форма на вноски, като социалноосигурителни вноски, а следва да бъдат обезщетение, допълващо всички социални и договорни права;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предварително условие подобни схеми не следва при никакви обстоятелства да заменят или намаляват обичайното основно възнаграждение или всяка друга форма на вноски, като социалноосигурителни вноски, а следва да бъдат обезщетение, допълващо всички социални и договорни права;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1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Служителите на ESSU, които получават опции върху акции, не следва да подлежат на каквото и да било „сухо“ данъчно облагане.</w:t>
            </w:r>
            <w:r>
              <w:t xml:space="preserve"> </w:t>
            </w:r>
            <w:r>
              <w:rPr>
                <w:b/>
                <w:i/>
              </w:rPr>
              <w:t>Ползата, получена от наетите лица за значително участие в стопанска дейност и растеж, следва да бъде призната като печалба в целия Съюз.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Тези схеми следва да бъдат разработени по начин, който запазва способността на иновационните дружества, стартиращите и разрастващите се предприятия да вземат гъвкави решения и да откликват бързо на оперативните и производствените нужди.</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прозрачността трябва да бъде </w:t>
            </w:r>
            <w:r>
              <w:rPr>
                <w:b/>
                <w:i/>
              </w:rPr>
              <w:t>основен принцип</w:t>
            </w:r>
            <w:r>
              <w:t xml:space="preserve"> при разработването и прилагането на подобни схеми;</w:t>
            </w:r>
          </w:p>
        </w:tc>
        <w:tc>
          <w:tcPr>
            <w:tcW w:w="4876" w:type="dxa"/>
            <w:tcBorders>
              <w:top w:val="nil"/>
              <w:left w:val="nil"/>
              <w:bottom w:val="nil"/>
              <w:right w:val="nil"/>
            </w:tcBorders>
          </w:tcPr>
          <w:p>
            <w:pPr>
              <w:pStyle w:val="Normal6a"/>
            </w:pPr>
            <w:r>
              <w:rPr>
                <w:b/>
                <w:i/>
              </w:rPr>
              <w:t>–</w:t>
            </w:r>
            <w:r>
              <w:tab/>
            </w:r>
            <w:r>
              <w:t xml:space="preserve">прозрачността </w:t>
            </w:r>
            <w:r>
              <w:rPr>
                <w:b/>
                <w:i/>
              </w:rPr>
              <w:t>и демократичното управление</w:t>
            </w:r>
            <w:r>
              <w:t xml:space="preserve"> трябва да бъде </w:t>
            </w:r>
            <w:r>
              <w:rPr>
                <w:b/>
                <w:i/>
              </w:rPr>
              <w:t>ключови принципи</w:t>
            </w:r>
            <w:r>
              <w:t xml:space="preserve"> при разработването и прилагането на подобни схеми;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участието в подобни схеми трябва да бъде недискриминационно и отворено за всички работници и служители;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участието в подобни схеми трябва да бъде недискриминационно </w:t>
            </w:r>
            <w:r>
              <w:rPr>
                <w:b/>
                <w:i/>
              </w:rPr>
              <w:t>и</w:t>
            </w:r>
            <w:r>
              <w:t xml:space="preserve"> отворено за всички работници и служители;</w:t>
            </w:r>
          </w:p>
        </w:tc>
        <w:tc>
          <w:tcPr>
            <w:tcW w:w="4876" w:type="dxa"/>
            <w:tcBorders>
              <w:top w:val="nil"/>
              <w:left w:val="nil"/>
              <w:bottom w:val="nil"/>
              <w:right w:val="nil"/>
            </w:tcBorders>
          </w:tcPr>
          <w:p>
            <w:pPr>
              <w:pStyle w:val="Normal6a"/>
            </w:pPr>
            <w:r>
              <w:rPr>
                <w:b/>
                <w:i/>
              </w:rPr>
              <w:t>–</w:t>
            </w:r>
            <w:r>
              <w:tab/>
            </w:r>
            <w:r>
              <w:t>участието в подобни схеми трябва да бъде недискриминационно</w:t>
            </w:r>
            <w:r>
              <w:rPr>
                <w:b/>
                <w:i/>
              </w:rPr>
              <w:t>,</w:t>
            </w:r>
            <w:r>
              <w:t xml:space="preserve"> отворено </w:t>
            </w:r>
            <w:r>
              <w:rPr>
                <w:b/>
                <w:i/>
              </w:rPr>
              <w:t>и изключително</w:t>
            </w:r>
            <w:r>
              <w:t xml:space="preserve"> за всички работници и служители;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3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Всички доходи, получени от наетите лица в SES чрез тези опции върху акции, следва да бъдат признати като капиталови печалби в целия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участието в подобни схеми трябва да остане доброволно </w:t>
            </w:r>
            <w:r>
              <w:rPr>
                <w:b/>
                <w:i/>
              </w:rPr>
              <w:t>за работниците и служителите</w:t>
            </w:r>
            <w:r>
              <w:t>;</w:t>
            </w:r>
          </w:p>
        </w:tc>
        <w:tc>
          <w:tcPr>
            <w:tcW w:w="4876" w:type="dxa"/>
            <w:tcBorders>
              <w:top w:val="nil"/>
              <w:left w:val="nil"/>
              <w:bottom w:val="nil"/>
              <w:right w:val="nil"/>
            </w:tcBorders>
          </w:tcPr>
          <w:p>
            <w:pPr>
              <w:pStyle w:val="Normal6a"/>
            </w:pPr>
            <w:r>
              <w:rPr>
                <w:b/>
                <w:i/>
              </w:rPr>
              <w:t>–</w:t>
            </w:r>
            <w:r>
              <w:tab/>
            </w:r>
            <w:r>
              <w:t>участието в подобни схеми трябва да остане доброволно;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участието в подобни схеми трябва да остане доброволно </w:t>
            </w:r>
            <w:r>
              <w:rPr>
                <w:b/>
                <w:i/>
              </w:rPr>
              <w:t>за работниците и служителите</w:t>
            </w:r>
            <w:r>
              <w:t>;</w:t>
            </w:r>
          </w:p>
        </w:tc>
        <w:tc>
          <w:tcPr>
            <w:tcW w:w="4876" w:type="dxa"/>
            <w:tcBorders>
              <w:top w:val="nil"/>
              <w:left w:val="nil"/>
              <w:bottom w:val="nil"/>
              <w:right w:val="nil"/>
            </w:tcBorders>
          </w:tcPr>
          <w:p>
            <w:pPr>
              <w:pStyle w:val="Normal6a"/>
            </w:pPr>
            <w:r>
              <w:rPr>
                <w:b/>
                <w:i/>
              </w:rPr>
              <w:t>–</w:t>
            </w:r>
            <w:r>
              <w:tab/>
            </w:r>
            <w:r>
              <w:t>участието в подобни схеми трябва да остане доброволно;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тези схеми трябва да бъдат придружени от механизми за предпазване на служителите от необосновани финансови рискове.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тези схеми трябва да бъдат придружени от механизми за предпазване на служителите от необосновани финансови рискове.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тези схеми трябва да бъдат придружени от механизми за предпазване на служителите от необосновани финансови рискове.</w:t>
            </w:r>
          </w:p>
        </w:tc>
        <w:tc>
          <w:tcPr>
            <w:tcW w:w="4876" w:type="dxa"/>
            <w:tcBorders>
              <w:top w:val="nil"/>
              <w:left w:val="nil"/>
              <w:bottom w:val="nil"/>
              <w:right w:val="nil"/>
            </w:tcBorders>
          </w:tcPr>
          <w:p>
            <w:pPr>
              <w:pStyle w:val="Normal6a"/>
            </w:pPr>
            <w:r>
              <w:rPr>
                <w:b/>
                <w:i/>
              </w:rPr>
              <w:t>–</w:t>
            </w:r>
            <w:r>
              <w:tab/>
            </w:r>
            <w:r>
              <w:t xml:space="preserve">тези схеми трябва да бъдат придружени от механизми за предпазване на служителите от необосновани финансови рискове </w:t>
            </w:r>
            <w:r>
              <w:rPr>
                <w:b/>
                <w:i/>
              </w:rPr>
              <w:t>и от европейска предпазна клауза относно оценката на капиталовите инструменти на служителите, за да се гарантира правна сигурност и да се сведат до минимум административните тежести и разходи</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5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тези схеми следва да допринасят за сближаването в целия Съюз, като гарантират равни възможности за работниците и служителите, независимо дали са установени в селски или градски райони, или в държави членки с различни равнища на икономическо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2 – тире 5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защитена зона за оценка на капиталовите инструменти на наетите лица въз основа на хармонизирани критерии на ЕС, за да се гарантира правна сигурност и да се сведе до минимум административната тежест;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в консултация със социалните партньори и въз основа на примери за най-добри практики, следва да разработи несложни, елементарни и основни подкрепящи образци на споразумения за участие в разпределението на печалбата и насоки за ESSU, за да се улесни прилагането, да се подобри осведомеността относно плановете за придобиване на дялове от работниците и служителите и да се сближат схемите за финансово участие във всички държави членки.</w:t>
            </w:r>
            <w:r>
              <w:t xml:space="preserve"> </w:t>
            </w:r>
            <w:r>
              <w:rPr>
                <w:b/>
                <w:i/>
              </w:rPr>
              <w:t>Образците на споразумения и насоки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 и да отчитат въздействието върху работниците и служителите, по-специално с оглед на равенството между половете.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в консултация със социалните партньори и въз основа на примери за най-добри практики, следва да разработи несложни, елементарни и основни подкрепящи образци на споразумения за участие в разпределението на печалбата и насоки за ESSU, за да се улесни прилагането, да се подобри осведомеността относно плановете за придобиване на дялове от работниците и служителите и да се сближат схемите за финансово участие във всички държави членки.</w:t>
            </w:r>
            <w:r>
              <w:t xml:space="preserve"> </w:t>
            </w:r>
            <w:r>
              <w:rPr>
                <w:b/>
                <w:i/>
              </w:rPr>
              <w:t>Образците на споразумения и насоки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 и да отчитат въздействието върху работниците и служителите, по-специално с оглед на равенството между половете.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Рене Репази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Комисията, в консултация със социалните партньори и въз основа на примери за най-добри практики, следва да разработи несложни, елементарни и основни подкрепящи образци на споразумения за участие в разпределението на печалбата и насоки за ESSU, за да се улесни прилагането, да се подобри осведомеността относно плановете за придобиване на дялове от работниците и служителите и да се сближат схемите за финансово участие във всички държави членки. Образците на споразумения и насоки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 и да отчитат въздействието върху работниците и служителите, по-специално с оглед на равенството между половете.</w:t>
            </w:r>
          </w:p>
        </w:tc>
        <w:tc>
          <w:tcPr>
            <w:tcW w:w="4876" w:type="dxa"/>
            <w:tcBorders>
              <w:top w:val="nil"/>
              <w:left w:val="nil"/>
              <w:bottom w:val="nil"/>
              <w:right w:val="nil"/>
            </w:tcBorders>
          </w:tcPr>
          <w:p>
            <w:pPr>
              <w:pStyle w:val="Normal6a"/>
            </w:pPr>
            <w:r>
              <w:t>Комисията, в консултация със социалните партньори и въз основа на примери за най-добри практики, следва да разработи несложни, елементарни и основни подкрепящи образци на споразумения за участие в разпределението на печалбата и насоки за ESSU, за да се улесни прилагането, да се подобри осведомеността относно плановете за придобиване на дялове от работниците и служителите и да се сближат схемите за финансово участие във всички държави членки. Образците на споразумения и насоки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w:t>
            </w:r>
            <w:r>
              <w:rPr>
                <w:b/>
                <w:i/>
              </w:rPr>
              <w:t>, за демократично управление</w:t>
            </w:r>
            <w:r>
              <w:t xml:space="preserve"> и да отчитат въздействието върху работниците и служителите, по-специално с оглед на равенството между половете.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Комисията, в консултация със социалните партньори и въз основа на примери за най-добри практики, следва да разработи несложни, елементарни и основни подкрепящи образци на споразумения за участие в разпределението на печалбата и насоки за </w:t>
            </w:r>
            <w:r>
              <w:rPr>
                <w:b/>
                <w:i/>
              </w:rPr>
              <w:t>ESSU</w:t>
            </w:r>
            <w:r>
              <w:t>, за да се улесни прилагането, да се подобри осведомеността относно плановете за придобиване на дялове от работниците и служителите и да се сближат схемите за финансово участие във всички държави членки. Образците на споразумения и насоки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 и да отчитат въздействието върху работниците и служителите, по-специално с оглед на равенството между половете.</w:t>
            </w:r>
          </w:p>
        </w:tc>
        <w:tc>
          <w:tcPr>
            <w:tcW w:w="4876" w:type="dxa"/>
            <w:tcBorders>
              <w:top w:val="nil"/>
              <w:left w:val="nil"/>
              <w:bottom w:val="nil"/>
              <w:right w:val="nil"/>
            </w:tcBorders>
          </w:tcPr>
          <w:p>
            <w:pPr>
              <w:pStyle w:val="Normal6a"/>
            </w:pPr>
            <w:r>
              <w:t xml:space="preserve">Комисията, в консултация със социалните партньори и въз основа на примери за най-добри практики, следва да разработи несложни, елементарни и основни подкрепящи образци на споразумения за участие в разпределението на печалбата и насоки за </w:t>
            </w:r>
            <w:r>
              <w:rPr>
                <w:b/>
                <w:i/>
              </w:rPr>
              <w:t>SES</w:t>
            </w:r>
            <w:r>
              <w:t>, за да се улесни прилагането, да се подобри осведомеността относно плановете за придобиване на дялове от работниците и служителите и да се сближат схемите за финансово участие във всички държави членки. Образците на споразумения и насоки следва да включват информация за свързаните финансови рискове за работниците и служителите, да посочват възможностите за изкупуване от страна на работниците и служителите и да отчитат въздействието върху работниците и служителите, по-специално с оглед на равенството между половете.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3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 да бъде засилен иновационният капацитет на ESSU и да се ускори пазарната реализация на резултатите от научните изследвания, рамката следва да насърчава и улеснява структурираните партньорства между ESSU и университетите, научноизследователските институти и бюрата за трансфер на технологии.</w:t>
            </w:r>
            <w:r>
              <w:rPr>
                <w:b/>
                <w:i/>
              </w:rPr>
              <w:t>Тези партньорства следва да имат за цел: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ускоряване на процеса „от лабораторията към пазара“ и подпомагане на създаването на съпътстващи предприятия;</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предоставяне на ESSUs на достъп до споделена научноизследователска инфраструктура, лаборатории и технически експертен опит;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улесняване на мобилността на изследователи и квалифицирани висшисти в ESSU чрез специални схеми за намиране на работа;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насърчаване на съвместното участие в програми на Съюза за финансиране на научни изследвания и иновации;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създаване на ваучери за иновации или подобни механизми за подкрепа, позволяващи на ESSU да закупуват НИРД и иновационни услуги от академични партньори.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Комисията следва да разработи насоки и образци на споразумения за сътрудничество за такива партньорства, като гарантира, че те са разбираеми, прозрачни и справедливи за всички участващи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6 – параграф 3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ESSU дава възможност на дружествата пряко да набират и наемат работници в различни държави членки, без да е необходимо да ангажират предишни споменати работодатели или сравними посредници.</w:t>
            </w:r>
            <w:r>
              <w:t xml:space="preserve"> </w:t>
            </w:r>
            <w:r>
              <w:rPr>
                <w:b/>
                <w:i/>
              </w:rPr>
              <w:t>Тази разпоредба има за цел да намали административната и регулаторната тежест, свързана с трансграничната заетост, при пълно зачитане на приложимото национално трудово, социалноосигурително и трудово законодателство.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Държавите членки</w:t>
            </w:r>
            <w:r>
              <w:t xml:space="preserve"> следва да </w:t>
            </w:r>
            <w:r>
              <w:rPr>
                <w:b/>
                <w:i/>
              </w:rPr>
              <w:t>въведат хармонизирани</w:t>
            </w:r>
            <w:r>
              <w:t>, подобни на капиталови дългови инструменти, чрез които инвеститорите могат да инвестират в дружества, без да придобиват права на контрол върху дадено дружество (като права на участие в печалбата, скрито съдружие или заеми, обвързани с печалбата). Подобните на капиталови дългови инструменти следва:</w:t>
            </w:r>
          </w:p>
        </w:tc>
        <w:tc>
          <w:tcPr>
            <w:tcW w:w="4876" w:type="dxa"/>
            <w:tcBorders>
              <w:top w:val="nil"/>
              <w:left w:val="nil"/>
              <w:bottom w:val="nil"/>
              <w:right w:val="nil"/>
            </w:tcBorders>
          </w:tcPr>
          <w:p>
            <w:pPr>
              <w:pStyle w:val="Normal6a"/>
            </w:pPr>
            <w:r>
              <w:rPr>
                <w:b/>
                <w:i/>
              </w:rPr>
              <w:t>ESSU</w:t>
            </w:r>
            <w:r>
              <w:t xml:space="preserve"> следва да </w:t>
            </w:r>
            <w:r>
              <w:rPr>
                <w:b/>
                <w:i/>
              </w:rPr>
              <w:t>въведе инструменти</w:t>
            </w:r>
            <w:r>
              <w:t>, подобни на капиталови дългови инструменти, чрез които инвеститорите могат да инвестират в дружества, без да придобиват права на контрол върху дадено дружество (като права на участие в печалбата, скрито съдружие или заеми, обвързани с печалбата). Подобните на капиталови дългови инструменти следва:</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2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Държавите членки</w:t>
            </w:r>
            <w:r>
              <w:t xml:space="preserve"> следва да </w:t>
            </w:r>
            <w:r>
              <w:rPr>
                <w:b/>
                <w:i/>
              </w:rPr>
              <w:t>въведат хармонизирани, подобни</w:t>
            </w:r>
            <w:r>
              <w:t xml:space="preserve"> на капиталови дългови инструменти, чрез които инвеститорите могат да инвестират в дружества, без да придобиват права на контрол върху дадено дружество (като права на участие в печалбата, скрито съдружие или заеми, обвързани с печалбата). Подобните на капиталови дългови инструменти следва:</w:t>
            </w:r>
          </w:p>
        </w:tc>
        <w:tc>
          <w:tcPr>
            <w:tcW w:w="4876" w:type="dxa"/>
            <w:tcBorders>
              <w:top w:val="nil"/>
              <w:left w:val="nil"/>
              <w:bottom w:val="nil"/>
              <w:right w:val="nil"/>
            </w:tcBorders>
          </w:tcPr>
          <w:p>
            <w:pPr>
              <w:pStyle w:val="Normal6a"/>
            </w:pPr>
            <w:r>
              <w:rPr>
                <w:b/>
                <w:i/>
              </w:rPr>
              <w:t>ESSU</w:t>
            </w:r>
            <w:r>
              <w:t xml:space="preserve"> следва да </w:t>
            </w:r>
            <w:r>
              <w:rPr>
                <w:b/>
                <w:i/>
              </w:rPr>
              <w:t>включи инструмент, подобен</w:t>
            </w:r>
            <w:r>
              <w:t xml:space="preserve"> на капиталови дългови инструменти, чрез които инвеститорите могат да инвестират в дружества, без да придобиват права на контрол върху дадено дружество (като права на участие в печалбата, скрито съдружие или заеми, обвързани с печалбата). Подобните на капиталови дългови инструменти следва: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да се създават чрез сключване на договорно споразумение между дружеството и инвеститора за предоставяне на капитал; </w:t>
            </w:r>
            <w:r>
              <w:rPr>
                <w:b/>
                <w:i/>
              </w:rPr>
              <w:t>въпросното</w:t>
            </w:r>
            <w:r>
              <w:t xml:space="preserve"> споразумение трябва да посочва </w:t>
            </w:r>
            <w:r>
              <w:rPr>
                <w:b/>
                <w:i/>
              </w:rPr>
              <w:t>инвестираната сума, да включва определена дата на изплащане и да предвижда компенсация, която може да бъде под формата на фиксирана или променлива лихва или</w:t>
            </w:r>
            <w:r>
              <w:t xml:space="preserve"> участие в </w:t>
            </w:r>
            <w:r>
              <w:rPr>
                <w:b/>
                <w:i/>
              </w:rPr>
              <w:t>печалбата;</w:t>
            </w:r>
          </w:p>
        </w:tc>
        <w:tc>
          <w:tcPr>
            <w:tcW w:w="4876" w:type="dxa"/>
            <w:tcBorders>
              <w:top w:val="nil"/>
              <w:left w:val="nil"/>
              <w:bottom w:val="nil"/>
              <w:right w:val="nil"/>
            </w:tcBorders>
          </w:tcPr>
          <w:p>
            <w:pPr>
              <w:pStyle w:val="Normal6a"/>
            </w:pPr>
            <w:r>
              <w:rPr>
                <w:b/>
                <w:i/>
              </w:rPr>
              <w:t>–</w:t>
            </w:r>
            <w:r>
              <w:tab/>
            </w:r>
            <w:r>
              <w:t xml:space="preserve">да се създават чрез сключване на договорно споразумение между дружеството и инвеститора за предоставяне на капитал; </w:t>
            </w:r>
            <w:r>
              <w:rPr>
                <w:b/>
                <w:i/>
              </w:rPr>
              <w:t>това</w:t>
            </w:r>
            <w:r>
              <w:t xml:space="preserve"> споразумение трябва да посочва </w:t>
            </w:r>
            <w:r>
              <w:rPr>
                <w:b/>
                <w:i/>
              </w:rPr>
              <w:t>размера на инвестирания капитал и условията за</w:t>
            </w:r>
            <w:r>
              <w:t xml:space="preserve"> участие в </w:t>
            </w:r>
            <w:r>
              <w:rPr>
                <w:b/>
                <w:i/>
              </w:rPr>
              <w:t>печалбите.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да се създават чрез сключване на договорно споразумение между дружеството и инвеститора за предоставяне на капитал; </w:t>
            </w:r>
            <w:r>
              <w:rPr>
                <w:b/>
                <w:i/>
              </w:rPr>
              <w:t>въпросното</w:t>
            </w:r>
            <w:r>
              <w:t xml:space="preserve"> споразумение трябва да посочва инвестираната </w:t>
            </w:r>
            <w:r>
              <w:rPr>
                <w:b/>
                <w:i/>
              </w:rPr>
              <w:t>сума, да включва определена дата на изплащане и да предвижда компенсация, която може да бъде под формата на фиксирана или променлива лихва или</w:t>
            </w:r>
            <w:r>
              <w:t xml:space="preserve"> участие в печалбата;</w:t>
            </w:r>
          </w:p>
        </w:tc>
        <w:tc>
          <w:tcPr>
            <w:tcW w:w="4876" w:type="dxa"/>
            <w:tcBorders>
              <w:top w:val="nil"/>
              <w:left w:val="nil"/>
              <w:bottom w:val="nil"/>
              <w:right w:val="nil"/>
            </w:tcBorders>
          </w:tcPr>
          <w:p>
            <w:pPr>
              <w:pStyle w:val="Normal6a"/>
            </w:pPr>
            <w:r>
              <w:rPr>
                <w:b/>
                <w:i/>
              </w:rPr>
              <w:t>–</w:t>
            </w:r>
            <w:r>
              <w:tab/>
            </w:r>
            <w:r>
              <w:t xml:space="preserve">да се създават чрез сключване на договорно споразумение между дружеството и инвеститора за предоставяне на капитал; </w:t>
            </w:r>
            <w:r>
              <w:rPr>
                <w:b/>
                <w:i/>
              </w:rPr>
              <w:t>това</w:t>
            </w:r>
            <w:r>
              <w:t xml:space="preserve"> споразумение трябва да посочва </w:t>
            </w:r>
            <w:r>
              <w:rPr>
                <w:b/>
                <w:i/>
              </w:rPr>
              <w:t>размера на</w:t>
            </w:r>
            <w:r>
              <w:t xml:space="preserve"> инвестираната </w:t>
            </w:r>
            <w:r>
              <w:rPr>
                <w:b/>
                <w:i/>
              </w:rPr>
              <w:t>главница или условията за</w:t>
            </w:r>
            <w:r>
              <w:t xml:space="preserve"> участие в печалбата;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2 – тире 2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Държавите членки следва да насърчават развитието на стратегически партньорства между ESSU и европейските цифрови инфраструктури, включително публични платформи за изчисления в облак и мрежи за технологични иновации, за да се улесни бързото разрастване и достъпът до ресурси от критично значение.</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цел да се повиши правната сигурност в 27-те национални юрисдикции на вътрешния пазар и да се намалят пречките за навлизане на пазара за инвестициите в ESSU, Комисията следва да улесни разработването на образци на устав, споразумения на съдружниците и всички други съответни документи за ESSU и да създаде платформа, на която тези образци на документи се предоставят на всички официални езици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цел да се повиши правната сигурност в 27-те национални юрисдикции на вътрешния пазар и да се намалят пречките за навлизане на пазара за инвестициите в ESSU,</w:t>
            </w:r>
            <w:r>
              <w:t xml:space="preserve"> Комисията следва да улесни разработването на </w:t>
            </w:r>
            <w:r>
              <w:rPr>
                <w:b/>
                <w:i/>
              </w:rPr>
              <w:t>образци</w:t>
            </w:r>
            <w:r>
              <w:t xml:space="preserve"> на устав, споразумения </w:t>
            </w:r>
            <w:r>
              <w:rPr>
                <w:b/>
                <w:i/>
              </w:rPr>
              <w:t>на съдружниците</w:t>
            </w:r>
            <w:r>
              <w:t xml:space="preserve"> и всички други съответни документи за ESSU и да създаде платформа, на която тези образци на документи се предоставят на всички официални езици на Съюза.</w:t>
            </w:r>
          </w:p>
        </w:tc>
        <w:tc>
          <w:tcPr>
            <w:tcW w:w="4876" w:type="dxa"/>
            <w:tcBorders>
              <w:top w:val="nil"/>
              <w:left w:val="nil"/>
              <w:bottom w:val="nil"/>
              <w:right w:val="nil"/>
            </w:tcBorders>
          </w:tcPr>
          <w:p>
            <w:pPr>
              <w:pStyle w:val="Normal6a"/>
            </w:pPr>
            <w:r>
              <w:t xml:space="preserve">Комисията следва да улесни разработването на </w:t>
            </w:r>
            <w:r>
              <w:rPr>
                <w:b/>
                <w:i/>
              </w:rPr>
              <w:t>стандартен многоезичен образец</w:t>
            </w:r>
            <w:r>
              <w:t xml:space="preserve"> на устав, споразумения </w:t>
            </w:r>
            <w:r>
              <w:rPr>
                <w:b/>
                <w:i/>
              </w:rPr>
              <w:t>между акционерите</w:t>
            </w:r>
            <w:r>
              <w:t xml:space="preserve"> и всички други съответни документи за ESSU и да създаде платформа, на която тези образци на документи се предоставят на всички официални езици на Съюза.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цел да се повиши правната сигурност в 27-те национални юрисдикции на вътрешния пазар и да се намалят пречките за навлизане на пазара за инвестициите в ESSU,</w:t>
            </w:r>
            <w:r>
              <w:t xml:space="preserve"> Комисията следва да улесни разработването на образци на устав, споразумения </w:t>
            </w:r>
            <w:r>
              <w:rPr>
                <w:b/>
                <w:i/>
              </w:rPr>
              <w:t>на съдружниците</w:t>
            </w:r>
            <w:r>
              <w:t xml:space="preserve"> и всички други съответни документи за ESSU и да създаде платформа, на която тези образци на документи се предоставят на всички официални езици на Съюза.</w:t>
            </w:r>
          </w:p>
        </w:tc>
        <w:tc>
          <w:tcPr>
            <w:tcW w:w="4876" w:type="dxa"/>
            <w:tcBorders>
              <w:top w:val="nil"/>
              <w:left w:val="nil"/>
              <w:bottom w:val="nil"/>
              <w:right w:val="nil"/>
            </w:tcBorders>
          </w:tcPr>
          <w:p>
            <w:pPr>
              <w:pStyle w:val="Normal6a"/>
            </w:pPr>
            <w:r>
              <w:t xml:space="preserve">Комисията следва да улесни разработването на образци на устав, споразумения </w:t>
            </w:r>
            <w:r>
              <w:rPr>
                <w:b/>
                <w:i/>
              </w:rPr>
              <w:t>между акционерите</w:t>
            </w:r>
            <w:r>
              <w:t xml:space="preserve"> и всички други съответни документи за ESSU и да създаде платформа, на която тези образци на документи </w:t>
            </w:r>
            <w:r>
              <w:rPr>
                <w:b/>
                <w:i/>
              </w:rPr>
              <w:t>и практическа информация</w:t>
            </w:r>
            <w:r>
              <w:t xml:space="preserve"> се предоставят на всички официални езици на Съюза.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 </w:t>
            </w:r>
            <w:r>
              <w:rPr>
                <w:b/>
                <w:i/>
              </w:rPr>
              <w:t>цел да се повиши</w:t>
            </w:r>
            <w:r>
              <w:t xml:space="preserve"> правната сигурност в 27-те национални юрисдикции на вътрешния пазар и </w:t>
            </w:r>
            <w:r>
              <w:rPr>
                <w:b/>
                <w:i/>
              </w:rPr>
              <w:t>да се намалят</w:t>
            </w:r>
            <w:r>
              <w:t xml:space="preserve"> пречките </w:t>
            </w:r>
            <w:r>
              <w:rPr>
                <w:b/>
                <w:i/>
              </w:rPr>
              <w:t>за навлизане на</w:t>
            </w:r>
            <w:r>
              <w:t xml:space="preserve"> пазара за </w:t>
            </w:r>
            <w:r>
              <w:rPr>
                <w:b/>
                <w:i/>
              </w:rPr>
              <w:t>инвестициите</w:t>
            </w:r>
            <w:r>
              <w:t xml:space="preserve"> в ESSU, </w:t>
            </w:r>
            <w:r>
              <w:rPr>
                <w:b/>
                <w:i/>
              </w:rPr>
              <w:t>Комисията</w:t>
            </w:r>
            <w:r>
              <w:t xml:space="preserve"> следва да </w:t>
            </w:r>
            <w:r>
              <w:rPr>
                <w:b/>
                <w:i/>
              </w:rPr>
              <w:t>улесни</w:t>
            </w:r>
            <w:r>
              <w:t xml:space="preserve"> разработването на образци на </w:t>
            </w:r>
            <w:r>
              <w:rPr>
                <w:b/>
                <w:i/>
              </w:rPr>
              <w:t>устав,</w:t>
            </w:r>
            <w:r>
              <w:t xml:space="preserve"> споразумения </w:t>
            </w:r>
            <w:r>
              <w:rPr>
                <w:b/>
                <w:i/>
              </w:rPr>
              <w:t>на съдружниците и всички други съответни документи</w:t>
            </w:r>
            <w:r>
              <w:t xml:space="preserve"> за ESSU </w:t>
            </w:r>
            <w:r>
              <w:rPr>
                <w:b/>
                <w:i/>
              </w:rPr>
              <w:t>и</w:t>
            </w:r>
            <w:r>
              <w:t xml:space="preserve"> да създаде платформа, на която тези образци на документи </w:t>
            </w:r>
            <w:r>
              <w:rPr>
                <w:b/>
                <w:i/>
              </w:rPr>
              <w:t>се предоставят на всички официални езици на Съюза</w:t>
            </w:r>
            <w:r>
              <w:t>.</w:t>
            </w:r>
          </w:p>
        </w:tc>
        <w:tc>
          <w:tcPr>
            <w:tcW w:w="4876" w:type="dxa"/>
            <w:tcBorders>
              <w:top w:val="nil"/>
              <w:left w:val="nil"/>
              <w:bottom w:val="nil"/>
              <w:right w:val="nil"/>
            </w:tcBorders>
          </w:tcPr>
          <w:p>
            <w:pPr>
              <w:pStyle w:val="Normal6a"/>
            </w:pPr>
            <w:r>
              <w:t xml:space="preserve">С </w:t>
            </w:r>
            <w:r>
              <w:rPr>
                <w:b/>
                <w:i/>
              </w:rPr>
              <w:t>оглед на повишаването на</w:t>
            </w:r>
            <w:r>
              <w:t xml:space="preserve"> правната сигурност в 27-те национални юрисдикции на вътрешния пазар и </w:t>
            </w:r>
            <w:r>
              <w:rPr>
                <w:b/>
                <w:i/>
              </w:rPr>
              <w:t>намаляването на</w:t>
            </w:r>
            <w:r>
              <w:t xml:space="preserve"> пречките </w:t>
            </w:r>
            <w:r>
              <w:rPr>
                <w:b/>
                <w:i/>
              </w:rPr>
              <w:t>пред достъпа до</w:t>
            </w:r>
            <w:r>
              <w:t xml:space="preserve"> пазара за </w:t>
            </w:r>
            <w:r>
              <w:rPr>
                <w:b/>
                <w:i/>
              </w:rPr>
              <w:t>инвестиции</w:t>
            </w:r>
            <w:r>
              <w:t xml:space="preserve"> в ESSU, </w:t>
            </w:r>
            <w:r>
              <w:rPr>
                <w:b/>
                <w:i/>
              </w:rPr>
              <w:t>държавите членки</w:t>
            </w:r>
            <w:r>
              <w:t xml:space="preserve"> следва да </w:t>
            </w:r>
            <w:r>
              <w:rPr>
                <w:b/>
                <w:i/>
              </w:rPr>
              <w:t>подкрепят</w:t>
            </w:r>
            <w:r>
              <w:t xml:space="preserve"> разработването на образци на </w:t>
            </w:r>
            <w:r>
              <w:rPr>
                <w:b/>
                <w:i/>
              </w:rPr>
              <w:t>учредителни документи и</w:t>
            </w:r>
            <w:r>
              <w:t xml:space="preserve"> споразумения </w:t>
            </w:r>
            <w:r>
              <w:rPr>
                <w:b/>
                <w:i/>
              </w:rPr>
              <w:t>между акционерите</w:t>
            </w:r>
            <w:r>
              <w:t xml:space="preserve"> за ESSU</w:t>
            </w:r>
            <w:r>
              <w:rPr>
                <w:b/>
                <w:i/>
              </w:rPr>
              <w:t>, докато Комисията би могла</w:t>
            </w:r>
            <w:r>
              <w:t xml:space="preserve"> да създаде платформа, на която </w:t>
            </w:r>
            <w:r>
              <w:rPr>
                <w:b/>
                <w:i/>
              </w:rPr>
              <w:t>да се предоставят</w:t>
            </w:r>
            <w:r>
              <w:t xml:space="preserve"> тези образци на документи.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 цел да се повиши правната сигурност в 27-те национални юрисдикции на вътрешния пазар и да се намалят пречките за навлизане на пазара за инвестициите в </w:t>
            </w:r>
            <w:r>
              <w:rPr>
                <w:b/>
                <w:i/>
              </w:rPr>
              <w:t>ESSU</w:t>
            </w:r>
            <w:r>
              <w:t xml:space="preserve">, Комисията следва да улесни разработването на образци на устав, споразумения на съдружниците и всички други съответни документи за </w:t>
            </w:r>
            <w:r>
              <w:rPr>
                <w:b/>
                <w:i/>
              </w:rPr>
              <w:t>ESSU</w:t>
            </w:r>
            <w:r>
              <w:t xml:space="preserve"> и да създаде платформа, на която тези образци на документи се предоставят на всички официални езици на Съюза.</w:t>
            </w:r>
          </w:p>
        </w:tc>
        <w:tc>
          <w:tcPr>
            <w:tcW w:w="4876" w:type="dxa"/>
            <w:tcBorders>
              <w:top w:val="nil"/>
              <w:left w:val="nil"/>
              <w:bottom w:val="nil"/>
              <w:right w:val="nil"/>
            </w:tcBorders>
          </w:tcPr>
          <w:p>
            <w:pPr>
              <w:pStyle w:val="Normal6a"/>
            </w:pPr>
            <w:r>
              <w:t xml:space="preserve">С цел да се повиши правната сигурност в 27-те национални юрисдикции на вътрешния пазар и да се намалят пречките за навлизане на пазара за инвестициите в </w:t>
            </w:r>
            <w:r>
              <w:rPr>
                <w:b/>
                <w:i/>
              </w:rPr>
              <w:t>SES</w:t>
            </w:r>
            <w:r>
              <w:t xml:space="preserve">, Комисията следва да улесни разработването на образци на устав, споразумения на съдружниците и всички други съответни документи за </w:t>
            </w:r>
            <w:r>
              <w:rPr>
                <w:b/>
                <w:i/>
              </w:rPr>
              <w:t>SES</w:t>
            </w:r>
            <w:r>
              <w:t xml:space="preserve"> и да създаде платформа, на която тези образци на документи се предоставят на всички официални езици на Съюза.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следва да назначи експертна група, натоварена с изготвянето на висококачествен стандартизиран образец на устав, който да отговаря на хармонизираните изисквания за ESSU.</w:t>
            </w:r>
            <w:r>
              <w:t xml:space="preserve"> </w:t>
            </w:r>
            <w:r>
              <w:rPr>
                <w:b/>
                <w:i/>
              </w:rPr>
              <w:t>Тази експертна група следва да включва, наред с другото, учредители, инвеститори и синдикални организации.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w:t>
            </w:r>
            <w:r>
              <w:t xml:space="preserve"> следва да </w:t>
            </w:r>
            <w:r>
              <w:rPr>
                <w:b/>
                <w:i/>
              </w:rPr>
              <w:t>назначи</w:t>
            </w:r>
            <w:r>
              <w:t xml:space="preserve"> експертна група, натоварена с изготвянето на висококачествен </w:t>
            </w:r>
            <w:r>
              <w:rPr>
                <w:b/>
                <w:i/>
              </w:rPr>
              <w:t>стандартизиран</w:t>
            </w:r>
            <w:r>
              <w:t xml:space="preserve"> образец на устав, който да отговаря на хармонизираните изисквания за ESSU. Тази експертна група следва да включва, наред с другото, учредители, инвеститори </w:t>
            </w:r>
            <w:r>
              <w:rPr>
                <w:b/>
                <w:i/>
              </w:rPr>
              <w:t>и</w:t>
            </w:r>
            <w:r>
              <w:t xml:space="preserve"> синдикални организации.</w:t>
            </w:r>
          </w:p>
        </w:tc>
        <w:tc>
          <w:tcPr>
            <w:tcW w:w="4876" w:type="dxa"/>
            <w:tcBorders>
              <w:top w:val="nil"/>
              <w:left w:val="nil"/>
              <w:bottom w:val="nil"/>
              <w:right w:val="nil"/>
            </w:tcBorders>
          </w:tcPr>
          <w:p>
            <w:pPr>
              <w:pStyle w:val="Normal6a"/>
            </w:pPr>
            <w:r>
              <w:rPr>
                <w:b/>
                <w:i/>
              </w:rPr>
              <w:t>Държавите членки</w:t>
            </w:r>
            <w:r>
              <w:t xml:space="preserve"> следва да </w:t>
            </w:r>
            <w:r>
              <w:rPr>
                <w:b/>
                <w:i/>
              </w:rPr>
              <w:t>определят</w:t>
            </w:r>
            <w:r>
              <w:t xml:space="preserve"> експертна група, натоварена с изготвянето на висококачествен </w:t>
            </w:r>
            <w:r>
              <w:rPr>
                <w:b/>
                <w:i/>
              </w:rPr>
              <w:t>национален</w:t>
            </w:r>
            <w:r>
              <w:t xml:space="preserve"> образец на устав, който да отговаря на хармонизираните изисквания за ESSU. Тази експертна група следва да включва, наред с другото, учредители, инвеститори</w:t>
            </w:r>
            <w:r>
              <w:rPr>
                <w:b/>
                <w:i/>
              </w:rPr>
              <w:t>,</w:t>
            </w:r>
            <w:r>
              <w:t xml:space="preserve"> синдикални организации</w:t>
            </w:r>
            <w:r>
              <w:rPr>
                <w:b/>
                <w:i/>
              </w:rPr>
              <w:t>, нотариуси и други компетентни органи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Комисията следва да назначи експертна група, натоварена с изготвянето на висококачествен стандартизиран образец на устав, който да отговаря на хармонизираните изисквания за </w:t>
            </w:r>
            <w:r>
              <w:rPr>
                <w:b/>
                <w:i/>
              </w:rPr>
              <w:t>ESSU</w:t>
            </w:r>
            <w:r>
              <w:t>. Тази експертна група следва да включва, наред с другото, учредители, инвеститори и синдикални организации.</w:t>
            </w:r>
          </w:p>
        </w:tc>
        <w:tc>
          <w:tcPr>
            <w:tcW w:w="4876" w:type="dxa"/>
            <w:tcBorders>
              <w:top w:val="nil"/>
              <w:left w:val="nil"/>
              <w:bottom w:val="nil"/>
              <w:right w:val="nil"/>
            </w:tcBorders>
          </w:tcPr>
          <w:p>
            <w:pPr>
              <w:pStyle w:val="Normal6a"/>
            </w:pPr>
            <w:r>
              <w:t xml:space="preserve">Комисията следва да назначи експертна група, натоварена с изготвянето на висококачествен стандартизиран образец на устав, който да отговаря на хармонизираните изисквания за </w:t>
            </w:r>
            <w:r>
              <w:rPr>
                <w:b/>
                <w:i/>
              </w:rPr>
              <w:t>SES</w:t>
            </w:r>
            <w:r>
              <w:t>. Тази експертна група следва да включва, наред с другото, учредители, инвеститори и синдикални организации.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Комисията следва да назначи експертна група, натоварена с изготвянето на висококачествен стандартизиран образец на устав, който да отговаря на хармонизираните изисквания за ESSU. Тази експертна група следва да включва, наред с другото, учредители</w:t>
            </w:r>
            <w:r>
              <w:rPr>
                <w:b/>
                <w:i/>
              </w:rPr>
              <w:t>,</w:t>
            </w:r>
            <w:r>
              <w:t xml:space="preserve"> инвеститори </w:t>
            </w:r>
            <w:r>
              <w:rPr>
                <w:b/>
                <w:i/>
              </w:rPr>
              <w:t>и синдикални организации</w:t>
            </w:r>
            <w:r>
              <w:t>.</w:t>
            </w:r>
          </w:p>
        </w:tc>
        <w:tc>
          <w:tcPr>
            <w:tcW w:w="4876" w:type="dxa"/>
            <w:tcBorders>
              <w:top w:val="nil"/>
              <w:left w:val="nil"/>
              <w:bottom w:val="nil"/>
              <w:right w:val="nil"/>
            </w:tcBorders>
          </w:tcPr>
          <w:p>
            <w:pPr>
              <w:pStyle w:val="Normal6a"/>
            </w:pPr>
            <w:r>
              <w:t xml:space="preserve">Комисията следва да назначи експертна група, натоварена с изготвянето на висококачествен стандартизиран образец на устав, който да отговаря на хармонизираните изисквания за ESSU. Тази експертна група следва да включва, наред с другото, учредители </w:t>
            </w:r>
            <w:r>
              <w:rPr>
                <w:b/>
                <w:i/>
              </w:rPr>
              <w:t>и</w:t>
            </w:r>
            <w:r>
              <w:t xml:space="preserve"> инвеститори.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следва да назначи допълнителна експертна група, натоварена с изготвянето на стандартизирани, справедливи и висококачествени образци на споразумения на съдружниците.</w:t>
            </w:r>
            <w:r>
              <w:t xml:space="preserve"> </w:t>
            </w:r>
            <w:r>
              <w:rPr>
                <w:b/>
                <w:i/>
              </w:rPr>
              <w:t>Образците на споразумения на съдружниците следва да постигат баланс между интересите на учредителите и инвеститорите.</w:t>
            </w:r>
            <w:r>
              <w:t xml:space="preserve"> </w:t>
            </w:r>
            <w:r>
              <w:rPr>
                <w:b/>
                <w:i/>
              </w:rPr>
              <w:t>Тази експертна група следва да включва, наред с другото, учредители и инвеститори в рисков капитал.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следва да назначи допълнителна експертна група, натоварена с изготвянето на стандартизирани, справедливи и висококачествени образци на споразумения на съдружниците.</w:t>
            </w:r>
            <w:r>
              <w:t xml:space="preserve"> </w:t>
            </w:r>
            <w:r>
              <w:rPr>
                <w:b/>
                <w:i/>
              </w:rPr>
              <w:t>Образците на споразумения на съдружниците следва да постигат баланс между интересите на учредителите и инвеститорите.</w:t>
            </w:r>
            <w:r>
              <w:t xml:space="preserve"> </w:t>
            </w:r>
            <w:r>
              <w:rPr>
                <w:b/>
                <w:i/>
              </w:rPr>
              <w:t>Тази експертна група следва да включва, наред с другото, учредители и инвеститори в рисков капитал.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Даниел Буда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w:t>
            </w:r>
            <w:r>
              <w:t xml:space="preserve"> следва да </w:t>
            </w:r>
            <w:r>
              <w:rPr>
                <w:b/>
                <w:i/>
              </w:rPr>
              <w:t>назначи</w:t>
            </w:r>
            <w:r>
              <w:t xml:space="preserve"> допълнителна експертна група, натоварена с </w:t>
            </w:r>
            <w:r>
              <w:rPr>
                <w:b/>
                <w:i/>
              </w:rPr>
              <w:t>изготвянето на стандартизирани,</w:t>
            </w:r>
            <w:r>
              <w:t xml:space="preserve"> справедливи и висококачествени образци </w:t>
            </w:r>
            <w:r>
              <w:rPr>
                <w:b/>
                <w:i/>
              </w:rPr>
              <w:t>на споразумения</w:t>
            </w:r>
            <w:r>
              <w:t xml:space="preserve"> на съдружниците. Образците на споразумения на съдружниците следва да постигат баланс между интересите на учредителите и инвеститорите. Тази експертна група следва да включва, наред с другото, учредители </w:t>
            </w:r>
            <w:r>
              <w:rPr>
                <w:b/>
                <w:i/>
              </w:rPr>
              <w:t>и</w:t>
            </w:r>
            <w:r>
              <w:t xml:space="preserve"> инвеститори в рисков капитал.</w:t>
            </w:r>
          </w:p>
        </w:tc>
        <w:tc>
          <w:tcPr>
            <w:tcW w:w="4876" w:type="dxa"/>
            <w:tcBorders>
              <w:top w:val="nil"/>
              <w:left w:val="nil"/>
              <w:bottom w:val="nil"/>
              <w:right w:val="nil"/>
            </w:tcBorders>
          </w:tcPr>
          <w:p>
            <w:pPr>
              <w:pStyle w:val="Normal6a"/>
            </w:pPr>
            <w:r>
              <w:rPr>
                <w:b/>
                <w:i/>
              </w:rPr>
              <w:t>Държавите членки</w:t>
            </w:r>
            <w:r>
              <w:t xml:space="preserve"> следва да </w:t>
            </w:r>
            <w:r>
              <w:rPr>
                <w:b/>
                <w:i/>
              </w:rPr>
              <w:t>определят</w:t>
            </w:r>
            <w:r>
              <w:t xml:space="preserve"> допълнителна експертна група, натоварена с </w:t>
            </w:r>
            <w:r>
              <w:rPr>
                <w:b/>
                <w:i/>
              </w:rPr>
              <w:t>разработването на национални</w:t>
            </w:r>
            <w:r>
              <w:t xml:space="preserve"> справедливи и висококачествени образци на съдружниците. Образците на споразумения на съдружниците следва да постигат баланс между интересите на учредителите и инвеститорите. Тази експертна група следва да включва, наред с другото, учредители</w:t>
            </w:r>
            <w:r>
              <w:rPr>
                <w:b/>
                <w:i/>
              </w:rPr>
              <w:t>,</w:t>
            </w:r>
            <w:r>
              <w:t xml:space="preserve"> инвеститори в рисков капитал</w:t>
            </w:r>
            <w:r>
              <w:rPr>
                <w:b/>
                <w:i/>
              </w:rPr>
              <w:t>, нотариуси и други компетентни органи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следва да създаде Съвместен изследователски център за европейско и сравнително търговско право, който да обедини съпоставима информация със свободен достъп относно регулирането на стопанската дейност в държавите членки на всички официални езици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Аксел Фос, Ангелика Ниблер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следва да създаде Съвместен изследователски център за европейско и сравнително търговско право, който да обедини съпоставима информация със свободен достъп относно регулирането на стопанската дейност в държавите членки на всички официални езици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Комисията следва да създаде Съвместен изследователски център за европейско и сравнително търговско право, който да обедини съпоставима информация със свободен достъп относно регулирането на стопанската дейност в държавите членки на всички официални езици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Виктор Негреску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6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съответствие със стратегията на Съюза за разширяване на участието и разпространяване на високи постижения в рамките на „Хоризонт Европа“ мерките следва да гарантират, че иновативните дружества, установени в държави членки с исторически по-ниски равнища на достъп до рисков капитал, се възползват от справедливи възможности за финансиране.</w:t>
            </w:r>
            <w:r>
              <w:t xml:space="preserve"> </w:t>
            </w:r>
            <w:r>
              <w:rPr>
                <w:b/>
                <w:i/>
              </w:rPr>
              <w:t>Този подход би намалил структурните различия в целия Съюз, би засилил сближаването между държавите членки и би позволил на ESSU да се разрастват независимо от географското си местоположение.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7 – параграф 6 а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Внасянето на яснота както за европейските, така и за чуждестранните инвеститори е ключова част от приемането на 28-ия режим от предприемачите благодарение на неговите хармонизирани правила.</w:t>
            </w:r>
            <w:r>
              <w:t xml:space="preserve"> </w:t>
            </w:r>
            <w:r>
              <w:rPr>
                <w:b/>
                <w:i/>
              </w:rPr>
              <w:t>Поради това въздействието на този режим върху капитала на инвеститорите следва да се изчислява и оценява като измерване на успеха на формата на дружеството.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Паскал Пиера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Специализирани механизми за решаване на спорове</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да се ускори решаването на спорове във връзка с ESSU, следва да се създаде алтернативен специализиран механизъм за решаване на спорове.</w:t>
            </w:r>
            <w:r>
              <w:rPr>
                <w:b/>
                <w:i/>
              </w:rPr>
              <w:t xml:space="preserve"> </w:t>
            </w:r>
            <w:r>
              <w:rPr>
                <w:b/>
                <w:i/>
              </w:rPr>
              <w:t>Участието в този механизъм следва да зависи от съгласието на участващите страни.</w:t>
            </w:r>
            <w:r>
              <w:rPr>
                <w:b/>
                <w:i/>
              </w:rPr>
              <w:t xml:space="preserve"> </w:t>
            </w:r>
            <w:r>
              <w:rPr>
                <w:b/>
                <w:i/>
              </w:rPr>
              <w:t>Споровете, свързани с индивидуалното и колективното трудово право, следва да бъдат изключени от този механизъм.</w:t>
            </w:r>
            <w:r>
              <w:rPr>
                <w:b/>
                <w:i/>
              </w:rPr>
              <w:t xml:space="preserve"> </w:t>
            </w:r>
            <w:r>
              <w:rPr>
                <w:b/>
                <w:i/>
              </w:rPr>
              <w:t>Компетентността в тези случаи следва да се определя в съответствие с членове 20 — 23 от Регламент (ЕС) № 1215/2012.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w:t>
            </w:r>
            <w:r>
              <w:rPr>
                <w:b/>
                <w:i/>
              </w:rPr>
              <w:t xml:space="preserve"> </w:t>
            </w:r>
            <w:r>
              <w:rPr>
                <w:b/>
                <w:i/>
              </w:rPr>
              <w:t>Тези отделения следва да работят по решаването на гражданскоправни спорове между дружества, свързани с дружествената форма ESSU, спорове, произтичащи от или във връзка с придобиването на ESSU или дялове в ESSU, и спорове между ESSU и членове на неговия управителен или надзорен съвет.</w:t>
            </w:r>
            <w:r>
              <w:rPr>
                <w:b/>
                <w:i/>
              </w:rPr>
              <w:t xml:space="preserve"> </w:t>
            </w:r>
            <w:r>
              <w:rPr>
                <w:b/>
                <w:i/>
              </w:rPr>
              <w:t>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Специализирани механизми за решаване на спорове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да се ускори решаването на спорове във връзка с ESSU, следва да се създаде алтернативен специализиран механизъм за решаване на спорове.</w:t>
            </w:r>
            <w:r>
              <w:t xml:space="preserve"> </w:t>
            </w:r>
            <w:r>
              <w:rPr>
                <w:b/>
                <w:i/>
              </w:rPr>
              <w:t>Участието в този механизъм следва да зависи от съгласието на участващите страни.</w:t>
            </w:r>
            <w:r>
              <w:t xml:space="preserve"> </w:t>
            </w:r>
            <w:r>
              <w:rPr>
                <w:b/>
                <w:i/>
              </w:rPr>
              <w:t>Споровете, свързани с индивидуалното и колективното трудово право, следва да бъдат изключени от този механизъм.</w:t>
            </w:r>
            <w:r>
              <w:t xml:space="preserve"> </w:t>
            </w:r>
            <w:r>
              <w:rPr>
                <w:b/>
                <w:i/>
              </w:rPr>
              <w:t>Компетентността в тези случаи следва да се определя в съответствие с членове 20 — 23 от Регламент (ЕС) № 1215/2012.</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да се ускори решаването на спорове във връзка с ESSU, </w:t>
            </w:r>
            <w:r>
              <w:rPr>
                <w:b/>
                <w:i/>
              </w:rPr>
              <w:t>следва да се създаде</w:t>
            </w:r>
            <w:r>
              <w:t xml:space="preserve"> алтернативен специализиран механизъм за решаване на спорове. Участието в този механизъм следва да зависи от съгласието на участващите страни. </w:t>
            </w:r>
            <w:r>
              <w:rPr>
                <w:b/>
                <w:i/>
              </w:rPr>
              <w:t>Споровете, свързани с индивидуалното и колективното трудово право, следва да бъдат изключени от този механизъм.</w:t>
            </w:r>
            <w:r>
              <w:t xml:space="preserve"> </w:t>
            </w:r>
            <w:r>
              <w:rPr>
                <w:b/>
                <w:i/>
              </w:rPr>
              <w:t>Компетентността в тези случаи следва да се определя в съответствие с членове 20 — 23 от Регламент (ЕС) № 1215/2012.</w:t>
            </w:r>
          </w:p>
        </w:tc>
        <w:tc>
          <w:tcPr>
            <w:tcW w:w="4876" w:type="dxa"/>
            <w:tcBorders>
              <w:top w:val="nil"/>
              <w:left w:val="nil"/>
              <w:bottom w:val="nil"/>
              <w:right w:val="nil"/>
            </w:tcBorders>
          </w:tcPr>
          <w:p>
            <w:pPr>
              <w:pStyle w:val="Normal6a"/>
            </w:pPr>
            <w:r>
              <w:t xml:space="preserve">За да се ускори решаването на спорове във връзка с ESSU, </w:t>
            </w:r>
            <w:r>
              <w:rPr>
                <w:b/>
                <w:i/>
              </w:rPr>
              <w:t>може да бъде създаден</w:t>
            </w:r>
            <w:r>
              <w:t xml:space="preserve"> алтернативен специализиран механизъм за решаване на спорове. Участието в този механизъм следва да зависи от съгласието на участващите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За да се ускори решаването на спорове във връзка с </w:t>
            </w:r>
            <w:r>
              <w:rPr>
                <w:b/>
                <w:i/>
              </w:rPr>
              <w:t>ESSU</w:t>
            </w:r>
            <w:r>
              <w:t>, следва да се създаде алтернативен специализиран механизъм за решаване на спорове. Участието в този механизъм следва да зависи от съгласието на участващите страни. Споровете, свързани с индивидуалното и колективното трудово право, следва да бъдат изключени от този механизъм. Компетентността в тези случаи следва да се определя в съответствие с членове 20 — 23 от Регламент (ЕС) № 1215/2012.</w:t>
            </w:r>
          </w:p>
        </w:tc>
        <w:tc>
          <w:tcPr>
            <w:tcW w:w="4876" w:type="dxa"/>
            <w:tcBorders>
              <w:top w:val="nil"/>
              <w:left w:val="nil"/>
              <w:bottom w:val="nil"/>
              <w:right w:val="nil"/>
            </w:tcBorders>
          </w:tcPr>
          <w:p>
            <w:pPr>
              <w:pStyle w:val="Normal6a"/>
            </w:pPr>
            <w:r>
              <w:t xml:space="preserve">За да се ускори решаването на спорове във връзка с </w:t>
            </w:r>
            <w:r>
              <w:rPr>
                <w:b/>
                <w:i/>
              </w:rPr>
              <w:t>SES</w:t>
            </w:r>
            <w:r>
              <w:t>, следва да се създаде алтернативен специализиран механизъм за решаване на спорове. Участието в този механизъм следва да зависи от съгласието на участващите страни. Споровете, свързани с индивидуалното и колективното трудово право, следва да бъдат изключени от този механизъм. Компетентността в тези случаи следва да се определя в съответствие с членове 20 — 23 от Регламент (ЕС) № 1215/2012.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Лукас Мандл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w:t>
            </w:r>
            <w:r>
              <w:t xml:space="preserve"> </w:t>
            </w:r>
            <w:r>
              <w:rPr>
                <w:b/>
                <w:i/>
              </w:rPr>
              <w:t>Тези отделения следва да работят по решаването на гражданскоправни спорове между дружества, свързани с дружествената форма ESSU, спорове, произтичащи от или във връзка с придобиването на ESSU или дялове в ESSU, и спорове между ESSU и членове на неговия управителен или надзорен съвет.</w:t>
            </w:r>
            <w:r>
              <w:t xml:space="preserve"> </w:t>
            </w:r>
            <w:r>
              <w:rPr>
                <w:b/>
                <w:i/>
              </w:rPr>
              <w:t>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Емил Радев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w:t>
            </w:r>
            <w:r>
              <w:t xml:space="preserve"> </w:t>
            </w:r>
            <w:r>
              <w:rPr>
                <w:b/>
                <w:i/>
              </w:rPr>
              <w:t>Тези отделения следва да работят по решаването на гражданскоправни спорове между дружества, свързани с дружествената форма ESSU, спорове, произтичащи от или във връзка с придобиването на ESSU или дялове в ESSU, и спорове между ESSU и членове на неговия управителен или надзорен съвет.</w:t>
            </w:r>
            <w:r>
              <w:t xml:space="preserve"> </w:t>
            </w:r>
            <w:r>
              <w:rPr>
                <w:b/>
                <w:i/>
              </w:rPr>
              <w:t>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Аксел Фос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w:t>
            </w:r>
            <w:r>
              <w:t xml:space="preserve"> </w:t>
            </w:r>
            <w:r>
              <w:rPr>
                <w:b/>
                <w:i/>
              </w:rPr>
              <w:t>Тези отделения следва да работят по решаването на гражданскоправни спорове между дружества, свързани с дружествената форма ESSU, спорове, произтичащи от или във връзка с придобиването на ESSU или дялове в ESSU, и спорове между ESSU и членове на неговия управителен или надзорен съвет.</w:t>
            </w:r>
            <w:r>
              <w:t xml:space="preserve"> </w:t>
            </w:r>
            <w:r>
              <w:rPr>
                <w:b/>
                <w:i/>
              </w:rPr>
              <w:t>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Марио Мантовани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 Тези отделения следва да работят по </w:t>
            </w:r>
            <w:r>
              <w:rPr>
                <w:b/>
                <w:i/>
              </w:rPr>
              <w:t>решаването</w:t>
            </w:r>
            <w:r>
              <w:t xml:space="preserve"> на гражданскоправни спорове между дружества, свързани с дружествената форма ESSU, спорове, произтичащи от или във връзка с придобиването на ESSU или дялове в ESSU, и спорове между ESSU и членове на неговия управителен или надзорен съвет. Държавите членки следва да гарантират, че производствата пред такива отделения могат да се провеждат на английски език</w:t>
            </w:r>
            <w:r>
              <w:rPr>
                <w:b/>
                <w:i/>
              </w:rPr>
              <w:t>, при условие че участващите страни са съгласни с това</w:t>
            </w:r>
            <w:r>
              <w:t>.</w:t>
            </w:r>
          </w:p>
        </w:tc>
        <w:tc>
          <w:tcPr>
            <w:tcW w:w="4876" w:type="dxa"/>
            <w:tcBorders>
              <w:top w:val="nil"/>
              <w:left w:val="nil"/>
              <w:bottom w:val="nil"/>
              <w:right w:val="nil"/>
            </w:tcBorders>
          </w:tcPr>
          <w:p>
            <w:pPr>
              <w:pStyle w:val="Normal6a"/>
            </w:pPr>
            <w:r>
              <w:t xml:space="preserve">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 Тези отделения следва да работят по </w:t>
            </w:r>
            <w:r>
              <w:rPr>
                <w:b/>
                <w:i/>
              </w:rPr>
              <w:t>бързото и ефикасно решаване</w:t>
            </w:r>
            <w:r>
              <w:t xml:space="preserve"> на гражданскоправни спорове между дружества, свързани с дружествената форма ESSU, спорове, произтичащи от или във връзка с придобиването на ESSU или дялове в ESSU, и спорове между ESSU и членове на неговия управителен или надзорен съвет. Държавите членки следва да гарантират, че производствата пред такива отделения могат да се провеждат </w:t>
            </w:r>
            <w:r>
              <w:rPr>
                <w:b/>
                <w:i/>
              </w:rPr>
              <w:t>по искане на най-малко една от страните и също така</w:t>
            </w:r>
            <w:r>
              <w:t xml:space="preserve"> на английски език.</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Паскал Канфен, Лоранс Фаренг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Приложение I – точка 8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 Тези отделения следва да работят по решаването на гражданскоправни спорове между дружества, свързани с дружествената форма </w:t>
            </w:r>
            <w:r>
              <w:rPr>
                <w:b/>
                <w:i/>
              </w:rPr>
              <w:t>ESSU</w:t>
            </w:r>
            <w:r>
              <w:t xml:space="preserve">, спорове, произтичащи от или във връзка с придобиването на </w:t>
            </w:r>
            <w:r>
              <w:rPr>
                <w:b/>
                <w:i/>
              </w:rPr>
              <w:t>ESSU</w:t>
            </w:r>
            <w:r>
              <w:t xml:space="preserve"> или дялове в </w:t>
            </w:r>
            <w:r>
              <w:rPr>
                <w:b/>
                <w:i/>
              </w:rPr>
              <w:t>ESSU</w:t>
            </w:r>
            <w:r>
              <w:t>, и спорове между ESSU и членове на неговия управителен или надзорен съвет. 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tc>
        <w:tc>
          <w:tcPr>
            <w:tcW w:w="4876" w:type="dxa"/>
            <w:tcBorders>
              <w:top w:val="nil"/>
              <w:left w:val="nil"/>
              <w:bottom w:val="nil"/>
              <w:right w:val="nil"/>
            </w:tcBorders>
          </w:tcPr>
          <w:p>
            <w:pPr>
              <w:pStyle w:val="Normal6a"/>
            </w:pPr>
            <w:r>
              <w:t xml:space="preserve">Освен това държавите членки следва да въведат специално отделение в рамките на своите национални съдилища — едно отделение в рамките на един конкретен съд на национално равнище или едно отделение в рамките на един конкретен съд във всяка федерална единица, в зависимост от съответната национална съдебна система. Тези отделения следва да работят по решаването на гражданскоправни спорове между дружества, свързани с дружествената форма </w:t>
            </w:r>
            <w:r>
              <w:rPr>
                <w:b/>
                <w:i/>
              </w:rPr>
              <w:t>SES</w:t>
            </w:r>
            <w:r>
              <w:t xml:space="preserve">, спорове, произтичащи от или във връзка с придобиването на </w:t>
            </w:r>
            <w:r>
              <w:rPr>
                <w:b/>
                <w:i/>
              </w:rPr>
              <w:t>SES</w:t>
            </w:r>
            <w:r>
              <w:t xml:space="preserve"> или дялове в </w:t>
            </w:r>
            <w:r>
              <w:rPr>
                <w:b/>
                <w:i/>
              </w:rPr>
              <w:t>SES</w:t>
            </w:r>
            <w:r>
              <w:t>, и спорове между ESSU и членове на неговия управителен или надзорен съвет. Държавите членки следва да гарантират, че производствата пред такива отделения могат да се провеждат на английски език, при условие че участващите страни са съгласни с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184</w:t>
    </w:r>
    <w:r>
      <w:fldChar w:fldCharType="end"/>
    </w:r>
    <w:r>
      <w:t>/</w:t>
    </w:r>
    <w:r>
      <w:fldChar w:fldCharType="begin"/>
    </w:r>
    <w:r>
      <w:instrText xml:space="preserve"> NUMPAGES </w:instrText>
    </w:r>
    <w:r>
      <w:fldChar w:fldCharType="separate"/>
    </w:r>
    <w:r>
      <w:t>184</w:t>
    </w:r>
    <w:r>
      <w:fldChar w:fldCharType="end"/>
    </w:r>
    <w:r>
      <w:tab/>
    </w:r>
    <w:r>
      <w:rPr>
        <w:rStyle w:val="HideTWBExt"/>
      </w:rPr>
      <w:t>&lt;PathFdR&gt;</w:t>
    </w:r>
    <w:r>
      <w:t>AM\1327577BG.docx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AM\1327577BG.docx</w:t>
    </w:r>
    <w:r>
      <w:rPr>
        <w:rStyle w:val="HideTWBExt"/>
      </w:rPr>
      <w:t>&lt;/PathFdR&gt;</w:t>
    </w:r>
    <w:r>
      <w:tab/>
    </w:r>
    <w:r>
      <w:fldChar w:fldCharType="begin"/>
    </w:r>
    <w:r>
      <w:instrText xml:space="preserve"> PAGE </w:instrText>
    </w:r>
    <w:r>
      <w:fldChar w:fldCharType="separate"/>
    </w:r>
    <w:r>
      <w:t>183</w:t>
    </w:r>
    <w:r>
      <w:fldChar w:fldCharType="end"/>
    </w:r>
    <w:r>
      <w:t>/</w:t>
    </w:r>
    <w:r>
      <w:fldChar w:fldCharType="begin"/>
    </w:r>
    <w:r>
      <w:instrText xml:space="preserve"> NUMPAGES </w:instrText>
    </w:r>
    <w:r>
      <w:fldChar w:fldCharType="separate"/>
    </w:r>
    <w:r>
      <w:t>184</w:t>
    </w:r>
    <w:r>
      <w:fldChar w:fldCharType="end"/>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AM\1327577BG.docx</w:t>
    </w:r>
    <w:r>
      <w:rPr>
        <w:rStyle w:val="HideTWBExt"/>
      </w:rPr>
      <w:t>&lt;/PathFdR&gt;</w:t>
    </w:r>
    <w:r>
      <w:tab/>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184</Pages>
  <Words>35695</Words>
  <Characters>211320</Characters>
  <Application>Microsoft Office Word</Application>
  <DocSecurity>0</DocSecurity>
  <Lines>1</Lines>
  <Paragraphs>3098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245314</vt:lpwstr>
  </property>
  <property fmtid="{D5CDD505-2E9C-101B-9397-08002B2CF9AE}" pid="7" name="dmxml.render.traceId">
    <vt:lpwstr>68d3f2d9801f220f027dfc841ff5b9b5</vt:lpwstr>
  </property>
  <property fmtid="{D5CDD505-2E9C-101B-9397-08002B2CF9AE}" pid="8" name="FooterPath">
    <vt:lpwstr>AM\1327577BG.docx</vt:lpwstr>
  </property>
  <property fmtid="{D5CDD505-2E9C-101B-9397-08002B2CF9AE}" pid="9" name="PE Number">
    <vt:lpwstr>776.972</vt:lpwstr>
  </property>
  <property fmtid="{D5CDD505-2E9C-101B-9397-08002B2CF9AE}" pid="10" name="UID">
    <vt:lpwstr>eu.europa.europarl-DIN1-2025-0000165770_02.00-bg-01.00_text-xml</vt:lpwstr>
  </property>
</Properties>
</file>