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{JURI}</w:t>
      </w:r>
      <w:r>
        <w:t>Teisės reikalų komitetas</w:t>
      </w:r>
      <w:r>
        <w:rPr>
          <w:rStyle w:val="HideTWBExt"/>
        </w:rPr>
        <w:t>&lt;/Commission&gt;</w:t>
      </w:r>
    </w:p>
    <w:p>
      <w:pPr>
        <w:pStyle w:val="LineBottom"/>
      </w:pPr>
      <w:r>
        <w:t xml:space="preserve"> </w:t>
      </w:r>
    </w:p>
    <w:p>
      <w:pPr>
        <w:pStyle w:val="CoverReference"/>
      </w:pPr>
      <w:r>
        <w:rPr>
          <w:rStyle w:val="HideTWBExt"/>
        </w:rPr>
        <w:t>&lt;RefProc&gt;</w:t>
      </w:r>
      <w:r>
        <w:t>2025/2079</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{12/09/2025}</w:t>
      </w:r>
      <w:r>
        <w:t>12.9.2025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344</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René Repasi</w:t>
      </w:r>
      <w:r>
        <w:rPr>
          <w:rStyle w:val="HideTWBExt"/>
        </w:rPr>
        <w:t>&lt;/Rapporteur&gt;</w:t>
      </w:r>
    </w:p>
    <w:p>
      <w:pPr>
        <w:pStyle w:val="CoverNormal24a"/>
      </w:pPr>
      <w:r>
        <w:rPr>
          <w:rStyle w:val="HideTWBExt"/>
        </w:rPr>
        <w:t>&lt;DocRefPE&gt;</w:t>
      </w:r>
      <w:r>
        <w:t>(PE773.199v01-00)</w:t>
      </w:r>
      <w:r>
        <w:rPr>
          <w:rStyle w:val="HideTWBExt"/>
        </w:rPr>
        <w:t>&lt;/DocRefPE&gt;</w:t>
      </w:r>
    </w:p>
    <w:p>
      <w:pPr>
        <w:pStyle w:val="CoverNormal"/>
      </w:pPr>
      <w:r>
        <w:rPr>
          <w:rStyle w:val="HideTWBExt"/>
        </w:rPr>
        <w:t>&lt;Titre&gt;</w:t>
      </w:r>
      <w:r>
        <w:t>28-oji teisinė sistema: nauja teisinė sistema, skirta novatoriškoms bendrovėms</w:t>
      </w:r>
      <w:r>
        <w:rPr>
          <w:rStyle w:val="HideTWBExt"/>
        </w:rPr>
        <w:t>&lt;/Titre&gt;</w:t>
      </w:r>
    </w:p>
    <w:p>
      <w:pPr>
        <w:pStyle w:val="CoverNormal24a"/>
      </w:pPr>
      <w:r>
        <w:rPr>
          <w:rStyle w:val="HideTWBExt"/>
        </w:rPr>
        <w:t>&lt;DocRef&gt;</w:t>
      </w:r>
      <w:r>
        <w:t>(2025/2079(INL))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su rekomendacijomis Komisijai „28-oji teisinė sistema: nauja teisinė sistema</w:t>
            </w:r>
            <w:r>
              <w:rPr>
                <w:b/>
                <w:i/>
              </w:rPr>
              <w:t>, skirta novatoriškoms bendrovėms“</w:t>
            </w:r>
          </w:p>
        </w:tc>
        <w:tc>
          <w:tcPr>
            <w:tcW w:w="4876" w:type="dxa"/>
            <w:tcBorders>
              <w:top w:val="nil"/>
              <w:left w:val="nil"/>
              <w:bottom w:val="nil"/>
              <w:right w:val="nil"/>
            </w:tcBorders>
          </w:tcPr>
          <w:p>
            <w:pPr>
              <w:pStyle w:val="Normal6a"/>
            </w:pPr>
            <w:r>
              <w:t xml:space="preserve">su rekomendacijomis Komisijai „28-oji teisinė sistema: nauja </w:t>
            </w:r>
            <w:r>
              <w:rPr>
                <w:b/>
                <w:i/>
              </w:rPr>
              <w:t>startuolių ir veiklą plečiančių įmonių</w:t>
            </w:r>
            <w:r>
              <w:t xml:space="preserve"> teisinė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Sutarties dėl Europos Sąjungos veikimo 50 straipsnį ir 114 straipsnio 1 dalį,</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atsižvelgdamas į Sutarties dėl Europos Sąjungos veikimo 50 straipsnį </w:t>
            </w:r>
            <w:r>
              <w:rPr>
                <w:b/>
                <w:i/>
              </w:rPr>
              <w:t>ir 114 straipsnio 1 dalį</w:t>
            </w:r>
            <w:r>
              <w:t>,</w:t>
            </w:r>
          </w:p>
        </w:tc>
        <w:tc>
          <w:tcPr>
            <w:tcW w:w="4876" w:type="dxa"/>
            <w:tcBorders>
              <w:top w:val="nil"/>
              <w:left w:val="nil"/>
              <w:bottom w:val="nil"/>
              <w:right w:val="nil"/>
            </w:tcBorders>
          </w:tcPr>
          <w:p>
            <w:pPr>
              <w:pStyle w:val="Normal6a"/>
            </w:pPr>
            <w:r>
              <w:rPr>
                <w:b/>
                <w:i/>
              </w:rPr>
              <w:t>–</w:t>
            </w:r>
            <w:r>
              <w:tab/>
            </w:r>
            <w:r>
              <w:t>atsižvelgdamas į Sutarties dėl Europos Sąjungos veikimo 50 straipsnį,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Sutarties dėl Europos Sąjungos veikimo 352 straipsnio 1 dalį,</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2019 m. birželio 20 d. Europos Parlamento ir Tarybos direktyvą (ES) 2019/1151, kuria iš dalies keičiamos Direktyvos (ES) 2017/1132 nuostatos dėl skaitmeninių priemonių ir procesų, naudojamų taikant bendrovių teisės aktus,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gruodžio 19 d. Europos Parlamento ir Tarybos direktyvą (ES) 2025/25, kuria iš dalies keičiamos direktyvos 2009/102/EB ir (ES) 2017/1132, kiek tai susiję su tolesniu skaitmeninių priemonių ir procesų naudojimo bendrovių teisėje plėtojimu ir tobulinimu,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gruodžio 19 d. Europos Parlamento ir Tarybos direktyvą (ES) 2025/25, kuria iš dalies keičiamos direktyvos 2009/102/EB ir (ES) 2017/1132, kiek tai susiję su tolesniu skaitmeninių priemonių ir procesų naudojimo bendrovių teisėje plėtojimu ir tobulinimu,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gruodžio 19 d. Europos Parlamento ir Tarybos direktyvą (ES) 2025/25, kuria iš dalies keičiamos direktyvos 2009/102/EB ir (ES) 2017/1132, kiek tai susiję su tolesniu skaitmeninių priemonių ir procesų naudojimo bendrovių teisėje plėtojimu ir tobulinimu,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2019 m. lapkričio 27 d. Europos Parlamento ir Tarybos direktyvą (ES) 2019/2121, kuria iš dalies keičiamos Direktyvos (ES) 2017/1132 nuostatos, kiek tai susiję su vienos valstybės ribas peržengiančiu pertvarkymu, jungimu ir skaidymu,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w:t>
            </w:r>
            <w:r>
              <w:rPr>
                <w:b/>
                <w:i/>
              </w:rPr>
              <w:t>įmonėms, ypač mažosioms ir vidutinėms įmonėms (MVĮ), startuoliams</w:t>
            </w:r>
            <w:r>
              <w:t xml:space="preserve"> ir veiklą </w:t>
            </w:r>
            <w:r>
              <w:rPr>
                <w:b/>
                <w:i/>
              </w:rPr>
              <w:t>plečiančioms įmonėms</w:t>
            </w:r>
            <w:r>
              <w:t xml:space="preserve">, įvairiose </w:t>
            </w:r>
            <w:r>
              <w:rPr>
                <w:b/>
                <w:i/>
              </w:rPr>
              <w:t>visos Sąjungos</w:t>
            </w:r>
            <w:r>
              <w:t xml:space="preserve"> valstybėse narėse </w:t>
            </w:r>
            <w:r>
              <w:rPr>
                <w:b/>
                <w:i/>
              </w:rPr>
              <w:t>taikomos labai skirtingos taisyklės</w:t>
            </w:r>
            <w:r>
              <w:t xml:space="preserve">; kadangi ši reglamentavimo įvairovė ir orientavimosi nežinomoje aplinkoje </w:t>
            </w:r>
            <w:r>
              <w:rPr>
                <w:b/>
                <w:i/>
              </w:rPr>
              <w:t>išlaidos</w:t>
            </w:r>
            <w:r>
              <w:t xml:space="preserve"> trukdo finansuoti įmones visoje Europoje;</w:t>
            </w:r>
          </w:p>
        </w:tc>
        <w:tc>
          <w:tcPr>
            <w:tcW w:w="4876" w:type="dxa"/>
            <w:tcBorders>
              <w:top w:val="nil"/>
              <w:left w:val="nil"/>
              <w:bottom w:val="nil"/>
              <w:right w:val="nil"/>
            </w:tcBorders>
          </w:tcPr>
          <w:p>
            <w:pPr>
              <w:pStyle w:val="Normal6a"/>
            </w:pPr>
            <w:r>
              <w:t>A.</w:t>
            </w:r>
            <w:r>
              <w:tab/>
            </w:r>
            <w:r>
              <w:t xml:space="preserve">kadangi </w:t>
            </w:r>
            <w:r>
              <w:rPr>
                <w:b/>
                <w:i/>
              </w:rPr>
              <w:t>įmonės, ypač mažosios ir vidutinės įmonės (MVĮ), startuoliai</w:t>
            </w:r>
            <w:r>
              <w:t xml:space="preserve"> ir veiklą </w:t>
            </w:r>
            <w:r>
              <w:rPr>
                <w:b/>
                <w:i/>
              </w:rPr>
              <w:t>plečiančios įmonės</w:t>
            </w:r>
            <w:r>
              <w:t xml:space="preserve">, </w:t>
            </w:r>
            <w:r>
              <w:rPr>
                <w:b/>
                <w:i/>
              </w:rPr>
              <w:t>visoje Sąjungoje dažniau susiduria su fragmentiška ES reglamentavimo sistema ir labai skirtingomis taisyklėmis</w:t>
            </w:r>
            <w:r>
              <w:t xml:space="preserve"> įvairiose valstybėse narėse; kadangi ši reglamentavimo įvairovė ir orientavimosi nežinomoje aplinkoje </w:t>
            </w:r>
            <w:r>
              <w:rPr>
                <w:b/>
                <w:i/>
              </w:rPr>
              <w:t>sąnaudos</w:t>
            </w:r>
            <w:r>
              <w:t xml:space="preserve"> trukdo finansuoti įmones visoje Europoje;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įmonėms, ypač mažosioms ir vidutinėms įmonėms (MVĮ), startuoliams ir veiklą plečiančioms įmonėms, įvairiose visos Sąjungos valstybėse narėse taikomos labai skirtingos taisyklės; kadangi ši reglamentavimo įvairovė ir orientavimosi nežinomoje aplinkoje išlaidos trukdo finansuoti įmones visoje Europoje;</w:t>
            </w:r>
          </w:p>
        </w:tc>
        <w:tc>
          <w:tcPr>
            <w:tcW w:w="4876" w:type="dxa"/>
            <w:tcBorders>
              <w:top w:val="nil"/>
              <w:left w:val="nil"/>
              <w:bottom w:val="nil"/>
              <w:right w:val="nil"/>
            </w:tcBorders>
          </w:tcPr>
          <w:p>
            <w:pPr>
              <w:pStyle w:val="Normal6a"/>
            </w:pPr>
            <w:r>
              <w:t>A.</w:t>
            </w:r>
            <w:r>
              <w:tab/>
            </w:r>
            <w:r>
              <w:t xml:space="preserve">kadangi įmonėms, ypač mažosioms ir vidutinėms įmonėms (MVĮ), startuoliams ir veiklą plečiančioms įmonėms, įvairiose visos Sąjungos valstybėse narėse taikomos labai skirtingos taisyklės; kadangi ši reglamentavimo įvairovė ir orientavimosi nežinomoje aplinkoje išlaidos trukdo finansuoti </w:t>
            </w:r>
            <w:r>
              <w:rPr>
                <w:b/>
                <w:i/>
              </w:rPr>
              <w:t>ir plėsti</w:t>
            </w:r>
            <w:r>
              <w:t xml:space="preserve"> įmones visoje Europoje;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w:t>
            </w:r>
            <w:r>
              <w:rPr>
                <w:b/>
                <w:i/>
              </w:rPr>
              <w:t>įmonėms, ypač mažosioms ir vidutinėms įmonėms (MVĮ),</w:t>
            </w:r>
            <w:r>
              <w:t xml:space="preserve"> startuoliams ir veiklą plečiančioms įmonėms</w:t>
            </w:r>
            <w:r>
              <w:rPr>
                <w:b/>
                <w:i/>
              </w:rPr>
              <w:t>,</w:t>
            </w:r>
            <w:r>
              <w:t xml:space="preserve"> įvairiose visos Sąjungos valstybėse narėse taikomos labai skirtingos taisyklės; kadangi ši reglamentavimo įvairovė ir orientavimosi nežinomoje aplinkoje išlaidos trukdo </w:t>
            </w:r>
            <w:r>
              <w:rPr>
                <w:b/>
                <w:i/>
              </w:rPr>
              <w:t>finansuoti įmones visoje Europoje</w:t>
            </w:r>
            <w:r>
              <w:t>;</w:t>
            </w:r>
          </w:p>
        </w:tc>
        <w:tc>
          <w:tcPr>
            <w:tcW w:w="4876" w:type="dxa"/>
            <w:tcBorders>
              <w:top w:val="nil"/>
              <w:left w:val="nil"/>
              <w:bottom w:val="nil"/>
              <w:right w:val="nil"/>
            </w:tcBorders>
          </w:tcPr>
          <w:p>
            <w:pPr>
              <w:pStyle w:val="Normal6a"/>
            </w:pPr>
            <w:r>
              <w:t>A.</w:t>
            </w:r>
            <w:r>
              <w:tab/>
            </w:r>
            <w:r>
              <w:t xml:space="preserve">kadangi </w:t>
            </w:r>
            <w:r>
              <w:rPr>
                <w:b/>
                <w:i/>
              </w:rPr>
              <w:t>ES skaitmeniniame sektoriuje veiklą vykdantiems</w:t>
            </w:r>
            <w:r>
              <w:t xml:space="preserve"> startuoliams ir veiklą plečiančioms įmonėms įvairiose visos Sąjungos valstybėse narėse taikomos labai skirtingos taisyklės; kadangi ši reglamentavimo įvairovė ir orientavimosi nežinomoje aplinkoje išlaidos trukdo </w:t>
            </w:r>
            <w:r>
              <w:rPr>
                <w:b/>
                <w:i/>
              </w:rPr>
              <w:t>jų gebėjimui vystytis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kaip Europos Komisija pabrėžė savo komunikate dėl ES startuolių ir veiklą plečiančių įmonių strategijos, novatoriškų įmonių steigimas ir plėtra Europoje šiuo metu susiduria su dideliais iššūkiais, visų pirma dėl susiskaidžiusios ES lygmens reglamentavimo sistemos, sumažėjusio investuotojų noro rizikuoti, lėto novatoriškų technologijų diegimo ir nepakankamai naudojamų viešųjų pirkimų;</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dėl pasaulinės verslo aplinkos vis labiau reikia lankstumo, skaitmeninimo ir prieigos prie įvairių rinkų ir specialistų grupių, kurių daugeliui ES bendrovių šiuo metu sunku pasiekti dėl reglamentavimo sudėtingumo ir nenuoseklių sistemų;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w:t>
            </w:r>
            <w:r>
              <w:rPr>
                <w:b/>
                <w:i/>
              </w:rPr>
              <w:t>vieningą</w:t>
            </w:r>
            <w:r>
              <w:t xml:space="preserve"> Europos sistemą būtų galima sukurti ne tik priimant </w:t>
            </w:r>
            <w:r>
              <w:rPr>
                <w:b/>
                <w:i/>
              </w:rPr>
              <w:t>atskirą</w:t>
            </w:r>
            <w:r>
              <w:t xml:space="preserve"> Sąjungos teisės aktą, bet ir nustatant taisykles, kurios veiktų </w:t>
            </w:r>
            <w:r>
              <w:rPr>
                <w:b/>
                <w:i/>
              </w:rPr>
              <w:t>kartu</w:t>
            </w:r>
            <w:r>
              <w:t xml:space="preserve"> su kiekvienoje valstybėje narėje galiojančia nacionaline </w:t>
            </w:r>
            <w:r>
              <w:rPr>
                <w:b/>
                <w:i/>
              </w:rPr>
              <w:t>teisės</w:t>
            </w:r>
            <w:r>
              <w:t xml:space="preserve"> sistema;</w:t>
            </w:r>
          </w:p>
        </w:tc>
        <w:tc>
          <w:tcPr>
            <w:tcW w:w="4876" w:type="dxa"/>
            <w:tcBorders>
              <w:top w:val="nil"/>
              <w:left w:val="nil"/>
              <w:bottom w:val="nil"/>
              <w:right w:val="nil"/>
            </w:tcBorders>
          </w:tcPr>
          <w:p>
            <w:pPr>
              <w:pStyle w:val="Normal6a"/>
            </w:pPr>
            <w:r>
              <w:t>B.</w:t>
            </w:r>
            <w:r>
              <w:tab/>
            </w:r>
            <w:r>
              <w:t xml:space="preserve">kadangi </w:t>
            </w:r>
            <w:r>
              <w:rPr>
                <w:b/>
                <w:i/>
              </w:rPr>
              <w:t>veiksmingesnę suderintą</w:t>
            </w:r>
            <w:r>
              <w:t xml:space="preserve"> Europos sistemą būtų galima sukurti ne tik priimant </w:t>
            </w:r>
            <w:r>
              <w:rPr>
                <w:b/>
                <w:i/>
              </w:rPr>
              <w:t>visavertį</w:t>
            </w:r>
            <w:r>
              <w:t xml:space="preserve"> Sąjungos teisės aktą, bet ir nustatant taisykles, kurios veiktų </w:t>
            </w:r>
            <w:r>
              <w:rPr>
                <w:b/>
                <w:i/>
              </w:rPr>
              <w:t>lygiagrečiai</w:t>
            </w:r>
            <w:r>
              <w:t xml:space="preserve"> su kiekvienoje valstybėje narėje galiojančia nacionaline </w:t>
            </w:r>
            <w:r>
              <w:rPr>
                <w:b/>
                <w:i/>
              </w:rPr>
              <w:t>teisine</w:t>
            </w:r>
            <w:r>
              <w:t xml:space="preserve"> sistema</w:t>
            </w:r>
            <w:r>
              <w:rPr>
                <w:b/>
                <w:i/>
              </w:rPr>
              <w:t>, tačiau dėl šių taisyklių neatsirastų papildomos administracinės, biurokratinės ir finansinės naštos ar kitų rūšių kliūčių įmonių, ypač MVĮ, plėtrai</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w:t>
            </w:r>
            <w:r>
              <w:rPr>
                <w:b/>
                <w:i/>
              </w:rPr>
              <w:t>vieningą Europos sistemą</w:t>
            </w:r>
            <w:r>
              <w:t xml:space="preserve"> būtų galima </w:t>
            </w:r>
            <w:r>
              <w:rPr>
                <w:b/>
                <w:i/>
              </w:rPr>
              <w:t>sukurti ne tik priimant atskirą Sąjungos teisės aktą, bet ir nustatant</w:t>
            </w:r>
            <w:r>
              <w:t xml:space="preserve"> taisykles, kurios </w:t>
            </w:r>
            <w:r>
              <w:rPr>
                <w:b/>
                <w:i/>
              </w:rPr>
              <w:t>veiktų kartu su</w:t>
            </w:r>
            <w:r>
              <w:t xml:space="preserve"> kiekvienoje valstybėje narėje </w:t>
            </w:r>
            <w:r>
              <w:rPr>
                <w:b/>
                <w:i/>
              </w:rPr>
              <w:t>galiojančia nacionaline</w:t>
            </w:r>
            <w:r>
              <w:t xml:space="preserve"> teisės </w:t>
            </w:r>
            <w:r>
              <w:rPr>
                <w:b/>
                <w:i/>
              </w:rPr>
              <w:t>sistema</w:t>
            </w:r>
            <w:r>
              <w:t>;</w:t>
            </w:r>
          </w:p>
        </w:tc>
        <w:tc>
          <w:tcPr>
            <w:tcW w:w="4876" w:type="dxa"/>
            <w:tcBorders>
              <w:top w:val="nil"/>
              <w:left w:val="nil"/>
              <w:bottom w:val="nil"/>
              <w:right w:val="nil"/>
            </w:tcBorders>
          </w:tcPr>
          <w:p>
            <w:pPr>
              <w:pStyle w:val="Normal6a"/>
            </w:pPr>
            <w:r>
              <w:t>B.</w:t>
            </w:r>
            <w:r>
              <w:tab/>
            </w:r>
            <w:r>
              <w:t xml:space="preserve">kadangi būtų galima </w:t>
            </w:r>
            <w:r>
              <w:rPr>
                <w:b/>
                <w:i/>
              </w:rPr>
              <w:t>nustatyti</w:t>
            </w:r>
            <w:r>
              <w:t xml:space="preserve"> taisykles, kurios </w:t>
            </w:r>
            <w:r>
              <w:rPr>
                <w:b/>
                <w:i/>
              </w:rPr>
              <w:t>palengvintų skaitmeniniame sektoriuje veiklą vykdančių startuolių ir veiklą plečiančių įmonių pripažinimą</w:t>
            </w:r>
            <w:r>
              <w:t xml:space="preserve"> kiekvienoje valstybėje narėje</w:t>
            </w:r>
            <w:r>
              <w:rPr>
                <w:b/>
                <w:i/>
              </w:rPr>
              <w:t>, kartu išsaugant nacionalinę mokesčių</w:t>
            </w:r>
            <w:r>
              <w:t xml:space="preserve"> teisės </w:t>
            </w:r>
            <w:r>
              <w:rPr>
                <w:b/>
                <w:i/>
              </w:rPr>
              <w:t>ir socialinės teisės sistemą</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kadangi daugelis Sąjungos startuolių ir veiklą plečiančių įmonių kuria proveržio technologijas;</w:t>
            </w:r>
            <w:r>
              <w:t xml:space="preserve"> </w:t>
            </w:r>
            <w:r>
              <w:rPr>
                <w:b/>
                <w:i/>
              </w:rPr>
              <w:t>kadangi šias įmones dažnai įsigyja užsienio įmonės, kol jos dar nėra pasiekusios brandos;</w:t>
            </w:r>
            <w:r>
              <w:t xml:space="preserve"> </w:t>
            </w:r>
            <w:r>
              <w:rPr>
                <w:b/>
                <w:i/>
              </w:rPr>
              <w:t>kadangi tokie įsigijimai dažnai neviršija Sąjungos susijungimų kontrolės ribų;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kadangi daugelis Sąjungos startuolių ir veiklą plečiančių įmonių kuria proveržio technologijas;</w:t>
            </w:r>
            <w:r>
              <w:t xml:space="preserve"> </w:t>
            </w:r>
            <w:r>
              <w:rPr>
                <w:b/>
                <w:i/>
              </w:rPr>
              <w:t>kadangi šias įmones dažnai įsigyja užsienio įmonės, kol jos dar nėra pasiekusios brandos;</w:t>
            </w:r>
            <w:r>
              <w:t xml:space="preserve"> </w:t>
            </w:r>
            <w:r>
              <w:rPr>
                <w:b/>
                <w:i/>
              </w:rPr>
              <w:t>kadangi tokie įsigijimai dažnai neviršija Sąjungos susijungimų kontrolės ribų;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daugelis Sąjungos startuolių ir veiklą plečiančių įmonių kuria proveržio technologijas; kadangi šias įmones dažnai įsigyja užsienio įmonės, kol jos dar nėra pasiekusios brandos; kadangi tokie įsigijimai dažnai neviršija Sąjungos susijungimų kontrolės ribų;</w:t>
            </w:r>
          </w:p>
        </w:tc>
        <w:tc>
          <w:tcPr>
            <w:tcW w:w="4876" w:type="dxa"/>
            <w:tcBorders>
              <w:top w:val="nil"/>
              <w:left w:val="nil"/>
              <w:bottom w:val="nil"/>
              <w:right w:val="nil"/>
            </w:tcBorders>
          </w:tcPr>
          <w:p>
            <w:pPr>
              <w:pStyle w:val="Normal6a"/>
            </w:pPr>
            <w:r>
              <w:t>C.</w:t>
            </w:r>
            <w:r>
              <w:tab/>
            </w:r>
            <w:r>
              <w:t xml:space="preserve">kadangi daugelis Sąjungos startuolių ir veiklą plečiančių įmonių kuria proveržio technologijas; kadangi šias </w:t>
            </w:r>
            <w:r>
              <w:rPr>
                <w:b/>
                <w:i/>
              </w:rPr>
              <w:t>novatoriškas</w:t>
            </w:r>
            <w:r>
              <w:t xml:space="preserve"> įmones dažnai įsigyja užsienio įmonės, kol jos dar nėra pasiekusios brandos; kadangi tokie įsigijimai dažnai neviršija Sąjungos susijungimų kontrolės ribų;</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Sąjunga jau patvirtino Europos bendrovių, Europos kooperatinių bendrovių ir ekonominių interesų grupių teisines sistemas, kurios vis dėlto nėra tinkamos tam, kad startuoliai ir veiklą plečiančios įmonės galėtų veiksmingiau veikti vidaus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novatoriškoms įmonėms reikia </w:t>
            </w:r>
            <w:r>
              <w:rPr>
                <w:b/>
                <w:i/>
              </w:rPr>
              <w:t>prieigos prie</w:t>
            </w:r>
            <w:r>
              <w:t xml:space="preserve"> rizikos kapitalo, judumo visoje Europoje, galimybių </w:t>
            </w:r>
            <w:r>
              <w:rPr>
                <w:b/>
                <w:i/>
              </w:rPr>
              <w:t>didinti mastą</w:t>
            </w:r>
            <w:r>
              <w:t xml:space="preserve">, aukštos kvalifikacijos darbuotojų, apsaugos nuo </w:t>
            </w:r>
            <w:r>
              <w:rPr>
                <w:b/>
                <w:i/>
              </w:rPr>
              <w:t>destruktyvių įsigijimų</w:t>
            </w:r>
            <w:r>
              <w:t xml:space="preserve"> ir ilgalaikių investicijų;</w:t>
            </w:r>
          </w:p>
        </w:tc>
        <w:tc>
          <w:tcPr>
            <w:tcW w:w="4876" w:type="dxa"/>
            <w:tcBorders>
              <w:top w:val="nil"/>
              <w:left w:val="nil"/>
              <w:bottom w:val="nil"/>
              <w:right w:val="nil"/>
            </w:tcBorders>
          </w:tcPr>
          <w:p>
            <w:pPr>
              <w:pStyle w:val="Normal6a"/>
            </w:pPr>
            <w:r>
              <w:t>D.</w:t>
            </w:r>
            <w:r>
              <w:tab/>
            </w:r>
            <w:r>
              <w:t xml:space="preserve">kadangi novatoriškoms įmonėms reikia </w:t>
            </w:r>
            <w:r>
              <w:rPr>
                <w:b/>
                <w:i/>
              </w:rPr>
              <w:t>daugiau galimybių gauti</w:t>
            </w:r>
            <w:r>
              <w:t xml:space="preserve"> rizikos kapitalo, judumo visoje Europoje, </w:t>
            </w:r>
            <w:r>
              <w:rPr>
                <w:b/>
                <w:i/>
              </w:rPr>
              <w:t>daugiau</w:t>
            </w:r>
            <w:r>
              <w:t xml:space="preserve"> galimybių </w:t>
            </w:r>
            <w:r>
              <w:rPr>
                <w:b/>
                <w:i/>
              </w:rPr>
              <w:t>keistis geriausia patirtimi Europos lygmeniu, išplečiamumo</w:t>
            </w:r>
            <w:r>
              <w:t xml:space="preserve">, aukštos kvalifikacijos darbuotojų, apsaugos nuo </w:t>
            </w:r>
            <w:r>
              <w:rPr>
                <w:b/>
                <w:i/>
              </w:rPr>
              <w:t>įgūdžių įgijimo</w:t>
            </w:r>
            <w:r>
              <w:t xml:space="preserve"> ir ilgalaikių investicijų;</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novatoriškoms įmonėms reikia prieigos prie rizikos kapitalo, judumo visoje Europoje, galimybių didinti mastą, aukštos kvalifikacijos darbuotojų</w:t>
            </w:r>
            <w:r>
              <w:rPr>
                <w:b/>
                <w:i/>
              </w:rPr>
              <w:t>, apsaugos nuo destruktyvių įsigijimų</w:t>
            </w:r>
            <w:r>
              <w:t xml:space="preserve"> ir ilgalaikių investicijų;</w:t>
            </w:r>
          </w:p>
        </w:tc>
        <w:tc>
          <w:tcPr>
            <w:tcW w:w="4876" w:type="dxa"/>
            <w:tcBorders>
              <w:top w:val="nil"/>
              <w:left w:val="nil"/>
              <w:bottom w:val="nil"/>
              <w:right w:val="nil"/>
            </w:tcBorders>
          </w:tcPr>
          <w:p>
            <w:pPr>
              <w:pStyle w:val="Normal6a"/>
            </w:pPr>
            <w:r>
              <w:t>D.</w:t>
            </w:r>
            <w:r>
              <w:tab/>
            </w:r>
            <w:r>
              <w:t xml:space="preserve">kadangi </w:t>
            </w:r>
            <w:r>
              <w:rPr>
                <w:b/>
                <w:i/>
              </w:rPr>
              <w:t>šioms</w:t>
            </w:r>
            <w:r>
              <w:t xml:space="preserve"> novatoriškoms įmonėms reikia prieigos prie rizikos kapitalo, judumo visoje Europoje, galimybių didinti mastą, aukštos kvalifikacijos darbuotojų ir ilgalaikių investicijų;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w:t>
            </w:r>
            <w:r>
              <w:rPr>
                <w:b/>
                <w:i/>
              </w:rPr>
              <w:t>novatoriškoms</w:t>
            </w:r>
            <w:r>
              <w:t xml:space="preserve"> įmonėms reikia prieigos prie rizikos kapitalo, judumo visoje Europoje, galimybių didinti mastą, aukštos kvalifikacijos darbuotojų, apsaugos nuo destruktyvių įsigijimų ir ilgalaikių investicijų;</w:t>
            </w:r>
          </w:p>
        </w:tc>
        <w:tc>
          <w:tcPr>
            <w:tcW w:w="4876" w:type="dxa"/>
            <w:tcBorders>
              <w:top w:val="nil"/>
              <w:left w:val="nil"/>
              <w:bottom w:val="nil"/>
              <w:right w:val="nil"/>
            </w:tcBorders>
          </w:tcPr>
          <w:p>
            <w:pPr>
              <w:pStyle w:val="Normal6a"/>
            </w:pPr>
            <w:r>
              <w:t>D.</w:t>
            </w:r>
            <w:r>
              <w:tab/>
            </w:r>
            <w:r>
              <w:t xml:space="preserve">kadangi </w:t>
            </w:r>
            <w:r>
              <w:rPr>
                <w:b/>
                <w:i/>
              </w:rPr>
              <w:t>startuoliams ir veiklą plečiančioms</w:t>
            </w:r>
            <w:r>
              <w:t xml:space="preserve"> įmonėms reikia prieigos prie </w:t>
            </w:r>
            <w:r>
              <w:rPr>
                <w:b/>
                <w:i/>
              </w:rPr>
              <w:t>įvairių formų</w:t>
            </w:r>
            <w:r>
              <w:t xml:space="preserve"> rizikos kapitalo, judumo visoje Europoje, galimybių didinti mastą, aukštos kvalifikacijos darbuotojų, apsaugos nuo destruktyvių įsigijimų ir ilgalaikių investicijų;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novatoriškoms įmonėms reikia prieigos prie rizikos kapitalo, judumo visoje Europoje, galimybių didinti mastą, aukštos kvalifikacijos darbuotojų, </w:t>
            </w:r>
            <w:r>
              <w:rPr>
                <w:b/>
                <w:i/>
              </w:rPr>
              <w:t>apsaugos nuo destruktyvių įsigijimų</w:t>
            </w:r>
            <w:r>
              <w:t xml:space="preserve"> ir ilgalaikių investicijų;</w:t>
            </w:r>
          </w:p>
        </w:tc>
        <w:tc>
          <w:tcPr>
            <w:tcW w:w="4876" w:type="dxa"/>
            <w:tcBorders>
              <w:top w:val="nil"/>
              <w:left w:val="nil"/>
              <w:bottom w:val="nil"/>
              <w:right w:val="nil"/>
            </w:tcBorders>
          </w:tcPr>
          <w:p>
            <w:pPr>
              <w:pStyle w:val="Normal6a"/>
            </w:pPr>
            <w:r>
              <w:t>D.</w:t>
            </w:r>
            <w:r>
              <w:tab/>
            </w:r>
            <w:r>
              <w:t xml:space="preserve">kadangi novatoriškoms įmonėms reikia prieigos prie rizikos kapitalo, judumo visoje Europoje, galimybių didinti mastą, aukštos kvalifikacijos darbuotojų, </w:t>
            </w:r>
            <w:r>
              <w:rPr>
                <w:b/>
                <w:i/>
              </w:rPr>
              <w:t>mokslo ir tyrimų rezultatų (įskaitant duomenis)</w:t>
            </w:r>
            <w:r>
              <w:t xml:space="preserve"> ir ilgalaikių investicijų;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bendrovių teisė bus tik viena iš 28-osios teisinės sistemos sritis, į kurią novatoriškos bendrovės turės atsižvelgti, ir kadangi visa sritis bus reglamentuojama moduliniais ir papildomais pasiūlymais dėl teisėkūros procedūrą priimamų aktų, apimančiais įvairias teisėkūros sritis;</w:t>
            </w:r>
            <w:r>
              <w:t xml:space="preserve"> </w:t>
            </w:r>
            <w:r>
              <w:rPr>
                <w:b/>
                <w:i/>
              </w:rPr>
              <w:t>kadangi mokesčių srities valdymo, darbo, nemokumo ir tarpvalstybinių finansinių paslaugų sritys bus pagrindiniai 28-osios teisinės sistemos teisės aktų elementai; kadangi jos bus svarbios inovacijų atgaivinimui priimant veiksmingus, naudingus ir patrauklius teisės aktus, kurie bus lygiaverčiai geriausiems pasauliniams standartams šiame sektoriuje ir geriausiai veikiančioms ne Europos jurisdikcijoms, ir kurie padės išlaikyti tarptautinį rizikos finansavimą ir kapitalą Europoje ir pritraukti tokį finansavimą ir kapitalą į Europą, siekiant remti Europos įmones, startuolius ir veiklą plečiančias įmones šiame sektoriuje;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jaunų ar pirmą kartą verslininkų įsteigtos socialinės įmonės ir bendrovės atlieka pagrindinį vaidmenį skatinant inovacijas, kuriant socialinę sanglaudą ir prisidedant prie tvaraus ekonomikos augimo, tačiau dažnai susiduria su didesniais sunkumais siekdamos gauti finansavimą, tinklus ir specializuotą paramą;</w:t>
            </w:r>
            <w:r>
              <w:t xml:space="preserve"> </w:t>
            </w:r>
            <w:r>
              <w:rPr>
                <w:b/>
                <w:i/>
              </w:rPr>
              <w:t>kadangi bendradarbiavimas su universitetais, mokslinių tyrimų institutais ir technologijų perdavimo biurais gali paspartinti laboratorijų procesą, palengvinti prieigą prie ekspertinių žinių ir infrastruktūros ir paskatinti mokslinių tyrimų rezultatų komercializaciją;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MVĮ, kurios yra labai svarbios Sąjungos konkurencingumui ir kurių daugelis yra šeimos valdomos įmonės, susiduria su paveldėjimo problemomis;</w:t>
            </w:r>
            <w:r>
              <w:t xml:space="preserve"> </w:t>
            </w:r>
            <w:r>
              <w:rPr>
                <w:b/>
                <w:i/>
              </w:rPr>
              <w:t>kadangi darbuotojų nuosavybės modeliai gali padėti panaikinti su paveldėjimu susijusius trūkumus tais atvejais, kai šeimos perėmimas yra neperspektyvus, ir taip remti ilgalaikį stabilumą ir augimą;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taikant supaprastintą ir vienodą teisinę sistemą bus sudarytos palankesnės sąlygos lengviau gauti kapitalo ir specialistų, o tai padidins MVĮ, startuolių ir veiklą plečiančių įmonių gebėjimą konkuruoti pasauliniu mastu, pritraukti investicijų ir prisidėti prie darbo vietų kūrimo ir socialinės sanglaudos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prieiga prie kapitalo ir skaitmeninių priemonių turi būti teikiama kartu su paramos ir supaprastinimo priemonėmis įmonėms valstybėse narėse, kuriose skaitmeninimo lygis žemas, įskaitant pereinamuosius laikotarpius ir daugiakalbes platformas;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SESV 50 ir 114 straipsniuose numatytam suderinimui reikia, kad jau egzistuotų panašios bendrovių juridinės formos, taigi ir galimybė jas suderinti valstybių narių teisės sistemose;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turėtų būti reikalaujama, kad kiekvienas pagal 28-ąją teisinę sistemą įsteigtas subjektas įsiregistruotų ir išlaikytų savo registruotą buveinę Sąjungos valstybėje narėje, taip užtikrinant glaudų ryšį su nacionalinėmis teisinėmis sistemomis;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siekiant sustiprinti Sąjungos, kaip pirmaujančios verslumo, inovacijų ir tvarios verslo plėtros vietos, poziciją, labai svarbu didinti teisinį saugumą ir nuspėjamumą visose valstybėse narėse veikiančioms bendrovėms;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Sąjungos teisės aktų bendrovių teisės srityje priėmimas gali padėti panaikinti susiskaidymą šioje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Komisijos įsipareigojimą pateikti pasiūlymą dėl teisėkūros procedūra priimamo akto dėl 28-osios </w:t>
            </w:r>
            <w:r>
              <w:rPr>
                <w:b/>
                <w:i/>
              </w:rPr>
              <w:t>novatoriškoms</w:t>
            </w:r>
            <w:r>
              <w:t xml:space="preserve"> įmonėms taikomos teisinės sistemos (toliau – 28-oji teisinė sistema), </w:t>
            </w:r>
            <w:r>
              <w:rPr>
                <w:b/>
                <w:i/>
              </w:rPr>
              <w:t>kurį turėtų sudaryti pasiūlymas dėl teisėkūros procedūra priimamo akto – direktyvos, kurios teisinis pagrindas būtų Sutarties dėl Europos Sąjungos veikimo (SESV) 50 straipsnis ir 114 straipsnio 1 dalis</w:t>
            </w:r>
            <w:r>
              <w:t>;</w:t>
            </w:r>
          </w:p>
        </w:tc>
        <w:tc>
          <w:tcPr>
            <w:tcW w:w="4876" w:type="dxa"/>
            <w:tcBorders>
              <w:top w:val="nil"/>
              <w:left w:val="nil"/>
              <w:bottom w:val="nil"/>
              <w:right w:val="nil"/>
            </w:tcBorders>
          </w:tcPr>
          <w:p>
            <w:pPr>
              <w:pStyle w:val="Normal6a"/>
            </w:pPr>
            <w:r>
              <w:t>1.</w:t>
            </w:r>
            <w:r>
              <w:tab/>
            </w:r>
            <w:r>
              <w:t xml:space="preserve">palankiai vertina Komisijos įsipareigojimą pateikti pasiūlymą dėl teisėkūros procedūra priimamo akto dėl 28-osios </w:t>
            </w:r>
            <w:r>
              <w:rPr>
                <w:b/>
                <w:i/>
              </w:rPr>
              <w:t>startuoliams ir veiklą plečiančioms</w:t>
            </w:r>
            <w:r>
              <w:t xml:space="preserve"> įmonėms taikomos teisinės sistemos (toliau – 28-oji teisinė sistema), </w:t>
            </w:r>
            <w:r>
              <w:rPr>
                <w:b/>
                <w:i/>
              </w:rPr>
              <w:t>pripažįsta, kad bendrovių teisė būtų pirmas žingsnis įgyvendinant 28-ąją teisinę sistemą, tačiau pabrėžia, kad 28-oji teisinė sistema turi apimti daugiau reglamentavimo sričių, kad būtų tikrai patraukli startuoliams ir veiklą plečiančioms įmonėms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Komisijos įsipareigojimą pateikti pasiūlymą dėl teisėkūros procedūra priimamo akto dėl 28-osios novatoriškoms įmonėms taikomos teisinės sistemos (toliau – 28-oji teisinė sistema), kurį turėtų sudaryti pasiūlymas dėl teisėkūros procedūra priimamo akto – </w:t>
            </w:r>
            <w:r>
              <w:rPr>
                <w:b/>
                <w:i/>
              </w:rPr>
              <w:t>direktyvos, kurios teisinis pagrindas būtų Sutarties dėl Europos Sąjungos veikimo (SESV) 50 straipsnis ir 114 straipsnio 1 dalis</w:t>
            </w:r>
            <w:r>
              <w:t>;</w:t>
            </w:r>
          </w:p>
        </w:tc>
        <w:tc>
          <w:tcPr>
            <w:tcW w:w="4876" w:type="dxa"/>
            <w:tcBorders>
              <w:top w:val="nil"/>
              <w:left w:val="nil"/>
              <w:bottom w:val="nil"/>
              <w:right w:val="nil"/>
            </w:tcBorders>
          </w:tcPr>
          <w:p>
            <w:pPr>
              <w:pStyle w:val="Normal6a"/>
            </w:pPr>
            <w:r>
              <w:t>1.</w:t>
            </w:r>
            <w:r>
              <w:tab/>
            </w:r>
            <w:r>
              <w:t xml:space="preserve">palankiai vertina Komisijos įsipareigojimą pateikti pasiūlymą dėl teisėkūros procedūra priimamo akto dėl 28-osios novatoriškoms įmonėms taikomos teisinės sistemos (toliau – 28-oji teisinė sistema), kurį turėtų sudaryti pasiūlymas dėl teisėkūros procedūra priimamo akto – </w:t>
            </w:r>
            <w:r>
              <w:rPr>
                <w:b/>
                <w:i/>
              </w:rPr>
              <w:t>reglamento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palankiai vertina Komisijos įsipareigojimą pateikti pasiūlymą dėl teisėkūros procedūra priimamo akto dėl 28-osios novatoriškoms įmonėms taikomos teisinės sistemos (</w:t>
            </w:r>
            <w:r>
              <w:rPr>
                <w:b/>
                <w:i/>
              </w:rPr>
              <w:t>toliau –</w:t>
            </w:r>
            <w:r>
              <w:t xml:space="preserve"> 28-oji teisinė sistema), </w:t>
            </w:r>
            <w:r>
              <w:rPr>
                <w:b/>
                <w:i/>
              </w:rPr>
              <w:t>kurį turėtų sudaryti pasiūlymas dėl teisėkūros procedūra priimamo akto – direktyvos, kurios</w:t>
            </w:r>
            <w:r>
              <w:t xml:space="preserve"> teisinis pagrindas </w:t>
            </w:r>
            <w:r>
              <w:rPr>
                <w:b/>
                <w:i/>
              </w:rPr>
              <w:t>būtų Sutarties dėl Europos Sąjungos veikimo (SESV) 50</w:t>
            </w:r>
            <w:r>
              <w:t xml:space="preserve"> straipsnis </w:t>
            </w:r>
            <w:r>
              <w:rPr>
                <w:b/>
                <w:i/>
              </w:rPr>
              <w:t>ir 114 straipsnio 1 dalis</w:t>
            </w:r>
            <w:r>
              <w:t>;</w:t>
            </w:r>
          </w:p>
        </w:tc>
        <w:tc>
          <w:tcPr>
            <w:tcW w:w="4876" w:type="dxa"/>
            <w:tcBorders>
              <w:top w:val="nil"/>
              <w:left w:val="nil"/>
              <w:bottom w:val="nil"/>
              <w:right w:val="nil"/>
            </w:tcBorders>
          </w:tcPr>
          <w:p>
            <w:pPr>
              <w:pStyle w:val="Normal6a"/>
            </w:pPr>
            <w:r>
              <w:t>1.</w:t>
            </w:r>
            <w:r>
              <w:tab/>
            </w:r>
            <w:r>
              <w:t xml:space="preserve">palankiai vertina Komisijos įsipareigojimą pateikti pasiūlymą dėl teisėkūros procedūra priimamo akto dėl </w:t>
            </w:r>
            <w:r>
              <w:rPr>
                <w:b/>
                <w:i/>
              </w:rPr>
              <w:t>naujos</w:t>
            </w:r>
            <w:r>
              <w:t xml:space="preserve"> 28-osios novatoriškoms įmonėms taikomos </w:t>
            </w:r>
            <w:r>
              <w:rPr>
                <w:b/>
                <w:i/>
              </w:rPr>
              <w:t>bendrovių</w:t>
            </w:r>
            <w:r>
              <w:t xml:space="preserve"> teisinės sistemos (28-oji teisinė sistema), </w:t>
            </w:r>
            <w:r>
              <w:rPr>
                <w:b/>
                <w:i/>
              </w:rPr>
              <w:t>kuriuo siekiama užbaigti ir sustiprinti Europos bendrąją rinką inovacijų srityje ir dėl kurio ypatumų ir tikslų jo</w:t>
            </w:r>
            <w:r>
              <w:t xml:space="preserve"> teisinis pagrindas </w:t>
            </w:r>
            <w:r>
              <w:rPr>
                <w:b/>
                <w:i/>
              </w:rPr>
              <w:t>turi būti SESV 352</w:t>
            </w:r>
            <w:r>
              <w:t xml:space="preserve"> straipsnis;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palankiai vertina</w:t>
            </w:r>
            <w:r>
              <w:t xml:space="preserve"> Komisijos įsipareigojimą pateikti pasiūlymą dėl teisėkūros procedūra priimamo akto dėl 28-osios novatoriškoms įmonėms taikomos teisinės sistemos (toliau – 28-oji teisinė sistema), kurį turėtų sudaryti pasiūlymas dėl teisėkūros procedūra priimamo akto – direktyvos, kurios teisinis pagrindas būtų Sutarties dėl Europos Sąjungos veikimo (SESV) 50 straipsnis </w:t>
            </w:r>
            <w:r>
              <w:rPr>
                <w:b/>
                <w:i/>
              </w:rPr>
              <w:t>ir 114 straipsnio 1 dalis</w:t>
            </w:r>
            <w:r>
              <w:t>;</w:t>
            </w:r>
          </w:p>
        </w:tc>
        <w:tc>
          <w:tcPr>
            <w:tcW w:w="4876" w:type="dxa"/>
            <w:tcBorders>
              <w:top w:val="nil"/>
              <w:left w:val="nil"/>
              <w:bottom w:val="nil"/>
              <w:right w:val="nil"/>
            </w:tcBorders>
          </w:tcPr>
          <w:p>
            <w:pPr>
              <w:pStyle w:val="Normal6a"/>
            </w:pPr>
            <w:r>
              <w:t>1.</w:t>
            </w:r>
            <w:r>
              <w:tab/>
            </w:r>
            <w:r>
              <w:rPr>
                <w:b/>
                <w:i/>
              </w:rPr>
              <w:t>atkreipia dėmesį į</w:t>
            </w:r>
            <w:r>
              <w:t xml:space="preserve"> Komisijos įsipareigojimą pateikti pasiūlymą dėl teisėkūros procedūra priimamo akto dėl 28-osios novatoriškoms įmonėms taikomos teisinės sistemos (toliau – 28-oji teisinė sistema), kurį turėtų sudaryti pasiūlymas dėl teisėkūros procedūra priimamo akto – direktyvos, kurios teisinis pagrindas būtų Sutarties dėl Europos Sąjungos veikimo (SESV) 50 straipsnis;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palankiai vertina Komisijos įsipareigojimą pateikti pasiūlymą dėl teisėkūros procedūra priimamo akto dėl 28-osios novatoriškoms įmonėms taikomos teisinės sistemos (toliau – 28-oji teisinė sistema), kurį turėtų sudaryti pasiūlymas dėl teisėkūros procedūra priimamo akto – </w:t>
            </w:r>
            <w:r>
              <w:rPr>
                <w:b/>
                <w:i/>
              </w:rPr>
              <w:t>direktyvos, kurios teisinis pagrindas būtų Sutarties</w:t>
            </w:r>
            <w:r>
              <w:t xml:space="preserve"> dėl Europos Sąjungos veikimo (SESV) </w:t>
            </w:r>
            <w:r>
              <w:rPr>
                <w:b/>
                <w:i/>
              </w:rPr>
              <w:t>50 straipsnis ir 114 straipsnio 1 dalis</w:t>
            </w:r>
            <w:r>
              <w:t>;</w:t>
            </w:r>
          </w:p>
        </w:tc>
        <w:tc>
          <w:tcPr>
            <w:tcW w:w="4876" w:type="dxa"/>
            <w:tcBorders>
              <w:top w:val="nil"/>
              <w:left w:val="nil"/>
              <w:bottom w:val="nil"/>
              <w:right w:val="nil"/>
            </w:tcBorders>
          </w:tcPr>
          <w:p>
            <w:pPr>
              <w:pStyle w:val="Normal6a"/>
            </w:pPr>
            <w:r>
              <w:t>1.</w:t>
            </w:r>
            <w:r>
              <w:tab/>
            </w:r>
            <w:r>
              <w:t xml:space="preserve">palankiai vertina Komisijos įsipareigojimą pateikti pasiūlymą dėl teisėkūros procedūra priimamo akto dėl 28-osios novatoriškoms įmonėms taikomos teisinės sistemos (toliau – 28-oji teisinė sistema), kurį turėtų sudaryti pasiūlymas dėl teisėkūros procedūra priimamo akto – </w:t>
            </w:r>
            <w:r>
              <w:rPr>
                <w:b/>
                <w:i/>
              </w:rPr>
              <w:t>reglamento su atitinkamu teisiniu pagrindu, nustatytu Sutartimi</w:t>
            </w:r>
            <w:r>
              <w:t xml:space="preserve"> dėl Europos Sąjungos veikimo (SESV);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griežtai prieštarauja tam, kad SESV 352 straipsnio 1 dalimi būtų naudojamasi kaip teisiniu pagrindu, nes dėl to būtų vėluojama priimti pasiūlymą dėl teisėkūros procedūra priimamo akto dėl vienbalsiškumo reikalavimo;</w:t>
            </w:r>
            <w:r>
              <w:t xml:space="preserve"> </w:t>
            </w:r>
            <w:r>
              <w:rPr>
                <w:b/>
                <w:i/>
              </w:rPr>
              <w:t>kritiškai vertina tvirtesnį bendradarbiavimą, kaip nurodyta Europos Sąjungos sutarties 20 straipsnyje ir SESV 329 straipsnyje, arba tarpvyriausybinius susitarimus siekiant nustatyti 28-ąją teisinę sistemą;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griežtai prieštarauja tam, kad SESV 352 straipsnio 1 dalimi būtų naudojamasi kaip teisiniu pagrindu, nes dėl to būtų vėluojama priimti pasiūlymą dėl teisėkūros procedūra priimamo akto dėl vienbalsiškumo reikalavimo;</w:t>
            </w:r>
            <w:r>
              <w:t xml:space="preserve"> </w:t>
            </w:r>
            <w:r>
              <w:rPr>
                <w:b/>
                <w:i/>
              </w:rPr>
              <w:t>kritiškai vertina tvirtesnį bendradarbiavimą, kaip nurodyta Europos Sąjungos sutarties 20 straipsnyje ir SESV 329 straipsnyje, arba tarpvyriausybinius susitarimus siekiant nustatyti 28-ąją teisinę sistemą;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griežtai prieštarauja tam, kad SESV 352 straipsnio 1 dalimi būtų naudojamasi kaip teisiniu pagrindu, nes dėl to būtų vėluojama priimti pasiūlymą dėl teisėkūros procedūra priimamo akto dėl vienbalsiškumo reikalavimo;</w:t>
            </w:r>
            <w:r>
              <w:t xml:space="preserve"> </w:t>
            </w:r>
            <w:r>
              <w:rPr>
                <w:b/>
                <w:i/>
              </w:rPr>
              <w:t>kritiškai vertina tvirtesnį bendradarbiavimą, kaip nurodyta Europos Sąjungos sutarties 20 straipsnyje ir SESV 329 straipsnyje, arba tarpvyriausybinius susitarimus siekiant nustatyti 28-ąją teisinę sistemą;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griežtai prieštarauja tam</w:t>
            </w:r>
            <w:r>
              <w:t xml:space="preserve">, kad SESV 352 straipsnio 1 </w:t>
            </w:r>
            <w:r>
              <w:rPr>
                <w:b/>
                <w:i/>
              </w:rPr>
              <w:t>dalimi būtų naudojamasi kaip teisiniu pagrindu, nes dėl to būtų vėluojama priimti pasiūlymą</w:t>
            </w:r>
            <w:r>
              <w:t xml:space="preserve"> dėl teisėkūros procedūra priimamo akto </w:t>
            </w:r>
            <w:r>
              <w:rPr>
                <w:b/>
                <w:i/>
              </w:rPr>
              <w:t>dėl vienbalsiškumo</w:t>
            </w:r>
            <w:r>
              <w:t xml:space="preserve"> reikalavimo; kritiškai vertina tvirtesnį bendradarbiavimą, kaip nurodyta Europos Sąjungos sutarties 20 straipsnyje ir SESV 329 straipsnyje, arba tarpvyriausybinius susitarimus siekiant nustatyti 28-ąją teisinę sistemą;</w:t>
            </w:r>
          </w:p>
        </w:tc>
        <w:tc>
          <w:tcPr>
            <w:tcW w:w="4876" w:type="dxa"/>
            <w:tcBorders>
              <w:top w:val="nil"/>
              <w:left w:val="nil"/>
              <w:bottom w:val="nil"/>
              <w:right w:val="nil"/>
            </w:tcBorders>
          </w:tcPr>
          <w:p>
            <w:pPr>
              <w:pStyle w:val="Normal6a"/>
            </w:pPr>
            <w:r>
              <w:t>2.</w:t>
            </w:r>
            <w:r>
              <w:tab/>
            </w:r>
            <w:r>
              <w:rPr>
                <w:b/>
                <w:i/>
              </w:rPr>
              <w:t>mano</w:t>
            </w:r>
            <w:r>
              <w:t xml:space="preserve">, kad SESV 352 straipsnio 1 </w:t>
            </w:r>
            <w:r>
              <w:rPr>
                <w:b/>
                <w:i/>
              </w:rPr>
              <w:t>dalies kaip teisinio pagrindo naudojimas užvilkintų pasiūlymo</w:t>
            </w:r>
            <w:r>
              <w:t xml:space="preserve"> dėl teisėkūros procedūra priimamo akto </w:t>
            </w:r>
            <w:r>
              <w:rPr>
                <w:b/>
                <w:i/>
              </w:rPr>
              <w:t>priėmimą dėl vieningo balsavimo</w:t>
            </w:r>
            <w:r>
              <w:t xml:space="preserve"> reikalavimo; kritiškai vertina tvirtesnį bendradarbiavimą, kaip nurodyta Europos Sąjungos sutarties 20 straipsnyje ir SESV 329 straipsnyje, arba tarpvyriausybinius susitarimus siekiant nustatyti 28-ąją teisinę sistemą;</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pripažįsta, kad dėl reguliavimo sričių sudėtingumo, nevienalytiškumo ir moduliškumo, į kuriuos, pasak Komisijos, reikės atsižvelgti naujojoje 28-ojoje teisinėje sistemoje (įmonių teisė, apmokestinimas, nemokumas, darbas ir finansinės paslaugos), gali prireikti taikyti skirtingus teisinius pagrindus ir mechanizmus bei balsų daugumą;</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vis dėlto mano, kad jei SESV 114 straipsnis suteikia teisinį pagrindą galimybei priimti reglamentą be vieningo balsavimo, tokią galimybę reikėtų nuodugniai išnagrinėti;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mano, kad dėl bendrųjų vienodumo, veiksmingumo, nuoseklumo ir teisinio tikrumo reikalavimų, kuriuos taiko tarptautiniai novatoriškos veiklos vykdytojai, startuoliai, veiklą plečiančios įmonės ir investuotojai šiame sektoriuje, būtina ir pageidautina kaip teisėkūros priemonę pasirinkti reglamentą, o ne direktyvą;</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pripažįsta, kad pagal Sutarties dėl Europos Sąjungos veikimo 50 straipsnį ir 114 straipsnio 1 dalį reikalaujama suderinti bendrovių teisės priemones, kurias būtina įgyvendinti valstybių narių nacionalinėje teisėje;</w:t>
            </w:r>
            <w:r>
              <w:t xml:space="preserve"> </w:t>
            </w:r>
            <w:r>
              <w:rPr>
                <w:b/>
                <w:i/>
              </w:rPr>
              <w:t>mano, kad šiuo atveju pirmenybė teiktina kuo didesniam suderinimui, kad būtų užtikrintos vienodos taisyklės visose valstybėse narėse;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pripažįsta, kad pagal Sutarties dėl Europos Sąjungos veikimo 50 straipsnį ir 114 straipsnio 1 dalį reikalaujama suderinti bendrovių teisės priemones, kurias būtina įgyvendinti valstybių narių nacionalinėje teisėje;</w:t>
            </w:r>
            <w:r>
              <w:t xml:space="preserve"> </w:t>
            </w:r>
            <w:r>
              <w:rPr>
                <w:b/>
                <w:i/>
              </w:rPr>
              <w:t>mano, kad šiuo atveju pirmenybė teiktina kuo didesniam suderinimui, kad būtų užtikrintos vienodos taisyklės visose valstybėse narėse;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pripažįsta, kad pagal Sutarties dėl Europos Sąjungos veikimo 50 straipsnį ir 114 straipsnio 1 dalį reikalaujama suderinti bendrovių teisės priemones, kurias būtina įgyvendinti valstybių narių nacionalinėje teisėje;</w:t>
            </w:r>
            <w:r>
              <w:t xml:space="preserve"> </w:t>
            </w:r>
            <w:r>
              <w:rPr>
                <w:b/>
                <w:i/>
              </w:rPr>
              <w:t>mano, kad šiuo atveju pirmenybė teiktina kuo didesniam suderinimui, kad būtų užtikrintos vienodos taisyklės visose valstybėse narėse;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pripažįsta, kad pagal Sutarties dėl Europos Sąjungos veikimo 50 straipsnį ir 114 straipsnio 1 dalį reikalaujama suderinti bendrovių teisės priemones, kurias būtina įgyvendinti valstybių narių nacionalinėje teisėje; mano, kad šiuo atveju pirmenybė teiktina kuo didesniam suderinimui, kad būtų užtikrintos vienodos taisyklės visose valstybėse narėse;</w:t>
            </w:r>
          </w:p>
        </w:tc>
        <w:tc>
          <w:tcPr>
            <w:tcW w:w="4876" w:type="dxa"/>
            <w:tcBorders>
              <w:top w:val="nil"/>
              <w:left w:val="nil"/>
              <w:bottom w:val="nil"/>
              <w:right w:val="nil"/>
            </w:tcBorders>
          </w:tcPr>
          <w:p>
            <w:pPr>
              <w:pStyle w:val="Normal6a"/>
            </w:pPr>
            <w:r>
              <w:t>3.</w:t>
            </w:r>
            <w:r>
              <w:tab/>
            </w:r>
            <w:r>
              <w:t xml:space="preserve">pripažįsta, kad pagal Sutarties dėl Europos Sąjungos veikimo 50 straipsnį ir 114 straipsnio 1 dalį reikalaujama suderinti bendrovių teisės priemones, kurias būtina įgyvendinti valstybių narių nacionalinėje teisėje; mano, kad šiuo atveju pirmenybė teiktina kuo didesniam suderinimui, kad būtų užtikrintos vienodos taisyklės visose valstybėse narėse; </w:t>
            </w:r>
            <w:r>
              <w:rPr>
                <w:b/>
                <w:i/>
              </w:rPr>
              <w:t>ragina Komisiją išplėsti šią kuo didesnio suderinimo nuostatą, kad ji apimtų daugumą 28-osios teisinės sistemos komponentų;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pripažįsta, kad pagal Sutarties dėl Europos Sąjungos veikimo 50 straipsnį ir 114 straipsnio 1 dalį reikalaujama suderinti bendrovių teisės priemones, kurias būtina įgyvendinti valstybių narių nacionalinėje teisėje; mano, kad šiuo atveju </w:t>
            </w:r>
            <w:r>
              <w:rPr>
                <w:b/>
                <w:i/>
              </w:rPr>
              <w:t>pirmenybė teiktina kuo didesniam suderinimui, kad būtų užtikrintos vienodos</w:t>
            </w:r>
            <w:r>
              <w:t xml:space="preserve"> taisyklės visose valstybėse narėse;</w:t>
            </w:r>
          </w:p>
        </w:tc>
        <w:tc>
          <w:tcPr>
            <w:tcW w:w="4876" w:type="dxa"/>
            <w:tcBorders>
              <w:top w:val="nil"/>
              <w:left w:val="nil"/>
              <w:bottom w:val="nil"/>
              <w:right w:val="nil"/>
            </w:tcBorders>
          </w:tcPr>
          <w:p>
            <w:pPr>
              <w:pStyle w:val="Normal6a"/>
            </w:pPr>
            <w:r>
              <w:t>3.</w:t>
            </w:r>
            <w:r>
              <w:tab/>
            </w:r>
            <w:r>
              <w:t xml:space="preserve">pripažįsta, kad pagal Sutarties dėl Europos Sąjungos veikimo 50 straipsnį ir 114 straipsnio 1 dalį reikalaujama suderinti bendrovių teisės priemones, kurias būtina įgyvendinti valstybių narių nacionalinėje teisėje; mano, kad šiuo atveju </w:t>
            </w:r>
            <w:r>
              <w:rPr>
                <w:b/>
                <w:i/>
              </w:rPr>
              <w:t>pageidautina kuo veiksmingiau suderinti taisykles siekiant užtikrinti, kad</w:t>
            </w:r>
            <w:r>
              <w:t xml:space="preserve"> taisyklės </w:t>
            </w:r>
            <w:r>
              <w:rPr>
                <w:b/>
                <w:i/>
              </w:rPr>
              <w:t>būtų taikomos kuo labiau subalansuotai</w:t>
            </w:r>
            <w:r>
              <w:t xml:space="preserve"> visose valstybėse narėse</w:t>
            </w:r>
            <w:r>
              <w:rPr>
                <w:b/>
                <w:i/>
              </w:rPr>
              <w:t>, nesukuriant papildomų administracinių ar finansinių kliūčių įmonėms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pripažįsta, kad pagal Sutarties dėl Europos Sąjungos veikimo 50 straipsnį ir 114 straipsnio 1 dalį reikalaujama suderinti bendrovių teisės priemones, kurias būtina įgyvendinti valstybių narių nacionalinėje teisėje; mano, kad šiuo atveju pirmenybė teiktina kuo didesniam suderinimui, kad būtų užtikrintos vienodos taisyklės visose valstybėse narėse;</w:t>
            </w:r>
          </w:p>
        </w:tc>
        <w:tc>
          <w:tcPr>
            <w:tcW w:w="4876" w:type="dxa"/>
            <w:tcBorders>
              <w:top w:val="nil"/>
              <w:left w:val="nil"/>
              <w:bottom w:val="nil"/>
              <w:right w:val="nil"/>
            </w:tcBorders>
          </w:tcPr>
          <w:p>
            <w:pPr>
              <w:pStyle w:val="Normal6a"/>
            </w:pPr>
            <w:r>
              <w:t>3.</w:t>
            </w:r>
            <w:r>
              <w:tab/>
            </w:r>
            <w:r>
              <w:t xml:space="preserve">pripažįsta, kad pagal Sutarties dėl Europos Sąjungos veikimo 50 straipsnį ir 114 straipsnio 1 dalį reikalaujama suderinti bendrovių teisės priemones, kurias būtina įgyvendinti valstybių narių nacionalinėje teisėje; mano, kad šiuo atveju pirmenybė teiktina kuo didesniam suderinimui, </w:t>
            </w:r>
            <w:r>
              <w:rPr>
                <w:b/>
                <w:i/>
              </w:rPr>
              <w:t>nedarant poveikio nustatytiems standartams, pvz., darbuotojų teisėms ar nacionalinių juridinių formų reikalavimams,</w:t>
            </w:r>
            <w:r>
              <w:t xml:space="preserve"> kad būtų užtikrintos vienodos taisyklės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pripažįsta, kad pagal Sutarties dėl Europos Sąjungos veikimo 50 straipsnį ir 114 straipsnio 1 dalį reikalaujama suderinti bendrovių teisės priemones, kurias būtina įgyvendinti valstybių narių nacionalinėje teisėje; mano, kad šiuo atveju pirmenybė teiktina kuo didesniam suderinimui, kad būtų užtikrintos vienodos taisyklės visose valstybėse narėse;</w:t>
            </w:r>
          </w:p>
        </w:tc>
        <w:tc>
          <w:tcPr>
            <w:tcW w:w="4876" w:type="dxa"/>
            <w:tcBorders>
              <w:top w:val="nil"/>
              <w:left w:val="nil"/>
              <w:bottom w:val="nil"/>
              <w:right w:val="nil"/>
            </w:tcBorders>
          </w:tcPr>
          <w:p>
            <w:pPr>
              <w:pStyle w:val="Normal6a"/>
            </w:pPr>
            <w:r>
              <w:t>3.</w:t>
            </w:r>
            <w:r>
              <w:tab/>
            </w:r>
            <w:r>
              <w:t xml:space="preserve">pripažįsta, kad pagal Sutarties dėl Europos Sąjungos veikimo 50 straipsnį ir 114 straipsnio 1 dalį reikalaujama suderinti bendrovių teisės priemones, kurias būtina įgyvendinti valstybių narių nacionalinėje teisėje; mano, kad šiuo atveju pirmenybė teiktina kuo didesniam suderinimui </w:t>
            </w:r>
            <w:r>
              <w:rPr>
                <w:b/>
                <w:i/>
              </w:rPr>
              <w:t>su reglamentu</w:t>
            </w:r>
            <w:r>
              <w:t>, kad būtų užtikrintos vienodos taisyklės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pakartoja, kad 28-oji teisinė sistema gali būti išties naudinga alternatyva startuoliams ir veiklą plečiančioms įmonėms tik tuo atveju, jei ja bus užtikrintas didelis suderinimas;</w:t>
            </w:r>
            <w:r>
              <w:t xml:space="preserve"> </w:t>
            </w:r>
            <w:r>
              <w:rPr>
                <w:b/>
                <w:i/>
              </w:rPr>
              <w:t>atsižvelgdamas į tai, ragina Komisiją kitame etape į 28-ąją teisinę sistemą įtraukti finansų ir sektorių politiką, pvz., PVM taisykles, finansų rinkų reguliavimą ir įmonių apmokestinimą, laikantis jau sutartų Sąjungos sprendimų;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pažymi, kad SESV 114 straipsnio 1 dalis nėra tinkamas teisės akto, kuris yra visų pirma susijęs su bendrovių teise, teisinis pagrindas;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mano, kad 28-oji teisinė sistema </w:t>
            </w:r>
            <w:r>
              <w:rPr>
                <w:b/>
                <w:i/>
              </w:rPr>
              <w:t>yra žingsnis toliau gilinant vidaus rinką ir didinant</w:t>
            </w:r>
            <w:r>
              <w:t xml:space="preserve"> Europos </w:t>
            </w:r>
            <w:r>
              <w:rPr>
                <w:b/>
                <w:i/>
              </w:rPr>
              <w:t>integraciją</w:t>
            </w:r>
            <w:r>
              <w:t>;</w:t>
            </w:r>
          </w:p>
        </w:tc>
        <w:tc>
          <w:tcPr>
            <w:tcW w:w="4876" w:type="dxa"/>
            <w:tcBorders>
              <w:top w:val="nil"/>
              <w:left w:val="nil"/>
              <w:bottom w:val="nil"/>
              <w:right w:val="nil"/>
            </w:tcBorders>
          </w:tcPr>
          <w:p>
            <w:pPr>
              <w:pStyle w:val="Normal6a"/>
            </w:pPr>
            <w:r>
              <w:t>4.</w:t>
            </w:r>
            <w:r>
              <w:tab/>
            </w:r>
            <w:r>
              <w:t xml:space="preserve">mano, kad 28-oji teisinė sistema </w:t>
            </w:r>
            <w:r>
              <w:rPr>
                <w:b/>
                <w:i/>
              </w:rPr>
              <w:t>turėtų sudaryti sąlygas skaitmeniniame sektoriuje veiklą vykdantiems</w:t>
            </w:r>
            <w:r>
              <w:t xml:space="preserve"> Europos </w:t>
            </w:r>
            <w:r>
              <w:rPr>
                <w:b/>
                <w:i/>
              </w:rPr>
              <w:t>startuoliams ir veiklą plečiančioms įmonėms vystytis vidaus rinkoje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mano, kad 28-oji teisinė sistema yra žingsnis toliau gilinant vidaus rinką ir didinant Europos integraciją;</w:t>
            </w:r>
          </w:p>
        </w:tc>
        <w:tc>
          <w:tcPr>
            <w:tcW w:w="4876" w:type="dxa"/>
            <w:tcBorders>
              <w:top w:val="nil"/>
              <w:left w:val="nil"/>
              <w:bottom w:val="nil"/>
              <w:right w:val="nil"/>
            </w:tcBorders>
          </w:tcPr>
          <w:p>
            <w:pPr>
              <w:pStyle w:val="Normal6a"/>
            </w:pPr>
            <w:r>
              <w:t>4.</w:t>
            </w:r>
            <w:r>
              <w:tab/>
            </w:r>
            <w:r>
              <w:t xml:space="preserve">mano, kad 28-oji teisinė sistema yra žingsnis toliau gilinant vidaus rinką ir didinant Europos integraciją </w:t>
            </w:r>
            <w:r>
              <w:rPr>
                <w:b/>
                <w:i/>
              </w:rPr>
              <w:t>ir siekiant atkurti ES konkurencinę galią</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pakartoja, kad bendrovėms, kurios savanoriškai pasirenka 28-ąją teisinę sistemą, turėtų būti privalomos jos taisyklės;</w:t>
            </w:r>
          </w:p>
        </w:tc>
        <w:tc>
          <w:tcPr>
            <w:tcW w:w="4876" w:type="dxa"/>
            <w:tcBorders>
              <w:top w:val="nil"/>
              <w:left w:val="nil"/>
              <w:bottom w:val="nil"/>
              <w:right w:val="nil"/>
            </w:tcBorders>
          </w:tcPr>
          <w:p>
            <w:pPr>
              <w:pStyle w:val="Normal6a"/>
            </w:pPr>
            <w:r>
              <w:t>5.</w:t>
            </w:r>
            <w:r>
              <w:tab/>
            </w:r>
            <w:r>
              <w:t>pakartoja, kad bendrovėms, kurios savanoriškai pasirenka 28-ąją teisinę sistemą, turėtų būti privalomos jos taisyklės</w:t>
            </w:r>
            <w:r>
              <w:rPr>
                <w:b/>
                <w:i/>
              </w:rPr>
              <w:t>, ir mano, kad pagal šią teisinę sistemą bendrovėms turėtų būti leidžiama ją pasirinkti, kada tik jos yra pasirengusios augti, nereikalaujant, kad jos atsisakytų savo esamos juridinės formos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atkreipia dėmesį į riziką, kad 28-ąja teisine sistema gali būti sudaromos sąlygos apeiti privalomas vidaus apsaugos priemones silpnesnėms šalims;</w:t>
            </w:r>
            <w:r>
              <w:t xml:space="preserve"> </w:t>
            </w:r>
            <w:r>
              <w:rPr>
                <w:b/>
                <w:i/>
              </w:rPr>
              <w:t>pabrėžia, kad 28-oji teisinė sistema neturi tapti priemone esamam apsaugos lygiui pakenkti;</w:t>
            </w:r>
            <w:r>
              <w:t xml:space="preserve"> </w:t>
            </w:r>
            <w:r>
              <w:rPr>
                <w:b/>
                <w:i/>
              </w:rPr>
              <w:t>primygtinai reikalauja</w:t>
            </w:r>
            <w:r>
              <w:t xml:space="preserve">, kad apsaugos priemonės </w:t>
            </w:r>
            <w:r>
              <w:rPr>
                <w:b/>
                <w:i/>
              </w:rPr>
              <w:t>būtų</w:t>
            </w:r>
            <w:r>
              <w:t xml:space="preserve"> nustatytos per materialinės teisės normas, kurioms būdingas aukštas apsaugos lygis, ir per kolizines normas, kuriomis užtikrinamas privalomų vidaus taisyklių taikymas;</w:t>
            </w:r>
          </w:p>
        </w:tc>
        <w:tc>
          <w:tcPr>
            <w:tcW w:w="4876" w:type="dxa"/>
            <w:tcBorders>
              <w:top w:val="nil"/>
              <w:left w:val="nil"/>
              <w:bottom w:val="nil"/>
              <w:right w:val="nil"/>
            </w:tcBorders>
          </w:tcPr>
          <w:p>
            <w:pPr>
              <w:pStyle w:val="Normal6a"/>
            </w:pPr>
            <w:r>
              <w:t>7.</w:t>
            </w:r>
            <w:r>
              <w:tab/>
            </w:r>
            <w:r>
              <w:rPr>
                <w:b/>
                <w:i/>
              </w:rPr>
              <w:t>mano</w:t>
            </w:r>
            <w:r>
              <w:t xml:space="preserve">, kad apsaugos priemonės </w:t>
            </w:r>
            <w:r>
              <w:rPr>
                <w:b/>
                <w:i/>
              </w:rPr>
              <w:t>turėtų būti</w:t>
            </w:r>
            <w:r>
              <w:t xml:space="preserve"> nustatytos per materialinės teisės normas, kurioms būdingas aukštas apsaugos lygis, ir per kolizines normas, kuriomis užtikrinamas privalomų vidaus taisyklių taikymas;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atkreipia dėmesį į riziką, kad 28-ąja teisine sistema gali būti sudaromos sąlygos apeiti privalomas vidaus apsaugos priemones silpnesnėms šalims; pabrėžia, kad 28-oji teisinė sistema neturi tapti priemone esamam apsaugos lygiui </w:t>
            </w:r>
            <w:r>
              <w:rPr>
                <w:b/>
                <w:i/>
              </w:rPr>
              <w:t>pakenkti</w:t>
            </w:r>
            <w:r>
              <w:t>; primygtinai reikalauja, kad apsaugos priemonės būtų nustatytos per materialinės teisės normas, kurioms būdingas aukštas apsaugos lygis, ir per kolizines normas, kuriomis užtikrinamas privalomų vidaus taisyklių taikymas;</w:t>
            </w:r>
          </w:p>
        </w:tc>
        <w:tc>
          <w:tcPr>
            <w:tcW w:w="4876" w:type="dxa"/>
            <w:tcBorders>
              <w:top w:val="nil"/>
              <w:left w:val="nil"/>
              <w:bottom w:val="nil"/>
              <w:right w:val="nil"/>
            </w:tcBorders>
          </w:tcPr>
          <w:p>
            <w:pPr>
              <w:pStyle w:val="Normal6a"/>
            </w:pPr>
            <w:r>
              <w:t>7.</w:t>
            </w:r>
            <w:r>
              <w:tab/>
            </w:r>
            <w:r>
              <w:t xml:space="preserve">atkreipia dėmesį į riziką, kad 28-ąja teisine sistema gali būti sudaromos sąlygos apeiti privalomas vidaus apsaugos priemones silpnesnėms šalims; pabrėžia, kad 28-oji teisinė sistema </w:t>
            </w:r>
            <w:r>
              <w:rPr>
                <w:b/>
                <w:i/>
              </w:rPr>
              <w:t>jokiomis aplinkybėmis</w:t>
            </w:r>
            <w:r>
              <w:t xml:space="preserve"> neturi tapti priemone esamam apsaugos lygiui </w:t>
            </w:r>
            <w:r>
              <w:rPr>
                <w:b/>
                <w:i/>
              </w:rPr>
              <w:t>sumažinti, susilpninti ar jį apeiti</w:t>
            </w:r>
            <w:r>
              <w:t xml:space="preserve">; primygtinai reikalauja, kad </w:t>
            </w:r>
            <w:r>
              <w:rPr>
                <w:b/>
                <w:i/>
              </w:rPr>
              <w:t>aiškios, privalomos ir veiksmingai stebimos</w:t>
            </w:r>
            <w:r>
              <w:t xml:space="preserve"> apsaugos priemonės būtų nustatytos per materialinės teisės normas, kurioms būdingas aukštas apsaugos lygis, ir per kolizines normas, kuriomis užtikrinamas </w:t>
            </w:r>
            <w:r>
              <w:rPr>
                <w:b/>
                <w:i/>
              </w:rPr>
              <w:t>sistemiškas</w:t>
            </w:r>
            <w:r>
              <w:t xml:space="preserve"> privalomų vidaus taisyklių taikymas </w:t>
            </w:r>
            <w:r>
              <w:rPr>
                <w:b/>
                <w:i/>
              </w:rPr>
              <w:t>be išimčių</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atkreipia dėmesį į riziką, kad 28-ąja teisine sistema gali būti sudaromos sąlygos apeiti privalomas vidaus apsaugos priemones silpnesnėms šalims;</w:t>
            </w:r>
            <w:r>
              <w:t xml:space="preserve"> pabrėžia, kad 28-oji teisinė sistema neturi tapti priemone esamam apsaugos lygiui pakenkti; primygtinai reikalauja, kad apsaugos priemonės būtų nustatytos per materialinės teisės normas, kurioms būdingas aukštas apsaugos lygis, ir per kolizines normas, kuriomis užtikrinamas privalomų vidaus taisyklių taikymas;</w:t>
            </w:r>
          </w:p>
        </w:tc>
        <w:tc>
          <w:tcPr>
            <w:tcW w:w="4876" w:type="dxa"/>
            <w:tcBorders>
              <w:top w:val="nil"/>
              <w:left w:val="nil"/>
              <w:bottom w:val="nil"/>
              <w:right w:val="nil"/>
            </w:tcBorders>
          </w:tcPr>
          <w:p>
            <w:pPr>
              <w:pStyle w:val="Normal6a"/>
            </w:pPr>
            <w:r>
              <w:t>7.</w:t>
            </w:r>
            <w:r>
              <w:tab/>
            </w:r>
            <w:r>
              <w:t xml:space="preserve">pabrėžia, kad 28-oji teisinė sistema neturi tapti priemone esamam apsaugos lygiui pakenkti </w:t>
            </w:r>
            <w:r>
              <w:rPr>
                <w:b/>
                <w:i/>
              </w:rPr>
              <w:t>valstybių narių ir ES lygmeniu</w:t>
            </w:r>
            <w:r>
              <w:t>; primygtinai reikalauja, kad apsaugos priemonės būtų nustatytos per materialinės teisės normas, kurioms būdingas aukštas apsaugos lygis, ir per kolizines normas, kuriomis užtikrinamas privalomų vidaus taisyklių taikymas;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atkreipia dėmesį į riziką, kad 28-ąja teisine sistema gali būti sudaromos sąlygos apeiti privalomas vidaus apsaugos priemones silpnesnėms šalims; pabrėžia, kad 28-oji teisinė sistema neturi tapti priemone esamam apsaugos lygiui pakenkti; primygtinai reikalauja, kad apsaugos priemonės būtų nustatytos per materialinės teisės normas, kurioms būdingas aukštas apsaugos lygis, ir per kolizines normas, kuriomis užtikrinamas privalomų vidaus taisyklių taikymas;</w:t>
            </w:r>
          </w:p>
        </w:tc>
        <w:tc>
          <w:tcPr>
            <w:tcW w:w="4876" w:type="dxa"/>
            <w:tcBorders>
              <w:top w:val="nil"/>
              <w:left w:val="nil"/>
              <w:bottom w:val="nil"/>
              <w:right w:val="nil"/>
            </w:tcBorders>
          </w:tcPr>
          <w:p>
            <w:pPr>
              <w:pStyle w:val="Normal6a"/>
            </w:pPr>
            <w:r>
              <w:t>7.</w:t>
            </w:r>
            <w:r>
              <w:tab/>
            </w:r>
            <w:r>
              <w:t>atkreipia dėmesį į riziką, kad 28-ąja teisine sistema gali būti sudaromos sąlygos apeiti privalomas vidaus apsaugos priemones silpnesnėms šalims</w:t>
            </w:r>
            <w:r>
              <w:rPr>
                <w:b/>
                <w:i/>
              </w:rPr>
              <w:t>;</w:t>
            </w:r>
            <w:r>
              <w:t xml:space="preserve"> </w:t>
            </w:r>
            <w:r>
              <w:rPr>
                <w:b/>
                <w:i/>
              </w:rPr>
              <w:t>primygtinai reikalauja, kad būtų imtasi veiksmų siekiant išvengti bet kokio socialinio ar fiskalinio dempingo</w:t>
            </w:r>
            <w:r>
              <w:t>; pabrėžia, kad 28-oji teisinė sistema neturi tapti priemone esamam apsaugos lygiui pakenkti; primygtinai reikalauja, kad apsaugos priemonės būtų nustatytos per materialinės teisės normas, kurioms būdingas aukštas apsaugos lygis, ir per kolizines normas, kuriomis užtikrinamas privalomų vidaus taisyklių taikymas;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atkreipia dėmesį į riziką, kad 28-</w:t>
            </w:r>
            <w:r>
              <w:rPr>
                <w:b/>
                <w:i/>
              </w:rPr>
              <w:t>ąja</w:t>
            </w:r>
            <w:r>
              <w:t xml:space="preserve"> teisine sistema gali būti sudaromos sąlygos apeiti privalomas </w:t>
            </w:r>
            <w:r>
              <w:rPr>
                <w:b/>
                <w:i/>
              </w:rPr>
              <w:t>vidaus apsaugos priemones</w:t>
            </w:r>
            <w:r>
              <w:t xml:space="preserve"> silpnesnėms šalims; pabrėžia, kad 28-oji teisinė sistema neturi tapti priemone esamam apsaugos lygiui pakenkti; primygtinai reikalauja, kad apsaugos priemonės būtų nustatytos per materialinės teisės normas, kurioms būdingas aukštas apsaugos lygis, ir per kolizines normas, kuriomis užtikrinamas privalomų vidaus taisyklių taikymas;</w:t>
            </w:r>
          </w:p>
        </w:tc>
        <w:tc>
          <w:tcPr>
            <w:tcW w:w="4876" w:type="dxa"/>
            <w:tcBorders>
              <w:top w:val="nil"/>
              <w:left w:val="nil"/>
              <w:bottom w:val="nil"/>
              <w:right w:val="nil"/>
            </w:tcBorders>
          </w:tcPr>
          <w:p>
            <w:pPr>
              <w:pStyle w:val="Normal6a"/>
            </w:pPr>
            <w:r>
              <w:t>7.</w:t>
            </w:r>
            <w:r>
              <w:tab/>
            </w:r>
            <w:r>
              <w:t>atkreipia dėmesį į riziką, kad 28-</w:t>
            </w:r>
            <w:r>
              <w:rPr>
                <w:b/>
                <w:i/>
              </w:rPr>
              <w:t>ąją</w:t>
            </w:r>
            <w:r>
              <w:t xml:space="preserve"> teisine sistema gali būti sudaromos sąlygos apeiti privalomas </w:t>
            </w:r>
            <w:r>
              <w:rPr>
                <w:b/>
                <w:i/>
              </w:rPr>
              <w:t>taisykles, kuriomis siekiama apsaugoti viešąjį interesą ir užtikrinti teisinį saugumą, visų pirma</w:t>
            </w:r>
            <w:r>
              <w:t xml:space="preserve"> silpnesnėms šalims; pabrėžia, kad 28-oji teisinė sistema neturi tapti priemone esamam apsaugos lygiui pakenkti; primygtinai reikalauja, kad apsaugos priemonės būtų nustatytos per materialinės teisės normas, kurioms būdingas aukštas apsaugos lygis, ir per kolizines normas, kuriomis užtikrinamas privalomų vidaus taisyklių taikymas;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atkreipia dėmesį į riziką, kad 28-ąja teisine sistema gali būti sudaromos sąlygos apeiti privalomas vidaus apsaugos priemones silpnesnėms šalims; pabrėžia, kad 28-oji teisinė sistema neturi tapti priemone esamam apsaugos lygiui pakenkti; primygtinai reikalauja, kad apsaugos priemonės būtų nustatytos per materialinės teisės normas, kurioms būdingas aukštas apsaugos lygis, ir per kolizines normas, kuriomis užtikrinamas privalomų vidaus taisyklių taikymas;</w:t>
            </w:r>
          </w:p>
        </w:tc>
        <w:tc>
          <w:tcPr>
            <w:tcW w:w="4876" w:type="dxa"/>
            <w:tcBorders>
              <w:top w:val="nil"/>
              <w:left w:val="nil"/>
              <w:bottom w:val="nil"/>
              <w:right w:val="nil"/>
            </w:tcBorders>
          </w:tcPr>
          <w:p>
            <w:pPr>
              <w:pStyle w:val="Normal6a"/>
            </w:pPr>
            <w:r>
              <w:t>7.</w:t>
            </w:r>
            <w:r>
              <w:tab/>
            </w:r>
            <w:r>
              <w:t xml:space="preserve">atkreipia dėmesį į riziką, kad 28-ąja teisine sistema gali būti sudaromos sąlygos apeiti privalomas vidaus apsaugos priemones silpnesnėms šalims; pabrėžia, kad 28-oji teisinė sistema neturi tapti priemone esamam apsaugos lygiui pakenkti; primygtinai reikalauja, kad apsaugos priemonės būtų nustatytos per materialinės teisės normas, kurioms būdingas aukštas apsaugos lygis, </w:t>
            </w:r>
            <w:r>
              <w:rPr>
                <w:b/>
                <w:i/>
              </w:rPr>
              <w:t>pvz., per nacionalinių juridinių formų reikalavimus,</w:t>
            </w:r>
            <w:r>
              <w:t xml:space="preserve"> ir per kolizines normas, kuriomis užtikrinamas privalomų vidaus taisyklių taikymas;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mano, kad siekiant atgaivinti Europos konkurencingumą ir augimą labai svarbu sukurti naują 28-ąją teisinė sistemą novatoriškoms bendrovėms, ir mano, kad ji ir visos susijusios reguliavimo ir vykdomosios priemonės turėtų būti kuo skubiau patvirtintos;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ragina Komisiją numatyti 28-osios teisinės sistemos vertinimą su galima peržiūra, įskaitant vertinimą, kaip dažnai startuoliai ir veiklą plečiančios įmonės ja naudojasi, ar ji atitinka savo paskirtį ir ar yra pritaikyta prie bendrovių ir visuomenės poreikių;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Novatoriškoms bendrovėms taikoma</w:t>
            </w:r>
            <w:r>
              <w:t xml:space="preserve"> 28-oji teisinė sistema</w:t>
            </w:r>
          </w:p>
        </w:tc>
        <w:tc>
          <w:tcPr>
            <w:tcW w:w="4876" w:type="dxa"/>
            <w:tcBorders>
              <w:top w:val="nil"/>
              <w:left w:val="nil"/>
              <w:bottom w:val="nil"/>
              <w:right w:val="nil"/>
            </w:tcBorders>
          </w:tcPr>
          <w:p>
            <w:pPr>
              <w:pStyle w:val="Normal6a"/>
            </w:pPr>
            <w:r>
              <w:t>28-oji teisinė sistema</w:t>
            </w:r>
            <w:r>
              <w:rPr>
                <w:b/>
                <w:i/>
              </w:rPr>
              <w:t>:</w:t>
            </w:r>
            <w:r>
              <w:t xml:space="preserve"> </w:t>
            </w:r>
            <w:r>
              <w:rPr>
                <w:b/>
                <w:i/>
              </w:rPr>
              <w:t>nauja startuolių ir veiklą plečiančių įmonių teisinė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Novatoriškoms bendrovėms taikoma 28-oji teisinė</w:t>
            </w:r>
            <w:r>
              <w:t xml:space="preserve"> sistema</w:t>
            </w:r>
          </w:p>
        </w:tc>
        <w:tc>
          <w:tcPr>
            <w:tcW w:w="4876" w:type="dxa"/>
            <w:tcBorders>
              <w:top w:val="nil"/>
              <w:left w:val="nil"/>
              <w:bottom w:val="nil"/>
              <w:right w:val="nil"/>
            </w:tcBorders>
          </w:tcPr>
          <w:p>
            <w:pPr>
              <w:pStyle w:val="Normal6a"/>
            </w:pPr>
            <w:r>
              <w:rPr>
                <w:b/>
                <w:i/>
              </w:rPr>
              <w:t>28-oji bendrovių teisės</w:t>
            </w:r>
            <w:r>
              <w:t xml:space="preserve">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Novatoriškoms bendrovėms taikoma</w:t>
            </w:r>
            <w:r>
              <w:t xml:space="preserve"> 28-oji teisinė sistema</w:t>
            </w:r>
          </w:p>
        </w:tc>
        <w:tc>
          <w:tcPr>
            <w:tcW w:w="4876" w:type="dxa"/>
            <w:tcBorders>
              <w:top w:val="nil"/>
              <w:left w:val="nil"/>
              <w:bottom w:val="nil"/>
              <w:right w:val="nil"/>
            </w:tcBorders>
          </w:tcPr>
          <w:p>
            <w:pPr>
              <w:pStyle w:val="Normal6a"/>
            </w:pPr>
            <w:r>
              <w:t>28-oji teisinė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mano, kad 28-oji teisinė sistema </w:t>
            </w:r>
            <w:r>
              <w:rPr>
                <w:b/>
                <w:i/>
              </w:rPr>
              <w:t>daugiausia turėtų būti susijusi su</w:t>
            </w:r>
            <w:r>
              <w:t xml:space="preserve"> bendrovių teisės </w:t>
            </w:r>
            <w:r>
              <w:rPr>
                <w:b/>
                <w:i/>
              </w:rPr>
              <w:t>normomis ir kad jame turėtų dalyvauti tik akcinės bendrovės, neįtrauktos į vertybinių popierių biržos sąrašus;</w:t>
            </w:r>
            <w:r>
              <w:t xml:space="preserve"> </w:t>
            </w:r>
            <w:r>
              <w:rPr>
                <w:b/>
                <w:i/>
              </w:rPr>
              <w:t>mano, kad 28-oji teisinė sistema turėtų būti normų, kurios turi būti įtrauktos į esamas arba naujas nacionalines bendrovių juridines formas, rinkinys;</w:t>
            </w:r>
          </w:p>
        </w:tc>
        <w:tc>
          <w:tcPr>
            <w:tcW w:w="4876" w:type="dxa"/>
            <w:tcBorders>
              <w:top w:val="nil"/>
              <w:left w:val="nil"/>
              <w:bottom w:val="nil"/>
              <w:right w:val="nil"/>
            </w:tcBorders>
          </w:tcPr>
          <w:p>
            <w:pPr>
              <w:pStyle w:val="Normal6a"/>
            </w:pPr>
            <w:r>
              <w:t>8.</w:t>
            </w:r>
            <w:r>
              <w:tab/>
            </w:r>
            <w:r>
              <w:t>mano, kad</w:t>
            </w:r>
            <w:r>
              <w:rPr>
                <w:b/>
                <w:i/>
              </w:rPr>
              <w:t>, kaip yra nurodžiusi Komisija,</w:t>
            </w:r>
            <w:r>
              <w:t xml:space="preserve"> 28-oji teisinė sistema </w:t>
            </w:r>
            <w:r>
              <w:rPr>
                <w:b/>
                <w:i/>
              </w:rPr>
              <w:t>yra modulinis reguliavimo projektas, apimantis keletą teisėkūros sričių, kuris turi būti taikomas naudojant papildomas ir atskiras teisėkūros priemones ir remiantis keliais teisiniais pagrindais, ir kad ji apims ne vien</w:t>
            </w:r>
            <w:r>
              <w:t xml:space="preserve"> bendrovių teisės </w:t>
            </w:r>
            <w:r>
              <w:rPr>
                <w:b/>
                <w:i/>
              </w:rPr>
              <w:t>taisykles, bet ji taip pat bus taikoma ir joje bus nustatyti papildomi aspektai ir politika, kurie yra esminiai siekiant atgaivinti inovacijas ir didinti Europos konkurencingumą šiame sektoriuje, visų pirma: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patrauklus mokesčių srities valdymas novatoriškoms įmonėms, startuoliams ir veiklą plečiančioms įmonėms, kad jie galėtų pritraukti kapitalą ir tarptautinius investuotojus, konkuruoti su ypač konkurencingomis užsienio jurisdikcijomis ir prisidėti prie šio sektoriaus Europoje augimo ir nepriklausomumo;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siekiant išlaikyti talentus ir specialistus Europoje, skatinti novatoriškų bendrovių darbuotojų akcijų nuosavybės formas ir taikyti palankų mokesčių režimą ir susijusį atlygį šioms bendrovėms, pripažįstant jų kaip kapitalo prieaugio statusą ES lygmeniu;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užtikrinti universitetų, startuolių, registracijos ir intelektinės nuosavybės apsaugos įstaigų, įmonių, investicinių fondų ir rizikos kapitalo tikrus artimus ryšius ir žiediškumą, kad strateginiai projektai ir didelės vertės novatoriškos idėjos būtų komercializuojami ir nedelsiant pradėtų veikti;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suteikti startuoliams ir novatoriškoms įmonėms Europos tarpinius išteklius ir finansavimą, kuriais būtų galima remti jų plėtrą etape prieš pat jų komercinį diegimą;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prireikus toliau didinti Europos inovacijų fondą iki tokio lygio, kuris gali viršyti atskirų valstybių investicijas ir sukurti pakankamai viešųjų išlaidų, kad būtų galima plėtoti Europos pastangas kurti inovacijas, kurios galėtų konkuruoti su pagrindiniais pasauliniais šio sektoriaus dalyviais;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remti bendrąją rinką ir Europos kapitalo rinką ir administracinio supaprastinimo formas;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mano, kad 28-oji teisinė sistema daugiausia turėtų būti susijusi su bendrovių teisės normomis ir kad jame turėtų dalyvauti tik akcinės bendrovės, neįtrauktos į vertybinių popierių biržos sąrašus; mano, kad 28-oji teisinė sistema turėtų būti normų, kurios turi būti įtrauktos į esamas arba naujas nacionalines bendrovių juridines formas, rinkinys;</w:t>
            </w:r>
          </w:p>
        </w:tc>
        <w:tc>
          <w:tcPr>
            <w:tcW w:w="4876" w:type="dxa"/>
            <w:tcBorders>
              <w:top w:val="nil"/>
              <w:left w:val="nil"/>
              <w:bottom w:val="nil"/>
              <w:right w:val="nil"/>
            </w:tcBorders>
          </w:tcPr>
          <w:p>
            <w:pPr>
              <w:pStyle w:val="Normal6a"/>
            </w:pPr>
            <w:r>
              <w:t>8.</w:t>
            </w:r>
            <w:r>
              <w:tab/>
            </w:r>
            <w:r>
              <w:t xml:space="preserve">mano, kad 28-oji teisinė sistema daugiausia turėtų būti susijusi su bendrovių teisės normomis ir kad jame turėtų dalyvauti tik akcinės bendrovės, neįtrauktos į vertybinių popierių biržos sąrašus; mano, kad 28-oji teisinė sistema turėtų būti normų, kurios turi būti įtrauktos į esamas arba naujas nacionalines bendrovių juridines formas, rinkinys; </w:t>
            </w:r>
            <w:r>
              <w:rPr>
                <w:b/>
                <w:i/>
              </w:rPr>
              <w:t>šis taisyklių rinkinys turėtų atitikti ribotos atsakomybės bendrovėms taikomą acquis ir turėtų būti taikomas Direktyvai (ES) 2017/1132, Direktyvai 2009/102/EB ir Direktyvai 2013/34/ES;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mano, kad 28-oji teisinė sistema daugiausia turėtų būti susijusi su bendrovių teisės normomis ir kad jame turėtų dalyvauti tik akcinės bendrovės, neįtrauktos į vertybinių popierių biržos sąrašus; mano, kad 28-oji teisinė sistema turėtų būti normų, kurios turi būti įtrauktos į esamas arba naujas nacionalines bendrovių juridines formas, rinkinys;</w:t>
            </w:r>
          </w:p>
        </w:tc>
        <w:tc>
          <w:tcPr>
            <w:tcW w:w="4876" w:type="dxa"/>
            <w:tcBorders>
              <w:top w:val="nil"/>
              <w:left w:val="nil"/>
              <w:bottom w:val="nil"/>
              <w:right w:val="nil"/>
            </w:tcBorders>
          </w:tcPr>
          <w:p>
            <w:pPr>
              <w:pStyle w:val="Normal6a"/>
            </w:pPr>
            <w:r>
              <w:t>8.</w:t>
            </w:r>
            <w:r>
              <w:tab/>
            </w:r>
            <w:r>
              <w:t>mano, kad 28-oji teisinė sistema daugiausia turėtų būti susijusi su bendrovių teisės normomis ir kad jame turėtų dalyvauti tik akcinės bendrovės, neįtrauktos į vertybinių popierių biržos sąrašus; mano, kad 28-oji teisinė sistema turėtų būti normų, kurios turi būti įtrauktos į esamas arba naujas nacionalines bendrovių juridines formas, rinkinys</w:t>
            </w:r>
            <w:r>
              <w:rPr>
                <w:b/>
                <w:i/>
              </w:rPr>
              <w:t>, kuriam taikomos jau nustatytos ES acquis nuostatos dėl ribotos atsakomybės bendrovių, išvardytos Direktyvoje (ES) 2017/1132, Direktyvoje 2009/102/EB ir Direktyvoje 2013/34/ES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mano, kad 28-oji teisinė sistema daugiausia turėtų būti susijusi su bendrovių teisės normomis ir kad </w:t>
            </w:r>
            <w:r>
              <w:rPr>
                <w:b/>
                <w:i/>
              </w:rPr>
              <w:t>jame</w:t>
            </w:r>
            <w:r>
              <w:t xml:space="preserve"> turėtų dalyvauti tik akcinės bendrovės, neįtrauktos į vertybinių popierių biržos sąrašus; mano, kad 28-oji teisinė sistema turėtų būti normų, kurios turi būti įtrauktos į esamas arba naujas nacionalines bendrovių juridines formas, rinkinys;</w:t>
            </w:r>
          </w:p>
        </w:tc>
        <w:tc>
          <w:tcPr>
            <w:tcW w:w="4876" w:type="dxa"/>
            <w:tcBorders>
              <w:top w:val="nil"/>
              <w:left w:val="nil"/>
              <w:bottom w:val="nil"/>
              <w:right w:val="nil"/>
            </w:tcBorders>
          </w:tcPr>
          <w:p>
            <w:pPr>
              <w:pStyle w:val="Normal6a"/>
            </w:pPr>
            <w:r>
              <w:t>8.</w:t>
            </w:r>
            <w:r>
              <w:tab/>
            </w:r>
            <w:r>
              <w:t xml:space="preserve">mano, kad 28-oji teisinė sistema daugiausia turėtų būti susijusi su bendrovių teisės normomis ir kad </w:t>
            </w:r>
            <w:r>
              <w:rPr>
                <w:b/>
                <w:i/>
              </w:rPr>
              <w:t>joje</w:t>
            </w:r>
            <w:r>
              <w:t xml:space="preserve"> turėtų dalyvauti tik </w:t>
            </w:r>
            <w:r>
              <w:rPr>
                <w:b/>
                <w:i/>
              </w:rPr>
              <w:t>skaitmeniniame sektoriuje veiklą vykdančios</w:t>
            </w:r>
            <w:r>
              <w:t xml:space="preserve"> akcinės bendrovės, neįtrauktos į vertybinių popierių biržos sąrašus; mano, kad 28-oji teisinė sistema turėtų būti normų, kurios turi būti įtrauktos į esamas arba naujas nacionalines bendrovių juridines formas, rinkinys;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mano, kad 28-oji teisinė sistema daugiausia turėtų būti susijusi su bendrovių teisės normomis ir kad jame turėtų dalyvauti tik akcinės bendrovės, neįtrauktos į vertybinių popierių biržos sąrašus; mano, kad 28-oji teisinė sistema turėtų būti normų, kurios turi būti įtrauktos į </w:t>
            </w:r>
            <w:r>
              <w:rPr>
                <w:b/>
                <w:i/>
              </w:rPr>
              <w:t>esamas arba</w:t>
            </w:r>
            <w:r>
              <w:t xml:space="preserve"> naujas nacionalines bendrovių juridines formas, rinkinys;</w:t>
            </w:r>
          </w:p>
        </w:tc>
        <w:tc>
          <w:tcPr>
            <w:tcW w:w="4876" w:type="dxa"/>
            <w:tcBorders>
              <w:top w:val="nil"/>
              <w:left w:val="nil"/>
              <w:bottom w:val="nil"/>
              <w:right w:val="nil"/>
            </w:tcBorders>
          </w:tcPr>
          <w:p>
            <w:pPr>
              <w:pStyle w:val="Normal6a"/>
            </w:pPr>
            <w:r>
              <w:t>8.</w:t>
            </w:r>
            <w:r>
              <w:tab/>
            </w:r>
            <w:r>
              <w:t>mano, kad 28-oji teisinė sistema daugiausia turėtų būti susijusi su bendrovių teisės normomis ir kad jame turėtų dalyvauti tik akcinės bendrovės, neįtrauktos į vertybinių popierių biržos sąrašus; mano, kad 28-oji teisinė sistema turėtų būti normų, kurios turi būti įtrauktos į naujas nacionalines bendrovių juridines formas, rinkinys;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mano, kad 28-oji teisinė sistema daugiausia turėtų būti susijusi su bendrovių teisės normomis ir kad jame turėtų dalyvauti tik akcinės bendrovės, neįtrauktos į vertybinių popierių biržos sąrašus; mano, kad 28-oji teisinė sistema turėtų būti normų, kurios turi būti įtrauktos į </w:t>
            </w:r>
            <w:r>
              <w:rPr>
                <w:b/>
                <w:i/>
              </w:rPr>
              <w:t>esamas arba</w:t>
            </w:r>
            <w:r>
              <w:t xml:space="preserve"> naujas nacionalines bendrovių juridines formas, rinkinys;</w:t>
            </w:r>
          </w:p>
        </w:tc>
        <w:tc>
          <w:tcPr>
            <w:tcW w:w="4876" w:type="dxa"/>
            <w:tcBorders>
              <w:top w:val="nil"/>
              <w:left w:val="nil"/>
              <w:bottom w:val="nil"/>
              <w:right w:val="nil"/>
            </w:tcBorders>
          </w:tcPr>
          <w:p>
            <w:pPr>
              <w:pStyle w:val="Normal6a"/>
            </w:pPr>
            <w:r>
              <w:t>8.</w:t>
            </w:r>
            <w:r>
              <w:tab/>
            </w:r>
            <w:r>
              <w:t>mano, kad 28-oji teisinė sistema daugiausia turėtų būti susijusi su bendrovių teisės normomis ir kad jame turėtų dalyvauti tik akcinės bendrovės, neįtrauktos į vertybinių popierių biržos sąrašus; mano, kad 28-oji teisinė sistema turėtų būti normų, kurios turi būti įtrauktos į naujas nacionalines bendrovių juridines formas, rinkinys;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ragina Komisiją tinkamai apibrėžti startuolio ir veiklą plečiančios įmonės sąvokas remiantis šiuo metu valstybėse narėse ir tarptautinėse organizacijose, įskaitant EBPO, vartojamomis sąvokomis;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mano, kad 28-oji teisinė sistema turėtų būti taikoma ne tik ribotos atsakomybės bendrovėms, bet ir biržinėms bendrovėms;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siūlo bendrovės juridinę formą, kuriai taikoma 28-oji teisinė sistema, pavadinti </w:t>
            </w:r>
            <w:r>
              <w:rPr>
                <w:b/>
                <w:i/>
              </w:rPr>
              <w:t>„Europos startuolis ir veiklą plečianti įmonė“ (angl. European Start-Up and Scale-Up, ESSU</w:t>
            </w:r>
            <w:r>
              <w:t>); ragina prie esamų nacionalinių bendrovių juridinių formų santrumpų pridėti santrumpą „</w:t>
            </w:r>
            <w:r>
              <w:rPr>
                <w:b/>
                <w:i/>
              </w:rPr>
              <w:t>ESSU</w:t>
            </w:r>
            <w:r>
              <w:t>“;</w:t>
            </w:r>
          </w:p>
        </w:tc>
        <w:tc>
          <w:tcPr>
            <w:tcW w:w="4876" w:type="dxa"/>
            <w:tcBorders>
              <w:top w:val="nil"/>
              <w:left w:val="nil"/>
              <w:bottom w:val="nil"/>
              <w:right w:val="nil"/>
            </w:tcBorders>
          </w:tcPr>
          <w:p>
            <w:pPr>
              <w:pStyle w:val="Normal6a"/>
            </w:pPr>
            <w:r>
              <w:t>9.</w:t>
            </w:r>
            <w:r>
              <w:tab/>
            </w:r>
            <w:r>
              <w:t xml:space="preserve">siūlo bendrovės juridinę formą, kuriai taikoma 28-oji teisinė sistema, pavadinti </w:t>
            </w:r>
            <w:r>
              <w:rPr>
                <w:b/>
                <w:i/>
              </w:rPr>
              <w:t>supaprastintu europiniu statusu (SES</w:t>
            </w:r>
            <w:r>
              <w:t>); ragina prie esamų nacionalinių bendrovių juridinių formų santrumpų pridėti santrumpą „</w:t>
            </w:r>
            <w:r>
              <w:rPr>
                <w:b/>
                <w:i/>
              </w:rPr>
              <w:t>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pabrėžia, kad 28-oji teisinė sistema nedaro poveikio Sąjungos ir nacionalinei teisei individualios ir kolektyvinės darbo teisės srityje ir taisyklėms dėl darbuotojų dalyvavimo priimant sprendimus;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pabrėžia, kad 28-oji teisinė sistema nedaro poveikio Sąjungos ir nacionalinei teisei individualios ir kolektyvinės darbo teisės srityje ir taisyklėms dėl darbuotojų dalyvavimo priimant sprendimus;</w:t>
            </w:r>
          </w:p>
        </w:tc>
        <w:tc>
          <w:tcPr>
            <w:tcW w:w="4876" w:type="dxa"/>
            <w:tcBorders>
              <w:top w:val="nil"/>
              <w:left w:val="nil"/>
              <w:bottom w:val="nil"/>
              <w:right w:val="nil"/>
            </w:tcBorders>
          </w:tcPr>
          <w:p>
            <w:pPr>
              <w:pStyle w:val="Normal6a"/>
            </w:pPr>
            <w:r>
              <w:t>10.</w:t>
            </w:r>
            <w:r>
              <w:tab/>
            </w:r>
            <w:r>
              <w:t xml:space="preserve">pabrėžia, kad 28-oji teisinė sistema nedaro poveikio Sąjungos ir nacionalinei teisei individualios ir kolektyvinės darbo teisės srityje ir taisyklėms dėl darbuotojų dalyvavimo priimant sprendimus; </w:t>
            </w:r>
            <w:r>
              <w:rPr>
                <w:b/>
                <w:i/>
              </w:rPr>
              <w:t>pabrėžia, kad reikia atsižvelgti į tai, jog bet kuri ESSU turi numatyti privalomą darbuotojų dalyvavimą direktorių valdyboje arba priežiūros valdyboje, laikantis nacionalinėje teisėje nustatytos tvarkos;</w:t>
            </w:r>
            <w:r>
              <w:t xml:space="preserve"> </w:t>
            </w:r>
            <w:r>
              <w:rPr>
                <w:b/>
                <w:i/>
              </w:rPr>
              <w:t>mano, kad būtina užtikrinti bent vieno trečdalio vietų darbuotojų atstovavimą, nedarant poveikio labiau darbuotojus apsaugančioms nacionalinėms priemonėms;</w:t>
            </w:r>
            <w:r>
              <w:t xml:space="preserve"> </w:t>
            </w:r>
            <w:r>
              <w:rPr>
                <w:b/>
                <w:i/>
              </w:rPr>
              <w:t>užtikrintai mano, kad labai svarbu užtikrinti laisvus darbuotojų atstovų rinkimus, jų apsaugą nuo atsakomųjų veiksmų ir suteikti priemones, būtinas jų įgaliojimams vykdyti;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pabrėžia, kad 28-oji teisinė sistema nedaro poveikio Sąjungos ir nacionalinei teisei individualios ir kolektyvinės darbo teisės srityje ir taisyklėms dėl darbuotojų dalyvavimo priimant sprendimus;</w:t>
            </w:r>
          </w:p>
        </w:tc>
        <w:tc>
          <w:tcPr>
            <w:tcW w:w="4876" w:type="dxa"/>
            <w:tcBorders>
              <w:top w:val="nil"/>
              <w:left w:val="nil"/>
              <w:bottom w:val="nil"/>
              <w:right w:val="nil"/>
            </w:tcBorders>
          </w:tcPr>
          <w:p>
            <w:pPr>
              <w:pStyle w:val="Normal6a"/>
            </w:pPr>
            <w:r>
              <w:t>10.</w:t>
            </w:r>
            <w:r>
              <w:tab/>
            </w:r>
            <w:r>
              <w:t xml:space="preserve">pabrėžia, kad 28-oji teisinė sistema nedaro poveikio Sąjungos ir nacionalinei teisei individualios ir kolektyvinės darbo teisės srityje ir taisyklėms dėl darbuotojų dalyvavimo priimant sprendimus; </w:t>
            </w:r>
            <w:r>
              <w:rPr>
                <w:b/>
                <w:i/>
              </w:rPr>
              <w:t>pabrėžia, kad reikia apsaugoti visas esamas darbuotojų teises ir lanksčias apsaugos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pabrėžia, kad 28-oji teisinė sistema nedaro poveikio Sąjungos ir nacionalinei teisei </w:t>
            </w:r>
            <w:r>
              <w:rPr>
                <w:b/>
                <w:i/>
              </w:rPr>
              <w:t>individualios ir kolektyvinės</w:t>
            </w:r>
            <w:r>
              <w:t xml:space="preserve"> darbo teisės srityje </w:t>
            </w:r>
            <w:r>
              <w:rPr>
                <w:b/>
                <w:i/>
              </w:rPr>
              <w:t>ir taisyklėms</w:t>
            </w:r>
            <w:r>
              <w:t xml:space="preserve"> dėl darbuotojų dalyvavimo priimant sprendimus;</w:t>
            </w:r>
          </w:p>
        </w:tc>
        <w:tc>
          <w:tcPr>
            <w:tcW w:w="4876" w:type="dxa"/>
            <w:tcBorders>
              <w:top w:val="nil"/>
              <w:left w:val="nil"/>
              <w:bottom w:val="nil"/>
              <w:right w:val="nil"/>
            </w:tcBorders>
          </w:tcPr>
          <w:p>
            <w:pPr>
              <w:pStyle w:val="Normal6a"/>
            </w:pPr>
            <w:r>
              <w:t>10.</w:t>
            </w:r>
            <w:r>
              <w:tab/>
            </w:r>
            <w:r>
              <w:t xml:space="preserve">pabrėžia, kad 28-oji teisinė sistema nedaro poveikio Sąjungos ir nacionalinei teisei darbo </w:t>
            </w:r>
            <w:r>
              <w:rPr>
                <w:b/>
                <w:i/>
              </w:rPr>
              <w:t>ir socialinės</w:t>
            </w:r>
            <w:r>
              <w:t xml:space="preserve"> teisės srityje</w:t>
            </w:r>
            <w:r>
              <w:rPr>
                <w:b/>
                <w:i/>
              </w:rPr>
              <w:t>, įskaitant taisykles</w:t>
            </w:r>
            <w:r>
              <w:t xml:space="preserve"> dėl darbuotojų dalyvavimo priimant sprendimus;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kad reikia supaprastinti bendrovių steigimą ir registravimą; ragina mažinti procedūrų sudėtingumą ir siekti, kad ESSU steigimo registravimo procedūra būtų užbaigta per 48 valandas; ragina suteikti galimybę teikti bendrovės dokumentus internetu per visą bendrovės juridinės formos gyvavimo ciklą ir visiškai įgyvendinti vienkartinio duomenų pateikimo principą registruojant ESSU; mano, kad turėtų būti galima taikyti skaitmenines procedūras, pavyzdžiui, skaitmeninius visuotinius susirinkimus ir valdybos posėdžius;</w:t>
            </w:r>
          </w:p>
        </w:tc>
        <w:tc>
          <w:tcPr>
            <w:tcW w:w="4876" w:type="dxa"/>
            <w:tcBorders>
              <w:top w:val="nil"/>
              <w:left w:val="nil"/>
              <w:bottom w:val="nil"/>
              <w:right w:val="nil"/>
            </w:tcBorders>
          </w:tcPr>
          <w:p>
            <w:pPr>
              <w:pStyle w:val="Normal6a"/>
            </w:pPr>
            <w:r>
              <w:t>11.</w:t>
            </w:r>
            <w:r>
              <w:tab/>
            </w:r>
            <w:r>
              <w:t xml:space="preserve">pabrėžia, kad reikia supaprastinti bendrovių steigimą ir registravimą; ragina mažinti procedūrų sudėtingumą ir siekti, kad ESSU steigimo registravimo procedūra būtų užbaigta per 48 valandas; ragina suteikti galimybę teikti bendrovės dokumentus internetu per visą bendrovės juridinės formos gyvavimo ciklą ir visiškai įgyvendinti vienkartinio duomenų pateikimo principą registruojant ESSU; mano, kad turėtų būti galima taikyti skaitmenines procedūras, pavyzdžiui, skaitmeninius visuotinius susirinkimus ir valdybos posėdžius; </w:t>
            </w:r>
            <w:r>
              <w:rPr>
                <w:b/>
                <w:i/>
              </w:rPr>
              <w:t>valstybės narės gali remtis esamais modeliais, pagal kuriuos numatomos supaprastintos ir pagreitintos bendrovių steigimo procedūros, sąveikios su kitų viešųjų tarnybų, pvz., socialinės apsaugos ar mokesčių institucijų, procedūromis, taip pat paraiškų teikimo nacionaliniams bendrovių registrams modeliais, siekdamos supaprastinti bendrovėms, visų pirma MVĮ, taikomas procedūras ir kartu užtikrinti teisinį saugumą;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kad reikia supaprastinti bendrovių steigimą ir registravimą; ragina mažinti procedūrų sudėtingumą ir siekti, kad ESSU steigimo registravimo procedūra būtų užbaigta per 48 valandas; ragina suteikti galimybę teikti bendrovės dokumentus internetu per visą bendrovės juridinės formos gyvavimo ciklą ir visiškai įgyvendinti vienkartinio duomenų pateikimo principą registruojant ESSU; mano, kad turėtų būti galima taikyti skaitmenines procedūras, </w:t>
            </w:r>
            <w:r>
              <w:rPr>
                <w:b/>
                <w:i/>
              </w:rPr>
              <w:t>pavyzdžiui, skaitmeninius visuotinius susirinkimus ir valdybos</w:t>
            </w:r>
            <w:r>
              <w:t xml:space="preserve"> posėdžius;</w:t>
            </w:r>
          </w:p>
        </w:tc>
        <w:tc>
          <w:tcPr>
            <w:tcW w:w="4876" w:type="dxa"/>
            <w:tcBorders>
              <w:top w:val="nil"/>
              <w:left w:val="nil"/>
              <w:bottom w:val="nil"/>
              <w:right w:val="nil"/>
            </w:tcBorders>
          </w:tcPr>
          <w:p>
            <w:pPr>
              <w:pStyle w:val="Normal6a"/>
            </w:pPr>
            <w:r>
              <w:t>11.</w:t>
            </w:r>
            <w:r>
              <w:tab/>
            </w:r>
            <w:r>
              <w:t xml:space="preserve">pabrėžia, kad reikia supaprastinti bendrovių steigimą ir registravimą; ragina mažinti procedūrų sudėtingumą ir siekti, kad ESSU steigimo registravimo procedūra būtų užbaigta per 48 valandas; ragina suteikti galimybę teikti bendrovės dokumentus internetu per visą bendrovės juridinės formos gyvavimo ciklą ir visiškai įgyvendinti vienkartinio duomenų pateikimo principą registruojant ESSU; mano, kad turėtų būti galima taikyti skaitmenines procedūras, </w:t>
            </w:r>
            <w:r>
              <w:rPr>
                <w:b/>
                <w:i/>
              </w:rPr>
              <w:t>pvz., visuotinių asamblėjų ir direktorių valdybų</w:t>
            </w:r>
            <w:r>
              <w:t xml:space="preserve"> posėdžius </w:t>
            </w:r>
            <w:r>
              <w:rPr>
                <w:b/>
                <w:i/>
              </w:rPr>
              <w:t>internetu, ragina automatizuoti registracijos procesą integruojant dirbtinio intelekto technologijas ir sąveikumą su atitinkamomis nacionalinėmis ir Europos duomenų bazėmis, kad būtų sumažinta steigėjams tenkanti administracinė našta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kad reikia </w:t>
            </w:r>
            <w:r>
              <w:rPr>
                <w:b/>
                <w:i/>
              </w:rPr>
              <w:t>supaprastinti</w:t>
            </w:r>
            <w:r>
              <w:t xml:space="preserve"> bendrovių </w:t>
            </w:r>
            <w:r>
              <w:rPr>
                <w:b/>
                <w:i/>
              </w:rPr>
              <w:t>steigimą ir registravimą</w:t>
            </w:r>
            <w:r>
              <w:t>; ragina mažinti procedūrų sudėtingumą ir siekti, kad ESSU steigimo registravimo procedūra būtų užbaigta per 48 valandas; ragina suteikti galimybę teikti bendrovės dokumentus internetu per visą bendrovės juridinės formos gyvavimo ciklą ir visiškai įgyvendinti vienkartinio duomenų pateikimo principą registruojant ESSU; mano, kad turėtų būti galima taikyti skaitmenines procedūras, pavyzdžiui, skaitmeninius visuotinius susirinkimus ir valdybos posėdžius;</w:t>
            </w:r>
          </w:p>
        </w:tc>
        <w:tc>
          <w:tcPr>
            <w:tcW w:w="4876" w:type="dxa"/>
            <w:tcBorders>
              <w:top w:val="nil"/>
              <w:left w:val="nil"/>
              <w:bottom w:val="nil"/>
              <w:right w:val="nil"/>
            </w:tcBorders>
          </w:tcPr>
          <w:p>
            <w:pPr>
              <w:pStyle w:val="Normal6a"/>
            </w:pPr>
            <w:r>
              <w:t>11.</w:t>
            </w:r>
            <w:r>
              <w:tab/>
            </w:r>
            <w:r>
              <w:rPr>
                <w:b/>
                <w:i/>
              </w:rPr>
              <w:t>atsižvelgdamas į Direktyvą (ES) 2025/25,</w:t>
            </w:r>
            <w:r>
              <w:t xml:space="preserve"> pabrėžia, kad reikia </w:t>
            </w:r>
            <w:r>
              <w:rPr>
                <w:b/>
                <w:i/>
              </w:rPr>
              <w:t>paprasto ir patikimo</w:t>
            </w:r>
            <w:r>
              <w:t xml:space="preserve"> bendrovių </w:t>
            </w:r>
            <w:r>
              <w:rPr>
                <w:b/>
                <w:i/>
              </w:rPr>
              <w:t>steigimo ir registravimo</w:t>
            </w:r>
            <w:r>
              <w:t>; ragina mažinti procedūrų sudėtingumą ir siekti, kad ESSU steigimo registravimo procedūra būtų užbaigta per 48 valandas; ragina suteikti galimybę teikti bendrovės dokumentus internetu per visą bendrovės juridinės formos gyvavimo ciklą ir visiškai įgyvendinti vienkartinio duomenų pateikimo principą registruojant ESSU; mano, kad turėtų būti galima taikyti skaitmenines procedūras, pavyzdžiui, skaitmeninius visuotinius susirinkimus ir valdybos posėdžius;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kad reikia supaprastinti bendrovių steigimą ir registravimą; ragina mažinti procedūrų sudėtingumą ir siekti, kad ESSU steigimo registravimo procedūra būtų užbaigta per </w:t>
            </w:r>
            <w:r>
              <w:rPr>
                <w:b/>
                <w:i/>
              </w:rPr>
              <w:t>48</w:t>
            </w:r>
            <w:r>
              <w:t xml:space="preserve"> valandas; ragina suteikti galimybę teikti bendrovės dokumentus internetu per visą bendrovės juridinės formos gyvavimo ciklą ir visiškai įgyvendinti vienkartinio duomenų pateikimo principą registruojant ESSU; </w:t>
            </w:r>
            <w:r>
              <w:rPr>
                <w:b/>
                <w:i/>
              </w:rPr>
              <w:t>mano, kad turėtų būti galima</w:t>
            </w:r>
            <w:r>
              <w:t xml:space="preserve"> taikyti skaitmenines procedūras, pavyzdžiui, skaitmeninius visuotinius susirinkimus ir valdybos posėdžius;</w:t>
            </w:r>
          </w:p>
        </w:tc>
        <w:tc>
          <w:tcPr>
            <w:tcW w:w="4876" w:type="dxa"/>
            <w:tcBorders>
              <w:top w:val="nil"/>
              <w:left w:val="nil"/>
              <w:bottom w:val="nil"/>
              <w:right w:val="nil"/>
            </w:tcBorders>
          </w:tcPr>
          <w:p>
            <w:pPr>
              <w:pStyle w:val="Normal6a"/>
            </w:pPr>
            <w:r>
              <w:t>11.</w:t>
            </w:r>
            <w:r>
              <w:tab/>
            </w:r>
            <w:r>
              <w:t xml:space="preserve">pabrėžia, kad reikia supaprastinti </w:t>
            </w:r>
            <w:r>
              <w:rPr>
                <w:b/>
                <w:i/>
              </w:rPr>
              <w:t>ir užtikrinti</w:t>
            </w:r>
            <w:r>
              <w:t xml:space="preserve"> bendrovių steigimą ir registravimą </w:t>
            </w:r>
            <w:r>
              <w:rPr>
                <w:b/>
                <w:i/>
              </w:rPr>
              <w:t>internetu</w:t>
            </w:r>
            <w:r>
              <w:t xml:space="preserve">; ragina mažinti procedūrų sudėtingumą ir siekti, kad </w:t>
            </w:r>
            <w:r>
              <w:rPr>
                <w:b/>
                <w:i/>
              </w:rPr>
              <w:t>internetinė</w:t>
            </w:r>
            <w:r>
              <w:t xml:space="preserve"> ESSU steigimo registravimo procedūra būtų užbaigta per </w:t>
            </w:r>
            <w:r>
              <w:rPr>
                <w:b/>
                <w:i/>
              </w:rPr>
              <w:t>24</w:t>
            </w:r>
            <w:r>
              <w:t xml:space="preserve"> valandas; ragina suteikti galimybę teikti bendrovės dokumentus </w:t>
            </w:r>
            <w:r>
              <w:rPr>
                <w:b/>
                <w:i/>
              </w:rPr>
              <w:t>ir atskleisti informaciją</w:t>
            </w:r>
            <w:r>
              <w:t xml:space="preserve"> internetu per visą bendrovės juridinės formos gyvavimo ciklą ir visiškai įgyvendinti vienkartinio duomenų pateikimo principą registruojant ESSU; </w:t>
            </w:r>
            <w:r>
              <w:rPr>
                <w:b/>
                <w:i/>
              </w:rPr>
              <w:t>ragina leisti</w:t>
            </w:r>
            <w:r>
              <w:t> taikyti skaitmenines procedūras, pavyzdžiui, skaitmeninius visuotinius susirinkimus ir valdybos posėdžius;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kad reikia supaprastinti bendrovių steigimą ir registravimą; ragina mažinti procedūrų sudėtingumą ir siekti, kad ESSU steigimo registravimo procedūra būtų užbaigta per 48 valandas; ragina suteikti galimybę teikti bendrovės dokumentus internetu per visą bendrovės juridinės formos gyvavimo ciklą ir visiškai įgyvendinti vienkartinio duomenų pateikimo principą registruojant ESSU; </w:t>
            </w:r>
            <w:r>
              <w:rPr>
                <w:b/>
                <w:i/>
              </w:rPr>
              <w:t>mano, kad turėtų būti galima</w:t>
            </w:r>
            <w:r>
              <w:t xml:space="preserve"> taikyti skaitmenines procedūras, pavyzdžiui, skaitmeninius visuotinius susirinkimus ir valdybos posėdžius;</w:t>
            </w:r>
          </w:p>
        </w:tc>
        <w:tc>
          <w:tcPr>
            <w:tcW w:w="4876" w:type="dxa"/>
            <w:tcBorders>
              <w:top w:val="nil"/>
              <w:left w:val="nil"/>
              <w:bottom w:val="nil"/>
              <w:right w:val="nil"/>
            </w:tcBorders>
          </w:tcPr>
          <w:p>
            <w:pPr>
              <w:pStyle w:val="Normal6a"/>
            </w:pPr>
            <w:r>
              <w:t>11.</w:t>
            </w:r>
            <w:r>
              <w:tab/>
            </w:r>
            <w:r>
              <w:t xml:space="preserve">pabrėžia, kad reikia supaprastinti </w:t>
            </w:r>
            <w:r>
              <w:rPr>
                <w:b/>
                <w:i/>
              </w:rPr>
              <w:t>ir skaitmeninti</w:t>
            </w:r>
            <w:r>
              <w:t xml:space="preserve"> bendrovių steigimą ir registravimą; ragina mažinti procedūrų sudėtingumą ir siekti, kad ESSU steigimo registravimo procedūra būtų </w:t>
            </w:r>
            <w:r>
              <w:rPr>
                <w:b/>
                <w:i/>
              </w:rPr>
              <w:t>skaitmeniniu būdu</w:t>
            </w:r>
            <w:r>
              <w:t xml:space="preserve"> užbaigta per 48 valandas; ragina suteikti galimybę teikti bendrovės dokumentus internetu per visą bendrovės juridinės formos gyvavimo ciklą ir visiškai įgyvendinti vienkartinio duomenų pateikimo principą registruojant </w:t>
            </w:r>
            <w:r>
              <w:rPr>
                <w:b/>
                <w:i/>
              </w:rPr>
              <w:t>ir administruojant</w:t>
            </w:r>
            <w:r>
              <w:t xml:space="preserve"> ESSU; </w:t>
            </w:r>
            <w:r>
              <w:rPr>
                <w:b/>
                <w:i/>
              </w:rPr>
              <w:t>ragina numatyti galimybę</w:t>
            </w:r>
            <w:r>
              <w:t xml:space="preserve"> taikyti skaitmenines procedūras, pavyzdžiui, skaitmeninius visuotinius susirinkimus ir valdybos posėdžius;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kad reikia supaprastinti bendrovių steigimą ir registravimą; ragina mažinti procedūrų sudėtingumą ir siekti, kad ESSU steigimo registravimo procedūra būtų užbaigta per </w:t>
            </w:r>
            <w:r>
              <w:rPr>
                <w:b/>
                <w:i/>
              </w:rPr>
              <w:t>48</w:t>
            </w:r>
            <w:r>
              <w:t xml:space="preserve"> valandas; ragina suteikti galimybę teikti bendrovės dokumentus internetu per visą bendrovės juridinės formos gyvavimo ciklą ir visiškai įgyvendinti vienkartinio duomenų pateikimo principą registruojant ESSU; mano, kad turėtų būti galima taikyti skaitmenines procedūras, pavyzdžiui, skaitmeninius visuotinius susirinkimus ir valdybos posėdžius;</w:t>
            </w:r>
          </w:p>
        </w:tc>
        <w:tc>
          <w:tcPr>
            <w:tcW w:w="4876" w:type="dxa"/>
            <w:tcBorders>
              <w:top w:val="nil"/>
              <w:left w:val="nil"/>
              <w:bottom w:val="nil"/>
              <w:right w:val="nil"/>
            </w:tcBorders>
          </w:tcPr>
          <w:p>
            <w:pPr>
              <w:pStyle w:val="Normal6a"/>
            </w:pPr>
            <w:r>
              <w:t>11.</w:t>
            </w:r>
            <w:r>
              <w:tab/>
            </w:r>
            <w:r>
              <w:t xml:space="preserve">pabrėžia, kad reikia supaprastinti bendrovių steigimą ir registravimą; ragina mažinti procedūrų sudėtingumą ir siekti, kad ESSU steigimo registravimo procedūra būtų užbaigta per </w:t>
            </w:r>
            <w:r>
              <w:rPr>
                <w:b/>
                <w:i/>
              </w:rPr>
              <w:t>24</w:t>
            </w:r>
            <w:r>
              <w:t xml:space="preserve"> valandas; ragina suteikti galimybę teikti bendrovės dokumentus internetu per visą bendrovės juridinės formos gyvavimo ciklą ir visiškai įgyvendinti vienkartinio duomenų pateikimo principą registruojant ESSU; mano, kad turėtų būti galima taikyti skaitmenines procedūras, pavyzdžiui, skaitmeninius visuotinius susirinkimus ir valdybos posėdžius;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kad reikia supaprastinti bendrovių steigimą ir registravimą; ragina mažinti procedūrų sudėtingumą ir siekti, kad </w:t>
            </w:r>
            <w:r>
              <w:rPr>
                <w:b/>
                <w:i/>
              </w:rPr>
              <w:t>ESSU</w:t>
            </w:r>
            <w:r>
              <w:t xml:space="preserve"> steigimo registravimo procedūra būtų užbaigta per 48 valandas; ragina suteikti galimybę teikti bendrovės dokumentus internetu per visą bendrovės juridinės formos gyvavimo ciklą ir visiškai įgyvendinti vienkartinio duomenų pateikimo principą registruojant </w:t>
            </w:r>
            <w:r>
              <w:rPr>
                <w:b/>
                <w:i/>
              </w:rPr>
              <w:t>ESSU</w:t>
            </w:r>
            <w:r>
              <w:t>; mano, kad turėtų būti galima taikyti skaitmenines procedūras, pavyzdžiui, skaitmeninius visuotinius susirinkimus ir valdybos posėdžius;</w:t>
            </w:r>
          </w:p>
        </w:tc>
        <w:tc>
          <w:tcPr>
            <w:tcW w:w="4876" w:type="dxa"/>
            <w:tcBorders>
              <w:top w:val="nil"/>
              <w:left w:val="nil"/>
              <w:bottom w:val="nil"/>
              <w:right w:val="nil"/>
            </w:tcBorders>
          </w:tcPr>
          <w:p>
            <w:pPr>
              <w:pStyle w:val="Normal6a"/>
            </w:pPr>
            <w:r>
              <w:t>11.</w:t>
            </w:r>
            <w:r>
              <w:tab/>
            </w:r>
            <w:r>
              <w:t xml:space="preserve">pabrėžia, kad reikia supaprastinti bendrovių steigimą ir registravimą; ragina mažinti procedūrų sudėtingumą ir siekti, kad </w:t>
            </w:r>
            <w:r>
              <w:rPr>
                <w:b/>
                <w:i/>
              </w:rPr>
              <w:t>SES bendrovės</w:t>
            </w:r>
            <w:r>
              <w:t xml:space="preserve"> steigimo registravimo procedūra būtų užbaigta per 48 valandas; ragina suteikti galimybę teikti bendrovės dokumentus internetu per visą bendrovės juridinės formos gyvavimo ciklą ir visiškai įgyvendinti vienkartinio duomenų pateikimo principą registruojant </w:t>
            </w:r>
            <w:r>
              <w:rPr>
                <w:b/>
                <w:i/>
              </w:rPr>
              <w:t>SES bendrovę</w:t>
            </w:r>
            <w:r>
              <w:t>; mano, kad turėtų būti galima taikyti skaitmenines procedūras, pavyzdžiui, skaitmeninius visuotinius susirinkimus ir valdybos posėdžius;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be to, ragina visapusiškai įgyvendinti ir įvertinti galiojančius Sąjungos teisės aktus, susijusius su skaitmeninių priemonių naudojimu taikant bendrovių teisę, visų pirma direktyvas (ES) 2019/1151 ir (ES) 2025/25, taip pat užtikrinti, kad tolesnis ataskaitų valdžios institucijoms skaitmeninimas ir automatizavimas būtų pagrindinis darbo, susijusio su reglamentavimo supaprastinimu Sąjungoje, prioritetas;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pabrėžia, kad ESSU įsteigimas turėtų būti visapusiškai integruotas į planuojamą Sąjungos masto verslo dėklę, kad būtų užtikrinta sklandi skaitmeninė sąveika tarp bendrovių visose valstybėse narėse;</w:t>
            </w:r>
            <w:r>
              <w:t xml:space="preserve"> </w:t>
            </w:r>
            <w:r>
              <w:rPr>
                <w:b/>
                <w:i/>
              </w:rPr>
              <w:t>pabrėžia, kad toks ryšys padės supaprastinti prieigą prie pagrindinių skaitmeninių paslaugų, įskaitant bendrovių registraciją, paraiškų teikimą ir sandorius;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ragina nustatyti ES masto standartinę mokesčių tvarką bankininkystės ir notarų paslaugoms, tiesiogiai susijusioms su ESSU steigimu ir pagrindine veikla, užtikrinant, kad išlaidos visose valstybėse narėse išliktų proporcingos, skaidrios ir neviršytų ESSU sistemoje nustatyto lygio;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ragina, kad Europos ESSU pažymėjimo išdavimas būtų pripažįstamas visose valstybėse narėse jo išdavimo metu, bendrovės steigimo ir esminės informacijos, saugomos bendrovės registracijos registre,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sukurti vieningą Sąjungos lygmens skaitmeninį įmonių registrą, kuris taptų tiesioginiu prieigos tašku, skirtu </w:t>
            </w:r>
            <w:r>
              <w:rPr>
                <w:b/>
                <w:i/>
              </w:rPr>
              <w:t>ESSU</w:t>
            </w:r>
            <w:r>
              <w:t xml:space="preserve"> registruoti, papildant ir išplečiant esamą Verslo registrų sąveikos sistemą (BRIS);</w:t>
            </w:r>
          </w:p>
        </w:tc>
        <w:tc>
          <w:tcPr>
            <w:tcW w:w="4876" w:type="dxa"/>
            <w:tcBorders>
              <w:top w:val="nil"/>
              <w:left w:val="nil"/>
              <w:bottom w:val="nil"/>
              <w:right w:val="nil"/>
            </w:tcBorders>
          </w:tcPr>
          <w:p>
            <w:pPr>
              <w:pStyle w:val="Normal6a"/>
            </w:pPr>
            <w:r>
              <w:t>12.</w:t>
            </w:r>
            <w:r>
              <w:tab/>
            </w:r>
            <w:r>
              <w:t xml:space="preserve">ragina sukurti vieningą Sąjungos lygmens skaitmeninį įmonių registrą, kuris taptų tiesioginiu prieigos tašku, skirtu </w:t>
            </w:r>
            <w:r>
              <w:rPr>
                <w:b/>
                <w:i/>
              </w:rPr>
              <w:t>SES bendrovėms</w:t>
            </w:r>
            <w:r>
              <w:t xml:space="preserve"> registruoti, papildant ir išplečiant esamą Verslo registrų sąveikos sistemą (BRIS)</w:t>
            </w:r>
            <w:r>
              <w:rPr>
                <w:b/>
                <w:i/>
              </w:rPr>
              <w:t>, būtų tiesiogiai prieinamas visuomenei ir integruotas į nacionalinius verslo registrus</w:t>
            </w:r>
            <w:r>
              <w:t xml:space="preserve">; </w:t>
            </w:r>
            <w:r>
              <w:rPr>
                <w:b/>
                <w:i/>
              </w:rPr>
              <w:t>tikisi, kad šiame įmonių registre taip pat bus galima saugoti dokumentus, reikalingus registruojant SES bendroves ir taikant įrodymo tik vieną kartą principą, taip pat nacionalinius sertifikatus, kurie vėliau galėtų būti pripažįstami visose valstybėse narėse, siekiant išplėsti bendro paso sistemos taikymą sertifikatams;</w:t>
            </w:r>
            <w:r>
              <w:t xml:space="preserve"> </w:t>
            </w:r>
            <w:r>
              <w:rPr>
                <w:b/>
                <w:i/>
              </w:rPr>
              <w:t>pabrėžia, kad platforma turi būti daugiakalbė ir užtikrinti galimybę veikti tarpvalstybiniu mastu;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Pascale Piera,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sukurti vieningą Sąjungos lygmens skaitmeninį įmonių registrą, kuris taptų tiesioginiu prieigos tašku, skirtu ESSU registruoti, papildant ir išplečiant esamą Verslo registrų sąveikos sistemą (BRIS);</w:t>
            </w:r>
          </w:p>
        </w:tc>
        <w:tc>
          <w:tcPr>
            <w:tcW w:w="4876" w:type="dxa"/>
            <w:tcBorders>
              <w:top w:val="nil"/>
              <w:left w:val="nil"/>
              <w:bottom w:val="nil"/>
              <w:right w:val="nil"/>
            </w:tcBorders>
          </w:tcPr>
          <w:p>
            <w:pPr>
              <w:pStyle w:val="Normal6a"/>
            </w:pPr>
            <w:r>
              <w:t>12.</w:t>
            </w:r>
            <w:r>
              <w:tab/>
            </w:r>
            <w:r>
              <w:t xml:space="preserve">ragina sukurti vieningą Sąjungos lygmens skaitmeninį įmonių registrą, kuris taptų tiesioginiu prieigos tašku, skirtu ESSU registruoti, papildant ir išplečiant esamą Verslo registrų sąveikos sistemą (BRIS); </w:t>
            </w:r>
            <w:r>
              <w:rPr>
                <w:b/>
                <w:i/>
              </w:rPr>
              <w:t>pabrėžia, kad bendrovėms neturi būti leidžiama apeiti nacionalinius registracijos reikalavimus ir kad teisininkų ir (arba) notarų dalyvavimas registracijos procedūrose turi likti privalomas siekiant užtikrinti teisėtumą ir užkirsti kelią pinigų plovimui;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sukurti vieningą Sąjungos lygmens skaitmeninį įmonių registrą, kuris taptų tiesioginiu prieigos tašku, skirtu ESSU registruoti, papildant ir išplečiant esamą Verslo registrų sąveikos sistemą (BRIS);</w:t>
            </w:r>
          </w:p>
        </w:tc>
        <w:tc>
          <w:tcPr>
            <w:tcW w:w="4876" w:type="dxa"/>
            <w:tcBorders>
              <w:top w:val="nil"/>
              <w:left w:val="nil"/>
              <w:bottom w:val="nil"/>
              <w:right w:val="nil"/>
            </w:tcBorders>
          </w:tcPr>
          <w:p>
            <w:pPr>
              <w:pStyle w:val="Normal6a"/>
            </w:pPr>
            <w:r>
              <w:t>12.</w:t>
            </w:r>
            <w:r>
              <w:tab/>
            </w:r>
            <w:r>
              <w:t xml:space="preserve">ragina sukurti vieningą Sąjungos lygmens skaitmeninį įmonių registrą, kuris taptų tiesioginiu prieigos tašku, skirtu ESSU registruoti, papildant ir išplečiant esamą Verslo registrų sąveikos sistemą (BRIS); </w:t>
            </w:r>
            <w:r>
              <w:rPr>
                <w:b/>
                <w:i/>
              </w:rPr>
              <w:t>taip pat pabrėžia, kad jį reikia susieti su viešai prieinamu skaidrumo registru, užtikrinant, kad būtų skelbiama informacija apie tikruosius savininkus, nuosavybės struktūras ir mokesčių praktiką, siekiant užkirsti kelią neskaidrumui ar piktnaudžiavimui;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w:t>
            </w:r>
            <w:r>
              <w:rPr>
                <w:b/>
                <w:i/>
              </w:rPr>
              <w:t>sukurti vieningą Sąjungos lygmens skaitmeninį įmonių registrą, kuris taptų tiesioginiu prieigos tašku, skirtu ESSU registruoti, papildant ir išplečiant</w:t>
            </w:r>
            <w:r>
              <w:t xml:space="preserve"> esamą Verslo registrų sąveikos sistemą (BRIS);</w:t>
            </w:r>
          </w:p>
        </w:tc>
        <w:tc>
          <w:tcPr>
            <w:tcW w:w="4876" w:type="dxa"/>
            <w:tcBorders>
              <w:top w:val="nil"/>
              <w:left w:val="nil"/>
              <w:bottom w:val="nil"/>
              <w:right w:val="nil"/>
            </w:tcBorders>
          </w:tcPr>
          <w:p>
            <w:pPr>
              <w:pStyle w:val="Normal6a"/>
            </w:pPr>
            <w:r>
              <w:t>12.</w:t>
            </w:r>
            <w:r>
              <w:tab/>
            </w:r>
            <w:r>
              <w:t xml:space="preserve">ragina </w:t>
            </w:r>
            <w:r>
              <w:rPr>
                <w:b/>
                <w:i/>
              </w:rPr>
              <w:t>papildyti ir išplėsti</w:t>
            </w:r>
            <w:r>
              <w:t xml:space="preserve"> esamą Verslo registrų sąveikos sistemą (BRIS) </w:t>
            </w:r>
            <w:r>
              <w:rPr>
                <w:b/>
                <w:i/>
              </w:rPr>
              <w:t>kaip pagrindinę skaitmeninę ESSU registravimo ir sąveikos visoje Sąjungoje priemonę</w:t>
            </w:r>
            <w:r>
              <w:t xml:space="preserve">; </w:t>
            </w:r>
            <w:r>
              <w:rPr>
                <w:b/>
                <w:i/>
              </w:rPr>
              <w:t>pabrėžia, kad, siekiant padidinti BRIS veiksmingumą, ji galėtų būti susieta su įvairiomis Komisijos ar Sąjungos agentūrų tvarkomomis duomenų bazėmis, įskaitant su intelektine nuosavybe, pvz., prekių ženklais ir dizainu, susijusias duomenų bazes;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sukurti vieningą Sąjungos lygmens skaitmeninį </w:t>
            </w:r>
            <w:r>
              <w:rPr>
                <w:b/>
                <w:i/>
              </w:rPr>
              <w:t>įmonių registrą, kuris taptų tiesioginiu</w:t>
            </w:r>
            <w:r>
              <w:t xml:space="preserve"> prieigos </w:t>
            </w:r>
            <w:r>
              <w:rPr>
                <w:b/>
                <w:i/>
              </w:rPr>
              <w:t>tašku, skirtu</w:t>
            </w:r>
            <w:r>
              <w:t xml:space="preserve"> ESSU registruoti, papildant ir išplečiant esamą Verslo registrų sąveikos sistemą (BRIS);</w:t>
            </w:r>
          </w:p>
        </w:tc>
        <w:tc>
          <w:tcPr>
            <w:tcW w:w="4876" w:type="dxa"/>
            <w:tcBorders>
              <w:top w:val="nil"/>
              <w:left w:val="nil"/>
              <w:bottom w:val="nil"/>
              <w:right w:val="nil"/>
            </w:tcBorders>
          </w:tcPr>
          <w:p>
            <w:pPr>
              <w:pStyle w:val="Normal6a"/>
            </w:pPr>
            <w:r>
              <w:t>12.</w:t>
            </w:r>
            <w:r>
              <w:tab/>
            </w:r>
            <w:r>
              <w:t xml:space="preserve">ragina sukurti vieningą Sąjungos lygmens skaitmeninį </w:t>
            </w:r>
            <w:r>
              <w:rPr>
                <w:b/>
                <w:i/>
              </w:rPr>
              <w:t>tiesioginį</w:t>
            </w:r>
            <w:r>
              <w:t xml:space="preserve"> prieigos </w:t>
            </w:r>
            <w:r>
              <w:rPr>
                <w:b/>
                <w:i/>
              </w:rPr>
              <w:t>tašką, skirtą</w:t>
            </w:r>
            <w:r>
              <w:t xml:space="preserve"> ESSU registruoti, papildant ir išplečiant esamą Verslo registrų sąveikos sistemą (BRIS); </w:t>
            </w:r>
            <w:r>
              <w:rPr>
                <w:b/>
                <w:i/>
              </w:rPr>
              <w:t>pabrėžia, kad šis prieigos taškas turėtų būti grindžiamas esamu e. teisingumo portalu ir, kai tinkama, jį atnaujinti, kad būtų užtikrinta patogi naudoti, daugiakalbė ir saugi sąsaja tarpvalstybinėms bendrovių procedūroms;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w:t>
            </w:r>
            <w:r>
              <w:rPr>
                <w:b/>
                <w:i/>
              </w:rPr>
              <w:t>sukurti vieningą Sąjungos lygmens skaitmeninį įmonių registrą, kuris taptų tiesioginiu prieigos tašku, skirtu ESSU registruoti, papildant ir išplečiant</w:t>
            </w:r>
            <w:r>
              <w:t xml:space="preserve"> esamą Verslo registrų sąveikos sistemą (BRIS);</w:t>
            </w:r>
          </w:p>
        </w:tc>
        <w:tc>
          <w:tcPr>
            <w:tcW w:w="4876" w:type="dxa"/>
            <w:tcBorders>
              <w:top w:val="nil"/>
              <w:left w:val="nil"/>
              <w:bottom w:val="nil"/>
              <w:right w:val="nil"/>
            </w:tcBorders>
          </w:tcPr>
          <w:p>
            <w:pPr>
              <w:pStyle w:val="Normal6a"/>
            </w:pPr>
            <w:r>
              <w:t>12.</w:t>
            </w:r>
            <w:r>
              <w:tab/>
            </w:r>
            <w:r>
              <w:t xml:space="preserve">ragina </w:t>
            </w:r>
            <w:r>
              <w:rPr>
                <w:b/>
                <w:i/>
              </w:rPr>
              <w:t>toliau plėsti</w:t>
            </w:r>
            <w:r>
              <w:t xml:space="preserve"> esamą Verslo registrų sąveikos sistemą (BRIS);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w:t>
            </w:r>
            <w:r>
              <w:rPr>
                <w:b/>
                <w:i/>
              </w:rPr>
              <w:t>sukurti vieningą</w:t>
            </w:r>
            <w:r>
              <w:t xml:space="preserve"> Sąjungos </w:t>
            </w:r>
            <w:r>
              <w:rPr>
                <w:b/>
                <w:i/>
              </w:rPr>
              <w:t>lygmens skaitmeninį įmonių registrą, kuris taptų tiesioginiu</w:t>
            </w:r>
            <w:r>
              <w:t xml:space="preserve"> prieigos </w:t>
            </w:r>
            <w:r>
              <w:rPr>
                <w:b/>
                <w:i/>
              </w:rPr>
              <w:t>tašku, skirtu ESSU</w:t>
            </w:r>
            <w:r>
              <w:t xml:space="preserve"> registruoti, papildant ir išplečiant esamą Verslo registrų sąveikos sistemą (BRIS);</w:t>
            </w:r>
          </w:p>
        </w:tc>
        <w:tc>
          <w:tcPr>
            <w:tcW w:w="4876" w:type="dxa"/>
            <w:tcBorders>
              <w:top w:val="nil"/>
              <w:left w:val="nil"/>
              <w:bottom w:val="nil"/>
              <w:right w:val="nil"/>
            </w:tcBorders>
          </w:tcPr>
          <w:p>
            <w:pPr>
              <w:pStyle w:val="Normal6a"/>
            </w:pPr>
            <w:r>
              <w:t>12.</w:t>
            </w:r>
            <w:r>
              <w:tab/>
            </w:r>
            <w:r>
              <w:t xml:space="preserve">ragina Sąjungos </w:t>
            </w:r>
            <w:r>
              <w:rPr>
                <w:b/>
                <w:i/>
              </w:rPr>
              <w:t>lygmeniu Europos e. teisingumo portale sukurti</w:t>
            </w:r>
            <w:r>
              <w:t xml:space="preserve"> prieigos </w:t>
            </w:r>
            <w:r>
              <w:rPr>
                <w:b/>
                <w:i/>
              </w:rPr>
              <w:t>punktą, kuris veiktų kaip tiesioginė prieiga prie nacionalinių vieno langelio sistemų ESSU įmonėms</w:t>
            </w:r>
            <w:r>
              <w:t xml:space="preserve"> registruoti, papildant ir išplečiant esamą Verslo registrų sąveikos sistemą (BRIS);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ragina sukurti internetinę bendrovių rūmų platformą, kad būtų sudarytos palankesnės sąlygos saugiems skaitmeniniams procesams, įskaitant patikrinamus kredencialus ir elektroninį dokumentų pasirašymą (taip pat pasirašant notarams), akcijų pardavimą ir paskirstymą, valdybos nutarimų rengimą ir priėmimą ir e. sąskaitų faktūrų išrašymo paslaugų teikimą;</w:t>
            </w:r>
            <w:r>
              <w:t xml:space="preserve"> </w:t>
            </w:r>
            <w:r>
              <w:rPr>
                <w:b/>
                <w:i/>
              </w:rPr>
              <w:t>pabrėžia, kad ši platforma turėtų sudaryti sąlygas vienoje valstybėje narėje išduotų sertifikatų, licencijų ir leidimų perkeliamumui pripažinti ir naudoti visoje Sąjungoje, laikantis taikytinos Sąjungos ir nacionalinės teisės;</w:t>
            </w:r>
            <w:r>
              <w:t xml:space="preserve"> </w:t>
            </w:r>
            <w:r>
              <w:rPr>
                <w:b/>
                <w:i/>
              </w:rPr>
              <w:t>pabrėžia, kad tokios skaitmeninės priemonės padidins teisinį saugumą, sumažins administracinę naštą ir skatins sklandų bendrovių veikimą vidaus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ragina ESSU sistema užtikrinti, kad visi reikiami teisiniai ir fiskaliniai dokumentai būtų pateikiami vieną kartą, registracijos metu, per Sąjungos lygmens skaitmeninį įmonių registrą ir būtų prieinami visoms kompetentingoms nacionalinėms institucijoms per saugias sąveikos sistemas, kad per visą įmonės gyvavimo ciklą jos nebūtų pakartotinai prašoma pateikti tų dokumentų;</w:t>
            </w:r>
            <w:r>
              <w:t xml:space="preserve"> </w:t>
            </w:r>
            <w:r>
              <w:rPr>
                <w:b/>
                <w:i/>
              </w:rPr>
              <w:t>ragina leisti įmonėms, kurios registruojasi kaip ESSU, pateikti reikiamus teisinius ir fiskalinius dokumentus bet kuria oficialiąja Sąjungos kalba;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pabrėžia, kad reikia sukurti ES masto skaidrumo registrą, susietą su skaitmeniniu bendrovių registru ir BRIS, siekiant užtikrinti informacijos apie tikruosius savininkus, nuosavybės struktūras ir pelno mokesčio deklaracijas atskleidimą;</w:t>
            </w:r>
            <w:r>
              <w:t xml:space="preserve"> </w:t>
            </w:r>
            <w:r>
              <w:rPr>
                <w:b/>
                <w:i/>
              </w:rPr>
              <w:t>primygtinai reikalauja, kad šis registras būtų prieinamas viešai, reguliariai atnaujinamas ir būtų taikomi kontrolės mechanizmai ir veiksmingos bei atgrasančios sankcijos už reikalavimų nesilaikymą;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ragina toliau kurti ir pritaikyti Sąjungos įmonės identifikatorių, kad būtų supaprastinta registracija, padidintas skaidrumas ir pasitikėjimas, palengvintas įmonės tapatumo patikrinimas ir kovojama su sukčiavimu ir mokesčių slėpimu;</w:t>
            </w:r>
          </w:p>
        </w:tc>
        <w:tc>
          <w:tcPr>
            <w:tcW w:w="4876" w:type="dxa"/>
            <w:tcBorders>
              <w:top w:val="nil"/>
              <w:left w:val="nil"/>
              <w:bottom w:val="nil"/>
              <w:right w:val="nil"/>
            </w:tcBorders>
          </w:tcPr>
          <w:p>
            <w:pPr>
              <w:pStyle w:val="Normal6a"/>
            </w:pPr>
            <w:r>
              <w:t>13.</w:t>
            </w:r>
            <w:r>
              <w:tab/>
            </w:r>
            <w:r>
              <w:t xml:space="preserve">ragina toliau kurti ir pritaikyti </w:t>
            </w:r>
            <w:r>
              <w:rPr>
                <w:b/>
                <w:i/>
              </w:rPr>
              <w:t>bendrą</w:t>
            </w:r>
            <w:r>
              <w:t xml:space="preserve"> Sąjungos įmonės identifikatorių</w:t>
            </w:r>
            <w:r>
              <w:rPr>
                <w:b/>
                <w:i/>
              </w:rPr>
              <w:t>, susietą su Sąjungos registru</w:t>
            </w:r>
            <w:r>
              <w:t xml:space="preserve">, kad būtų supaprastinta registracija, padidintas skaidrumas ir pasitikėjimas, palengvintas įmonės tapatumo patikrinimas ir kovojama su sukčiavimu ir mokesčių slėpimu; </w:t>
            </w:r>
            <w:r>
              <w:rPr>
                <w:b/>
                <w:i/>
              </w:rPr>
              <w:t>ragina Europos Komisiją siekti sąveikumo su pasaulinėmis iniciatyvomis dėl įmonės identifikatoriaus;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ragina toliau kurti ir pritaikyti Sąjungos įmonės identifikatorių, kad būtų supaprastinta registracija, padidintas skaidrumas ir pasitikėjimas, palengvintas įmonės tapatumo patikrinimas ir kovojama su sukčiavimu ir mokesčių slėpimu;</w:t>
            </w:r>
          </w:p>
        </w:tc>
        <w:tc>
          <w:tcPr>
            <w:tcW w:w="4876" w:type="dxa"/>
            <w:tcBorders>
              <w:top w:val="nil"/>
              <w:left w:val="nil"/>
              <w:bottom w:val="nil"/>
              <w:right w:val="nil"/>
            </w:tcBorders>
          </w:tcPr>
          <w:p>
            <w:pPr>
              <w:pStyle w:val="Normal6a"/>
            </w:pPr>
            <w:r>
              <w:t>13.</w:t>
            </w:r>
            <w:r>
              <w:tab/>
            </w:r>
            <w:r>
              <w:t xml:space="preserve">ragina toliau kurti ir pritaikyti Sąjungos įmonės identifikatorių, kad būtų supaprastinta registracija, padidintas skaidrumas ir pasitikėjimas, palengvintas įmonės tapatumo patikrinimas ir kovojama su sukčiavimu ir mokesčių slėpimu; </w:t>
            </w:r>
            <w:r>
              <w:rPr>
                <w:b/>
                <w:i/>
              </w:rPr>
              <w:t>pabrėžia, kad tai leistų įmonėms saugiai laikyti patikrinamus kredencialus ir jais dalytis su valdžios institucijomis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ragina </w:t>
            </w:r>
            <w:r>
              <w:rPr>
                <w:b/>
                <w:i/>
              </w:rPr>
              <w:t>toliau kurti ir pritaikyti</w:t>
            </w:r>
            <w:r>
              <w:t xml:space="preserve"> Sąjungos įmonės </w:t>
            </w:r>
            <w:r>
              <w:rPr>
                <w:b/>
                <w:i/>
              </w:rPr>
              <w:t>identifikatorių</w:t>
            </w:r>
            <w:r>
              <w:t>, kad būtų supaprastinta registracija, padidintas skaidrumas ir pasitikėjimas, palengvintas įmonės tapatumo patikrinimas ir kovojama su sukčiavimu ir mokesčių slėpimu;</w:t>
            </w:r>
          </w:p>
        </w:tc>
        <w:tc>
          <w:tcPr>
            <w:tcW w:w="4876" w:type="dxa"/>
            <w:tcBorders>
              <w:top w:val="nil"/>
              <w:left w:val="nil"/>
              <w:bottom w:val="nil"/>
              <w:right w:val="nil"/>
            </w:tcBorders>
          </w:tcPr>
          <w:p>
            <w:pPr>
              <w:pStyle w:val="Normal6a"/>
            </w:pPr>
            <w:r>
              <w:t>13.</w:t>
            </w:r>
            <w:r>
              <w:tab/>
            </w:r>
            <w:r>
              <w:t xml:space="preserve">ragina </w:t>
            </w:r>
            <w:r>
              <w:rPr>
                <w:b/>
                <w:i/>
              </w:rPr>
              <w:t>remti</w:t>
            </w:r>
            <w:r>
              <w:t xml:space="preserve"> Sąjungos įmonės </w:t>
            </w:r>
            <w:r>
              <w:rPr>
                <w:b/>
                <w:i/>
              </w:rPr>
              <w:t>identifikatoriaus, susieto su ES registru, kūrimą ir užbaigti jį kurti</w:t>
            </w:r>
            <w:r>
              <w:t>, kad būtų supaprastinta registracija, padidintas skaidrumas ir pasitikėjimas, palengvintas įmonės tapatumo patikrinimas ir kovojama su sukčiavimu ir mokesčių slėpimu;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ragina toliau kurti ir pritaikyti Sąjungos įmonės identifikatorių, kad būtų supaprastinta registracija, padidintas skaidrumas ir pasitikėjimas, palengvintas įmonės tapatumo patikrinimas ir kovojama su sukčiavimu ir mokesčių slėpimu;</w:t>
            </w:r>
          </w:p>
        </w:tc>
        <w:tc>
          <w:tcPr>
            <w:tcW w:w="4876" w:type="dxa"/>
            <w:tcBorders>
              <w:top w:val="nil"/>
              <w:left w:val="nil"/>
              <w:bottom w:val="nil"/>
              <w:right w:val="nil"/>
            </w:tcBorders>
          </w:tcPr>
          <w:p>
            <w:pPr>
              <w:pStyle w:val="Normal6a"/>
            </w:pPr>
            <w:r>
              <w:t>13.</w:t>
            </w:r>
            <w:r>
              <w:tab/>
            </w:r>
            <w:r>
              <w:t>ragina toliau kurti ir pritaikyti Sąjungos įmonės identifikatorių, kad būtų supaprastinta registracija, padidintas skaidrumas ir pasitikėjimas, palengvintas įmonės tapatumo patikrinimas ir kovojama su sukčiavimu</w:t>
            </w:r>
            <w:r>
              <w:rPr>
                <w:b/>
                <w:i/>
              </w:rPr>
              <w:t>, pinigų plovimu</w:t>
            </w:r>
            <w:r>
              <w:t xml:space="preserve"> ir mokesčių slėpimu;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mano, kad galimybė registruotis kaip ESSU neturėtų būti apribota nauja „novatoriškų bendrovių“ kategorija </w:t>
            </w:r>
            <w:r>
              <w:rPr>
                <w:b/>
                <w:i/>
              </w:rPr>
              <w:t>ar kitais ribojančiais veiksniais</w:t>
            </w:r>
            <w:r>
              <w:t xml:space="preserve">; </w:t>
            </w:r>
            <w:r>
              <w:rPr>
                <w:b/>
                <w:i/>
              </w:rPr>
              <w:t>įspėja, kad sukūrus tokią naują kategoriją atsirastų nereikalingų biurokratinių kliūčių;</w:t>
            </w:r>
            <w:r>
              <w:t xml:space="preserve"> </w:t>
            </w:r>
            <w:r>
              <w:rPr>
                <w:b/>
                <w:i/>
              </w:rPr>
              <w:t>paaiškina, kad įsteigti ESSU turėtų būti galima tik Sąjungoje rezidentais esantiems ar įsisteigusiems fiziniams ar juridiniams asmenims;</w:t>
            </w:r>
          </w:p>
        </w:tc>
        <w:tc>
          <w:tcPr>
            <w:tcW w:w="4876" w:type="dxa"/>
            <w:tcBorders>
              <w:top w:val="nil"/>
              <w:left w:val="nil"/>
              <w:bottom w:val="nil"/>
              <w:right w:val="nil"/>
            </w:tcBorders>
          </w:tcPr>
          <w:p>
            <w:pPr>
              <w:pStyle w:val="Normal6a"/>
            </w:pPr>
            <w:r>
              <w:t>14.</w:t>
            </w:r>
            <w:r>
              <w:tab/>
            </w:r>
            <w:r>
              <w:t>mano, kad galimybė registruotis kaip ESSU neturėtų būti apribota nauja „novatoriškų bendrovių“ kategorija;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mano, kad galimybė registruotis kaip ESSU neturėtų būti apribota nauja „novatoriškų bendrovių“ kategorija ar kitais ribojančiais veiksniais; įspėja, kad sukūrus tokią naują kategoriją atsirastų nereikalingų biurokratinių kliūčių; paaiškina, kad įsteigti ESSU turėtų būti galima tik Sąjungoje rezidentais esantiems ar įsisteigusiems fiziniams ar juridiniams asmenims;</w:t>
            </w:r>
          </w:p>
        </w:tc>
        <w:tc>
          <w:tcPr>
            <w:tcW w:w="4876" w:type="dxa"/>
            <w:tcBorders>
              <w:top w:val="nil"/>
              <w:left w:val="nil"/>
              <w:bottom w:val="nil"/>
              <w:right w:val="nil"/>
            </w:tcBorders>
          </w:tcPr>
          <w:p>
            <w:pPr>
              <w:pStyle w:val="Normal6a"/>
            </w:pPr>
            <w:r>
              <w:t>14.</w:t>
            </w:r>
            <w:r>
              <w:tab/>
            </w:r>
            <w:r>
              <w:t>mano, kad galimybė registruotis kaip ESSU neturėtų būti apribota nauja „novatoriškų bendrovių“ kategorija ar kitais ribojančiais veiksniais; įspėja, kad sukūrus tokią naują kategoriją atsirastų nereikalingų biurokratinių kliūčių; paaiškina, kad įsteigti ESSU turėtų būti galima tik Sąjungoje rezidentais esantiems ar įsisteigusiems fiziniams ar juridiniams asmenims</w:t>
            </w:r>
            <w:r>
              <w:rPr>
                <w:b/>
                <w:i/>
              </w:rPr>
              <w:t>, jiems įsteigiant naują ESSU formos bendrovę arba pertvarkant esamą kitos juridinės formos bendrovę į ESSU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mano, kad galimybė registruotis kaip ESSU </w:t>
            </w:r>
            <w:r>
              <w:rPr>
                <w:b/>
                <w:i/>
              </w:rPr>
              <w:t>neturėtų</w:t>
            </w:r>
            <w:r>
              <w:t xml:space="preserve"> būti apribota </w:t>
            </w:r>
            <w:r>
              <w:rPr>
                <w:b/>
                <w:i/>
              </w:rPr>
              <w:t>nauja „novatoriškų bendrovių“ kategorija ar kitais ribojančiais veiksniais;</w:t>
            </w:r>
            <w:r>
              <w:t xml:space="preserve"> </w:t>
            </w:r>
            <w:r>
              <w:rPr>
                <w:b/>
                <w:i/>
              </w:rPr>
              <w:t>įspėja, kad sukūrus tokią naują kategoriją atsirastų nereikalingų biurokratinių kliūčių</w:t>
            </w:r>
            <w:r>
              <w:t>; paaiškina, kad įsteigti ESSU turėtų būti galima tik Sąjungoje rezidentais esantiems ar įsisteigusiems fiziniams ar juridiniams asmenims;</w:t>
            </w:r>
          </w:p>
        </w:tc>
        <w:tc>
          <w:tcPr>
            <w:tcW w:w="4876" w:type="dxa"/>
            <w:tcBorders>
              <w:top w:val="nil"/>
              <w:left w:val="nil"/>
              <w:bottom w:val="nil"/>
              <w:right w:val="nil"/>
            </w:tcBorders>
          </w:tcPr>
          <w:p>
            <w:pPr>
              <w:pStyle w:val="Normal6a"/>
            </w:pPr>
            <w:r>
              <w:t>14.</w:t>
            </w:r>
            <w:r>
              <w:tab/>
            </w:r>
            <w:r>
              <w:t xml:space="preserve">mano, kad galimybė registruotis kaip ESSU </w:t>
            </w:r>
            <w:r>
              <w:rPr>
                <w:b/>
                <w:i/>
              </w:rPr>
              <w:t>turėtų</w:t>
            </w:r>
            <w:r>
              <w:t xml:space="preserve"> būti apribota </w:t>
            </w:r>
            <w:r>
              <w:rPr>
                <w:b/>
                <w:i/>
              </w:rPr>
              <w:t>ir suteikiama tik skaitmeniniame sektoriuje veiklą vykdantiems startuoliams ir veiklą plečiančioms įmonėms</w:t>
            </w:r>
            <w:r>
              <w:t>; paaiškina, kad įsteigti ESSU turėtų būti galima tik Sąjungoje rezidentais esantiems ar įsisteigusiems fiziniams ar juridiniams asmenims;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mano, kad </w:t>
            </w:r>
            <w:r>
              <w:rPr>
                <w:b/>
                <w:i/>
              </w:rPr>
              <w:t>galimybė</w:t>
            </w:r>
            <w:r>
              <w:t xml:space="preserve"> registruotis kaip ESSU neturėtų būti apribota nauja „novatoriškų bendrovių“ kategorija ar kitais ribojančiais veiksniais; įspėja, kad sukūrus tokią naują kategoriją atsirastų nereikalingų biurokratinių kliūčių; paaiškina, kad įsteigti ESSU turėtų būti galima tik Sąjungoje rezidentais esantiems ar įsisteigusiems fiziniams ar juridiniams asmenims;</w:t>
            </w:r>
          </w:p>
        </w:tc>
        <w:tc>
          <w:tcPr>
            <w:tcW w:w="4876" w:type="dxa"/>
            <w:tcBorders>
              <w:top w:val="nil"/>
              <w:left w:val="nil"/>
              <w:bottom w:val="nil"/>
              <w:right w:val="nil"/>
            </w:tcBorders>
          </w:tcPr>
          <w:p>
            <w:pPr>
              <w:pStyle w:val="Normal6a"/>
            </w:pPr>
            <w:r>
              <w:t>14.</w:t>
            </w:r>
            <w:r>
              <w:tab/>
            </w:r>
            <w:r>
              <w:t xml:space="preserve">mano, kad </w:t>
            </w:r>
            <w:r>
              <w:rPr>
                <w:b/>
                <w:i/>
              </w:rPr>
              <w:t>suteikiant galimybę</w:t>
            </w:r>
            <w:r>
              <w:t xml:space="preserve"> registruotis kaip ESSU </w:t>
            </w:r>
            <w:r>
              <w:rPr>
                <w:b/>
                <w:i/>
              </w:rPr>
              <w:t>turėtų būti atsižvelgiama į verslo modelių įvairovę;</w:t>
            </w:r>
            <w:r>
              <w:t xml:space="preserve"> </w:t>
            </w:r>
            <w:r>
              <w:rPr>
                <w:b/>
                <w:i/>
              </w:rPr>
              <w:t>todėl ji turėtų būti prieinama visų juridinių formų bendrovėms ir</w:t>
            </w:r>
            <w:r>
              <w:t xml:space="preserve"> neturėtų būti apribota nauja „novatoriškų bendrovių“ kategorija ar kitais ribojančiais veiksniais; įspėja, kad sukūrus tokią naują kategoriją atsirastų nereikalingų biurokratinių kliūčių; paaiškina, kad įsteigti ESSU turėtų būti galima tik Sąjungoje rezidentais esantiems ar įsisteigusiems fiziniams ar juridiniams asmenims;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mano, kad </w:t>
            </w:r>
            <w:r>
              <w:rPr>
                <w:b/>
                <w:i/>
              </w:rPr>
              <w:t>galimybė registruotis kaip ESSU neturėtų būti apribota nauja „novatoriškų bendrovių“ kategorija ar kitais ribojančiais veiksniais;</w:t>
            </w:r>
            <w:r>
              <w:t xml:space="preserve"> </w:t>
            </w:r>
            <w:r>
              <w:rPr>
                <w:b/>
                <w:i/>
              </w:rPr>
              <w:t>įspėja, kad sukūrus tokią naują kategoriją atsirastų nereikalingų biurokratinių kliūčių;</w:t>
            </w:r>
            <w:r>
              <w:t xml:space="preserve"> </w:t>
            </w:r>
            <w:r>
              <w:rPr>
                <w:b/>
                <w:i/>
              </w:rPr>
              <w:t>paaiškina, kad įsteigti</w:t>
            </w:r>
            <w:r>
              <w:t xml:space="preserve"> ESSU turėtų būti galima </w:t>
            </w:r>
            <w:r>
              <w:rPr>
                <w:b/>
                <w:i/>
              </w:rPr>
              <w:t>tik Sąjungoje rezidentais esantiems ar įsisteigusiems fiziniams ar juridiniams asmenims</w:t>
            </w:r>
            <w:r>
              <w:t>;</w:t>
            </w:r>
          </w:p>
        </w:tc>
        <w:tc>
          <w:tcPr>
            <w:tcW w:w="4876" w:type="dxa"/>
            <w:tcBorders>
              <w:top w:val="nil"/>
              <w:left w:val="nil"/>
              <w:bottom w:val="nil"/>
              <w:right w:val="nil"/>
            </w:tcBorders>
          </w:tcPr>
          <w:p>
            <w:pPr>
              <w:pStyle w:val="Normal6a"/>
            </w:pPr>
            <w:r>
              <w:t>14.</w:t>
            </w:r>
            <w:r>
              <w:tab/>
            </w:r>
            <w:r>
              <w:t xml:space="preserve">mano, kad ESSU turėtų būti galima </w:t>
            </w:r>
            <w:r>
              <w:rPr>
                <w:b/>
                <w:i/>
              </w:rPr>
              <w:t>įregistruoti arba įsteigus naują ESSU formos bendrovę, arba pertvarkius esamą kitokios juridinės formos bendrovę į ESSU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mano, kad galimybė registruotis kaip </w:t>
            </w:r>
            <w:r>
              <w:rPr>
                <w:b/>
                <w:i/>
              </w:rPr>
              <w:t>ESSU</w:t>
            </w:r>
            <w:r>
              <w:t xml:space="preserve"> neturėtų būti apribota nauja „novatoriškų bendrovių“ kategorija ar kitais ribojančiais veiksniais; įspėja, kad sukūrus tokią naują kategoriją atsirastų nereikalingų biurokratinių kliūčių; </w:t>
            </w:r>
            <w:r>
              <w:rPr>
                <w:b/>
                <w:i/>
              </w:rPr>
              <w:t>paaiškina, kad</w:t>
            </w:r>
            <w:r>
              <w:t xml:space="preserve"> įsteigti </w:t>
            </w:r>
            <w:r>
              <w:rPr>
                <w:b/>
                <w:i/>
              </w:rPr>
              <w:t>ESSU turėtų būti galima tik Sąjungoje rezidentais esantiems ar įsisteigusiems fiziniams ar juridiniams asmenims</w:t>
            </w:r>
            <w:r>
              <w:t>;</w:t>
            </w:r>
          </w:p>
        </w:tc>
        <w:tc>
          <w:tcPr>
            <w:tcW w:w="4876" w:type="dxa"/>
            <w:tcBorders>
              <w:top w:val="nil"/>
              <w:left w:val="nil"/>
              <w:bottom w:val="nil"/>
              <w:right w:val="nil"/>
            </w:tcBorders>
          </w:tcPr>
          <w:p>
            <w:pPr>
              <w:pStyle w:val="Normal6a"/>
            </w:pPr>
            <w:r>
              <w:t>14.</w:t>
            </w:r>
            <w:r>
              <w:tab/>
            </w:r>
            <w:r>
              <w:t xml:space="preserve">mano, kad galimybė registruotis kaip </w:t>
            </w:r>
            <w:r>
              <w:rPr>
                <w:b/>
                <w:i/>
              </w:rPr>
              <w:t>SES</w:t>
            </w:r>
            <w:r>
              <w:t xml:space="preserve"> neturėtų būti apribota nauja „novatoriškų bendrovių“ kategorija ar kitais ribojančiais veiksniais; įspėja, kad sukūrus tokią naują kategoriją atsirastų nereikalingų biurokratinių kliūčių; </w:t>
            </w:r>
            <w:r>
              <w:rPr>
                <w:b/>
                <w:i/>
              </w:rPr>
              <w:t>ragina Komisiją ieškoti sprendimo, leidžiančio nerezidentams</w:t>
            </w:r>
            <w:r>
              <w:t xml:space="preserve"> įsteigti </w:t>
            </w:r>
            <w:r>
              <w:rPr>
                <w:b/>
                <w:i/>
              </w:rPr>
              <w:t>SES bendroves, kurio modelis būtų panašus į Estijoje taikomą e. gyvenamosios vietos programą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mano, kad ESSU turėtų turėti galimybę veikti kaip </w:t>
            </w:r>
            <w:r>
              <w:rPr>
                <w:b/>
                <w:i/>
              </w:rPr>
              <w:t>savarankiška atskira</w:t>
            </w:r>
            <w:r>
              <w:t xml:space="preserve"> bendrovė arba </w:t>
            </w:r>
            <w:r>
              <w:rPr>
                <w:b/>
                <w:i/>
              </w:rPr>
              <w:t>kaip</w:t>
            </w:r>
            <w:r>
              <w:t xml:space="preserve"> ESSU patronuojančiosios bendrovės patronuojamoji bendrovė;</w:t>
            </w:r>
          </w:p>
        </w:tc>
        <w:tc>
          <w:tcPr>
            <w:tcW w:w="4876" w:type="dxa"/>
            <w:tcBorders>
              <w:top w:val="nil"/>
              <w:left w:val="nil"/>
              <w:bottom w:val="nil"/>
              <w:right w:val="nil"/>
            </w:tcBorders>
          </w:tcPr>
          <w:p>
            <w:pPr>
              <w:pStyle w:val="Normal6a"/>
            </w:pPr>
            <w:r>
              <w:t>15.</w:t>
            </w:r>
            <w:r>
              <w:tab/>
            </w:r>
            <w:r>
              <w:rPr>
                <w:b/>
                <w:i/>
              </w:rPr>
              <w:t>mano, kad ESSU turėtų veikti kaip atskirų subjektų bendrovės juridinė forma vienodam grupės valdymui, ir</w:t>
            </w:r>
            <w:r>
              <w:t xml:space="preserve"> mano, kad ESSU turėtų turėti galimybę veikti kaip </w:t>
            </w:r>
            <w:r>
              <w:rPr>
                <w:b/>
                <w:i/>
              </w:rPr>
              <w:t>patronuojančioji</w:t>
            </w:r>
            <w:r>
              <w:t xml:space="preserve"> bendrovė arba ESSU patronuojančiosios bendrovės patronuojamoji bendrovė;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mano, kad </w:t>
            </w:r>
            <w:r>
              <w:rPr>
                <w:b/>
                <w:i/>
              </w:rPr>
              <w:t>ESSU</w:t>
            </w:r>
            <w:r>
              <w:t xml:space="preserve"> turėtų turėti galimybę veikti kaip savarankiška atskira bendrovė arba kaip ESSU patronuojančiosios bendrovės patronuojamoji bendrovė;</w:t>
            </w:r>
          </w:p>
        </w:tc>
        <w:tc>
          <w:tcPr>
            <w:tcW w:w="4876" w:type="dxa"/>
            <w:tcBorders>
              <w:top w:val="nil"/>
              <w:left w:val="nil"/>
              <w:bottom w:val="nil"/>
              <w:right w:val="nil"/>
            </w:tcBorders>
          </w:tcPr>
          <w:p>
            <w:pPr>
              <w:pStyle w:val="Normal6a"/>
            </w:pPr>
            <w:r>
              <w:t>15.</w:t>
            </w:r>
            <w:r>
              <w:tab/>
            </w:r>
            <w:r>
              <w:t xml:space="preserve">mano, kad </w:t>
            </w:r>
            <w:r>
              <w:rPr>
                <w:b/>
                <w:i/>
              </w:rPr>
              <w:t>SES bendrovė</w:t>
            </w:r>
            <w:r>
              <w:t xml:space="preserve"> turėtų turėti galimybę veikti kaip savarankiška atskira </w:t>
            </w:r>
            <w:r>
              <w:rPr>
                <w:b/>
                <w:i/>
              </w:rPr>
              <w:t>bendrovė, kaip patronuojančiosios bendrovės patronuojamoji</w:t>
            </w:r>
            <w:r>
              <w:t xml:space="preserve"> bendrovė arba kaip ESSU patronuojančiosios bendrovės patronuojamoji bendrovė;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mano, kad ESSU turėtų turėti galimybę veikti kaip savarankiška atskira bendrovė arba kaip </w:t>
            </w:r>
            <w:r>
              <w:rPr>
                <w:b/>
                <w:i/>
              </w:rPr>
              <w:t>ESSU</w:t>
            </w:r>
            <w:r>
              <w:t xml:space="preserve"> patronuojančiosios bendrovės patronuojamoji bendrovė;</w:t>
            </w:r>
          </w:p>
        </w:tc>
        <w:tc>
          <w:tcPr>
            <w:tcW w:w="4876" w:type="dxa"/>
            <w:tcBorders>
              <w:top w:val="nil"/>
              <w:left w:val="nil"/>
              <w:bottom w:val="nil"/>
              <w:right w:val="nil"/>
            </w:tcBorders>
          </w:tcPr>
          <w:p>
            <w:pPr>
              <w:pStyle w:val="Normal6a"/>
            </w:pPr>
            <w:r>
              <w:t>15.</w:t>
            </w:r>
            <w:r>
              <w:tab/>
            </w:r>
            <w:r>
              <w:t>mano, kad ESSU turėtų turėti galimybę veikti kaip savarankiška atskira bendrovė arba kaip patronuojančiosios bendrovės patronuojamoji bendrovė;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pabrėžia, kad registruota bendrovės buveinė turi būti vienoje iš 27 valstybių narių, kad ji galėtų būti įregistruota kaip ESSU; pabrėžia, kad buveinė ir registruota buveinė gali būti skirtingose valstybėse narėse;</w:t>
            </w:r>
          </w:p>
        </w:tc>
        <w:tc>
          <w:tcPr>
            <w:tcW w:w="4876" w:type="dxa"/>
            <w:tcBorders>
              <w:top w:val="nil"/>
              <w:left w:val="nil"/>
              <w:bottom w:val="nil"/>
              <w:right w:val="nil"/>
            </w:tcBorders>
          </w:tcPr>
          <w:p>
            <w:pPr>
              <w:pStyle w:val="Normal6a"/>
            </w:pPr>
            <w:r>
              <w:t>16.</w:t>
            </w:r>
            <w:r>
              <w:tab/>
            </w:r>
            <w:r>
              <w:t xml:space="preserve">pabrėžia, kad registruota bendrovės buveinė turi būti vienoje iš 27 valstybių narių, kad ji galėtų būti įregistruota kaip ESSU; pabrėžia, kad buveinė ir registruota buveinė gali būti skirtingose valstybėse narėse; </w:t>
            </w:r>
            <w:r>
              <w:rPr>
                <w:b/>
                <w:i/>
              </w:rPr>
              <w:t>taip pat pabrėžia, kad ESSU turėtų turėti galimybę perkelti savo registruotą buveinę į kitą Sąjungos valstybę narę, nereikalaujant likviduoti ar iš naujo įsteigti bendrovės, laikantis suderintų procedūrų, kuriomis užtikrinamas juridinio asmens statuso tęstinumas;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pabrėžia, kad registruota bendrovės buveinė turi būti vienoje iš 27 valstybių narių, kad ji galėtų būti įregistruota kaip ESSU; pabrėžia, kad buveinė ir registruota buveinė gali būti skirtingose valstybėse narėse;</w:t>
            </w:r>
          </w:p>
        </w:tc>
        <w:tc>
          <w:tcPr>
            <w:tcW w:w="4876" w:type="dxa"/>
            <w:tcBorders>
              <w:top w:val="nil"/>
              <w:left w:val="nil"/>
              <w:bottom w:val="nil"/>
              <w:right w:val="nil"/>
            </w:tcBorders>
          </w:tcPr>
          <w:p>
            <w:pPr>
              <w:pStyle w:val="Normal6a"/>
            </w:pPr>
            <w:r>
              <w:t>16.</w:t>
            </w:r>
            <w:r>
              <w:tab/>
            </w:r>
            <w:r>
              <w:t>pabrėžia, kad registruota bendrovės buveinė turi būti vienoje iš 27 valstybių narių, kad ji galėtų būti įregistruota kaip ESSU; pabrėžia, kad buveinė ir registruota buveinė gali būti skirtingose valstybėse narėse</w:t>
            </w:r>
            <w:r>
              <w:rPr>
                <w:b/>
                <w:i/>
              </w:rPr>
              <w:t>, jeigu bendrovė palaiko tikrą ryšį su savo registruotos buveinės teisine ir mokesčių jurisdikcija, nebent abi buveines būtina susieti siekiant apsaugoti viršesnius viešuosius interesus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pabrėžia, kad registruota bendrovės buveinė turi būti vienoje iš 27 valstybių narių, kad ji galėtų būti įregistruota kaip </w:t>
            </w:r>
            <w:r>
              <w:rPr>
                <w:b/>
                <w:i/>
              </w:rPr>
              <w:t>ESSU</w:t>
            </w:r>
            <w:r>
              <w:t>; pabrėžia, kad buveinė ir registruota buveinė gali būti skirtingose valstybėse narėse;</w:t>
            </w:r>
          </w:p>
        </w:tc>
        <w:tc>
          <w:tcPr>
            <w:tcW w:w="4876" w:type="dxa"/>
            <w:tcBorders>
              <w:top w:val="nil"/>
              <w:left w:val="nil"/>
              <w:bottom w:val="nil"/>
              <w:right w:val="nil"/>
            </w:tcBorders>
          </w:tcPr>
          <w:p>
            <w:pPr>
              <w:pStyle w:val="Normal6a"/>
            </w:pPr>
            <w:r>
              <w:t>16.</w:t>
            </w:r>
            <w:r>
              <w:tab/>
            </w:r>
            <w:r>
              <w:t xml:space="preserve">pabrėžia, kad registruota bendrovės buveinė turi būti vienoje iš 27 valstybių narių, kad ji galėtų būti įregistruota kaip </w:t>
            </w:r>
            <w:r>
              <w:rPr>
                <w:b/>
                <w:i/>
              </w:rPr>
              <w:t>SES</w:t>
            </w:r>
            <w:r>
              <w:t>; pabrėžia, kad buveinė ir registruota buveinė gali būti skirtingose valstybėse narėse</w:t>
            </w:r>
            <w:r>
              <w:rPr>
                <w:b/>
                <w:i/>
              </w:rPr>
              <w:t>, jei bendrovė palaiko realų ir patikrinamą ryšį su savo registruotos buveinės teisine ir mokesčių jurisdikcija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pabrėžia, kad registruota bendrovės buveinė turi būti vienoje iš 27 valstybių narių, kad ji galėtų būti įregistruota kaip ESSU; pabrėžia, kad buveinė ir registruota buveinė gali būti skirtingose valstybėse narėse;</w:t>
            </w:r>
          </w:p>
        </w:tc>
        <w:tc>
          <w:tcPr>
            <w:tcW w:w="4876" w:type="dxa"/>
            <w:tcBorders>
              <w:top w:val="nil"/>
              <w:left w:val="nil"/>
              <w:bottom w:val="nil"/>
              <w:right w:val="nil"/>
            </w:tcBorders>
          </w:tcPr>
          <w:p>
            <w:pPr>
              <w:pStyle w:val="Normal6a"/>
            </w:pPr>
            <w:r>
              <w:t>16.</w:t>
            </w:r>
            <w:r>
              <w:tab/>
            </w:r>
            <w:r>
              <w:t>pabrėžia, kad registruota bendrovės buveinė turi būti vienoje iš 27 valstybių narių, kad ji galėtų būti įregistruota kaip ESSU; pabrėžia, kad buveinė ir registruota buveinė gali būti skirtingose valstybėse narėse</w:t>
            </w:r>
            <w:r>
              <w:rPr>
                <w:b/>
                <w:i/>
              </w:rPr>
              <w:t>, jei įmonė išlaiko realų ryšį su savo registruotos buveinės teisine jurisdikcija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pabrėžia, kad registruota bendrovės buveinė turi būti vienoje iš 27 valstybių narių, kad ji galėtų būti įregistruota kaip ESSU; </w:t>
            </w:r>
            <w:r>
              <w:rPr>
                <w:b/>
                <w:i/>
              </w:rPr>
              <w:t>pabrėžia, kad buveinė ir registruota buveinė gali būti skirtingose valstybėse narėse;</w:t>
            </w:r>
          </w:p>
        </w:tc>
        <w:tc>
          <w:tcPr>
            <w:tcW w:w="4876" w:type="dxa"/>
            <w:tcBorders>
              <w:top w:val="nil"/>
              <w:left w:val="nil"/>
              <w:bottom w:val="nil"/>
              <w:right w:val="nil"/>
            </w:tcBorders>
          </w:tcPr>
          <w:p>
            <w:pPr>
              <w:pStyle w:val="Normal6a"/>
            </w:pPr>
            <w:r>
              <w:t>16.</w:t>
            </w:r>
            <w:r>
              <w:tab/>
            </w:r>
            <w:r>
              <w:t>pabrėžia, kad registruota bendrovės buveinė turi būti vienoje iš 27 valstybių narių, kad ji galėtų būti įregistruota kaip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pabrėžia, kad registruota </w:t>
            </w:r>
            <w:r>
              <w:rPr>
                <w:b/>
                <w:i/>
              </w:rPr>
              <w:t>bendrovės</w:t>
            </w:r>
            <w:r>
              <w:t xml:space="preserve"> buveinė turi būti vienoje iš 27 valstybių narių</w:t>
            </w:r>
            <w:r>
              <w:rPr>
                <w:b/>
                <w:i/>
              </w:rPr>
              <w:t>, kad ji galėtų būti įregistruota kaip ESSU</w:t>
            </w:r>
            <w:r>
              <w:t>; pabrėžia, kad buveinė ir registruota buveinė gali būti skirtingose valstybėse narėse;</w:t>
            </w:r>
          </w:p>
        </w:tc>
        <w:tc>
          <w:tcPr>
            <w:tcW w:w="4876" w:type="dxa"/>
            <w:tcBorders>
              <w:top w:val="nil"/>
              <w:left w:val="nil"/>
              <w:bottom w:val="nil"/>
              <w:right w:val="nil"/>
            </w:tcBorders>
          </w:tcPr>
          <w:p>
            <w:pPr>
              <w:pStyle w:val="Normal6a"/>
            </w:pPr>
            <w:r>
              <w:t>16.</w:t>
            </w:r>
            <w:r>
              <w:tab/>
            </w:r>
            <w:r>
              <w:t xml:space="preserve">pabrėžia, kad registruota </w:t>
            </w:r>
            <w:r>
              <w:rPr>
                <w:b/>
                <w:i/>
              </w:rPr>
              <w:t>ESSU</w:t>
            </w:r>
            <w:r>
              <w:t xml:space="preserve"> buveinė turi būti vienoje iš 27 valstybių narių; pabrėžia, kad buveinė ir registruota buveinė gali būti skirtingose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pabrėžia, kad našumo augimas, inovacijos ir socialinė įtrauktis turi būti neatsiejami;</w:t>
            </w:r>
            <w:r>
              <w:t xml:space="preserve"> </w:t>
            </w:r>
            <w:r>
              <w:rPr>
                <w:b/>
                <w:i/>
              </w:rPr>
              <w:t>mano, kad reikėtų apsvarstyti galimybę parengti darbuotojų akcijų nuosavybės planus, skirtus ESSU darbuotojams, kad jie galėtų įgyti nuosavybės dalį bendrovėje;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pabrėžia, kad našumo augimas, inovacijos ir socialinė įtrauktis turi būti neatsiejami;</w:t>
            </w:r>
            <w:r>
              <w:t xml:space="preserve"> </w:t>
            </w:r>
            <w:r>
              <w:rPr>
                <w:b/>
                <w:i/>
              </w:rPr>
              <w:t>mano, kad reikėtų apsvarstyti galimybę parengti darbuotojų akcijų nuosavybės planus, skirtus ESSU darbuotojams, kad jie galėtų įgyti nuosavybės dalį bendrovėje;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pabrėžia, kad našumo augimas, inovacijos ir socialinė įtrauktis turi būti neatsiejami; </w:t>
            </w:r>
            <w:r>
              <w:rPr>
                <w:b/>
                <w:i/>
              </w:rPr>
              <w:t>mano, kad reikėtų apsvarstyti galimybę</w:t>
            </w:r>
            <w:r>
              <w:t xml:space="preserve"> parengti darbuotojų akcijų </w:t>
            </w:r>
            <w:r>
              <w:rPr>
                <w:b/>
                <w:i/>
              </w:rPr>
              <w:t>nuosavybės planus, skirtus ESSU darbuotojams, kad jie</w:t>
            </w:r>
            <w:r>
              <w:t xml:space="preserve"> galėtų </w:t>
            </w:r>
            <w:r>
              <w:rPr>
                <w:b/>
                <w:i/>
              </w:rPr>
              <w:t>įgyti</w:t>
            </w:r>
            <w:r>
              <w:t xml:space="preserve"> nuosavybės dalį bendrovėje;</w:t>
            </w:r>
          </w:p>
        </w:tc>
        <w:tc>
          <w:tcPr>
            <w:tcW w:w="4876" w:type="dxa"/>
            <w:tcBorders>
              <w:top w:val="nil"/>
              <w:left w:val="nil"/>
              <w:bottom w:val="nil"/>
              <w:right w:val="nil"/>
            </w:tcBorders>
          </w:tcPr>
          <w:p>
            <w:pPr>
              <w:pStyle w:val="Normal6a"/>
            </w:pPr>
            <w:r>
              <w:t>17.</w:t>
            </w:r>
            <w:r>
              <w:tab/>
            </w:r>
            <w:r>
              <w:t xml:space="preserve">pabrėžia, kad našumo augimas, inovacijos ir socialinė įtrauktis turi būti neatsiejami; </w:t>
            </w:r>
            <w:r>
              <w:rPr>
                <w:b/>
                <w:i/>
              </w:rPr>
              <w:t>pabrėžia, kad supaprastinto europinio statuso (SES) bendrovei turėtų būti suteikta teisė</w:t>
            </w:r>
            <w:r>
              <w:t xml:space="preserve"> parengti darbuotojų akcijų </w:t>
            </w:r>
            <w:r>
              <w:rPr>
                <w:b/>
                <w:i/>
              </w:rPr>
              <w:t>pasirinkimo sandorių planą, kad ji</w:t>
            </w:r>
            <w:r>
              <w:t xml:space="preserve"> galėtų </w:t>
            </w:r>
            <w:r>
              <w:rPr>
                <w:b/>
                <w:i/>
              </w:rPr>
              <w:t>pritraukti geresnių specialistų, o darbuotojai įgytų</w:t>
            </w:r>
            <w:r>
              <w:t xml:space="preserve"> nuosavybės dalį bendrovėje; </w:t>
            </w:r>
            <w:r>
              <w:rPr>
                <w:b/>
                <w:i/>
              </w:rPr>
              <w:t>pabrėžia, kad ši tvarka turėtų būti ne fiskalinės politikos suderinimas, o darbuotojų galimybės turėti laipsnišką akcijų pasirinkimo sandorių planą, nedarant poveikio mokesčių tarifui, kuriuo apmokestinama galima nauda;</w:t>
            </w:r>
            <w:r>
              <w:t xml:space="preserve"> </w:t>
            </w:r>
            <w:r>
              <w:rPr>
                <w:b/>
                <w:i/>
              </w:rPr>
              <w:t>rekomenduoja akcijų pasirinkimo sandorius pripažinti kapitalo prieaugiu;</w:t>
            </w:r>
            <w:r>
              <w:t xml:space="preserve"> </w:t>
            </w:r>
            <w:r>
              <w:rPr>
                <w:b/>
                <w:i/>
              </w:rPr>
              <w:t>prašo Komisijos imtis veiksmų siekiant nustatyti Sąjungos lygmens vertinimo saugumo garantą;</w:t>
            </w:r>
            <w:r>
              <w:t xml:space="preserve"> </w:t>
            </w:r>
            <w:r>
              <w:rPr>
                <w:b/>
                <w:i/>
              </w:rPr>
              <w:t>pabrėžia, kad tokia priemonė yra pirmas verslininkų, kurie susiduria su sunkumais norėdami darbuotojams suteikti tokias pačias papildomas išmokas visoje bendrojoje rinkoje, reikalavimas;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pabrėžia, kad našumo augimas, inovacijos ir socialinė įtrauktis turi būti neatsiejami</w:t>
            </w:r>
            <w:r>
              <w:rPr>
                <w:b/>
                <w:i/>
              </w:rPr>
              <w:t>;</w:t>
            </w:r>
            <w:r>
              <w:t xml:space="preserve"> </w:t>
            </w:r>
            <w:r>
              <w:rPr>
                <w:b/>
                <w:i/>
              </w:rPr>
              <w:t>mano, kad reikėtų apsvarstyti galimybę parengti</w:t>
            </w:r>
            <w:r>
              <w:t xml:space="preserve"> darbuotojų akcijų nuosavybės </w:t>
            </w:r>
            <w:r>
              <w:rPr>
                <w:b/>
                <w:i/>
              </w:rPr>
              <w:t>planus, skirtus ESSU darbuotojams</w:t>
            </w:r>
            <w:r>
              <w:t xml:space="preserve">, kad jie galėtų </w:t>
            </w:r>
            <w:r>
              <w:rPr>
                <w:b/>
                <w:i/>
              </w:rPr>
              <w:t>įgyti nuosavybės dalį bendrovėje</w:t>
            </w:r>
            <w:r>
              <w:t>;</w:t>
            </w:r>
          </w:p>
        </w:tc>
        <w:tc>
          <w:tcPr>
            <w:tcW w:w="4876" w:type="dxa"/>
            <w:tcBorders>
              <w:top w:val="nil"/>
              <w:left w:val="nil"/>
              <w:bottom w:val="nil"/>
              <w:right w:val="nil"/>
            </w:tcBorders>
          </w:tcPr>
          <w:p>
            <w:pPr>
              <w:pStyle w:val="Normal6a"/>
            </w:pPr>
            <w:r>
              <w:t>17.</w:t>
            </w:r>
            <w:r>
              <w:tab/>
            </w:r>
            <w:r>
              <w:t>pabrėžia, kad našumo augimas, inovacijos ir socialinė įtrauktis turi būti neatsiejami</w:t>
            </w:r>
            <w:r>
              <w:rPr>
                <w:b/>
                <w:i/>
              </w:rPr>
              <w:t>, ir ragina nustatyti tolesnes priemones inovacijų sektoriui remti;</w:t>
            </w:r>
            <w:r>
              <w:t xml:space="preserve"> </w:t>
            </w:r>
            <w:r>
              <w:rPr>
                <w:b/>
                <w:i/>
              </w:rPr>
              <w:t>šiuo tikslu ragina Komisiją kuo greičiau pateikti pasiūlymą dėl bendros Europos supaprastinto ESSU mokesčių valdymo sistemos ir ESSU</w:t>
            </w:r>
            <w:r>
              <w:t xml:space="preserve"> darbuotojų akcijų nuosavybės </w:t>
            </w:r>
            <w:r>
              <w:rPr>
                <w:b/>
                <w:i/>
              </w:rPr>
              <w:t>planų</w:t>
            </w:r>
            <w:r>
              <w:t xml:space="preserve">, kad jie galėtų </w:t>
            </w:r>
            <w:r>
              <w:rPr>
                <w:b/>
                <w:i/>
              </w:rPr>
              <w:t>įsigyti įmonės akcijų dalį;</w:t>
            </w:r>
            <w:r>
              <w:t xml:space="preserve"> </w:t>
            </w:r>
            <w:r>
              <w:rPr>
                <w:b/>
                <w:i/>
              </w:rPr>
              <w:t>atsižvelgdamas į tai, mano, kad akcijų pasirinkimo sandoriai ir pajamos iš darbuotojų dalyvavimo bendrovės kapitale turėtų būti pripažįstami kapitalo prieaugiu ir todėl turi būti saugomi ES lygmeniu</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pabrėžia, kad našumo augimas, inovacijos ir socialinė įtrauktis turi būti neatsiejami; mano, kad reikėtų apsvarstyti galimybę parengti darbuotojų akcijų nuosavybės planus, skirtus ESSU darbuotojams, kad jie galėtų įgyti nuosavybės dalį bendrovėje;</w:t>
            </w:r>
          </w:p>
        </w:tc>
        <w:tc>
          <w:tcPr>
            <w:tcW w:w="4876" w:type="dxa"/>
            <w:tcBorders>
              <w:top w:val="nil"/>
              <w:left w:val="nil"/>
              <w:bottom w:val="nil"/>
              <w:right w:val="nil"/>
            </w:tcBorders>
          </w:tcPr>
          <w:p>
            <w:pPr>
              <w:pStyle w:val="Normal6a"/>
            </w:pPr>
            <w:r>
              <w:t>17.</w:t>
            </w:r>
            <w:r>
              <w:tab/>
            </w:r>
            <w:r>
              <w:t>pabrėžia, kad našumo augimas, inovacijos ir socialinė įtrauktis turi būti neatsiejami; mano, kad reikėtų apsvarstyti galimybę parengti darbuotojų akcijų nuosavybės planus, skirtus ESSU darbuotojams, kad jie galėtų įgyti nuosavybės dalį bendrovėje</w:t>
            </w:r>
            <w:r>
              <w:rPr>
                <w:b/>
                <w:i/>
              </w:rPr>
              <w:t>, kartu užtikrinant, kad tai padėtų kurti demokratiškesnę darbo aplinką, būtų nediskriminacinio pobūdžio, nepakeistų kolektyvinių derybų dėl darbo užmokesčio ir darbuotojams būtų nustatyta žema tokio nuosavybės plano įsigijimo riba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pabrėžia, kad ESSU sistema turėtų sudaryti palankesnes sąlygas partnerystėms su universitetais, mokslinių tyrimų institutais ir technologijų perdavimo biurais, siekiant paspartinti procesą „nuo laboratorijos iki rinkos“, suteikti prieigą prie mokslinių tyrimų infrastruktūros ir ekspertinių žinių ir remti mokslinių tyrimų rezultatų komercializaciją;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 to, ragina pagal 28-ąją teisinę sistemą skatinti kooperatinio verslo modelius, nes tai yra vertinga galimybė demokratiškiau valdyti įmonės nuosavybės dalis;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ragina pasiūlyme dėl teisėkūros procedūra priimamo akto numatyti papildomas lengvatas socialinėms įmonėms ir įmonėms, įsteigtoms jaunų ar pirmą kartą dirbančių verslininkų, kurie užsiregistruoja kaip ESSU, pvz., prioritetines galimybes naudotis atitinkamomis Sąjungos ir nacionalinėmis finansavimo priemonėmis, specialiai pritaikytomis mentorystės ir mokymo programomis, neprivalomomis socialinės misijos apsaugos priemonėmis;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ragina į ESSU skaitmeninę platformą integruoti dirbtiniu intelektu grindžiamas atitikties užtikrinimo priemones, kuriomis įmonėms tikruoju laiku teikiami įspėjimai apie atitinkamus Sąjungos ir nacionalinės teisės aktų pakeitimus, automatizuota pagalba vykdant ataskaitų teikimo pareigas ir gairės, kaip sumažinti administracinę naštą ir padidinti teisinį tikrumą;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rekomenduoja ESSU sistemoje sukurti Sąjungos lygmens apribotą bandomąją reglamentavimo aplinką, kad įmonės galėtų išbandyti novatoriškus produktus, paslaugas ar verslo modelius kontroliuojamoje aplinkoje, užtikrinant laikiną reguliavimo lankstumą, proporcingas apsaugos priemones ir kompetentingų institucijų dalyvavimą;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Apsaugos priemonės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Apsaugos priemonės</w:t>
            </w:r>
          </w:p>
        </w:tc>
        <w:tc>
          <w:tcPr>
            <w:tcW w:w="4876" w:type="dxa"/>
            <w:tcBorders>
              <w:top w:val="nil"/>
              <w:left w:val="nil"/>
              <w:bottom w:val="nil"/>
              <w:right w:val="nil"/>
            </w:tcBorders>
          </w:tcPr>
          <w:p>
            <w:pPr>
              <w:pStyle w:val="Normal6a"/>
            </w:pPr>
            <w:r>
              <w:rPr>
                <w:b/>
                <w:i/>
              </w:rPr>
              <w:t>Neprivalomos valdytojų nuosavybės formos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pabrėžia, kad reikia apsaugoti Europos novatoriškas bendroves nuo destrukcinių įsigijimų ir užkirsti kelią inovacijų, dažnai remiamų Europos viešosiomis mokslinių tyrimų lėšomis, perkėlimui už Sąjungos ribų;</w:t>
            </w:r>
            <w:r>
              <w:t xml:space="preserve"> </w:t>
            </w:r>
            <w:r>
              <w:rPr>
                <w:b/>
                <w:i/>
              </w:rPr>
              <w:t>mano, kad susijungimų reguliavimo nepakanka destrukcinių įsigijimų problemai spręsti;</w:t>
            </w:r>
            <w:r>
              <w:t xml:space="preserve"> </w:t>
            </w:r>
            <w:r>
              <w:rPr>
                <w:b/>
                <w:i/>
              </w:rPr>
              <w:t>ragina į pasiūlymą dėl teisės teisėkūros procedūra priimamo akto įtraukti neprivalomas valdytojų nuosavybės formas, turto blokavimą ir įvairias klasių akcijas, ypač dviejų klasių akcijas, įskaitant veto akcijas;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pabrėžia, kad reikia apsaugoti Europos novatoriškas bendroves nuo destrukcinių įsigijimų ir užkirsti kelią inovacijų, dažnai remiamų Europos viešosiomis mokslinių tyrimų lėšomis, perkėlimui už Sąjungos ribų;</w:t>
            </w:r>
            <w:r>
              <w:t xml:space="preserve"> </w:t>
            </w:r>
            <w:r>
              <w:rPr>
                <w:b/>
                <w:i/>
              </w:rPr>
              <w:t>mano, kad susijungimų reguliavimo nepakanka destrukcinių įsigijimų problemai spręsti;</w:t>
            </w:r>
            <w:r>
              <w:t xml:space="preserve"> </w:t>
            </w:r>
            <w:r>
              <w:rPr>
                <w:b/>
                <w:i/>
              </w:rPr>
              <w:t>ragina į pasiūlymą dėl teisės teisėkūros procedūra priimamo akto įtraukti neprivalomas valdytojų nuosavybės formas, turto blokavimą ir įvairias klasių akcijas, ypač dviejų klasių akcijas, įskaitant veto akcijas;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pabrėžia, kad reikia apsaugoti Europos novatoriškas bendroves nuo destrukcinių įsigijimų ir užkirsti kelią inovacijų, dažnai remiamų Europos viešosiomis mokslinių tyrimų lėšomis, perkėlimui už Sąjungos ribų;</w:t>
            </w:r>
            <w:r>
              <w:t xml:space="preserve"> </w:t>
            </w:r>
            <w:r>
              <w:rPr>
                <w:b/>
                <w:i/>
              </w:rPr>
              <w:t>mano, kad susijungimų reguliavimo nepakanka destrukcinių įsigijimų problemai spręsti;</w:t>
            </w:r>
            <w:r>
              <w:t xml:space="preserve"> </w:t>
            </w:r>
            <w:r>
              <w:rPr>
                <w:b/>
                <w:i/>
              </w:rPr>
              <w:t>ragina į pasiūlymą dėl teisės teisėkūros procedūra priimamo akto įtraukti neprivalomas valdytojų nuosavybės formas, turto blokavimą ir įvairias klasių akcijas, ypač dviejų klasių akcijas, įskaitant veto akcijas;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pabrėžia, kad reikia apsaugoti Europos novatoriškas bendroves nuo destrukcinių įsigijimų ir užkirsti kelią inovacijų, dažnai remiamų Europos viešosiomis mokslinių tyrimų lėšomis, perkėlimui už Sąjungos ribų;</w:t>
            </w:r>
            <w:r>
              <w:t xml:space="preserve"> </w:t>
            </w:r>
            <w:r>
              <w:rPr>
                <w:b/>
                <w:i/>
              </w:rPr>
              <w:t>mano, kad susijungimų reguliavimo nepakanka destrukcinių įsigijimų problemai spręsti;</w:t>
            </w:r>
            <w:r>
              <w:t xml:space="preserve"> ragina į pasiūlymą dėl </w:t>
            </w:r>
            <w:r>
              <w:rPr>
                <w:b/>
                <w:i/>
              </w:rPr>
              <w:t>teisės</w:t>
            </w:r>
            <w:r>
              <w:t xml:space="preserve"> teisėkūros procedūra priimamo akto įtraukti neprivalomas valdytojų nuosavybės formas, turto </w:t>
            </w:r>
            <w:r>
              <w:rPr>
                <w:b/>
                <w:i/>
              </w:rPr>
              <w:t>blokavimą ir įvairias</w:t>
            </w:r>
            <w:r>
              <w:t xml:space="preserve"> klasių </w:t>
            </w:r>
            <w:r>
              <w:rPr>
                <w:b/>
                <w:i/>
              </w:rPr>
              <w:t>akcijas</w:t>
            </w:r>
            <w:r>
              <w:t>, ypač dviejų klasių akcijas, įskaitant veto akcijas;</w:t>
            </w:r>
          </w:p>
        </w:tc>
        <w:tc>
          <w:tcPr>
            <w:tcW w:w="4876" w:type="dxa"/>
            <w:tcBorders>
              <w:top w:val="nil"/>
              <w:left w:val="nil"/>
              <w:bottom w:val="nil"/>
              <w:right w:val="nil"/>
            </w:tcBorders>
          </w:tcPr>
          <w:p>
            <w:pPr>
              <w:pStyle w:val="Normal6a"/>
            </w:pPr>
            <w:r>
              <w:t>18.</w:t>
            </w:r>
            <w:r>
              <w:tab/>
            </w:r>
            <w:r>
              <w:t xml:space="preserve">ragina į pasiūlymą dėl teisėkūros procedūra priimamo akto įtraukti neprivalomas valdytojų nuosavybės formas, turto </w:t>
            </w:r>
            <w:r>
              <w:rPr>
                <w:b/>
                <w:i/>
              </w:rPr>
              <w:t>užraktus ir įvairių</w:t>
            </w:r>
            <w:r>
              <w:t xml:space="preserve"> klasių, ypač dviejų klasių</w:t>
            </w:r>
            <w:r>
              <w:rPr>
                <w:b/>
                <w:i/>
              </w:rPr>
              <w:t>,</w:t>
            </w:r>
            <w:r>
              <w:t xml:space="preserve"> akcijas, įskaitant veto akcijas</w:t>
            </w:r>
            <w:r>
              <w:rPr>
                <w:b/>
                <w:i/>
              </w:rPr>
              <w:t>, siekiant apsaugoti Europos įmones, kurios to pageidauja, nuo vadinamųjų destrukcinių įsigijimų ir perkėlimo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pabrėžia, kad reikia apsaugoti Europos </w:t>
            </w:r>
            <w:r>
              <w:rPr>
                <w:b/>
                <w:i/>
              </w:rPr>
              <w:t>novatoriškas</w:t>
            </w:r>
            <w:r>
              <w:t xml:space="preserve"> bendroves nuo destrukcinių įsigijimų ir užkirsti kelią inovacijų, dažnai remiamų Europos viešosiomis mokslinių tyrimų lėšomis, perkėlimui už Sąjungos ribų; </w:t>
            </w:r>
            <w:r>
              <w:rPr>
                <w:b/>
                <w:i/>
              </w:rPr>
              <w:t>mano, kad susijungimų reguliavimo nepakanka destrukcinių įsigijimų problemai spręsti;</w:t>
            </w:r>
            <w:r>
              <w:t xml:space="preserve"> ragina į pasiūlymą dėl </w:t>
            </w:r>
            <w:r>
              <w:rPr>
                <w:b/>
                <w:i/>
              </w:rPr>
              <w:t>teisės</w:t>
            </w:r>
            <w:r>
              <w:t xml:space="preserve"> teisėkūros procedūra priimamo akto įtraukti neprivalomas valdytojų nuosavybės formas, turto </w:t>
            </w:r>
            <w:r>
              <w:rPr>
                <w:b/>
                <w:i/>
              </w:rPr>
              <w:t>blokavimą ir įvairias</w:t>
            </w:r>
            <w:r>
              <w:t xml:space="preserve"> klasių akcijas, ypač dviejų klasių akcijas, įskaitant veto akcijas;</w:t>
            </w:r>
          </w:p>
        </w:tc>
        <w:tc>
          <w:tcPr>
            <w:tcW w:w="4876" w:type="dxa"/>
            <w:tcBorders>
              <w:top w:val="nil"/>
              <w:left w:val="nil"/>
              <w:bottom w:val="nil"/>
              <w:right w:val="nil"/>
            </w:tcBorders>
          </w:tcPr>
          <w:p>
            <w:pPr>
              <w:pStyle w:val="Normal6a"/>
            </w:pPr>
            <w:r>
              <w:t>18.</w:t>
            </w:r>
            <w:r>
              <w:tab/>
            </w:r>
            <w:r>
              <w:t>pabrėžia, kad reikia apsaugoti Europos bendroves</w:t>
            </w:r>
            <w:r>
              <w:rPr>
                <w:b/>
                <w:i/>
              </w:rPr>
              <w:t>, visų pirma MVĮ ir startuolius,</w:t>
            </w:r>
            <w:r>
              <w:t xml:space="preserve"> nuo destrukcinių įsigijimų ir užkirsti kelią inovacijų, dažnai remiamų Europos viešosiomis mokslinių tyrimų lėšomis, perkėlimui už Sąjungos ribų; ragina į pasiūlymą dėl teisėkūros procedūra priimamo akto įtraukti neprivalomas valdytojų nuosavybės formas, turto </w:t>
            </w:r>
            <w:r>
              <w:rPr>
                <w:b/>
                <w:i/>
              </w:rPr>
              <w:t>blokavimo priemones, verslo perdavimą darbuotojams pagal kooperatyvų formą (Darbuotojų pirkimas) ir įvairių</w:t>
            </w:r>
            <w:r>
              <w:t xml:space="preserve"> klasių akcijas, ypač </w:t>
            </w:r>
            <w:r>
              <w:rPr>
                <w:b/>
                <w:i/>
              </w:rPr>
              <w:t>lojalumo akcijas ir</w:t>
            </w:r>
            <w:r>
              <w:t xml:space="preserve"> dviejų klasių akcijas, įskaitant veto akcijas;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ragina Komisiją įgyvendinant 28-ąją teisinę sistemą sudarančias iniciatyvas apsvarstyti papildomas nuostatas dėl ESSU susijungimo su trečiųjų šalių įmonėmis;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yra susirūpinęs dėl pavojaus, kad gali būti pažeisti valstybių narių nacionalinėse teisinėse sistemose galiojantys silpnesnės šalies apsaugos standartai;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yra susirūpinęs dėl pavojaus, kad gali būti pažeisti valstybių narių nacionalinėse teisinėse sistemose galiojantys silpnesnės šalies apsaugos standartai;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yra susirūpinęs dėl pavojaus, kad gali būti pažeisti valstybių narių nacionalinėse teisinėse sistemose galiojantys silpnesnės šalies apsaugos standartai;</w:t>
            </w:r>
          </w:p>
        </w:tc>
        <w:tc>
          <w:tcPr>
            <w:tcW w:w="4876" w:type="dxa"/>
            <w:tcBorders>
              <w:top w:val="nil"/>
              <w:left w:val="nil"/>
              <w:bottom w:val="nil"/>
              <w:right w:val="nil"/>
            </w:tcBorders>
          </w:tcPr>
          <w:p>
            <w:pPr>
              <w:pStyle w:val="Normal6a"/>
            </w:pPr>
            <w:r>
              <w:t>19.</w:t>
            </w:r>
            <w:r>
              <w:tab/>
            </w:r>
            <w:r>
              <w:t xml:space="preserve">yra susirūpinęs dėl pavojaus, kad gali būti pažeisti valstybių narių nacionalinėse teisinėse sistemose galiojantys silpnesnės šalies apsaugos standartai; </w:t>
            </w:r>
            <w:r>
              <w:rPr>
                <w:b/>
                <w:i/>
              </w:rPr>
              <w:t>pabrėžia, kad reikia tvirtai užkirsti kelią bet kokiam sąlygų bloginimui ir užtikrinti, kad apsaugos standartais jokiais būdais nebūtų apeinami, susilpninami ar naudojami konkurencijos tikslais;</w:t>
            </w:r>
            <w:r>
              <w:t xml:space="preserve"> </w:t>
            </w:r>
            <w:r>
              <w:rPr>
                <w:b/>
                <w:i/>
              </w:rPr>
              <w:t>primygtinai reikalauja, kad būtų nustatyti veiksmingi kontrolės mechanizmai ir atgrasomos sankcijos, siekiant užtikrinti griežtą apsaugos standartų laikymąsi;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yra susirūpinęs dėl pavojaus, kad gali būti pažeisti valstybių narių nacionalinėse teisinėse sistemose galiojantys silpnesnės šalies apsaugos standartai;</w:t>
            </w:r>
          </w:p>
        </w:tc>
        <w:tc>
          <w:tcPr>
            <w:tcW w:w="4876" w:type="dxa"/>
            <w:tcBorders>
              <w:top w:val="nil"/>
              <w:left w:val="nil"/>
              <w:bottom w:val="nil"/>
              <w:right w:val="nil"/>
            </w:tcBorders>
          </w:tcPr>
          <w:p>
            <w:pPr>
              <w:pStyle w:val="Normal6a"/>
            </w:pPr>
            <w:r>
              <w:t>19.</w:t>
            </w:r>
            <w:r>
              <w:tab/>
            </w:r>
            <w:r>
              <w:t xml:space="preserve">yra susirūpinęs dėl pavojaus, kad gali būti pažeisti </w:t>
            </w:r>
            <w:r>
              <w:rPr>
                <w:b/>
                <w:i/>
              </w:rPr>
              <w:t>esami nacionalinio ir (arba) Europos lygmens standartai, kuriais puoselėjamas teisinis tikrumas ir užtikrinama viešojo intereso apsauga, pvz., pinigų plovimo prevencija, ES sankcijų režimų paisymas, taip pat</w:t>
            </w:r>
            <w:r>
              <w:t xml:space="preserve"> valstybių narių nacionalinėse teisinėse sistemose galiojantys silpnesnės šalies apsaugos standartai;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yra susirūpinęs dėl pavojaus, kad gali būti pažeisti valstybių narių nacionalinėse teisinėse sistemose galiojantys silpnesnės šalies apsaugos standartai;</w:t>
            </w:r>
          </w:p>
        </w:tc>
        <w:tc>
          <w:tcPr>
            <w:tcW w:w="4876" w:type="dxa"/>
            <w:tcBorders>
              <w:top w:val="nil"/>
              <w:left w:val="nil"/>
              <w:bottom w:val="nil"/>
              <w:right w:val="nil"/>
            </w:tcBorders>
          </w:tcPr>
          <w:p>
            <w:pPr>
              <w:pStyle w:val="Normal6a"/>
            </w:pPr>
            <w:r>
              <w:t>19.</w:t>
            </w:r>
            <w:r>
              <w:tab/>
            </w:r>
            <w:r>
              <w:t xml:space="preserve">yra susirūpinęs dėl pavojaus, kad gali būti pažeisti valstybių narių nacionalinėse teisinėse sistemose galiojantys silpnesnės šalies apsaugos standartai; </w:t>
            </w:r>
            <w:r>
              <w:rPr>
                <w:b/>
                <w:i/>
              </w:rPr>
              <w:t>pakartoja, kad bet kokia ESSU turi atitikti nacionalinėje ir Sąjungos darbo teisėje nustatytus reikalavimus;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yra susirūpinęs dėl pavojaus, kad gali būti pažeisti</w:t>
            </w:r>
            <w:r>
              <w:t xml:space="preserve"> valstybių narių nacionalinėse teisinėse sistemose </w:t>
            </w:r>
            <w:r>
              <w:rPr>
                <w:b/>
                <w:i/>
              </w:rPr>
              <w:t>galiojantys</w:t>
            </w:r>
            <w:r>
              <w:t xml:space="preserve"> silpnesnės šalies apsaugos </w:t>
            </w:r>
            <w:r>
              <w:rPr>
                <w:b/>
                <w:i/>
              </w:rPr>
              <w:t>standartai</w:t>
            </w:r>
            <w:r>
              <w:t>;</w:t>
            </w:r>
          </w:p>
        </w:tc>
        <w:tc>
          <w:tcPr>
            <w:tcW w:w="4876" w:type="dxa"/>
            <w:tcBorders>
              <w:top w:val="nil"/>
              <w:left w:val="nil"/>
              <w:bottom w:val="nil"/>
              <w:right w:val="nil"/>
            </w:tcBorders>
          </w:tcPr>
          <w:p>
            <w:pPr>
              <w:pStyle w:val="Normal6a"/>
            </w:pPr>
            <w:r>
              <w:t>19.</w:t>
            </w:r>
            <w:r>
              <w:tab/>
            </w:r>
            <w:r>
              <w:rPr>
                <w:b/>
                <w:i/>
              </w:rPr>
              <w:t>pabrėžia, kad svarbu nepažeisti</w:t>
            </w:r>
            <w:r>
              <w:t xml:space="preserve"> valstybių narių nacionalinėse teisinėse sistemose </w:t>
            </w:r>
            <w:r>
              <w:rPr>
                <w:b/>
                <w:i/>
              </w:rPr>
              <w:t>galiojančių</w:t>
            </w:r>
            <w:r>
              <w:t xml:space="preserve"> silpnesnės šalies apsaugos </w:t>
            </w:r>
            <w:r>
              <w:rPr>
                <w:b/>
                <w:i/>
              </w:rPr>
              <w:t>standartų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mano, kad kolizinių teisės normų taikymas yra tinkamesnis būdas spręsti silpnesniosios šalies apsaugos klausimą nei materialinės teisės normos naujajame pasiūlyme dėl teisės teisėkūros procedūra priimamo akto;</w:t>
            </w:r>
            <w:r>
              <w:t xml:space="preserve"> </w:t>
            </w:r>
            <w:r>
              <w:rPr>
                <w:b/>
                <w:i/>
              </w:rPr>
              <w:t>ragina, kad klausimai, susiję su darbuotojų dalyvavimu priimant sprendimus, būtų sprendžiami pagal bendrovės tikrosios buveinės vietos, t. y. bendrovės centrinės administracijos vietos, teisę;</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mano, kad kolizinių teisės normų taikymas yra tinkamesnis būdas spręsti silpnesniosios šalies apsaugos klausimą nei materialinės teisės normos naujajame pasiūlyme dėl teisės teisėkūros procedūra priimamo akto;</w:t>
            </w:r>
            <w:r>
              <w:t xml:space="preserve"> </w:t>
            </w:r>
            <w:r>
              <w:rPr>
                <w:b/>
                <w:i/>
              </w:rPr>
              <w:t>ragina, kad klausimai, susiję su darbuotojų dalyvavimu priimant sprendimus, būtų sprendžiami pagal bendrovės tikrosios buveinės vietos, t. y. bendrovės centrinės administracijos vietos, teisę;</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mano, kad kolizinių teisės normų taikymas yra tinkamesnis būdas spręsti silpnesniosios šalies apsaugos klausimą nei materialinės teisės normos naujajame pasiūlyme dėl teisės teisėkūros procedūra priimamo akto; ragina, kad klausimai, susiję su darbuotojų dalyvavimu priimant sprendimus</w:t>
            </w:r>
            <w:r>
              <w:rPr>
                <w:b/>
                <w:i/>
              </w:rPr>
              <w:t>, būtų</w:t>
            </w:r>
            <w:r>
              <w:t xml:space="preserve"> sprendžiami pagal </w:t>
            </w:r>
            <w:r>
              <w:rPr>
                <w:b/>
                <w:i/>
              </w:rPr>
              <w:t>bendrovės tikrosios buveinės vietos, t. y.</w:t>
            </w:r>
            <w:r>
              <w:t xml:space="preserve"> bendrovės </w:t>
            </w:r>
            <w:r>
              <w:rPr>
                <w:b/>
                <w:i/>
              </w:rPr>
              <w:t>centrinės administracijos</w:t>
            </w:r>
            <w:r>
              <w:t xml:space="preserve"> vietos, </w:t>
            </w:r>
            <w:r>
              <w:rPr>
                <w:b/>
                <w:i/>
              </w:rPr>
              <w:t>teisę</w:t>
            </w:r>
            <w:r>
              <w:t>;</w:t>
            </w:r>
          </w:p>
        </w:tc>
        <w:tc>
          <w:tcPr>
            <w:tcW w:w="4876" w:type="dxa"/>
            <w:tcBorders>
              <w:top w:val="nil"/>
              <w:left w:val="nil"/>
              <w:bottom w:val="nil"/>
              <w:right w:val="nil"/>
            </w:tcBorders>
          </w:tcPr>
          <w:p>
            <w:pPr>
              <w:pStyle w:val="Normal6a"/>
            </w:pPr>
            <w:r>
              <w:t>20.</w:t>
            </w:r>
            <w:r>
              <w:tab/>
            </w:r>
            <w:r>
              <w:t xml:space="preserve">mano, kad kolizinių teisės normų taikymas yra tinkamesnis būdas spręsti silpnesniosios šalies apsaugos klausimą nei materialinės teisės normos naujajame pasiūlyme dėl teisės teisėkūros procedūra priimamo akto; ragina, kad klausimai, susiję su darbuotojų dalyvavimu priimant sprendimus </w:t>
            </w:r>
            <w:r>
              <w:rPr>
                <w:b/>
                <w:i/>
              </w:rPr>
              <w:t>turėtų būti</w:t>
            </w:r>
            <w:r>
              <w:t xml:space="preserve"> sprendžiami pagal </w:t>
            </w:r>
            <w:r>
              <w:rPr>
                <w:b/>
                <w:i/>
              </w:rPr>
              <w:t>nacionalinę</w:t>
            </w:r>
            <w:r>
              <w:t xml:space="preserve"> bendrovės </w:t>
            </w:r>
            <w:r>
              <w:rPr>
                <w:b/>
                <w:i/>
              </w:rPr>
              <w:t>darbuotojų darbo vietos teisę;</w:t>
            </w:r>
            <w:r>
              <w:t xml:space="preserve"> </w:t>
            </w:r>
            <w:r>
              <w:rPr>
                <w:b/>
                <w:i/>
              </w:rPr>
              <w:t>jei bendrovė turi darbuotojų keliose valstybėse narėse, taikoma darbo</w:t>
            </w:r>
            <w:r>
              <w:t xml:space="preserve"> vietos, </w:t>
            </w:r>
            <w:r>
              <w:rPr>
                <w:b/>
                <w:i/>
              </w:rPr>
              <w:t>kurioje yra daugiausia darbuotojų, teisė</w:t>
            </w:r>
            <w:r>
              <w:t xml:space="preserve">; </w:t>
            </w:r>
            <w:r>
              <w:rPr>
                <w:b/>
                <w:i/>
              </w:rPr>
              <w:t>kai bendrovės darbuotojų skaičius viršija 500 darbuotojų kitoje valstybėje narėje nei ta, kurioje bendrovė iš pradžių buvo įregistruota, bendrovės registruota buveinė perkeliama į darbo vietos valstybę narę;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mano, kad kolizinių teisės normų taikymas yra tinkamesnis būdas spręsti silpnesniosios šalies apsaugos klausimą nei materialinės teisės normos naujajame pasiūlyme dėl teisės teisėkūros procedūra priimamo akto; ragina, kad klausimai, susiję su darbuotojų dalyvavimu priimant sprendimus, būtų sprendžiami pagal bendrovės tikrosios buveinės vietos, t. y. bendrovės centrinės administracijos vietos, teisę;</w:t>
            </w:r>
          </w:p>
        </w:tc>
        <w:tc>
          <w:tcPr>
            <w:tcW w:w="4876" w:type="dxa"/>
            <w:tcBorders>
              <w:top w:val="nil"/>
              <w:left w:val="nil"/>
              <w:bottom w:val="nil"/>
              <w:right w:val="nil"/>
            </w:tcBorders>
          </w:tcPr>
          <w:p>
            <w:pPr>
              <w:pStyle w:val="Normal6a"/>
            </w:pPr>
            <w:r>
              <w:t>20.</w:t>
            </w:r>
            <w:r>
              <w:tab/>
            </w:r>
            <w:r>
              <w:t xml:space="preserve">mano, kad kolizinių teisės normų taikymas yra tinkamesnis būdas spręsti silpnesniosios šalies apsaugos klausimą nei materialinės teisės normos naujajame pasiūlyme dėl teisės teisėkūros procedūra priimamo akto; </w:t>
            </w:r>
            <w:r>
              <w:rPr>
                <w:b/>
                <w:i/>
              </w:rPr>
              <w:t>tačiau pabrėžia, kad tokiomis normomis būtų užtikrintas aukščiausiems nacionaliniams standartams lygiavertis apsaugos lygis;</w:t>
            </w:r>
            <w:r>
              <w:t xml:space="preserve"> ragina, kad klausimai, susiję su darbuotojų dalyvavimu priimant sprendimus, būtų sprendžiami pagal bendrovės tikrosios buveinės vietos, t. y. bendrovės centrinės administracijos vietos, teisę; </w:t>
            </w:r>
            <w:r>
              <w:rPr>
                <w:b/>
                <w:i/>
              </w:rPr>
              <w:t>primygtinai reikalauja, kad šis principas būtų taikomas griežtai ir nesudarant galimybės jį dirbtinai apeiti, pasitelkiant teisines ar mokesčių schemas;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mano, kad kolizinių teisės normų taikymas yra tinkamesnis būdas spręsti silpnesniosios šalies apsaugos klausimą nei materialinės teisės normos naujajame pasiūlyme dėl teisės teisėkūros procedūra priimamo akto; ragina, kad klausimai, susiję su darbuotojų dalyvavimu priimant sprendimus, būtų sprendžiami pagal bendrovės tikrosios buveinės vietos, t. y. bendrovės centrinės administracijos vietos, teisę;</w:t>
            </w:r>
          </w:p>
        </w:tc>
        <w:tc>
          <w:tcPr>
            <w:tcW w:w="4876" w:type="dxa"/>
            <w:tcBorders>
              <w:top w:val="nil"/>
              <w:left w:val="nil"/>
              <w:bottom w:val="nil"/>
              <w:right w:val="nil"/>
            </w:tcBorders>
          </w:tcPr>
          <w:p>
            <w:pPr>
              <w:pStyle w:val="Normal6a"/>
            </w:pPr>
            <w:r>
              <w:t>20.</w:t>
            </w:r>
            <w:r>
              <w:tab/>
            </w:r>
            <w:r>
              <w:t xml:space="preserve">mano, kad kolizinių teisės normų taikymas yra tinkamesnis būdas spręsti silpnesniosios šalies apsaugos klausimą nei materialinės teisės normos naujajame pasiūlyme dėl teisės teisėkūros procedūra priimamo akto; ragina, kad klausimai, susiję su darbuotojų dalyvavimu priimant sprendimus </w:t>
            </w:r>
            <w:r>
              <w:rPr>
                <w:b/>
                <w:i/>
              </w:rPr>
              <w:t>ir formos reikalavimais</w:t>
            </w:r>
            <w:r>
              <w:t>, būtų sprendžiami pagal bendrovės tikrosios buveinės vietos, t. y. bendrovės centrinės administracijos vietos,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mano, kad kolizinių teisės normų taikymas yra tinkamesnis būdas spręsti </w:t>
            </w:r>
            <w:r>
              <w:rPr>
                <w:b/>
                <w:i/>
              </w:rPr>
              <w:t>silpnesniosios šalies</w:t>
            </w:r>
            <w:r>
              <w:t xml:space="preserve"> apsaugos klausimą nei </w:t>
            </w:r>
            <w:r>
              <w:rPr>
                <w:b/>
                <w:i/>
              </w:rPr>
              <w:t>materialinės teisės normos</w:t>
            </w:r>
            <w:r>
              <w:t xml:space="preserve"> naujajame pasiūlyme dėl teisės teisėkūros procedūra priimamo akto; ragina, kad klausimai, susiję su darbuotojų dalyvavimu priimant sprendimus, būtų sprendžiami pagal bendrovės tikrosios buveinės vietos, t. y. bendrovės centrinės administracijos vietos, teisę;</w:t>
            </w:r>
          </w:p>
        </w:tc>
        <w:tc>
          <w:tcPr>
            <w:tcW w:w="4876" w:type="dxa"/>
            <w:tcBorders>
              <w:top w:val="nil"/>
              <w:left w:val="nil"/>
              <w:bottom w:val="nil"/>
              <w:right w:val="nil"/>
            </w:tcBorders>
          </w:tcPr>
          <w:p>
            <w:pPr>
              <w:pStyle w:val="Normal6a"/>
            </w:pPr>
            <w:r>
              <w:t>20.</w:t>
            </w:r>
            <w:r>
              <w:tab/>
            </w:r>
            <w:r>
              <w:t xml:space="preserve">mano, kad kolizinių teisės normų taikymas yra tinkamesnis būdas spręsti </w:t>
            </w:r>
            <w:r>
              <w:rPr>
                <w:b/>
                <w:i/>
              </w:rPr>
              <w:t>individualių darbuotojų teisių</w:t>
            </w:r>
            <w:r>
              <w:t xml:space="preserve"> apsaugos klausimą nei naujajame pasiūlyme dėl teisės teisėkūros procedūra priimamo akto </w:t>
            </w:r>
            <w:r>
              <w:rPr>
                <w:b/>
                <w:i/>
              </w:rPr>
              <w:t>pateiktos materialinės teisės normos</w:t>
            </w:r>
            <w:r>
              <w:t>; ragina, kad klausimai, susiję su darbuotojų dalyvavimu priimant sprendimus, būtų sprendžiami pagal bendrovės tikrosios buveinės vietos, t. y. bendrovės centrinės administracijos vietos,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ragina Komisiją, kartu su bet kokiais naujais pasiūlymais dėl teisėkūros procedūra priimamo akto, susijusios 28-ąja teisine sistema, atlikti ir paskelbti išsamų ir skaidrų poveikio vertinimą, kuriame visų pirma būtų įvertintos socialinės, mokesčių ir teisinės pasekmės, taip pat nacionalinių apsaugos standartų apėjimo ar susilpninimo rizika;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pabrėžia, kad 28-osios teisinės sistemos sukūrimas neturėtų lemti ESSU steigimo vien pardavimo tikslu ir didesnio fiktyvių subjektų skaičiaus;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mano, kad bendrovei, kuriai taikomos administracinės ar teisinės procedūros dėl tariamų teisės aktų pažeidimų, susijusių su sukčiavimu, mokesčių ar socialinės apsaugos slėpimu arba įmonių tvarumu, arba dėl kurios tokių teisės aktų pažeidimas oficialiai nustatytas, neturėtų būti leidžiama prašyti suteikti ESSU statusą;</w:t>
            </w:r>
            <w:r>
              <w:t xml:space="preserve"> </w:t>
            </w:r>
            <w:r>
              <w:rPr>
                <w:b/>
                <w:i/>
              </w:rPr>
              <w:t>joms turėtų būti leidžiama tai daryti tik užbaigus procedūrą ir nenustačius jokio pažeidimo arba visiškai ištaisius nustatytus pažeidimus;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ragina Komisiją bent kas dvejus metus atlikti reguliarų 28-osios teisinės sistemos įgyvendinimo ir poveikio vertinimą;</w:t>
            </w:r>
            <w:r>
              <w:t xml:space="preserve"> </w:t>
            </w:r>
            <w:r>
              <w:rPr>
                <w:b/>
                <w:i/>
              </w:rPr>
              <w:t>pabrėžia, kad šis vertinimas turi apimti socialinį, mokesčių ir teisinį poveikį, taip pat atitiktį nacionaliniams darbuotojų apsaugos standartams;</w:t>
            </w:r>
            <w:r>
              <w:t xml:space="preserve"> </w:t>
            </w:r>
            <w:r>
              <w:rPr>
                <w:b/>
                <w:i/>
              </w:rPr>
              <w:t>primygtinai reikalauja, kad šių vertinimų rezultatai būtų skelbiami skaidriai ir aptariami Europos Parlamente, kad būtų užtikrinta nuolatinė demokratinė priežiūra;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ragina Komisiją sukurti Sąjungos masto priežiūros ir vykdymo užtikrinimo sistemą Komisijoje arba paskirti nepriklausomą 28-osios teisinės sistemos ir atitinkamų ES teisės aktų įgyvendinimo priežiūros įstaigą, kurios funkcijos būtų aiškiai apibrėžtos atsižvelgiant į teisę į gerą administravimą;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ragina Komisiją apsvarstyti poreikį nustatyti suderintą minimalią privalomo darbuotojų dalyvavimo ESSU administraciniuose ar priežiūros organuose normą;</w:t>
            </w:r>
            <w:r>
              <w:t xml:space="preserve"> </w:t>
            </w:r>
            <w:r>
              <w:rPr>
                <w:b/>
                <w:i/>
              </w:rPr>
              <w:t>todėl ragina numatyti veiksmingus, proporcingus ir atgrasomus kontrolės mechanizmus ir nuobaudas už reikalavimų nesilaikymą, be kita ko, atsisakant registruoti atitinkamus įstatų pakeitimus tol, kol nebus užtikrinta jų atitiktis;</w:t>
            </w:r>
            <w:r>
              <w:t xml:space="preserve"> </w:t>
            </w:r>
            <w:r>
              <w:rPr>
                <w:b/>
                <w:i/>
              </w:rPr>
              <w:t>nustato 250 darbuotojų (etato ekvivalentų) ribą, kurią viršijus darbuotojų atstovavimas atitinka net trečdalį vietų, nedarant poveikio palankesnėms riboms ar proporcijoms, numatytoms nacionalinėje teisėje;</w:t>
            </w:r>
            <w:r>
              <w:t xml:space="preserve"> </w:t>
            </w:r>
            <w:r>
              <w:rPr>
                <w:b/>
                <w:i/>
              </w:rPr>
              <w:t>pažymi, kad tarpvalstybinių grupių ir struktūrų atveju darbuotojų skaičius vertinamas konsoliduotai ES lygmeniu;</w:t>
            </w:r>
            <w:r>
              <w:t xml:space="preserve"> </w:t>
            </w:r>
            <w:r>
              <w:rPr>
                <w:b/>
                <w:i/>
              </w:rPr>
              <w:t>primygtinai reikalauja užtikrinti skaidrias, nediskriminacines ir informacija grindžiamas rinkimų ar skyrimo procedūras, taip pat būtiną mokymą, delegavimo trukmę ir prieigą prie būtinos informacijos;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20e.</w:t>
            </w:r>
            <w:r>
              <w:tab/>
            </w:r>
            <w:r>
              <w:rPr>
                <w:b/>
                <w:i/>
              </w:rPr>
              <w:t>mano, kad prie pasiūlymo dėl 28-osios teisinės sistemos turėtų būti pridėta rekomendacija dėl minimalios visoms ESSU taikomų socialinių teisių chartijos įvedimo, nustatant, be kita ko, veiksmingą atitiktį ES ir nacionalinėms taisyklėms dėl darbuotojų apsaugos ir teisių</w:t>
            </w:r>
            <w:r>
              <w:t xml:space="preserve"> </w:t>
            </w:r>
            <w:r>
              <w:rPr>
                <w:b/>
                <w:i/>
              </w:rPr>
              <w:t>pabrėžia, kad reikia apsvarstyti galimybę nustatyti veiksmingus kontrolės mechanizmus ir nuobaudas už pažeidimus, ir kad šios teisės jokiomis aplinkybės negali būti apeinamos ar sumenkinamos taikant 28-ąją teisinę sistemą;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20f.</w:t>
            </w:r>
            <w:r>
              <w:tab/>
            </w:r>
            <w:r>
              <w:rPr>
                <w:b/>
                <w:i/>
              </w:rPr>
              <w:t>mano, kad kartu su pasiūlymu dėl 28-osios teisinės sistemos turėtų būti numatytos papildomos priemonės, pavyzdžiui, socialinio nekintamumo išlyga, siekiant užkirsti kelią didesnę apsaugą suteikiančių socialinių taisyklių, taikomų, kilmės šalyje, apėjimui ar sumenkinimui;</w:t>
            </w:r>
            <w:r>
              <w:t xml:space="preserve"> </w:t>
            </w:r>
            <w:r>
              <w:rPr>
                <w:b/>
                <w:i/>
              </w:rPr>
              <w:t>pabrėžia, kad prie bet kurio prašymo užregistruoti ESSU turi būti pridedamas sertifikatas, įrodantis atitiktį didžiausią apsaugą suteikiančioms nacionalinėms socialinėms taisyklėms;</w:t>
            </w:r>
            <w:r>
              <w:t xml:space="preserve"> </w:t>
            </w:r>
            <w:r>
              <w:rPr>
                <w:b/>
                <w:i/>
              </w:rPr>
              <w:t>primygtinai reikalauja, kad kompetentingos institucijos, prieš suteikdamos leidimą užregistruoti, sistemingai tikrintų tokią atitiktį;</w:t>
            </w:r>
            <w:r>
              <w:t xml:space="preserve"> </w:t>
            </w:r>
            <w:r>
              <w:rPr>
                <w:b/>
                <w:i/>
              </w:rPr>
              <w:t>pabrėžia, kad, nustačius bet kokį pažeidimą, registracija turėtų būti panaikinta arba pašalinta iš registro ir taikomos proporcingos ir atgrasomos nuobaudos;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g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20g.</w:t>
            </w:r>
            <w:r>
              <w:tab/>
            </w:r>
            <w:r>
              <w:rPr>
                <w:b/>
                <w:i/>
              </w:rPr>
              <w:t>atkreipia dėmesį į tai, kad šiomis aplinkybėmis reikia įvertinti būtinybę pasiūlymą dėl 28-osios teisinės sistemos papildyti Komisijos parengtomis gairėmis, kad būtų užtikrintas sąžiningas našumo ir inovacijų naudos pasidalijimas, kuris turėtų suteikti naudos visiems darbuotojams ir neturėtų būti taikomas tik darbuotojų akcijų nuosavybės planams (DANP);</w:t>
            </w:r>
            <w:r>
              <w:t xml:space="preserve"> </w:t>
            </w:r>
            <w:r>
              <w:rPr>
                <w:b/>
                <w:i/>
              </w:rPr>
              <w:t>primygtinai reikalauja, kad būtų nustatyti darbo užmokesčio indeksavimo mechanizmai ir kad toks indeksavimas papildytų esamus bazinius darbo užmokesčius ir socialines teises, o ne juos pakeistų;</w:t>
            </w:r>
            <w:r>
              <w:t xml:space="preserve"> </w:t>
            </w:r>
            <w:r>
              <w:rPr>
                <w:b/>
                <w:i/>
              </w:rPr>
              <w:t>ragina Komisiją, konsultuojantis su socialiniais partneriais, parengti suderintas gaires, kad būtų užtikrintas nuoseklus ir patikrinamas šio mechanizmo įgyvendinimas;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h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20h.</w:t>
            </w:r>
            <w:r>
              <w:tab/>
            </w:r>
            <w:r>
              <w:rPr>
                <w:b/>
                <w:i/>
              </w:rPr>
              <w:t>nustato, kad bet kurioje daugiau nei 50 darbuotojų turinčioje Sąjungos ESSU būtų automatiškai įsteigta Europos darbo taryba;</w:t>
            </w:r>
            <w:r>
              <w:t xml:space="preserve"> </w:t>
            </w:r>
            <w:r>
              <w:rPr>
                <w:b/>
                <w:i/>
              </w:rPr>
              <w:t>pabrėžia, kad ši taryba turi turėti veiksmingas informavimo, konsultavimosi ir vidaus komunikacijos teises;</w:t>
            </w:r>
            <w:r>
              <w:t xml:space="preserve"> </w:t>
            </w:r>
            <w:r>
              <w:rPr>
                <w:b/>
                <w:i/>
              </w:rPr>
              <w:t>pabrėžia, kad šiomis nuostatomis neturėtų būti apribotos palankesnės nacionalinėje teisėje nustatytos teisės ir jos turėtų būti laikomos minimaliomis ir taikytinomis visoms ESSU;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20i.</w:t>
            </w:r>
            <w:r>
              <w:tab/>
            </w:r>
            <w:r>
              <w:rPr>
                <w:b/>
                <w:i/>
              </w:rPr>
              <w:t>primygtinai reikalauja, kad visoms ESSU būtų nustatyta pareiga kasmet viešai ir nemokamai skelbti ataskaitas pagal šalis, kuriose būtų pateikta bent ši informacija:</w:t>
            </w:r>
            <w:r>
              <w:t xml:space="preserve"> </w:t>
            </w:r>
            <w:r>
              <w:rPr>
                <w:b/>
                <w:i/>
              </w:rPr>
              <w:t>gautas pelnas, faktiškai sumokėti mokesčiai ir socialinio draudimo įmokos, gautos viešosios subsidijos ar parama ir darbuotojų skaičius etato ekvivalentais;</w:t>
            </w:r>
            <w:r>
              <w:t xml:space="preserve"> </w:t>
            </w:r>
            <w:r>
              <w:rPr>
                <w:b/>
                <w:i/>
              </w:rPr>
              <w:t>pabrėžia, kad šią informaciją turi patikrinti nepriklausomas auditorius, ji turi būti įrašyta į ES skaitmeninį registrą ir būti palyginama su kitų valstybių narių informacija;</w:t>
            </w:r>
            <w:r>
              <w:t xml:space="preserve"> </w:t>
            </w:r>
            <w:r>
              <w:rPr>
                <w:b/>
                <w:i/>
              </w:rPr>
              <w:t>pažymi, kad dėl bet kokio informacijos neįtraukimo ar melagingos informacijos turi būti taikomos atgrasomos nuobaudos ir galima sustabdomas ESSU statusas;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j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20j.</w:t>
            </w:r>
            <w:r>
              <w:tab/>
            </w:r>
            <w:r>
              <w:rPr>
                <w:b/>
                <w:i/>
              </w:rPr>
              <w:t>draudžia ESSU registruoti bet kurią įmonę, kuri tiesiogiai ar netiesiogiai turi patronuojamųjų įmonių, filialų ar susijusių subjektų, esančių nebendradarbiaujančiose mokesčių jurisdikcijose, įtrauktose į ES sąrašą;</w:t>
            </w:r>
            <w:r>
              <w:t xml:space="preserve"> </w:t>
            </w:r>
            <w:r>
              <w:rPr>
                <w:b/>
                <w:i/>
              </w:rPr>
              <w:t>pažymi, kad ESSU statusas registruojamas ar išlaikomas tik jei kasmet pateikiama patvirtinta deklaracija, įrodanti, kad tokių struktūrų nėra;</w:t>
            </w:r>
            <w:r>
              <w:t xml:space="preserve"> </w:t>
            </w:r>
            <w:r>
              <w:rPr>
                <w:b/>
                <w:i/>
              </w:rPr>
              <w:t>ragina kompetentingas institucijas atlikti sistemiškus patikrinimus ir neatitikties atveju pašalinti įrašus į registro;</w:t>
            </w:r>
            <w:r>
              <w:t xml:space="preserve"> </w:t>
            </w:r>
            <w:r>
              <w:rPr>
                <w:b/>
                <w:i/>
              </w:rPr>
              <w:t>pabrėžia, kad šis draudimas yra būtinas, siekiant užtikrinti 28-osios teisinės sistemos patikimumą ir sąžiningumą;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ragina parengti pavyzdinius dokumentus, kurie būtų naudojami visoje Sąjungoje akcininkų susitarimams ir įstatams;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ragina parengti pavyzdinius dokumentus, kurie </w:t>
            </w:r>
            <w:r>
              <w:rPr>
                <w:b/>
                <w:i/>
              </w:rPr>
              <w:t>būtų naudojami</w:t>
            </w:r>
            <w:r>
              <w:t xml:space="preserve"> visoje Sąjungoje akcininkų </w:t>
            </w:r>
            <w:r>
              <w:rPr>
                <w:b/>
                <w:i/>
              </w:rPr>
              <w:t>susitarimams ir įstatams</w:t>
            </w:r>
            <w:r>
              <w:t>;</w:t>
            </w:r>
          </w:p>
        </w:tc>
        <w:tc>
          <w:tcPr>
            <w:tcW w:w="4876" w:type="dxa"/>
            <w:tcBorders>
              <w:top w:val="nil"/>
              <w:left w:val="nil"/>
              <w:bottom w:val="nil"/>
              <w:right w:val="nil"/>
            </w:tcBorders>
          </w:tcPr>
          <w:p>
            <w:pPr>
              <w:pStyle w:val="Normal6a"/>
            </w:pPr>
            <w:r>
              <w:t>21.</w:t>
            </w:r>
            <w:r>
              <w:tab/>
            </w:r>
            <w:r>
              <w:t xml:space="preserve">ragina parengti pavyzdinius dokumentus, kurie visoje Sąjungoje </w:t>
            </w:r>
            <w:r>
              <w:rPr>
                <w:b/>
                <w:i/>
              </w:rPr>
              <w:t>būtų naudojami sudarant</w:t>
            </w:r>
            <w:r>
              <w:t xml:space="preserve"> akcininkų </w:t>
            </w:r>
            <w:r>
              <w:rPr>
                <w:b/>
                <w:i/>
              </w:rPr>
              <w:t>susitarimus, įstatus ir kitus pamatinius ir veiklos šablonus, specialiai pritaikytus ESSU, kad būtų užtikrintas teisinis aiškumas, paprastas naudojimas tarpvalstybiniu mastu ir investuotojų informuotumas</w:t>
            </w:r>
            <w:r>
              <w:t xml:space="preserve">; </w:t>
            </w:r>
            <w:r>
              <w:rPr>
                <w:b/>
                <w:i/>
              </w:rPr>
              <w:t>rekomenduoja nustatyti, kad šie dokumentų pavyzdžiai yra standartiniai ESSU registracijos proceso šablonai;</w:t>
            </w:r>
            <w:r>
              <w:t xml:space="preserve"> </w:t>
            </w:r>
            <w:r>
              <w:rPr>
                <w:b/>
                <w:i/>
              </w:rPr>
              <w:t>rekomenduoja, kad, siekiant atsižvelgti į konkrečius veiklos reikalavimus, būtų galima taikyti skirtingus dokumentų pavyzdžius;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ragina parengti pavyzdinius dokumentus, kurie būtų naudojami visoje Sąjungoje akcininkų susitarimams ir </w:t>
            </w:r>
            <w:r>
              <w:rPr>
                <w:b/>
                <w:i/>
              </w:rPr>
              <w:t>įstatams</w:t>
            </w:r>
            <w:r>
              <w:t>;</w:t>
            </w:r>
          </w:p>
        </w:tc>
        <w:tc>
          <w:tcPr>
            <w:tcW w:w="4876" w:type="dxa"/>
            <w:tcBorders>
              <w:top w:val="nil"/>
              <w:left w:val="nil"/>
              <w:bottom w:val="nil"/>
              <w:right w:val="nil"/>
            </w:tcBorders>
          </w:tcPr>
          <w:p>
            <w:pPr>
              <w:pStyle w:val="Normal6a"/>
            </w:pPr>
            <w:r>
              <w:t>21.</w:t>
            </w:r>
            <w:r>
              <w:tab/>
            </w:r>
            <w:r>
              <w:t xml:space="preserve">ragina parengti </w:t>
            </w:r>
            <w:r>
              <w:rPr>
                <w:b/>
                <w:i/>
              </w:rPr>
              <w:t>ir priimti</w:t>
            </w:r>
            <w:r>
              <w:t xml:space="preserve"> pavyzdinius dokumentus, kurie būtų naudojami visoje Sąjungoje akcininkų susitarimams ir </w:t>
            </w:r>
            <w:r>
              <w:rPr>
                <w:b/>
                <w:i/>
              </w:rPr>
              <w:t>įmonių dokumentams</w:t>
            </w:r>
            <w:r>
              <w:t xml:space="preserve">; </w:t>
            </w:r>
            <w:r>
              <w:rPr>
                <w:b/>
                <w:i/>
              </w:rPr>
              <w:t>ragina konkrečiai išnagrinėti šiuos ESSU skirtus pavyzdinius dokumentus, siekiant užtikrinti teisinį aiškumą, lengvesnį tarpvalstybinį naudojimą ir žinias apie investuotojus;</w:t>
            </w:r>
            <w:r>
              <w:t xml:space="preserve"> </w:t>
            </w:r>
            <w:r>
              <w:rPr>
                <w:b/>
                <w:i/>
              </w:rPr>
              <w:t>rekomenduoja, kad šie pavyzdiniai dokumentai būtų standartiniai ESSU registracijos procese naudojami šablonai;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ragina parengti </w:t>
            </w:r>
            <w:r>
              <w:rPr>
                <w:b/>
                <w:i/>
              </w:rPr>
              <w:t>pavyzdinius dokumentus</w:t>
            </w:r>
            <w:r>
              <w:t xml:space="preserve">, kurie būtų naudojami visoje Sąjungoje akcininkų </w:t>
            </w:r>
            <w:r>
              <w:rPr>
                <w:b/>
                <w:i/>
              </w:rPr>
              <w:t>susitarimams ir įstatams</w:t>
            </w:r>
            <w:r>
              <w:t>;</w:t>
            </w:r>
          </w:p>
        </w:tc>
        <w:tc>
          <w:tcPr>
            <w:tcW w:w="4876" w:type="dxa"/>
            <w:tcBorders>
              <w:top w:val="nil"/>
              <w:left w:val="nil"/>
              <w:bottom w:val="nil"/>
              <w:right w:val="nil"/>
            </w:tcBorders>
          </w:tcPr>
          <w:p>
            <w:pPr>
              <w:pStyle w:val="Normal6a"/>
            </w:pPr>
            <w:r>
              <w:t>21.</w:t>
            </w:r>
            <w:r>
              <w:tab/>
            </w:r>
            <w:r>
              <w:t xml:space="preserve">ragina parengti </w:t>
            </w:r>
            <w:r>
              <w:rPr>
                <w:b/>
                <w:i/>
              </w:rPr>
              <w:t>dokumentų šablonus</w:t>
            </w:r>
            <w:r>
              <w:t xml:space="preserve">, kurie būtų naudojami visoje Sąjungoje </w:t>
            </w:r>
            <w:r>
              <w:rPr>
                <w:b/>
                <w:i/>
              </w:rPr>
              <w:t>sudarant</w:t>
            </w:r>
            <w:r>
              <w:t xml:space="preserve"> akcininkų </w:t>
            </w:r>
            <w:r>
              <w:rPr>
                <w:b/>
                <w:i/>
              </w:rPr>
              <w:t>ir bendrovių steigimo dokumentus, ir ragina, kad šie šablonai būtų prieinami sąveikiu skaitmeniniu formatu, padedant pažangiam elektroniniam parašui ir automatizuotam tvarkymui įmonių surašymo sistemose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ragina parengti pavyzdinius dokumentus, kurie </w:t>
            </w:r>
            <w:r>
              <w:rPr>
                <w:b/>
                <w:i/>
              </w:rPr>
              <w:t>būtų naudojami</w:t>
            </w:r>
            <w:r>
              <w:t xml:space="preserve"> visoje Sąjungoje akcininkų susitarimams ir įstatams;</w:t>
            </w:r>
          </w:p>
        </w:tc>
        <w:tc>
          <w:tcPr>
            <w:tcW w:w="4876" w:type="dxa"/>
            <w:tcBorders>
              <w:top w:val="nil"/>
              <w:left w:val="nil"/>
              <w:bottom w:val="nil"/>
              <w:right w:val="nil"/>
            </w:tcBorders>
          </w:tcPr>
          <w:p>
            <w:pPr>
              <w:pStyle w:val="Normal6a"/>
            </w:pPr>
            <w:r>
              <w:t>21.</w:t>
            </w:r>
            <w:r>
              <w:tab/>
            </w:r>
            <w:r>
              <w:rPr>
                <w:b/>
                <w:i/>
              </w:rPr>
              <w:t>siekiant užtikrinti teisinį aiškumą ir palengvinti tarpvalstybinę investuotojų pritraukimo praktiką,</w:t>
            </w:r>
            <w:r>
              <w:t xml:space="preserve"> ragina parengti pavyzdinius dokumentus, kurie visoje Sąjungoje </w:t>
            </w:r>
            <w:r>
              <w:rPr>
                <w:b/>
                <w:i/>
              </w:rPr>
              <w:t>būtų naudojami</w:t>
            </w:r>
            <w:r>
              <w:t xml:space="preserve"> akcininkų susitarimams ir įstatams </w:t>
            </w:r>
            <w:r>
              <w:rPr>
                <w:b/>
                <w:i/>
              </w:rPr>
              <w:t>rengti</w:t>
            </w:r>
            <w:r>
              <w:t xml:space="preserve">; </w:t>
            </w:r>
            <w:r>
              <w:rPr>
                <w:b/>
                <w:i/>
              </w:rPr>
              <w:t>rekomenduoja, kad dokumentų pavyzdžiai būtų automatiškai pateikiami kaip šablonai SES bendrovės registracijos proceso metu;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ragina parengti pavyzdinius dokumentus, kurie būtų naudojami visoje Sąjungoje akcininkų susitarimams ir įstatams;</w:t>
            </w:r>
          </w:p>
        </w:tc>
        <w:tc>
          <w:tcPr>
            <w:tcW w:w="4876" w:type="dxa"/>
            <w:tcBorders>
              <w:top w:val="nil"/>
              <w:left w:val="nil"/>
              <w:bottom w:val="nil"/>
              <w:right w:val="nil"/>
            </w:tcBorders>
          </w:tcPr>
          <w:p>
            <w:pPr>
              <w:pStyle w:val="Normal6a"/>
            </w:pPr>
            <w:r>
              <w:t>21.</w:t>
            </w:r>
            <w:r>
              <w:tab/>
            </w:r>
            <w:r>
              <w:t>ragina parengti pavyzdinius dokumentus</w:t>
            </w:r>
            <w:r>
              <w:rPr>
                <w:b/>
                <w:i/>
              </w:rPr>
              <w:t>, parengtus valstybės narės, kurioje veikia bendrovė, oficialiąja kalba</w:t>
            </w:r>
            <w:r>
              <w:t>, kurie būtų naudojami visoje Sąjungoje akcininkų susitarimams ir įstatams;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ragina parengti pavyzdinius dokumentus, kurie </w:t>
            </w:r>
            <w:r>
              <w:rPr>
                <w:b/>
                <w:i/>
              </w:rPr>
              <w:t>būtų naudojami</w:t>
            </w:r>
            <w:r>
              <w:t xml:space="preserve"> visoje Sąjungoje akcininkų susitarimams ir įstatams;</w:t>
            </w:r>
          </w:p>
        </w:tc>
        <w:tc>
          <w:tcPr>
            <w:tcW w:w="4876" w:type="dxa"/>
            <w:tcBorders>
              <w:top w:val="nil"/>
              <w:left w:val="nil"/>
              <w:bottom w:val="nil"/>
              <w:right w:val="nil"/>
            </w:tcBorders>
          </w:tcPr>
          <w:p>
            <w:pPr>
              <w:pStyle w:val="Normal6a"/>
            </w:pPr>
            <w:r>
              <w:t>21.</w:t>
            </w:r>
            <w:r>
              <w:tab/>
            </w:r>
            <w:r>
              <w:t xml:space="preserve">ragina parengti pavyzdinius dokumentus, kurie visoje Sąjungoje </w:t>
            </w:r>
            <w:r>
              <w:rPr>
                <w:b/>
                <w:i/>
              </w:rPr>
              <w:t>būtų naudojami</w:t>
            </w:r>
            <w:r>
              <w:t xml:space="preserve"> akcininkų susitarimams ir įstatams </w:t>
            </w:r>
            <w:r>
              <w:rPr>
                <w:b/>
                <w:i/>
              </w:rPr>
              <w:t>rengti</w:t>
            </w:r>
            <w:r>
              <w:t xml:space="preserve">; </w:t>
            </w:r>
            <w:r>
              <w:rPr>
                <w:b/>
                <w:i/>
              </w:rPr>
              <w:t>jų naudojimą ir laikymąsi stebėtų Sąjungos lygmens bendrovių registras;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ragina </w:t>
            </w:r>
            <w:r>
              <w:rPr>
                <w:b/>
                <w:i/>
              </w:rPr>
              <w:t>parengti</w:t>
            </w:r>
            <w:r>
              <w:t xml:space="preserve"> pavyzdinius dokumentus, </w:t>
            </w:r>
            <w:r>
              <w:rPr>
                <w:b/>
                <w:i/>
              </w:rPr>
              <w:t>kurie būtų naudojami</w:t>
            </w:r>
            <w:r>
              <w:t xml:space="preserve"> visoje Sąjungoje akcininkų susitarimams ir įstatams;</w:t>
            </w:r>
          </w:p>
        </w:tc>
        <w:tc>
          <w:tcPr>
            <w:tcW w:w="4876" w:type="dxa"/>
            <w:tcBorders>
              <w:top w:val="nil"/>
              <w:left w:val="nil"/>
              <w:bottom w:val="nil"/>
              <w:right w:val="nil"/>
            </w:tcBorders>
          </w:tcPr>
          <w:p>
            <w:pPr>
              <w:pStyle w:val="Normal6a"/>
            </w:pPr>
            <w:r>
              <w:t>21.</w:t>
            </w:r>
            <w:r>
              <w:tab/>
            </w:r>
            <w:r>
              <w:t xml:space="preserve">ragina </w:t>
            </w:r>
            <w:r>
              <w:rPr>
                <w:b/>
                <w:i/>
              </w:rPr>
              <w:t>standartinius daugiakalbius</w:t>
            </w:r>
            <w:r>
              <w:t xml:space="preserve"> pavyzdinius dokumentus, </w:t>
            </w:r>
            <w:r>
              <w:rPr>
                <w:b/>
                <w:i/>
              </w:rPr>
              <w:t>kuriuos ESSU naudotų</w:t>
            </w:r>
            <w:r>
              <w:t xml:space="preserve"> visoje Sąjungoje akcininkų susitarimams ir įstatams </w:t>
            </w:r>
            <w:r>
              <w:rPr>
                <w:b/>
                <w:i/>
              </w:rPr>
              <w:t>rengti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mano, kad į naująjį pasiūlymą dėl teisėkūros procedūra priimamo akto turėtų būti įtrauktos suderintos taisyklės dėl į nuosavą kapitalą panašių skolos priemonių, kuriomis sudaromos sąlygos </w:t>
            </w:r>
            <w:r>
              <w:rPr>
                <w:b/>
                <w:i/>
              </w:rPr>
              <w:t>investuotojams</w:t>
            </w:r>
            <w:r>
              <w:t xml:space="preserve"> investuoti į bendrovę neįgyjant tos bendrovės kontrolės teisių;</w:t>
            </w:r>
          </w:p>
        </w:tc>
        <w:tc>
          <w:tcPr>
            <w:tcW w:w="4876" w:type="dxa"/>
            <w:tcBorders>
              <w:top w:val="nil"/>
              <w:left w:val="nil"/>
              <w:bottom w:val="nil"/>
              <w:right w:val="nil"/>
            </w:tcBorders>
          </w:tcPr>
          <w:p>
            <w:pPr>
              <w:pStyle w:val="Normal6a"/>
            </w:pPr>
            <w:r>
              <w:t>22.</w:t>
            </w:r>
            <w:r>
              <w:tab/>
            </w:r>
            <w:r>
              <w:t xml:space="preserve">mano, kad į naująjį pasiūlymą dėl teisėkūros procedūra priimamo akto turėtų būti įtrauktos suderintos taisyklės dėl į nuosavą kapitalą panašių skolos priemonių, kuriomis </w:t>
            </w:r>
            <w:r>
              <w:rPr>
                <w:b/>
                <w:i/>
              </w:rPr>
              <w:t>investuotojams</w:t>
            </w:r>
            <w:r>
              <w:t xml:space="preserve"> sudaromos sąlygos investuoti į bendrovę neįgyjant tos bendrovės kontrolės teisių</w:t>
            </w:r>
            <w:r>
              <w:rPr>
                <w:b/>
                <w:i/>
              </w:rPr>
              <w:t>, taip pat su tomis priemonėmis susijusios nemokumo taisyklės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pabrėžia, kad reikia alternatyvių būdų gauti kapitalo;</w:t>
            </w:r>
            <w:r>
              <w:t xml:space="preserve"> </w:t>
            </w:r>
            <w:r>
              <w:rPr>
                <w:b/>
                <w:i/>
              </w:rPr>
              <w:t>pabrėžia, kad, siekiant pritraukti talentingų darbuotojų ankstyvaisiais bendrovės kūrimosi etapais, reikia alternatyvių finansavimo modelių;</w:t>
            </w:r>
            <w:r>
              <w:t xml:space="preserve"> </w:t>
            </w:r>
            <w:r>
              <w:rPr>
                <w:b/>
                <w:i/>
              </w:rPr>
              <w:t>ragina į pasiūlymą dėl teisės teisėkūros procedūra priimamo akto įtraukti neprivalomas valdytojų nuosavybės formas, turto blokavimą ir įvairias klasių akcijas, įskaitant dviejų klasių akcijas, veto akcijas ir privilegijuotąsias akcijas;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pakartoja, kad galimybės gauti finansavimą turėtų apimti ne tik rizikos kapitalą, bet ir kitų rūšių investicijas, įskaitant investicijas į nuosavą kapitalą ir socialinį poveikį turinčias investicijas, pensijų sistemas ir viešųjų investicijų fondus, siekiant užtikrinti būtiną prieigą prie kapitalo ir atsižvelgti į įvairių formų bendrovių ypatumus.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atkreipia Komisijos dėmesį į tai, kad įgyvendinant 28-osios teisinės sistemos iniciatyvas reikia įvertinti galimybę ES mastu nustatyti suderintą ESSU apmokestinimo tvarką, įskaitant pelno mokesčio už reinvestuotą pelną į mokslinius tyrimus ir plėtrą, inovacijas ir veiklos plėtimo veiklą, atidėjimą, kad būtų išvengta dvigubo apmokestinimo ir būtų užtikrintas fiskalinis neutralumas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pabrėžia, kad pasiūlymas apskritai turėtų suteikti aiškumo Europos ir užsienio investuotojams, kad jie galėtų investuoti tarpvalstybiniu mastu, taikydami suderintas taisykles;</w:t>
            </w:r>
            <w:r>
              <w:t xml:space="preserve"> </w:t>
            </w:r>
            <w:r>
              <w:rPr>
                <w:b/>
                <w:i/>
              </w:rPr>
              <w:t>ragina kapitalo patrauklumą SES bendrovėms vertinti kaip juridinės formos sėkmės matą;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mano, kad reikėtų priimti nuostatas, kuriomis būtų palengvintas startuolių ir veiklą plečiančių įmonių bendradarbiavimas su mokslinių tyrimų institucijomis, siekiant remti atskirtąsias įmones ir žinių perdavimą;</w:t>
            </w:r>
            <w:r>
              <w:t xml:space="preserve"> </w:t>
            </w:r>
            <w:r>
              <w:rPr>
                <w:b/>
                <w:i/>
              </w:rPr>
              <w:t>šiuo tikslu ESSU sukūrimas turėtų būti visiškai integruotas į ES iniciatyvas siekiant suteikti geresnę prieigą prie mokslinių tyrimų duomenų;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Ginčų sprendimas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Ginčų sprendimas</w:t>
            </w:r>
          </w:p>
        </w:tc>
        <w:tc>
          <w:tcPr>
            <w:tcW w:w="4876" w:type="dxa"/>
            <w:tcBorders>
              <w:top w:val="nil"/>
              <w:left w:val="nil"/>
              <w:bottom w:val="nil"/>
              <w:right w:val="nil"/>
            </w:tcBorders>
          </w:tcPr>
          <w:p>
            <w:pPr>
              <w:pStyle w:val="Normal6a"/>
            </w:pPr>
            <w:r>
              <w:rPr>
                <w:b/>
                <w:i/>
              </w:rPr>
              <w:t>Talentų pritraukimas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mano, kad turėtų būti sukurtas alternatyvus ginčų sprendimo mechanizmas ginčams, susijusiems su ESSU, siekiant užtikrinti greitą ir specializuotą ginčų sprendimą;</w:t>
            </w:r>
            <w:r>
              <w:t xml:space="preserve"> </w:t>
            </w:r>
            <w:r>
              <w:rPr>
                <w:b/>
                <w:i/>
              </w:rPr>
              <w:t>taip pat mano, kad valstybės narės turėtų apsvarstyti galimybę savo nacionaliniuose teismuose įsteigti specialią kolegiją, skirtą bendrovių ginčams, susijusiems su ESSU, spręsti, ir kad tokioms specialioms kolegijoms turėtų būti sudaryta galimybė ginčus spręsti anglų kalba;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mano, kad turėtų būti sukurtas alternatyvus ginčų sprendimo mechanizmas ginčams, susijusiems su ESSU, siekiant užtikrinti greitą ir specializuotą ginčų sprendimą;</w:t>
            </w:r>
            <w:r>
              <w:t xml:space="preserve"> </w:t>
            </w:r>
            <w:r>
              <w:rPr>
                <w:b/>
                <w:i/>
              </w:rPr>
              <w:t>taip pat mano, kad valstybės narės turėtų apsvarstyti galimybę savo nacionaliniuose teismuose įsteigti specialią kolegiją, skirtą bendrovių ginčams, susijusiems su ESSU, spręsti, ir kad tokioms specialioms kolegijoms turėtų būti sudaryta galimybė ginčus spręsti anglų kalba;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mano, kad turėtų būti sukurtas alternatyvus ginčų sprendimo mechanizmas ginčams, susijusiems su ESSU, siekiant užtikrinti greitą ir specializuotą ginčų sprendimą; taip pat mano, kad valstybės narės turėtų apsvarstyti galimybę savo nacionaliniuose teismuose įsteigti specialią kolegiją, skirtą bendrovių ginčams, susijusiems su ESSU, spręsti, ir kad tokioms specialioms kolegijoms turėtų būti sudaryta galimybė ginčus spręsti anglų kalba;</w:t>
            </w:r>
          </w:p>
        </w:tc>
        <w:tc>
          <w:tcPr>
            <w:tcW w:w="4876" w:type="dxa"/>
            <w:tcBorders>
              <w:top w:val="nil"/>
              <w:left w:val="nil"/>
              <w:bottom w:val="nil"/>
              <w:right w:val="nil"/>
            </w:tcBorders>
          </w:tcPr>
          <w:p>
            <w:pPr>
              <w:pStyle w:val="Normal6a"/>
            </w:pPr>
            <w:r>
              <w:t>23.</w:t>
            </w:r>
            <w:r>
              <w:tab/>
            </w:r>
            <w:r>
              <w:t xml:space="preserve">mano, kad turėtų būti sukurtas alternatyvus ginčų sprendimo mechanizmas ginčams, susijusiems su ESSU, siekiant užtikrinti greitą ir specializuotą ginčų sprendimą; taip pat mano, kad valstybės narės turėtų apsvarstyti galimybę savo nacionaliniuose teismuose įsteigti specialią kolegiją, skirtą bendrovių ginčams, susijusiems su ESSU, spręsti, ir kad tokioms specialioms kolegijoms turėtų būti sudaryta galimybė ginčus spręsti anglų kalba; </w:t>
            </w:r>
            <w:r>
              <w:rPr>
                <w:b/>
                <w:i/>
              </w:rPr>
              <w:t>ragina į šį alternatyvų mechanizmą taip pat įtraukti skaitmeninio tarpininkavimo ir arbitražo galimybes, galimybę rengti posėdžius internetu ir dirbtinio intelekto naudojimą preliminariam bylų vertinimui, taip paspartinant sprendimą ir sumažinant MVĮ išlaidas;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mano, kad </w:t>
            </w:r>
            <w:r>
              <w:rPr>
                <w:b/>
                <w:i/>
              </w:rPr>
              <w:t>turėtų</w:t>
            </w:r>
            <w:r>
              <w:t xml:space="preserve"> būti sukurtas alternatyvus ginčų sprendimo mechanizmas ginčams, susijusiems su ESSU, siekiant užtikrinti greitą ir specializuotą ginčų sprendimą; </w:t>
            </w:r>
            <w:r>
              <w:rPr>
                <w:b/>
                <w:i/>
              </w:rPr>
              <w:t>taip pat mano, kad valstybės narės turėtų apsvarstyti galimybę savo nacionaliniuose teismuose įsteigti specialią kolegiją, skirtą bendrovių ginčams, susijusiems su ESSU, spręsti, ir kad tokioms specialioms kolegijoms turėtų būti sudaryta galimybė ginčus spręsti anglų kalba;</w:t>
            </w:r>
          </w:p>
        </w:tc>
        <w:tc>
          <w:tcPr>
            <w:tcW w:w="4876" w:type="dxa"/>
            <w:tcBorders>
              <w:top w:val="nil"/>
              <w:left w:val="nil"/>
              <w:bottom w:val="nil"/>
              <w:right w:val="nil"/>
            </w:tcBorders>
          </w:tcPr>
          <w:p>
            <w:pPr>
              <w:pStyle w:val="Normal6a"/>
            </w:pPr>
            <w:r>
              <w:t>23.</w:t>
            </w:r>
            <w:r>
              <w:tab/>
            </w:r>
            <w:r>
              <w:t xml:space="preserve">mano, kad </w:t>
            </w:r>
            <w:r>
              <w:rPr>
                <w:b/>
                <w:i/>
              </w:rPr>
              <w:t>gali</w:t>
            </w:r>
            <w:r>
              <w:t xml:space="preserve"> būti sukurtas alternatyvus ginčų sprendimo mechanizmas ginčams, susijusiems su ESSU, siekiant užtikrinti greitą ir specializuotą ginčų sprendimą;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mano, kad turėtų būti sukurtas alternatyvus ginčų sprendimo mechanizmas ginčams, susijusiems su ESSU, siekiant užtikrinti greitą ir specializuotą ginčų sprendimą; </w:t>
            </w:r>
            <w:r>
              <w:rPr>
                <w:b/>
                <w:i/>
              </w:rPr>
              <w:t>taip pat mano, kad valstybės narės turėtų apsvarstyti galimybę savo nacionaliniuose teismuose įsteigti specialią kolegiją, skirtą bendrovių ginčams, susijusiems su ESSU, spręsti, ir kad tokioms specialioms kolegijoms turėtų būti sudaryta galimybė ginčus spręsti anglų kalba;</w:t>
            </w:r>
          </w:p>
        </w:tc>
        <w:tc>
          <w:tcPr>
            <w:tcW w:w="4876" w:type="dxa"/>
            <w:tcBorders>
              <w:top w:val="nil"/>
              <w:left w:val="nil"/>
              <w:bottom w:val="nil"/>
              <w:right w:val="nil"/>
            </w:tcBorders>
          </w:tcPr>
          <w:p>
            <w:pPr>
              <w:pStyle w:val="Normal6a"/>
            </w:pPr>
            <w:r>
              <w:t>23.</w:t>
            </w:r>
            <w:r>
              <w:tab/>
            </w:r>
            <w:r>
              <w:t>mano, kad turėtų būti sukurtas alternatyvus ginčų sprendimo mechanizmas ginčams, susijusiems su ESSU, siekiant užtikrinti greitą ir specializuotą ginčų sprendimą;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mano, kad </w:t>
            </w:r>
            <w:r>
              <w:rPr>
                <w:b/>
                <w:i/>
              </w:rPr>
              <w:t>turėtų būti sukurtas alternatyvus ginčų sprendimo mechanizmas</w:t>
            </w:r>
            <w:r>
              <w:t xml:space="preserve"> ginčams, susijusiems su ESSU, siekiant užtikrinti greitą ir specializuotą ginčų sprendimą; </w:t>
            </w:r>
            <w:r>
              <w:rPr>
                <w:b/>
                <w:i/>
              </w:rPr>
              <w:t>taip pat mano, kad valstybės narės turėtų apsvarstyti galimybę savo nacionaliniuose teismuose įsteigti specialią kolegiją, skirtą bendrovių ginčams, susijusiems su ESSU, spręsti, ir kad tokioms specialioms kolegijoms turėtų būti sudaryta galimybė ginčus spręsti anglų kalba;</w:t>
            </w:r>
          </w:p>
        </w:tc>
        <w:tc>
          <w:tcPr>
            <w:tcW w:w="4876" w:type="dxa"/>
            <w:tcBorders>
              <w:top w:val="nil"/>
              <w:left w:val="nil"/>
              <w:bottom w:val="nil"/>
              <w:right w:val="nil"/>
            </w:tcBorders>
          </w:tcPr>
          <w:p>
            <w:pPr>
              <w:pStyle w:val="Normal6a"/>
            </w:pPr>
            <w:r>
              <w:t>23.</w:t>
            </w:r>
            <w:r>
              <w:tab/>
            </w:r>
            <w:r>
              <w:t>mano, kad ginčams, susijusiems su ESSU</w:t>
            </w:r>
            <w:r>
              <w:rPr>
                <w:b/>
                <w:i/>
              </w:rPr>
              <w:t> akcininkais</w:t>
            </w:r>
            <w:r>
              <w:t xml:space="preserve">, </w:t>
            </w:r>
            <w:r>
              <w:rPr>
                <w:b/>
                <w:i/>
              </w:rPr>
              <w:t>turėtų būti nustatytos bylinėjimosi prevencijos priemonės ir alternatyvūs ginčų sprendimo mechanizmai</w:t>
            </w:r>
            <w:r>
              <w:t xml:space="preserve"> siekiant užtikrinti greitą ir specializuotą ginčų sprendimą;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mano, kad turėtų būti sukurtas alternatyvus ginčų sprendimo mechanizmas ginčams, susijusiems su ESSU, siekiant užtikrinti greitą ir specializuotą ginčų sprendimą; taip pat mano, kad valstybės narės turėtų apsvarstyti galimybę savo nacionaliniuose teismuose įsteigti specialią kolegiją, skirtą bendrovių ginčams, susijusiems su ESSU, spręsti, ir kad tokioms specialioms kolegijoms turėtų būti sudaryta galimybė ginčus spręsti anglų kalba;</w:t>
            </w:r>
          </w:p>
        </w:tc>
        <w:tc>
          <w:tcPr>
            <w:tcW w:w="4876" w:type="dxa"/>
            <w:tcBorders>
              <w:top w:val="nil"/>
              <w:left w:val="nil"/>
              <w:bottom w:val="nil"/>
              <w:right w:val="nil"/>
            </w:tcBorders>
          </w:tcPr>
          <w:p>
            <w:pPr>
              <w:pStyle w:val="Normal6a"/>
            </w:pPr>
            <w:r>
              <w:t>23.</w:t>
            </w:r>
            <w:r>
              <w:tab/>
            </w:r>
            <w:r>
              <w:t xml:space="preserve">mano, kad turėtų būti sukurtas alternatyvus ginčų sprendimo mechanizmas ginčams, susijusiems su ESSU, siekiant užtikrinti greitą ir specializuotą ginčų sprendimą; taip pat mano, kad valstybės narės turėtų apsvarstyti galimybę savo nacionaliniuose teismuose įsteigti specialią kolegiją, skirtą bendrovių ginčams, susijusiems su ESSU, spręsti, </w:t>
            </w:r>
            <w:r>
              <w:rPr>
                <w:b/>
                <w:i/>
              </w:rPr>
              <w:t>kuri galėtų priimti greitus ir veiksmingus sprendimus,</w:t>
            </w:r>
            <w:r>
              <w:t xml:space="preserve"> ir kad tokioms specialioms kolegijoms turėtų būti sudaryta galimybė ginčus spręsti anglų kalba</w:t>
            </w:r>
            <w:r>
              <w:rPr>
                <w:b/>
                <w:i/>
              </w:rPr>
              <w:t>, kai to prašo bent viena ginčo šalis</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pabrėžia, kad siekiant augimo ir inovacijų labai svarbu pritraukti talentingiausius specialistus ir kad įmonės dažnai susiduria su sunkumais teikdamos tinkamas finansines paskatas savo darbuotojams;</w:t>
            </w:r>
            <w:r>
              <w:t xml:space="preserve"> </w:t>
            </w:r>
            <w:r>
              <w:rPr>
                <w:b/>
                <w:i/>
              </w:rPr>
              <w:t>pabrėžia, kad ESSU visoje Sąjungoje turėtų nustatyti neprivalomas suderintas taisykles dėl darbuotojų akcijų pasirinkimo sandorių planų (ESOP), padedant specialiam tarpininkui;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pabrėžia, kad įvedus ESSU juridinę formą bendrovės turėtų turėti galimybę tiesiogiai įdarbinti ir administruoti talentus įvairiose valstybėse narėse, neturint naudotis įdarbinimo agentūrų (angl. employers of record) ar panašių tarpininkų paslaugomis;</w:t>
            </w:r>
            <w:r>
              <w:t xml:space="preserve"> </w:t>
            </w:r>
            <w:r>
              <w:rPr>
                <w:b/>
                <w:i/>
              </w:rPr>
              <w:t>pabrėžia, kad šie supaprastinti tarpvalstybiniai užimtumo pajėgumai sumažins administracinę naštą ir palengvins laisvą darbuotojų ir paslaugų judėjimą Sąjungoje, visapusiškai laikantis taikytinų nacionalinių darbo ir socialinės apsaugos teisės aktų;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prašo Komisijos, remiantis SESV 50 ir 114 straipsniais, ne vėliau 2026 m. pirmąjį ketvirtį pateikti pasiūlymą dėl direktyvos atsižvelgiant į priede pateiktas rekomendacijas</w:t>
            </w:r>
            <w:r>
              <w:rPr>
                <w:b/>
                <w:i/>
              </w:rPr>
              <w:t>;</w:t>
            </w:r>
          </w:p>
        </w:tc>
        <w:tc>
          <w:tcPr>
            <w:tcW w:w="4876" w:type="dxa"/>
            <w:tcBorders>
              <w:top w:val="nil"/>
              <w:left w:val="nil"/>
              <w:bottom w:val="nil"/>
              <w:right w:val="nil"/>
            </w:tcBorders>
          </w:tcPr>
          <w:p>
            <w:pPr>
              <w:pStyle w:val="Normal6a"/>
            </w:pPr>
            <w:r>
              <w:t>24.</w:t>
            </w:r>
            <w:r>
              <w:tab/>
            </w:r>
            <w:r>
              <w:t xml:space="preserve">prašo Komisijos, remiantis SESV 50 ir 114 straipsniais, ne vėliau 2026 m. pirmąjį ketvirtį pateikti pasiūlymą dėl direktyvos atsižvelgiant į priede pateiktas rekomendacijas </w:t>
            </w:r>
            <w:r>
              <w:rPr>
                <w:b/>
                <w:i/>
              </w:rPr>
              <w:t>ir rekomenduoja Komisijai kartu su pasiūlymu taip pat pateikti laipsniško įgyvendinimo planą, įskaitant paramą valstybėms narėms, turinčioms ribotus išteklius, ir reguliarias poveikio vertinimo priemones.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prašo Komisijos, remiantis SESV </w:t>
            </w:r>
            <w:r>
              <w:rPr>
                <w:b/>
                <w:i/>
              </w:rPr>
              <w:t>50 ir 114 straipsniais</w:t>
            </w:r>
            <w:r>
              <w:t xml:space="preserve">, ne vėliau 2026 m. pirmąjį ketvirtį pateikti pasiūlymą dėl </w:t>
            </w:r>
            <w:r>
              <w:rPr>
                <w:b/>
                <w:i/>
              </w:rPr>
              <w:t>direktyvos atsižvelgiant</w:t>
            </w:r>
            <w:r>
              <w:t xml:space="preserve"> į priede pateiktas rekomendacijas;</w:t>
            </w:r>
          </w:p>
        </w:tc>
        <w:tc>
          <w:tcPr>
            <w:tcW w:w="4876" w:type="dxa"/>
            <w:tcBorders>
              <w:top w:val="nil"/>
              <w:left w:val="nil"/>
              <w:bottom w:val="nil"/>
              <w:right w:val="nil"/>
            </w:tcBorders>
          </w:tcPr>
          <w:p>
            <w:pPr>
              <w:pStyle w:val="Normal6a"/>
            </w:pPr>
            <w:r>
              <w:t>24.</w:t>
            </w:r>
            <w:r>
              <w:tab/>
            </w:r>
            <w:r>
              <w:t xml:space="preserve">prašo Komisijos, remiantis SESV </w:t>
            </w:r>
            <w:r>
              <w:rPr>
                <w:b/>
                <w:i/>
              </w:rPr>
              <w:t>352 straipsnio 1 dalimi</w:t>
            </w:r>
            <w:r>
              <w:t xml:space="preserve">, ne vėliau 2026 m. pirmąjį ketvirtį pateikti pasiūlymą dėl </w:t>
            </w:r>
            <w:r>
              <w:rPr>
                <w:b/>
                <w:i/>
              </w:rPr>
              <w:t>reglamento, kuriuo atsižvelgiama</w:t>
            </w:r>
            <w:r>
              <w:t xml:space="preserve"> į priede pateiktas rekomendacijas;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prašo Komisijos</w:t>
            </w:r>
            <w:r>
              <w:rPr>
                <w:b/>
                <w:i/>
              </w:rPr>
              <w:t>, remiantis SESV 50 ir 114 straipsniais,</w:t>
            </w:r>
            <w:r>
              <w:t xml:space="preserve"> ne vėliau 2026 m. pirmąjį ketvirtį pateikti pasiūlymą dėl </w:t>
            </w:r>
            <w:r>
              <w:rPr>
                <w:b/>
                <w:i/>
              </w:rPr>
              <w:t>direktyvos</w:t>
            </w:r>
            <w:r>
              <w:t xml:space="preserve"> atsižvelgiant į priede pateiktas rekomendacijas;</w:t>
            </w:r>
          </w:p>
        </w:tc>
        <w:tc>
          <w:tcPr>
            <w:tcW w:w="4876" w:type="dxa"/>
            <w:tcBorders>
              <w:top w:val="nil"/>
              <w:left w:val="nil"/>
              <w:bottom w:val="nil"/>
              <w:right w:val="nil"/>
            </w:tcBorders>
          </w:tcPr>
          <w:p>
            <w:pPr>
              <w:pStyle w:val="Normal6a"/>
            </w:pPr>
            <w:r>
              <w:t>24.</w:t>
            </w:r>
            <w:r>
              <w:tab/>
            </w:r>
            <w:r>
              <w:t xml:space="preserve">prašo Komisijos ne vėliau 2026 m. pirmąjį ketvirtį pateikti pasiūlymą dėl </w:t>
            </w:r>
            <w:r>
              <w:rPr>
                <w:b/>
                <w:i/>
              </w:rPr>
              <w:t>reglamento</w:t>
            </w:r>
            <w:r>
              <w:t xml:space="preserve"> atsižvelgiant į priede pateiktas rekomendacijas;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prašo Komisijos</w:t>
            </w:r>
            <w:r>
              <w:rPr>
                <w:b/>
                <w:i/>
              </w:rPr>
              <w:t>, remiantis SESV 50 ir 114 straipsniais,</w:t>
            </w:r>
            <w:r>
              <w:t xml:space="preserve"> ne vėliau 2026 m. pirmąjį ketvirtį pateikti pasiūlymą dėl </w:t>
            </w:r>
            <w:r>
              <w:rPr>
                <w:b/>
                <w:i/>
              </w:rPr>
              <w:t>direktyvos</w:t>
            </w:r>
            <w:r>
              <w:t xml:space="preserve"> atsižvelgiant į priede pateiktas rekomendacijas;</w:t>
            </w:r>
          </w:p>
        </w:tc>
        <w:tc>
          <w:tcPr>
            <w:tcW w:w="4876" w:type="dxa"/>
            <w:tcBorders>
              <w:top w:val="nil"/>
              <w:left w:val="nil"/>
              <w:bottom w:val="nil"/>
              <w:right w:val="nil"/>
            </w:tcBorders>
          </w:tcPr>
          <w:p>
            <w:pPr>
              <w:pStyle w:val="Normal6a"/>
            </w:pPr>
            <w:r>
              <w:t>24.</w:t>
            </w:r>
            <w:r>
              <w:tab/>
            </w:r>
            <w:r>
              <w:t xml:space="preserve">prašo Komisijos ne vėliau 2026 m. pirmąjį ketvirtį pateikti pasiūlymą dėl </w:t>
            </w:r>
            <w:r>
              <w:rPr>
                <w:b/>
                <w:i/>
              </w:rPr>
              <w:t>reglamento,</w:t>
            </w:r>
            <w:r>
              <w:t xml:space="preserve"> atsižvelgiant į priede pateiktas rekomendacijas </w:t>
            </w:r>
            <w:r>
              <w:rPr>
                <w:b/>
                <w:i/>
              </w:rPr>
              <w:t>ir laikantis geresnio reglamentavimo principų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prašo Komisijos, remiantis SESV 50 </w:t>
            </w:r>
            <w:r>
              <w:rPr>
                <w:b/>
                <w:i/>
              </w:rPr>
              <w:t>ir 114 straipsniais</w:t>
            </w:r>
            <w:r>
              <w:t>, ne vėliau 2026 m. pirmąjį ketvirtį pateikti pasiūlymą dėl direktyvos atsižvelgiant į priede pateiktas rekomendacijas;</w:t>
            </w:r>
          </w:p>
        </w:tc>
        <w:tc>
          <w:tcPr>
            <w:tcW w:w="4876" w:type="dxa"/>
            <w:tcBorders>
              <w:top w:val="nil"/>
              <w:left w:val="nil"/>
              <w:bottom w:val="nil"/>
              <w:right w:val="nil"/>
            </w:tcBorders>
          </w:tcPr>
          <w:p>
            <w:pPr>
              <w:pStyle w:val="Normal6a"/>
            </w:pPr>
            <w:r>
              <w:t>24.</w:t>
            </w:r>
            <w:r>
              <w:tab/>
            </w:r>
            <w:r>
              <w:t xml:space="preserve">prašo Komisijos, remiantis SESV 50 </w:t>
            </w:r>
            <w:r>
              <w:rPr>
                <w:b/>
                <w:i/>
              </w:rPr>
              <w:t>straipsniu</w:t>
            </w:r>
            <w:r>
              <w:t>, ne vėliau 2026 m. pirmąjį ketvirtį pateikti pasiūlymą dėl direktyvos atsižvelgiant į priede pateiktas rekomendacijas;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Parlamentas siūlo bendrovės juridinę formą, kuriai taikoma 28-oji teisinė sistema, pavadinti „Europos startuolis ir veiklą plečianti įmonė“ (angl. European Start-Up and Scale-Up, ESSU). ESSU turėtų būti ne savarankiška </w:t>
            </w:r>
            <w:r>
              <w:rPr>
                <w:b/>
                <w:i/>
              </w:rPr>
              <w:t>visos Europos bendrovės</w:t>
            </w:r>
            <w:r>
              <w:t xml:space="preserve"> juridinė forma, o nacionalinė </w:t>
            </w:r>
            <w:r>
              <w:rPr>
                <w:b/>
                <w:i/>
              </w:rPr>
              <w:t>visų valstybių narių bendrovės</w:t>
            </w:r>
            <w:r>
              <w:t xml:space="preserve"> juridinė forma, </w:t>
            </w:r>
            <w:r>
              <w:rPr>
                <w:b/>
                <w:i/>
              </w:rPr>
              <w:t>kurią turi sudaryti tam tikri</w:t>
            </w:r>
            <w:r>
              <w:t xml:space="preserve"> Sąjungos teisės aktais </w:t>
            </w:r>
            <w:r>
              <w:rPr>
                <w:b/>
                <w:i/>
              </w:rPr>
              <w:t>suderinti elementai</w:t>
            </w:r>
            <w:r>
              <w:t>. ESSU santrumpa turėtų būti pridėta prie esamų nacionalinių bendrovių juridinių formų santrumpų.</w:t>
            </w:r>
          </w:p>
        </w:tc>
        <w:tc>
          <w:tcPr>
            <w:tcW w:w="4876" w:type="dxa"/>
            <w:tcBorders>
              <w:top w:val="nil"/>
              <w:left w:val="nil"/>
              <w:bottom w:val="nil"/>
              <w:right w:val="nil"/>
            </w:tcBorders>
          </w:tcPr>
          <w:p>
            <w:pPr>
              <w:pStyle w:val="Normal6a"/>
            </w:pPr>
            <w:r>
              <w:t xml:space="preserve">Parlamentas siūlo bendrovės juridinę formą, kuriai taikoma 28-oji teisinė sistema, pavadinti „Europos startuolis ir veiklą plečianti įmonė“ (angl. European Start-Up and Scale-Up, ESSU). </w:t>
            </w:r>
            <w:r>
              <w:rPr>
                <w:b/>
                <w:i/>
              </w:rPr>
              <w:t>Kad būtų plataus užmojo, Parlamentas primygtinai reikalauja, kad ESSU būtų įvesta remiantis teisiniu pagrindu, pagal kurį būtų numatyta įprasta teisėkūros procedūra Taryboje balsuojant kvalifikuota balsų dauguma.</w:t>
            </w:r>
            <w:r>
              <w:t xml:space="preserve"> </w:t>
            </w:r>
            <w:r>
              <w:rPr>
                <w:b/>
                <w:i/>
              </w:rPr>
              <w:t>Todėl įvedant ESSU gali tekti priimti ne vieną išsamų teisės aktą, o teisės aktų rinkinį.</w:t>
            </w:r>
            <w:r>
              <w:t xml:space="preserve"> </w:t>
            </w:r>
            <w:r>
              <w:rPr>
                <w:b/>
                <w:i/>
              </w:rPr>
              <w:t>Bendrovių teisės elementus reikės priimti pagal SESV 50 straipsnį ir 114 straipsnio 1 dalį, pagal kuriuos leidžiama priimti tik direktyvas.</w:t>
            </w:r>
            <w:r>
              <w:t xml:space="preserve"> </w:t>
            </w:r>
            <w:r>
              <w:rPr>
                <w:b/>
                <w:i/>
              </w:rPr>
              <w:t>Atsižvelgiant į tai,</w:t>
            </w:r>
            <w:r>
              <w:t xml:space="preserve"> ESSU turėtų būti ne savarankiška </w:t>
            </w:r>
            <w:r>
              <w:rPr>
                <w:b/>
                <w:i/>
              </w:rPr>
              <w:t>europinė bendrovių</w:t>
            </w:r>
            <w:r>
              <w:t xml:space="preserve"> juridinė forma, o </w:t>
            </w:r>
            <w:r>
              <w:rPr>
                <w:b/>
                <w:i/>
              </w:rPr>
              <w:t>visose valstybėse narėse įvesta</w:t>
            </w:r>
            <w:r>
              <w:t xml:space="preserve"> nacionalinė </w:t>
            </w:r>
            <w:r>
              <w:rPr>
                <w:b/>
                <w:i/>
              </w:rPr>
              <w:t>bendrovių</w:t>
            </w:r>
            <w:r>
              <w:t xml:space="preserve"> juridinė forma, </w:t>
            </w:r>
            <w:r>
              <w:rPr>
                <w:b/>
                <w:i/>
              </w:rPr>
              <w:t>kuri turi turėti tam tikrus</w:t>
            </w:r>
            <w:r>
              <w:t xml:space="preserve"> Sąjungos teisės aktais </w:t>
            </w:r>
            <w:r>
              <w:rPr>
                <w:b/>
                <w:i/>
              </w:rPr>
              <w:t>suderintus elementus</w:t>
            </w:r>
            <w:r>
              <w:t>. ESSU santrumpa turėtų būti pridėta prie esamų nacionalinių bendrovių juridinių formų santrumpų.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Parlamentas siūlo bendrovės juridinę formą, kuriai taikoma 28-oji teisinė sistema, pavadinti „Europos startuolis ir veiklą plečianti įmonė“ (angl. European Start-Up and Scale-Up, ESSU). </w:t>
            </w:r>
            <w:r>
              <w:rPr>
                <w:b/>
                <w:i/>
              </w:rPr>
              <w:t>ESSU turėtų būti ne savarankiška visos Europos bendrovės juridinė forma, o nacionalinė visų valstybių narių bendrovės juridinė forma, kurią turi sudaryti tam tikri Sąjungos teisės aktais suderinti elementai.</w:t>
            </w:r>
            <w:r>
              <w:t xml:space="preserve"> </w:t>
            </w:r>
            <w:r>
              <w:rPr>
                <w:b/>
                <w:i/>
              </w:rPr>
              <w:t>ESSU santrumpa turėtų būti pridėta prie esamų nacionalinių bendrovių juridinių formų santrumpų.</w:t>
            </w:r>
          </w:p>
        </w:tc>
        <w:tc>
          <w:tcPr>
            <w:tcW w:w="4876" w:type="dxa"/>
            <w:tcBorders>
              <w:top w:val="nil"/>
              <w:left w:val="nil"/>
              <w:bottom w:val="nil"/>
              <w:right w:val="nil"/>
            </w:tcBorders>
          </w:tcPr>
          <w:p>
            <w:pPr>
              <w:pStyle w:val="Normal6a"/>
            </w:pPr>
            <w:r>
              <w:t>Parlamentas siūlo bendrovės juridinę formą, kuriai taikoma 28-oji teisinė sistema, pavadinti „Europos startuolis ir veiklą plečianti įmonė“ (angl. European Start-Up and Scale-Up, ESSU).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Parlamentas siūlo bendrovės juridinę formą, kuriai taikoma 28-oji teisinė sistema, pavadinti „Europos startuolis ir veiklą plečianti įmonė“ (angl. European Start-Up and Scale-Up, ESSU). </w:t>
            </w:r>
            <w:r>
              <w:rPr>
                <w:b/>
                <w:i/>
              </w:rPr>
              <w:t>ESSU turėtų būti ne savarankiška visos Europos bendrovės juridinė forma, o nacionalinė visų valstybių narių bendrovės juridinė forma, kurią turi sudaryti tam tikri Sąjungos teisės aktais suderinti elementai.</w:t>
            </w:r>
            <w:r>
              <w:t xml:space="preserve"> </w:t>
            </w:r>
            <w:r>
              <w:rPr>
                <w:b/>
                <w:i/>
              </w:rPr>
              <w:t>ESSU santrumpa turėtų būti pridėta prie esamų nacionalinių bendrovių juridinių formų santrumpų.</w:t>
            </w:r>
          </w:p>
        </w:tc>
        <w:tc>
          <w:tcPr>
            <w:tcW w:w="4876" w:type="dxa"/>
            <w:tcBorders>
              <w:top w:val="nil"/>
              <w:left w:val="nil"/>
              <w:bottom w:val="nil"/>
              <w:right w:val="nil"/>
            </w:tcBorders>
          </w:tcPr>
          <w:p>
            <w:pPr>
              <w:pStyle w:val="Normal6a"/>
            </w:pPr>
            <w:r>
              <w:t>Parlamentas siūlo bendrovės juridinę formą, kuriai taikoma 28-oji teisinė sistema, pavadinti „Europos startuolis ir veiklą plečianti įmonė“ (angl. European Start-Up and Scale-Up,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Parlamentas siūlo bendrovės juridinę formą, kuriai taikoma 28-oji teisinė sistema, pavadinti </w:t>
            </w:r>
            <w:r>
              <w:rPr>
                <w:b/>
                <w:i/>
              </w:rPr>
              <w:t>„Europos startuolis ir veiklą plečianti įmonė“ (angl. European Start-Up and Scale-Up, ESSU</w:t>
            </w:r>
            <w:r>
              <w:t xml:space="preserve">). </w:t>
            </w:r>
            <w:r>
              <w:rPr>
                <w:b/>
                <w:i/>
              </w:rPr>
              <w:t>ESSU</w:t>
            </w:r>
            <w:r>
              <w:t xml:space="preserve"> turėtų būti ne savarankiška </w:t>
            </w:r>
            <w:r>
              <w:rPr>
                <w:b/>
                <w:i/>
              </w:rPr>
              <w:t>visos Europos bendrovės juridinė</w:t>
            </w:r>
            <w:r>
              <w:t xml:space="preserve"> forma, o nacionalinė </w:t>
            </w:r>
            <w:r>
              <w:rPr>
                <w:b/>
                <w:i/>
              </w:rPr>
              <w:t>visų valstybių narių bendrovės</w:t>
            </w:r>
            <w:r>
              <w:t xml:space="preserve"> juridinė forma, </w:t>
            </w:r>
            <w:r>
              <w:rPr>
                <w:b/>
                <w:i/>
              </w:rPr>
              <w:t>kurią turi sudaryti tam tikri</w:t>
            </w:r>
            <w:r>
              <w:t xml:space="preserve"> Sąjungos teisės aktais </w:t>
            </w:r>
            <w:r>
              <w:rPr>
                <w:b/>
                <w:i/>
              </w:rPr>
              <w:t>suderinti elementai.</w:t>
            </w:r>
            <w:r>
              <w:t xml:space="preserve"> </w:t>
            </w:r>
            <w:r>
              <w:rPr>
                <w:b/>
                <w:i/>
              </w:rPr>
              <w:t>ESSU</w:t>
            </w:r>
            <w:r>
              <w:t xml:space="preserve"> santrumpa turėtų būti pridėta prie esamų nacionalinių bendrovių juridinių formų santrumpų.</w:t>
            </w:r>
          </w:p>
        </w:tc>
        <w:tc>
          <w:tcPr>
            <w:tcW w:w="4876" w:type="dxa"/>
            <w:tcBorders>
              <w:top w:val="nil"/>
              <w:left w:val="nil"/>
              <w:bottom w:val="nil"/>
              <w:right w:val="nil"/>
            </w:tcBorders>
          </w:tcPr>
          <w:p>
            <w:pPr>
              <w:pStyle w:val="Normal6a"/>
            </w:pPr>
            <w:r>
              <w:t xml:space="preserve">Parlamentas siūlo bendrovės juridinę formą, kuriai taikoma 28-oji teisinė sistema, pavadinti </w:t>
            </w:r>
            <w:r>
              <w:rPr>
                <w:b/>
                <w:i/>
              </w:rPr>
              <w:t>supaprastintu europiniu statusu (SES</w:t>
            </w:r>
            <w:r>
              <w:t xml:space="preserve">). </w:t>
            </w:r>
            <w:r>
              <w:rPr>
                <w:b/>
                <w:i/>
              </w:rPr>
              <w:t>SES</w:t>
            </w:r>
            <w:r>
              <w:t xml:space="preserve"> turėtų būti ne savarankiška </w:t>
            </w:r>
            <w:r>
              <w:rPr>
                <w:b/>
                <w:i/>
              </w:rPr>
              <w:t>europinė bendrovių</w:t>
            </w:r>
            <w:r>
              <w:t xml:space="preserve"> forma, o </w:t>
            </w:r>
            <w:r>
              <w:rPr>
                <w:b/>
                <w:i/>
              </w:rPr>
              <w:t>visose valstybėse narėse galiojanti</w:t>
            </w:r>
            <w:r>
              <w:t xml:space="preserve"> nacionalinė </w:t>
            </w:r>
            <w:r>
              <w:rPr>
                <w:b/>
                <w:i/>
              </w:rPr>
              <w:t>bendrovių</w:t>
            </w:r>
            <w:r>
              <w:t> juridinė forma, </w:t>
            </w:r>
            <w:r>
              <w:rPr>
                <w:b/>
                <w:i/>
              </w:rPr>
              <w:t>kuri turi turėti daugumą</w:t>
            </w:r>
            <w:r>
              <w:t xml:space="preserve"> Sąjungos teisės aktais </w:t>
            </w:r>
            <w:r>
              <w:rPr>
                <w:b/>
                <w:i/>
              </w:rPr>
              <w:t>suderintų elementų, kad būtų išvengta perteklinio reglamentavimo ir skirtingų nacionalinių SES bendrovių, nes tai prieštarautų 28-osios teisinės sistemos tikslui.</w:t>
            </w:r>
            <w:r>
              <w:t xml:space="preserve"> </w:t>
            </w:r>
            <w:r>
              <w:rPr>
                <w:b/>
                <w:i/>
              </w:rPr>
              <w:t>SES</w:t>
            </w:r>
            <w:r>
              <w:t xml:space="preserve"> santrumpa turėtų būti pridėta prie esamų nacionalinių bendrovių juridinių formų santrumpų.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dalies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w:t>
            </w:r>
            <w:r>
              <w:rPr>
                <w:b/>
                <w:i/>
              </w:rPr>
              <w:t>turėtų remtis nacionalinėje teisėje nustatytomis bendrovių juridinėmis formomis.</w:t>
            </w:r>
            <w:r>
              <w:t xml:space="preserve"> </w:t>
            </w:r>
            <w:r>
              <w:rPr>
                <w:b/>
                <w:i/>
              </w:rPr>
              <w:t>Valstybėms narėms</w:t>
            </w:r>
            <w:r>
              <w:t xml:space="preserve"> turėtų būti </w:t>
            </w:r>
            <w:r>
              <w:rPr>
                <w:b/>
                <w:i/>
              </w:rPr>
              <w:t>suteikta laisvė nuspręsti, ar leisti esamas</w:t>
            </w:r>
            <w:r>
              <w:t xml:space="preserve"> nacionalines bendrovių juridines formas </w:t>
            </w:r>
            <w:r>
              <w:rPr>
                <w:b/>
                <w:i/>
              </w:rPr>
              <w:t>pakeisti į ESSU, ar sukurti naują nacionalinę bendrovių juridinę formą</w:t>
            </w:r>
            <w:r>
              <w:t xml:space="preserve">. Nacionalinės bendrovės juridinės formos steigėjai arba savininkai turėtų turėti galimybę savanoriškai pasirinkti naująją teisinę sistemą, pagal kurią </w:t>
            </w:r>
            <w:r>
              <w:rPr>
                <w:b/>
                <w:i/>
              </w:rPr>
              <w:t>būtų</w:t>
            </w:r>
            <w:r>
              <w:t xml:space="preserve"> galima naudoti įmonės ženklą „ESSU“.</w:t>
            </w:r>
          </w:p>
        </w:tc>
        <w:tc>
          <w:tcPr>
            <w:tcW w:w="4876" w:type="dxa"/>
            <w:tcBorders>
              <w:top w:val="nil"/>
              <w:left w:val="nil"/>
              <w:bottom w:val="nil"/>
              <w:right w:val="nil"/>
            </w:tcBorders>
          </w:tcPr>
          <w:p>
            <w:pPr>
              <w:pStyle w:val="Normal6a"/>
            </w:pPr>
            <w:r>
              <w:t xml:space="preserve">ESSU </w:t>
            </w:r>
            <w:r>
              <w:rPr>
                <w:b/>
                <w:i/>
              </w:rPr>
              <w:t>– Europoje nustatoma nauja ir savarankiška teisėkūros tvarka ir įmonės forma ir ji</w:t>
            </w:r>
            <w:r>
              <w:t xml:space="preserve"> turėtų būti </w:t>
            </w:r>
            <w:r>
              <w:rPr>
                <w:b/>
                <w:i/>
              </w:rPr>
              <w:t>apibrėžta pagal Sąjungos teisę ir SESV 352 straipsnio 1 dalį reglamente, nereikalaujant jos perkelti į</w:t>
            </w:r>
            <w:r>
              <w:t xml:space="preserve"> nacionalines bendrovių juridines formas</w:t>
            </w:r>
            <w:r>
              <w:rPr>
                <w:b/>
                <w:i/>
              </w:rPr>
              <w:t>.</w:t>
            </w:r>
            <w:r>
              <w:t xml:space="preserve"> </w:t>
            </w:r>
            <w:r>
              <w:rPr>
                <w:b/>
                <w:i/>
              </w:rPr>
              <w:t>Sudėtis bus nustatyta sukuriant bendrą ES lygmens registrą, kuris turės teisinę galią visoje Sąjungoje</w:t>
            </w:r>
            <w:r>
              <w:t xml:space="preserve">. Nacionalinės bendrovės juridinės formos steigėjai arba savininkai turėtų turėti galimybę savanoriškai pasirinkti naująją teisinę sistemą </w:t>
            </w:r>
            <w:r>
              <w:rPr>
                <w:b/>
                <w:i/>
              </w:rPr>
              <w:t>atlikdami struktūrinę pertvarką pagal taikomus teisinius reikalavimus</w:t>
            </w:r>
            <w:r>
              <w:t>, pagal kurią galima naudoti įmonės ženklą „ESSU“.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ESSU turėtų remtis nacionalinėje teisėje nustatytomis bendrovių juridinėmis formomis</w:t>
            </w:r>
            <w:r>
              <w:rPr>
                <w:b/>
                <w:i/>
              </w:rPr>
              <w:t>.</w:t>
            </w:r>
            <w:r>
              <w:t xml:space="preserve"> </w:t>
            </w:r>
            <w:r>
              <w:rPr>
                <w:b/>
                <w:i/>
              </w:rPr>
              <w:t>Valstybėms narėms</w:t>
            </w:r>
            <w:r>
              <w:t xml:space="preserve"> turėtų </w:t>
            </w:r>
            <w:r>
              <w:rPr>
                <w:b/>
                <w:i/>
              </w:rPr>
              <w:t>būti suteikta laisvė</w:t>
            </w:r>
            <w:r>
              <w:t xml:space="preserve"> nuspręsti, ar leisti esamas nacionalines </w:t>
            </w:r>
            <w:r>
              <w:rPr>
                <w:b/>
                <w:i/>
              </w:rPr>
              <w:t>bendrovių juridines formas pakeisti į ESSU</w:t>
            </w:r>
            <w:r>
              <w:t xml:space="preserve">, ar sukurti naują nacionalinę </w:t>
            </w:r>
            <w:r>
              <w:rPr>
                <w:b/>
                <w:i/>
              </w:rPr>
              <w:t>bendrovių juridinę formą.</w:t>
            </w:r>
            <w:r>
              <w:t xml:space="preserve"> </w:t>
            </w:r>
            <w:r>
              <w:rPr>
                <w:b/>
                <w:i/>
              </w:rPr>
              <w:t>Nacionalinės bendrovės juridinės formos steigėjai arba savininkai turėtų turėti galimybę savanoriškai pasirinkti naująją teisinę sistemą, pagal kurią būtų galima naudoti įmonės ženklą „ESSU“</w:t>
            </w:r>
            <w:r>
              <w:t>.</w:t>
            </w:r>
          </w:p>
        </w:tc>
        <w:tc>
          <w:tcPr>
            <w:tcW w:w="4876" w:type="dxa"/>
            <w:tcBorders>
              <w:top w:val="nil"/>
              <w:left w:val="nil"/>
              <w:bottom w:val="nil"/>
              <w:right w:val="nil"/>
            </w:tcBorders>
          </w:tcPr>
          <w:p>
            <w:pPr>
              <w:pStyle w:val="Normal6a"/>
            </w:pPr>
            <w:r>
              <w:t xml:space="preserve">ESSU turėtų remtis nacionalinėje teisėje </w:t>
            </w:r>
            <w:r>
              <w:rPr>
                <w:b/>
                <w:i/>
              </w:rPr>
              <w:t>jau</w:t>
            </w:r>
            <w:r>
              <w:t xml:space="preserve"> nustatytomis </w:t>
            </w:r>
            <w:r>
              <w:rPr>
                <w:b/>
                <w:i/>
              </w:rPr>
              <w:t>ribotos atsakomybės</w:t>
            </w:r>
            <w:r>
              <w:t xml:space="preserve"> bendrovių juridinėmis formomis</w:t>
            </w:r>
            <w:r>
              <w:rPr>
                <w:b/>
                <w:i/>
              </w:rPr>
              <w:t>, kaip numatyta Direktyvoje (ES) 2017/1132, Direktyvoje 2009/102/EB ir Direktyvoje 2013/34/ES.</w:t>
            </w:r>
            <w:r>
              <w:t xml:space="preserve"> </w:t>
            </w:r>
            <w:r>
              <w:rPr>
                <w:b/>
                <w:i/>
              </w:rPr>
              <w:t>Valstybės narės</w:t>
            </w:r>
            <w:r>
              <w:t xml:space="preserve"> turėtų </w:t>
            </w:r>
            <w:r>
              <w:rPr>
                <w:b/>
                <w:i/>
              </w:rPr>
              <w:t>turėti galimybę laisvai</w:t>
            </w:r>
            <w:r>
              <w:t xml:space="preserve"> nuspręsti, ar leisti esamas nacionalines </w:t>
            </w:r>
            <w:r>
              <w:rPr>
                <w:b/>
                <w:i/>
              </w:rPr>
              <w:t>ribotos atsakomybės bendroves ženklinti kaip ESSU arba pertvarkyti į jas</w:t>
            </w:r>
            <w:r>
              <w:t xml:space="preserve">, ar sukurti naują </w:t>
            </w:r>
            <w:r>
              <w:rPr>
                <w:b/>
                <w:i/>
              </w:rPr>
              <w:t>ribotos atsakomybės bendrovę pagal</w:t>
            </w:r>
            <w:r>
              <w:t xml:space="preserve"> nacionalinę </w:t>
            </w:r>
            <w:r>
              <w:rPr>
                <w:b/>
                <w:i/>
              </w:rPr>
              <w:t>teisę, kuriai vis dar tiesiogiai taikomas ribotos atsakomybės bendrovėms taikomas acquis, visų pirma Direktyva (ES) 2017/1132, Direktyva 2009/102/EB ir Direktyva 2013/34/ES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turėtų </w:t>
            </w:r>
            <w:r>
              <w:rPr>
                <w:b/>
                <w:i/>
              </w:rPr>
              <w:t>remtis nacionalinėje teisėje nustatytomis bendrovių juridinėmis formomis.</w:t>
            </w:r>
            <w:r>
              <w:t xml:space="preserve"> </w:t>
            </w:r>
            <w:r>
              <w:rPr>
                <w:b/>
                <w:i/>
              </w:rPr>
              <w:t>Valstybėms narėms turėtų būti suteikta laisvė nuspręsti, ar leisti esamas nacionalines bendrovių juridines formas pakeisti į ESSU, ar</w:t>
            </w:r>
            <w:r>
              <w:t xml:space="preserve"> sukurti naują nacionalinę bendrovių juridinę formą. Nacionalinės bendrovės juridinės formos steigėjai arba savininkai turėtų turėti galimybę savanoriškai pasirinkti naująją teisinę sistemą, pagal kurią būtų galima naudoti įmonės ženklą „ESSU“.</w:t>
            </w:r>
          </w:p>
        </w:tc>
        <w:tc>
          <w:tcPr>
            <w:tcW w:w="4876" w:type="dxa"/>
            <w:tcBorders>
              <w:top w:val="nil"/>
              <w:left w:val="nil"/>
              <w:bottom w:val="nil"/>
              <w:right w:val="nil"/>
            </w:tcBorders>
          </w:tcPr>
          <w:p>
            <w:pPr>
              <w:pStyle w:val="Normal6a"/>
            </w:pPr>
            <w:r>
              <w:rPr>
                <w:b/>
                <w:i/>
              </w:rPr>
              <w:t>Valstybės narės</w:t>
            </w:r>
            <w:r>
              <w:t xml:space="preserve"> turėtų sukurti naują nacionalinę bendrovių juridinę formą </w:t>
            </w:r>
            <w:r>
              <w:rPr>
                <w:b/>
                <w:i/>
              </w:rPr>
              <w:t>– ESSU</w:t>
            </w:r>
            <w:r>
              <w:t>. Nacionalinės bendrovės juridinės formos steigėjai arba savininkai turėtų turėti galimybę savanoriškai pasirinkti naująją teisinę sistemą, pagal kurią būtų galima naudoti įmonės ženklą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turėtų </w:t>
            </w:r>
            <w:r>
              <w:rPr>
                <w:b/>
                <w:i/>
              </w:rPr>
              <w:t>remtis nacionalinėje teisėje nustatytomis bendrovių juridinėmis formomis.</w:t>
            </w:r>
            <w:r>
              <w:t xml:space="preserve"> </w:t>
            </w:r>
            <w:r>
              <w:rPr>
                <w:b/>
                <w:i/>
              </w:rPr>
              <w:t>Valstybėms narėms turėtų būti suteikta laisvė nuspręsti, ar leisti esamas nacionalines bendrovių juridines formas pakeisti į ESSU, ar</w:t>
            </w:r>
            <w:r>
              <w:t xml:space="preserve"> sukurti naują nacionalinę bendrovių juridinę formą. Nacionalinės bendrovės juridinės formos steigėjai arba savininkai turėtų turėti galimybę savanoriškai pasirinkti naująją teisinę sistemą, pagal kurią būtų galima naudoti įmonės ženklą „ESSU“.</w:t>
            </w:r>
          </w:p>
        </w:tc>
        <w:tc>
          <w:tcPr>
            <w:tcW w:w="4876" w:type="dxa"/>
            <w:tcBorders>
              <w:top w:val="nil"/>
              <w:left w:val="nil"/>
              <w:bottom w:val="nil"/>
              <w:right w:val="nil"/>
            </w:tcBorders>
          </w:tcPr>
          <w:p>
            <w:pPr>
              <w:pStyle w:val="Normal6a"/>
            </w:pPr>
            <w:r>
              <w:rPr>
                <w:b/>
                <w:i/>
              </w:rPr>
              <w:t>Valstybės narės</w:t>
            </w:r>
            <w:r>
              <w:t xml:space="preserve"> turėtų sukurti naują nacionalinę bendrovių juridinę formą </w:t>
            </w:r>
            <w:r>
              <w:rPr>
                <w:b/>
                <w:i/>
              </w:rPr>
              <w:t>– ESSU</w:t>
            </w:r>
            <w:r>
              <w:t>. Nacionalinės bendrovės juridinės formos steigėjai arba savininkai turėtų turėti galimybę savanoriškai pasirinkti naująją teisinę sistemą, pagal kurią būtų galima naudoti įmonės ženklą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turėtų </w:t>
            </w:r>
            <w:r>
              <w:rPr>
                <w:b/>
                <w:i/>
              </w:rPr>
              <w:t>remtis</w:t>
            </w:r>
            <w:r>
              <w:t xml:space="preserve"> nacionalinėje teisėje </w:t>
            </w:r>
            <w:r>
              <w:rPr>
                <w:b/>
                <w:i/>
              </w:rPr>
              <w:t>nustatytomis bendrovių juridinėmis formomis.</w:t>
            </w:r>
            <w:r>
              <w:t xml:space="preserve"> </w:t>
            </w:r>
            <w:r>
              <w:rPr>
                <w:b/>
                <w:i/>
              </w:rPr>
              <w:t>Valstybėms narėms</w:t>
            </w:r>
            <w:r>
              <w:t xml:space="preserve"> turėtų </w:t>
            </w:r>
            <w:r>
              <w:rPr>
                <w:b/>
                <w:i/>
              </w:rPr>
              <w:t>būti suteikta laisvė</w:t>
            </w:r>
            <w:r>
              <w:t xml:space="preserve"> nuspręsti, ar leisti esamas nacionalines </w:t>
            </w:r>
            <w:r>
              <w:rPr>
                <w:b/>
                <w:i/>
              </w:rPr>
              <w:t>bendrovių juridines formas pakeisti</w:t>
            </w:r>
            <w:r>
              <w:t xml:space="preserve"> į ESSU, ar sukurti naują nacionalinę bendrovių </w:t>
            </w:r>
            <w:r>
              <w:rPr>
                <w:b/>
                <w:i/>
              </w:rPr>
              <w:t>juridinę</w:t>
            </w:r>
            <w:r>
              <w:t xml:space="preserve"> formą</w:t>
            </w:r>
            <w:r>
              <w:rPr>
                <w:b/>
                <w:i/>
              </w:rPr>
              <w:t>.</w:t>
            </w:r>
            <w:r>
              <w:t xml:space="preserve"> </w:t>
            </w:r>
            <w:r>
              <w:rPr>
                <w:b/>
                <w:i/>
              </w:rPr>
              <w:t>Nacionalinės bendrovės juridinės formos steigėjai arba savininkai turėtų turėti galimybę savanoriškai pasirinkti naująją teisinę sistemą, pagal kurią būtų galima naudoti įmonės ženklą „ESSU“.</w:t>
            </w:r>
          </w:p>
        </w:tc>
        <w:tc>
          <w:tcPr>
            <w:tcW w:w="4876" w:type="dxa"/>
            <w:tcBorders>
              <w:top w:val="nil"/>
              <w:left w:val="nil"/>
              <w:bottom w:val="nil"/>
              <w:right w:val="nil"/>
            </w:tcBorders>
          </w:tcPr>
          <w:p>
            <w:pPr>
              <w:pStyle w:val="Normal6a"/>
            </w:pPr>
            <w:r>
              <w:t xml:space="preserve">ESSU turėtų </w:t>
            </w:r>
            <w:r>
              <w:rPr>
                <w:b/>
                <w:i/>
              </w:rPr>
              <w:t>būti grindžiamas ribotos atsakomybės bendrovių, išvardytų Direktyvos (ES) 2017/1132, Direktyvos 2009/102/EB ir Direktyvos 2013/34/ES prieduose, rūšimis, kaip nustatyta</w:t>
            </w:r>
            <w:r>
              <w:t xml:space="preserve"> nacionalinėje teisėje</w:t>
            </w:r>
            <w:r>
              <w:rPr>
                <w:b/>
                <w:i/>
              </w:rPr>
              <w:t>.</w:t>
            </w:r>
            <w:r>
              <w:t xml:space="preserve"> </w:t>
            </w:r>
            <w:r>
              <w:rPr>
                <w:b/>
                <w:i/>
              </w:rPr>
              <w:t>Valstybės narės</w:t>
            </w:r>
            <w:r>
              <w:t xml:space="preserve"> turėtų </w:t>
            </w:r>
            <w:r>
              <w:rPr>
                <w:b/>
                <w:i/>
              </w:rPr>
              <w:t>galėti laisvai</w:t>
            </w:r>
            <w:r>
              <w:t xml:space="preserve"> nuspręsti, ar leisti esamas nacionalines </w:t>
            </w:r>
            <w:r>
              <w:rPr>
                <w:b/>
                <w:i/>
              </w:rPr>
              <w:t>ribotos atsakomybės bendroves ženklinti ESSU arba pertvarkyti</w:t>
            </w:r>
            <w:r>
              <w:t xml:space="preserve"> į ESSU, ar sukurti naują nacionalinę </w:t>
            </w:r>
            <w:r>
              <w:rPr>
                <w:b/>
                <w:i/>
              </w:rPr>
              <w:t>ribotos atsakomybės</w:t>
            </w:r>
            <w:r>
              <w:t xml:space="preserve"> bendrovių formą</w:t>
            </w:r>
            <w:r>
              <w:rPr>
                <w:b/>
                <w:i/>
              </w:rPr>
              <w:t>, kuriai būtų taikomas ribotos atsakomybės bendrovėms taikomas acquis, visų pirma Direktyva (ES) 2017/1132, Direktyva 2009/102/EB ir Direktyva 2013/34/ES;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turėtų remtis nacionalinėje teisėje nustatytomis bendrovių juridinėmis formomis. Valstybėms narėms turėtų būti suteikta laisvė nuspręsti, ar leisti esamas nacionalines bendrovių juridines formas pakeisti į </w:t>
            </w:r>
            <w:r>
              <w:rPr>
                <w:b/>
                <w:i/>
              </w:rPr>
              <w:t>ESSU</w:t>
            </w:r>
            <w:r>
              <w:t xml:space="preserve">, ar sukurti naują nacionalinę bendrovių juridinę formą. Nacionalinės bendrovės juridinės formos steigėjai arba savininkai turėtų turėti galimybę savanoriškai </w:t>
            </w:r>
            <w:r>
              <w:rPr>
                <w:b/>
                <w:i/>
              </w:rPr>
              <w:t>pasirinkti</w:t>
            </w:r>
            <w:r>
              <w:t xml:space="preserve"> naująją teisinę sistemą, pagal kurią būtų galima naudoti įmonės ženklą „</w:t>
            </w:r>
            <w:r>
              <w:rPr>
                <w:b/>
                <w:i/>
              </w:rPr>
              <w:t>ESSU</w:t>
            </w:r>
            <w:r>
              <w:t>“.</w:t>
            </w:r>
          </w:p>
        </w:tc>
        <w:tc>
          <w:tcPr>
            <w:tcW w:w="4876" w:type="dxa"/>
            <w:tcBorders>
              <w:top w:val="nil"/>
              <w:left w:val="nil"/>
              <w:bottom w:val="nil"/>
              <w:right w:val="nil"/>
            </w:tcBorders>
          </w:tcPr>
          <w:p>
            <w:pPr>
              <w:pStyle w:val="Normal6a"/>
            </w:pPr>
            <w:r>
              <w:rPr>
                <w:b/>
                <w:i/>
              </w:rPr>
              <w:t>SES</w:t>
            </w:r>
            <w:r>
              <w:t xml:space="preserve"> turėtų remtis nacionalinėje teisėje nustatytomis bendrovių juridinėmis formomis. Valstybėms narėms turėtų būti suteikta laisvė nuspręsti, ar leisti esamas nacionalines bendrovių juridines formas pakeisti į </w:t>
            </w:r>
            <w:r>
              <w:rPr>
                <w:b/>
                <w:i/>
              </w:rPr>
              <w:t>SES</w:t>
            </w:r>
            <w:r>
              <w:t xml:space="preserve">, ar sukurti naują nacionalinę bendrovių juridinę formą. Nacionalinės bendrovės juridinės formos steigėjai arba savininkai turėtų turėti galimybę </w:t>
            </w:r>
            <w:r>
              <w:rPr>
                <w:b/>
                <w:i/>
              </w:rPr>
              <w:t>esamoms arba naujoms bendrovėms</w:t>
            </w:r>
            <w:r>
              <w:t xml:space="preserve"> savanoriškai </w:t>
            </w:r>
            <w:r>
              <w:rPr>
                <w:b/>
                <w:i/>
              </w:rPr>
              <w:t>parinkti</w:t>
            </w:r>
            <w:r>
              <w:t xml:space="preserve"> naująją teisinę sistemą, pagal kurią būtų galima naudoti įmonės ženklą „</w:t>
            </w:r>
            <w:r>
              <w:rPr>
                <w:b/>
                <w:i/>
              </w:rPr>
              <w:t>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dalies 4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Egzistuojanti ESSU turėtų būti automatiškai pripažįstama visų valstybių narių nacionalinėse teisinėse sistemose </w:t>
            </w:r>
            <w:r>
              <w:rPr>
                <w:b/>
                <w:i/>
              </w:rPr>
              <w:t>kaip ribotos turtinės atsakomybės bendrovė</w:t>
            </w:r>
            <w:r>
              <w:t>.</w:t>
            </w:r>
          </w:p>
        </w:tc>
        <w:tc>
          <w:tcPr>
            <w:tcW w:w="4876" w:type="dxa"/>
            <w:tcBorders>
              <w:top w:val="nil"/>
              <w:left w:val="nil"/>
              <w:bottom w:val="nil"/>
              <w:right w:val="nil"/>
            </w:tcBorders>
          </w:tcPr>
          <w:p>
            <w:pPr>
              <w:pStyle w:val="Normal6a"/>
            </w:pPr>
            <w:r>
              <w:t>Egzistuojanti ESSU turėtų būti automatiškai pripažįstama visų valstybių narių nacionalinėse teisinėse sistemose</w:t>
            </w:r>
            <w:r>
              <w:rPr>
                <w:b/>
                <w:i/>
              </w:rPr>
              <w:t>, remiantis jos įregistravimu Sąjungos registre</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4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Egzistuojanti ESSU</w:t>
            </w:r>
            <w:r>
              <w:t xml:space="preserve"> turėtų būti automatiškai pripažįstama visų valstybių narių nacionalinėse teisinėse sistemose kaip ribotos turtinės atsakomybės bendrovė.</w:t>
            </w:r>
          </w:p>
        </w:tc>
        <w:tc>
          <w:tcPr>
            <w:tcW w:w="4876" w:type="dxa"/>
            <w:tcBorders>
              <w:top w:val="nil"/>
              <w:left w:val="nil"/>
              <w:bottom w:val="nil"/>
              <w:right w:val="nil"/>
            </w:tcBorders>
          </w:tcPr>
          <w:p>
            <w:pPr>
              <w:pStyle w:val="Normal6a"/>
            </w:pPr>
            <w:r>
              <w:rPr>
                <w:b/>
                <w:i/>
              </w:rPr>
              <w:t>SES</w:t>
            </w:r>
            <w:r>
              <w:t xml:space="preserve"> turėtų būti automatiškai pripažįstama visų valstybių narių nacionalinėse teisinėse sistemose kaip ribotos turtinės atsakomybės bendrovė.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dalies 5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 steigimui taikytina teisė turėtų būti valstybės narės, kurioje atitinkama bendrovė yra steigiama, teisė.</w:t>
            </w:r>
            <w:r>
              <w:t xml:space="preserve"> </w:t>
            </w:r>
            <w:r>
              <w:rPr>
                <w:b/>
                <w:i/>
              </w:rPr>
              <w:t>Nukrypstant nuo šio principo ir siekiant apsaugoti iš anksto apibrėžtus viešuosius interesus, turėtų būti numatyta galimybė nustatyti taikytiną teisę pagal svarbesnį siejamąjį veiksnį, o ne pagal įsteigimo vietą.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5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steigimui taikytina teisė turėtų būti valstybės narės, kurioje atitinkama bendrovė yra steigiama, teisė. Nukrypstant nuo šio principo ir siekiant apsaugoti iš anksto apibrėžtus viešuosius interesus, turėtų būti numatyta galimybė nustatyti taikytiną teisę pagal svarbesnį siejamąjį veiksnį, o ne pagal įsteigimo vietą.</w:t>
            </w:r>
          </w:p>
        </w:tc>
        <w:tc>
          <w:tcPr>
            <w:tcW w:w="4876" w:type="dxa"/>
            <w:tcBorders>
              <w:top w:val="nil"/>
              <w:left w:val="nil"/>
              <w:bottom w:val="nil"/>
              <w:right w:val="nil"/>
            </w:tcBorders>
          </w:tcPr>
          <w:p>
            <w:pPr>
              <w:pStyle w:val="Normal6a"/>
            </w:pPr>
            <w:r>
              <w:rPr>
                <w:b/>
                <w:i/>
              </w:rPr>
              <w:t>SES bendrovės</w:t>
            </w:r>
            <w:r>
              <w:t xml:space="preserve"> steigimui taikytina teisė turėtų būti valstybės narės, kurioje atitinkama bendrovė yra steigiama, teisė. Nukrypstant nuo šio principo ir siekiant apsaugoti iš anksto apibrėžtus viešuosius interesus, turėtų būti numatyta galimybė nustatyti taikytiną teisę pagal svarbesnį siejamąjį veiksnį, o ne pagal įsteigimo vietą.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5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w:t>
            </w:r>
            <w:r>
              <w:rPr>
                <w:b/>
                <w:i/>
              </w:rPr>
              <w:t>steigimui</w:t>
            </w:r>
            <w:r>
              <w:t xml:space="preserve"> taikytina teisė turėtų būti valstybės narės, kurioje atitinkama bendrovė yra steigiama, teisė. Nukrypstant nuo šio principo ir siekiant apsaugoti iš anksto apibrėžtus viešuosius interesus, turėtų būti numatyta galimybė nustatyti taikytiną teisę pagal svarbesnį siejamąjį veiksnį, o ne pagal įsteigimo vietą.</w:t>
            </w:r>
          </w:p>
        </w:tc>
        <w:tc>
          <w:tcPr>
            <w:tcW w:w="4876" w:type="dxa"/>
            <w:tcBorders>
              <w:top w:val="nil"/>
              <w:left w:val="nil"/>
              <w:bottom w:val="nil"/>
              <w:right w:val="nil"/>
            </w:tcBorders>
          </w:tcPr>
          <w:p>
            <w:pPr>
              <w:pStyle w:val="Normal6a"/>
            </w:pPr>
            <w:r>
              <w:t>ESSU taikytina teisė turėtų būti valstybės narės, kurioje atitinkama bendrovė yra steigiama, teisė. Nukrypstant nuo šio principo ir siekiant apsaugoti iš anksto apibrėžtus viešuosius interesus, turėtų būti numatyta galimybė nustatyti taikytiną teisę pagal svarbesnį siejamąjį veiksnį, o ne pagal įsteigimo vietą.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dalies 6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 teisinis pagrindas turėtų būti SESV 50 straipsnis ir 114 straipsnio 1 dalis.</w:t>
            </w:r>
            <w:r>
              <w:t xml:space="preserve"> </w:t>
            </w:r>
            <w:r>
              <w:rPr>
                <w:b/>
                <w:i/>
              </w:rPr>
              <w:t>Siekiant teisinio tikrumo dėl ESSU sudedamųjų dalių, pagal SESV 50 straipsnį ir 114 straipsnio 1 dalį priimta direktyva turi būti didžiausio suderinimo direktyva.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6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 teisinis pagrindas turėtų būti SESV 50 straipsnis ir 114 straipsnio 1 dalis.</w:t>
            </w:r>
            <w:r>
              <w:t xml:space="preserve"> </w:t>
            </w:r>
            <w:r>
              <w:rPr>
                <w:b/>
                <w:i/>
              </w:rPr>
              <w:t>Siekiant teisinio tikrumo dėl ESSU sudedamųjų dalių, pagal SESV 50 straipsnį ir 114 straipsnio 1 dalį priimta direktyva turi būti didžiausio suderinimo direktyva.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6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 teisinis pagrindas turėtų būti SESV 50 straipsnis ir 114 straipsnio 1 dalis.</w:t>
            </w:r>
            <w:r>
              <w:t xml:space="preserve"> </w:t>
            </w:r>
            <w:r>
              <w:rPr>
                <w:b/>
                <w:i/>
              </w:rPr>
              <w:t>Siekiant teisinio tikrumo dėl ESSU sudedamųjų dalių, pagal SESV 50 straipsnį ir 114 straipsnio 1 dalį priimta direktyva turi būti didžiausio suderinimo direktyva.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6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teisinis pagrindas turėtų būti SESV 50 straipsnis ir 114 straipsnio 1 dalis. Siekiant teisinio tikrumo dėl ESSU sudedamųjų dalių, pagal SESV 50 straipsnį ir 114 straipsnio 1 dalį priimta direktyva turi būti didžiausio suderinimo direktyva.</w:t>
            </w:r>
          </w:p>
        </w:tc>
        <w:tc>
          <w:tcPr>
            <w:tcW w:w="4876" w:type="dxa"/>
            <w:tcBorders>
              <w:top w:val="nil"/>
              <w:left w:val="nil"/>
              <w:bottom w:val="nil"/>
              <w:right w:val="nil"/>
            </w:tcBorders>
          </w:tcPr>
          <w:p>
            <w:pPr>
              <w:pStyle w:val="Normal6a"/>
            </w:pPr>
            <w:r>
              <w:rPr>
                <w:b/>
                <w:i/>
              </w:rPr>
              <w:t>SES</w:t>
            </w:r>
            <w:r>
              <w:t xml:space="preserve"> teisinis pagrindas turėtų būti SESV 50 straipsnis ir 114 straipsnio 1 dalis. Siekiant teisinio tikrumo dėl ESSU sudedamųjų dalių, pagal SESV 50 straipsnį ir 114 straipsnio 1 dalį priimta direktyva turi būti didžiausio suderinimo direktyva. </w:t>
            </w:r>
            <w:r>
              <w:rPr>
                <w:b/>
                <w:i/>
              </w:rPr>
              <w:t>Siekdamas užtikrinti realų poveikį, Parlamentas ragina Komisiją kuo labiau apriboti nacionalinei teisei paliktas sritis, kad investuotojai ir verslininkai galėtų turėti tikrumo dėl to, kas yra SES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dalies 6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teisinis pagrindas turėtų būti SESV 50 straipsnis </w:t>
            </w:r>
            <w:r>
              <w:rPr>
                <w:b/>
                <w:i/>
              </w:rPr>
              <w:t>ir 114 straipsnio 1 dalis</w:t>
            </w:r>
            <w:r>
              <w:t xml:space="preserve">. Siekiant teisinio tikrumo dėl ESSU sudedamųjų dalių, pagal SESV 50 straipsnį </w:t>
            </w:r>
            <w:r>
              <w:rPr>
                <w:b/>
                <w:i/>
              </w:rPr>
              <w:t>ir 114 straipsnio 1 dalį</w:t>
            </w:r>
            <w:r>
              <w:t xml:space="preserve"> priimta direktyva turi būti didžiausio suderinimo direktyva.</w:t>
            </w:r>
          </w:p>
        </w:tc>
        <w:tc>
          <w:tcPr>
            <w:tcW w:w="4876" w:type="dxa"/>
            <w:tcBorders>
              <w:top w:val="nil"/>
              <w:left w:val="nil"/>
              <w:bottom w:val="nil"/>
              <w:right w:val="nil"/>
            </w:tcBorders>
          </w:tcPr>
          <w:p>
            <w:pPr>
              <w:pStyle w:val="Normal6a"/>
            </w:pPr>
            <w:r>
              <w:t>ESSU teisinis pagrindas turėtų būti SESV 50 straipsnis. Siekiant teisinio tikrumo dėl ESSU sudedamųjų dalių, pagal SESV 50 straipsnį priimta direktyva turi būti didžiausio suderinimo direktyva.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6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 teisinis pagrindas turėtų būti SESV 50 straipsnis ir 114 straipsnio 1 dalis.</w:t>
            </w:r>
            <w:r>
              <w:t xml:space="preserve"> Siekiant teisinio tikrumo dėl ESSU sudedamųjų dalių, pagal SESV 50 straipsnį ir 114 straipsnio 1 dalį priimta direktyva turi būti didžiausio suderinimo direktyva.</w:t>
            </w:r>
          </w:p>
        </w:tc>
        <w:tc>
          <w:tcPr>
            <w:tcW w:w="4876" w:type="dxa"/>
            <w:tcBorders>
              <w:top w:val="nil"/>
              <w:left w:val="nil"/>
              <w:bottom w:val="nil"/>
              <w:right w:val="nil"/>
            </w:tcBorders>
          </w:tcPr>
          <w:p>
            <w:pPr>
              <w:pStyle w:val="Normal6a"/>
            </w:pPr>
            <w:r>
              <w:t>Siekiant teisinio tikrumo dėl ESSU sudedamųjų dalių, pagal SESV 50 straipsnį ir 114 straipsnio 1 dalį priimta direktyva turi būti didžiausio suderinimo direktyva.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7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Parlamentas atkreipia dėmesį į riziką, kad dėl automatiškai pripažįstamos ESSU gali būti apeinamos privalomos vidaus taisyklės, kuriomis saugomos silpnesnės šalys.</w:t>
            </w:r>
            <w:r>
              <w:t xml:space="preserve"> </w:t>
            </w:r>
            <w:r>
              <w:rPr>
                <w:b/>
                <w:i/>
              </w:rPr>
              <w:t>Todėl ESSU bendrovėms taikomomis taisyklėmis neturėtų būti pažeidžiamos Sąjungos ir nacionalinė teisė individualios ir kolektyvinės darbo teisės srityje, įskaitant darbuotojų dalyvavimo priimant sprendimus taisykles, ir jose turėtų būti numatytos apsaugos priemonės, kuriomis būtų veiksmingai užkertamas kelias piktnaudžiavimui ESSU.</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7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Parlamentas atkreipia dėmesį į riziką, kad dėl automatiškai pripažįstamos ESSU gali būti apeinamos privalomos vidaus taisyklės, kuriomis saugomos silpnesnės šalys. Todėl ESSU bendrovėms taikomomis taisyklėmis neturėtų būti </w:t>
            </w:r>
            <w:r>
              <w:rPr>
                <w:b/>
                <w:i/>
              </w:rPr>
              <w:t>pažeidžiamos</w:t>
            </w:r>
            <w:r>
              <w:t xml:space="preserve"> Sąjungos ir nacionalinė teisė individualios ir kolektyvinės darbo teisės srityje, įskaitant darbuotojų dalyvavimo priimant sprendimus taisykles, ir jose turėtų būti numatytos apsaugos priemonės, kuriomis būtų veiksmingai užkertamas kelias piktnaudžiavimui ESSU.</w:t>
            </w:r>
          </w:p>
        </w:tc>
        <w:tc>
          <w:tcPr>
            <w:tcW w:w="4876" w:type="dxa"/>
            <w:tcBorders>
              <w:top w:val="nil"/>
              <w:left w:val="nil"/>
              <w:bottom w:val="nil"/>
              <w:right w:val="nil"/>
            </w:tcBorders>
          </w:tcPr>
          <w:p>
            <w:pPr>
              <w:pStyle w:val="Normal6a"/>
            </w:pPr>
            <w:r>
              <w:t xml:space="preserve">Parlamentas atkreipia dėmesį į riziką, kad dėl automatiškai pripažįstamos ESSU gali būti apeinamos privalomos vidaus taisyklės, kuriomis saugomos silpnesnės šalys </w:t>
            </w:r>
            <w:r>
              <w:rPr>
                <w:b/>
                <w:i/>
              </w:rPr>
              <w:t>arba bet kuris kitas viešasis interesas</w:t>
            </w:r>
            <w:r>
              <w:t xml:space="preserve">. Todėl ESSU bendrovėms taikomomis taisyklėmis neturėtų būti </w:t>
            </w:r>
            <w:r>
              <w:rPr>
                <w:b/>
                <w:i/>
              </w:rPr>
              <w:t>pažeidžiama</w:t>
            </w:r>
            <w:r>
              <w:t xml:space="preserve"> Sąjungos ir nacionalinė teisė individualios ir kolektyvinės darbo teisės srityje, įskaitant darbuotojų dalyvavimo priimant sprendimus taisykles </w:t>
            </w:r>
            <w:r>
              <w:rPr>
                <w:b/>
                <w:i/>
              </w:rPr>
              <w:t>arba oficialius tokių bendrovių steigimo arba akcijų perleidimo reikalavimus</w:t>
            </w:r>
            <w:r>
              <w:t>, ir jose turėtų būti numatytos apsaugos priemonės, kuriomis būtų veiksmingai užkertamas kelias piktnaudžiavimui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7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Parlamentas atkreipia dėmesį į riziką, kad dėl automatiškai pripažįstamos </w:t>
            </w:r>
            <w:r>
              <w:rPr>
                <w:b/>
                <w:i/>
              </w:rPr>
              <w:t>ESSU</w:t>
            </w:r>
            <w:r>
              <w:t xml:space="preserve"> gali būti apeinamos privalomos vidaus taisyklės, kuriomis saugomos silpnesnės šalys. Todėl ESSU bendrovėms taikomomis taisyklėmis neturėtų būti pažeidžiamos Sąjungos ir nacionalinė teisė individualios ir kolektyvinės darbo teisės srityje, įskaitant darbuotojų dalyvavimo priimant sprendimus taisykles, ir jose turėtų būti numatytos apsaugos priemonės, kuriomis būtų veiksmingai užkertamas kelias piktnaudžiavimui </w:t>
            </w:r>
            <w:r>
              <w:rPr>
                <w:b/>
                <w:i/>
              </w:rPr>
              <w:t>ESSU</w:t>
            </w:r>
            <w:r>
              <w:t>.</w:t>
            </w:r>
          </w:p>
        </w:tc>
        <w:tc>
          <w:tcPr>
            <w:tcW w:w="4876" w:type="dxa"/>
            <w:tcBorders>
              <w:top w:val="nil"/>
              <w:left w:val="nil"/>
              <w:bottom w:val="nil"/>
              <w:right w:val="nil"/>
            </w:tcBorders>
          </w:tcPr>
          <w:p>
            <w:pPr>
              <w:pStyle w:val="Normal6a"/>
            </w:pPr>
            <w:r>
              <w:t xml:space="preserve">Parlamentas atkreipia dėmesį į riziką, kad dėl automatiškai pripažįstamos </w:t>
            </w:r>
            <w:r>
              <w:rPr>
                <w:b/>
                <w:i/>
              </w:rPr>
              <w:t>SES</w:t>
            </w:r>
            <w:r>
              <w:t xml:space="preserve"> gali būti apeinamos privalomos vidaus taisyklės, kuriomis saugomos silpnesnės šalys. Todėl ESSU bendrovėms taikomomis taisyklėmis neturėtų būti pažeidžiamos Sąjungos ir nacionalinė teisė individualios ir kolektyvinės darbo teisės srityje, įskaitant darbuotojų dalyvavimo priimant sprendimus taisykles, ir jose turėtų būti numatytos apsaugos priemonės, kuriomis būtų veiksmingai užkertamas kelias piktnaudžiavimui </w:t>
            </w:r>
            <w:r>
              <w:rPr>
                <w:b/>
                <w:i/>
              </w:rPr>
              <w:t>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punkto 7 pastraipa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Atsižvelgiant į tai, kad svarbu stebėti 28-osios teisinės sistemos veiksmingumą skatinant inovacijas, užtikrinant teisinį tikrumą ir užkertant kelią teisės aktų reikalavimų apėjimui;</w:t>
            </w:r>
            <w:r>
              <w:t xml:space="preserve"> </w:t>
            </w:r>
            <w:r>
              <w:rPr>
                <w:b/>
                <w:i/>
              </w:rPr>
              <w:t>per trejus metus nuo 28-osios teisinės sistemos įsigaliojimo Komisija turėtų atlikti išsamią jos įgyvendinimo ir poveikio MVĮ, startuoliams ir veiklą plečiančioms įmonėms visoje Sąjungoje peržiūrą;</w:t>
            </w:r>
            <w:r>
              <w:t xml:space="preserve"> </w:t>
            </w:r>
            <w:r>
              <w:rPr>
                <w:b/>
                <w:i/>
              </w:rPr>
              <w:t>atliekant tą peržiūrą turėtų būti įvertinta, ar pasiekti supaprastinimo, tarpvalstybinio pripažinimo ir konkurencingumo tikslai, ir, kai tinkama, kartu su ja turėtų būti pateikti pasiūlymai dėl teisėkūros procedūra priimamų aktų dėl peržiūros.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Valstybės narės savo nacionaliniuose teisės aktuose turėtų nustatyti taisykles, kurių laikydamosi nacionalinės bendrovių juridinės formos pavadinime galėtų įrašyti santrumpą „ESSU“.</w:t>
            </w:r>
            <w:r>
              <w:t xml:space="preserve"> Tam, kad būtų galima registruotis kaip ESSU, nacionalinė bendrovės juridinė forma turėtų atitikti šiuos reikalavimus:</w:t>
            </w:r>
          </w:p>
        </w:tc>
        <w:tc>
          <w:tcPr>
            <w:tcW w:w="4876" w:type="dxa"/>
            <w:tcBorders>
              <w:top w:val="nil"/>
              <w:left w:val="nil"/>
              <w:bottom w:val="nil"/>
              <w:right w:val="nil"/>
            </w:tcBorders>
          </w:tcPr>
          <w:p>
            <w:pPr>
              <w:pStyle w:val="Normal6a"/>
            </w:pPr>
            <w:r>
              <w:t>Tam, kad būtų galima registruotis kaip ESSU, nacionalinė bendrovės juridinė forma turėtų atitikti šiuos reikalavimus: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punkto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Valstybės narės savo nacionaliniuose teisės aktuose turėtų nustatyti taisykles, kurių laikydamosi nacionalinės bendrovių juridinės formos pavadinime galėtų įrašyti santrumpą „</w:t>
            </w:r>
            <w:r>
              <w:rPr>
                <w:b/>
                <w:i/>
              </w:rPr>
              <w:t>ESSU</w:t>
            </w:r>
            <w:r>
              <w:t xml:space="preserve">“. Tam, kad būtų galima registruotis kaip </w:t>
            </w:r>
            <w:r>
              <w:rPr>
                <w:b/>
                <w:i/>
              </w:rPr>
              <w:t>ESSU</w:t>
            </w:r>
            <w:r>
              <w:t>, nacionalinė bendrovės juridinė forma turėtų atitikti šiuos reikalavimus:</w:t>
            </w:r>
          </w:p>
        </w:tc>
        <w:tc>
          <w:tcPr>
            <w:tcW w:w="4876" w:type="dxa"/>
            <w:tcBorders>
              <w:top w:val="nil"/>
              <w:left w:val="nil"/>
              <w:bottom w:val="nil"/>
              <w:right w:val="nil"/>
            </w:tcBorders>
          </w:tcPr>
          <w:p>
            <w:pPr>
              <w:pStyle w:val="Normal6a"/>
            </w:pPr>
            <w:r>
              <w:t>Valstybės narės savo nacionaliniuose teisės aktuose turėtų nustatyti taisykles, kurių laikydamosi nacionalinės bendrovių juridinės formos pavadinime galėtų įrašyti santrumpą „</w:t>
            </w:r>
            <w:r>
              <w:rPr>
                <w:b/>
                <w:i/>
              </w:rPr>
              <w:t>SES</w:t>
            </w:r>
            <w:r>
              <w:t xml:space="preserve">“. Tam, kad būtų galima registruotis kaip </w:t>
            </w:r>
            <w:r>
              <w:rPr>
                <w:b/>
                <w:i/>
              </w:rPr>
              <w:t>SES</w:t>
            </w:r>
            <w:r>
              <w:t>, nacionalinė bendrovės juridinė forma turėtų atitikti šiuos reikalavimus: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dalies 2 pastraipos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tai turi būti teisnus ir veiksnus juridinis asmuo, kuris jo registracijos dieną automatiškai pripažįstamas visose valstybėse narėse;</w:t>
            </w:r>
          </w:p>
        </w:tc>
        <w:tc>
          <w:tcPr>
            <w:tcW w:w="4876" w:type="dxa"/>
            <w:tcBorders>
              <w:top w:val="nil"/>
              <w:left w:val="nil"/>
              <w:bottom w:val="nil"/>
              <w:right w:val="nil"/>
            </w:tcBorders>
          </w:tcPr>
          <w:p>
            <w:pPr>
              <w:pStyle w:val="Normal6a"/>
            </w:pPr>
            <w:r>
              <w:rPr>
                <w:b/>
                <w:i/>
              </w:rPr>
              <w:t>–</w:t>
            </w:r>
            <w:r>
              <w:tab/>
            </w:r>
            <w:r>
              <w:t xml:space="preserve">tai turi būti teisnus ir veiksnus juridinis asmuo, kuris jo registracijos dieną automatiškai pripažįstamas visose valstybėse narėse </w:t>
            </w:r>
            <w:r>
              <w:rPr>
                <w:b/>
                <w:i/>
              </w:rPr>
              <w:t>ir kuris gali būti įtrauktas į biržos prekybos sąrašus</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dalies 2 pastraipos 1a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tai turi būti skaitmeniniame sektoriuje veiklą vykdantis juridinis asmuo;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dalies 2 pastraipos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tai turi būti ribotos turtinė atsakomybės bendrovė, kurios savininkų atsakomybė už bendrovės skolas yra apribota jų įnašų suma;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dalies 2 pastraipos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tai neturi būti biržinė bendrovė;</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punkto 2 pastraipos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ją turi būti įsteigęs vienas ar daugiau fizinių ar juridinių asmenų, kurie gyvena arba yra įsisteigę valstybėje narėje;</w:t>
            </w:r>
          </w:p>
        </w:tc>
        <w:tc>
          <w:tcPr>
            <w:tcW w:w="4876" w:type="dxa"/>
            <w:tcBorders>
              <w:top w:val="nil"/>
              <w:left w:val="nil"/>
              <w:bottom w:val="nil"/>
              <w:right w:val="nil"/>
            </w:tcBorders>
          </w:tcPr>
          <w:p>
            <w:pPr>
              <w:pStyle w:val="Normal6a"/>
            </w:pPr>
            <w:r>
              <w:rPr>
                <w:b/>
                <w:i/>
              </w:rPr>
              <w:t>–</w:t>
            </w:r>
            <w:r>
              <w:tab/>
            </w:r>
            <w:r>
              <w:t xml:space="preserve">ją turi būti įsteigęs vienas ar daugiau fizinių ar juridinių asmenų, kurie gyvena arba yra įsisteigę valstybėje narėje; </w:t>
            </w:r>
            <w:r>
              <w:rPr>
                <w:b/>
                <w:i/>
              </w:rPr>
              <w:t>ir ji turėtų turėti galimybę perkelti savo registruotą buveinę į kitą Sąjungos valstybę narę, nereikalaujant likviduoti ar iš naujo įsteigti bendrovės, laikantis suderintų procedūrų, kuriomis užtikrinamas juridinio asmens statuso tęstinumas;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dalies 2 pastraipos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ją turi būti įsteigęs vienas ar daugiau fizinių ar juridinių asmenų, </w:t>
            </w:r>
            <w:r>
              <w:rPr>
                <w:b/>
                <w:i/>
              </w:rPr>
              <w:t>kurie gyvena arba yra įsisteigę</w:t>
            </w:r>
            <w:r>
              <w:t xml:space="preserve"> valstybėje narėje;</w:t>
            </w:r>
          </w:p>
        </w:tc>
        <w:tc>
          <w:tcPr>
            <w:tcW w:w="4876" w:type="dxa"/>
            <w:tcBorders>
              <w:top w:val="nil"/>
              <w:left w:val="nil"/>
              <w:bottom w:val="nil"/>
              <w:right w:val="nil"/>
            </w:tcBorders>
          </w:tcPr>
          <w:p>
            <w:pPr>
              <w:pStyle w:val="Normal6a"/>
            </w:pPr>
            <w:r>
              <w:rPr>
                <w:b/>
                <w:i/>
              </w:rPr>
              <w:t>–</w:t>
            </w:r>
            <w:r>
              <w:tab/>
            </w:r>
            <w:r>
              <w:t xml:space="preserve">ją turi būti įsteigęs vienas ar daugiau fizinių ar juridinių asmenų, </w:t>
            </w:r>
            <w:r>
              <w:rPr>
                <w:b/>
                <w:i/>
              </w:rPr>
              <w:t>neatsižvelgiant į reikalavimą gyventi arba būti įsisteigus</w:t>
            </w:r>
            <w:r>
              <w:t xml:space="preserve"> valstybėje narėje;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punkto 2 pastraipos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ji turi turėti galimybę</w:t>
            </w:r>
            <w:r>
              <w:t xml:space="preserve"> veikti kaip savarankiška atskira bendrovė arba kaip ESSU patronuojančiosios bendrovės patronuojamoji bendrovė;</w:t>
            </w:r>
          </w:p>
        </w:tc>
        <w:tc>
          <w:tcPr>
            <w:tcW w:w="4876" w:type="dxa"/>
            <w:tcBorders>
              <w:top w:val="nil"/>
              <w:left w:val="nil"/>
              <w:bottom w:val="nil"/>
              <w:right w:val="nil"/>
            </w:tcBorders>
          </w:tcPr>
          <w:p>
            <w:pPr>
              <w:pStyle w:val="Normal6a"/>
            </w:pPr>
            <w:r>
              <w:rPr>
                <w:b/>
                <w:i/>
              </w:rPr>
              <w:t>–</w:t>
            </w:r>
            <w:r>
              <w:tab/>
            </w:r>
            <w:r>
              <w:rPr>
                <w:b/>
                <w:i/>
              </w:rPr>
              <w:t>ji turėtų galėti</w:t>
            </w:r>
            <w:r>
              <w:t xml:space="preserve"> veikti kaip savarankiška atskira </w:t>
            </w:r>
            <w:r>
              <w:rPr>
                <w:b/>
                <w:i/>
              </w:rPr>
              <w:t>bendrovė, kaip patronuojančiosios bendrovės patronuojamoji</w:t>
            </w:r>
            <w:r>
              <w:t xml:space="preserve"> bendrovė arba kaip ESSU patronuojančiosios bendrovės patronuojamoji bendrovė;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punkto 2 dalies 5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atsižvelgdamos į regioninius skirtumus, valstybės narės, siekdamos sumažinti inovacijų spragas, gali sukurti paramos schemas ir priemones, skirtas įmonėms, įregistruotoms kaip ESSU mažesnio ekonominio vystymosi srityse.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dalies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Jeigu nacionalinėje bendrovių teisėje numatytas minimalus įmokėtasis kapitalas steigiant bendrovę, kuri gali būti</w:t>
            </w:r>
            <w:r>
              <w:t xml:space="preserve"> įregistruota </w:t>
            </w:r>
            <w:r>
              <w:rPr>
                <w:b/>
                <w:i/>
              </w:rPr>
              <w:t>kaip ESSU, tos bendrovės registravimo tikslais nedelsiant įmokėtinas</w:t>
            </w:r>
            <w:r>
              <w:t xml:space="preserve"> kapitalas turi būti 1 EUR</w:t>
            </w:r>
            <w:r>
              <w:rPr>
                <w:b/>
                <w:i/>
              </w:rPr>
              <w:t>, o bendrovė turėtų būti įpareigota bent 25 proc</w:t>
            </w:r>
            <w:r>
              <w:t xml:space="preserve">. </w:t>
            </w:r>
            <w:r>
              <w:rPr>
                <w:b/>
                <w:i/>
              </w:rPr>
              <w:t>savo metinio pelno skirti į privalomąjį rezervą, kol tas rezervas kartu su bet kokiu iš pradžių įmokėtu kapitalu pasieks minimalų kapitalą, kurio reikalaujama pagal atitinkamą nacionalinę teisę.</w:t>
            </w:r>
          </w:p>
        </w:tc>
        <w:tc>
          <w:tcPr>
            <w:tcW w:w="4876" w:type="dxa"/>
            <w:tcBorders>
              <w:top w:val="nil"/>
              <w:left w:val="nil"/>
              <w:bottom w:val="nil"/>
              <w:right w:val="nil"/>
            </w:tcBorders>
          </w:tcPr>
          <w:p>
            <w:pPr>
              <w:pStyle w:val="Normal6a"/>
            </w:pPr>
            <w:r>
              <w:rPr>
                <w:b/>
                <w:i/>
              </w:rPr>
              <w:t>Tam, kad ši bendrovė būtų</w:t>
            </w:r>
            <w:r>
              <w:t xml:space="preserve"> įregistruota</w:t>
            </w:r>
            <w:r>
              <w:rPr>
                <w:b/>
                <w:i/>
              </w:rPr>
              <w:t>, iš karto įmokėtas minimalus</w:t>
            </w:r>
            <w:r>
              <w:t xml:space="preserve"> kapitalas turi būti 1 EUR.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punkto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Jeigu nacionalinėje bendrovių teisėje numatytas minimalus įmokėtasis kapitalas steigiant bendrovę, kuri gali būti</w:t>
            </w:r>
            <w:r>
              <w:t xml:space="preserve"> įregistruota </w:t>
            </w:r>
            <w:r>
              <w:rPr>
                <w:b/>
                <w:i/>
              </w:rPr>
              <w:t>kaip ESSU</w:t>
            </w:r>
            <w:r>
              <w:t xml:space="preserve">, </w:t>
            </w:r>
            <w:r>
              <w:rPr>
                <w:b/>
                <w:i/>
              </w:rPr>
              <w:t>tos bendrovės registravimo tikslais</w:t>
            </w:r>
            <w:r>
              <w:t xml:space="preserve"> nedelsiant </w:t>
            </w:r>
            <w:r>
              <w:rPr>
                <w:b/>
                <w:i/>
              </w:rPr>
              <w:t>įmokėtinas</w:t>
            </w:r>
            <w:r>
              <w:t xml:space="preserve"> kapitalas turi būti 1 EUR</w:t>
            </w:r>
            <w:r>
              <w:rPr>
                <w:b/>
                <w:i/>
              </w:rPr>
              <w:t>, o bendrovė turėtų būti įpareigota bent 25 proc</w:t>
            </w:r>
            <w:r>
              <w:t xml:space="preserve">. </w:t>
            </w:r>
            <w:r>
              <w:rPr>
                <w:b/>
                <w:i/>
              </w:rPr>
              <w:t>savo metinio pelno skirti į privalomąjį rezervą, kol tas rezervas kartu su bet kokiu iš pradžių įmokėtu kapitalu pasieks minimalų kapitalą, kurio reikalaujama pagal atitinkamą nacionalinę teisę.</w:t>
            </w:r>
          </w:p>
        </w:tc>
        <w:tc>
          <w:tcPr>
            <w:tcW w:w="4876" w:type="dxa"/>
            <w:tcBorders>
              <w:top w:val="nil"/>
              <w:left w:val="nil"/>
              <w:bottom w:val="nil"/>
              <w:right w:val="nil"/>
            </w:tcBorders>
          </w:tcPr>
          <w:p>
            <w:pPr>
              <w:pStyle w:val="Normal6a"/>
            </w:pPr>
            <w:r>
              <w:rPr>
                <w:b/>
                <w:i/>
              </w:rPr>
              <w:t>Kad ši bendrovė būtų</w:t>
            </w:r>
            <w:r>
              <w:t xml:space="preserve"> įregistruota, nedelsiant </w:t>
            </w:r>
            <w:r>
              <w:rPr>
                <w:b/>
                <w:i/>
              </w:rPr>
              <w:t>įmokėtas</w:t>
            </w:r>
            <w:r>
              <w:t xml:space="preserve"> kapitalas turi būti 1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punkto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Jeigu nacionalinėje bendrovių teisėje numatytas minimalus įmokėtasis kapitalas steigiant bendrovę, kuri gali būti</w:t>
            </w:r>
            <w:r>
              <w:t xml:space="preserve"> įregistruota </w:t>
            </w:r>
            <w:r>
              <w:rPr>
                <w:b/>
                <w:i/>
              </w:rPr>
              <w:t>kaip ESSU</w:t>
            </w:r>
            <w:r>
              <w:t xml:space="preserve">, </w:t>
            </w:r>
            <w:r>
              <w:rPr>
                <w:b/>
                <w:i/>
              </w:rPr>
              <w:t>tos bendrovės registravimo tikslais</w:t>
            </w:r>
            <w:r>
              <w:t xml:space="preserve"> nedelsiant </w:t>
            </w:r>
            <w:r>
              <w:rPr>
                <w:b/>
                <w:i/>
              </w:rPr>
              <w:t>įmokėtinas</w:t>
            </w:r>
            <w:r>
              <w:t xml:space="preserve"> kapitalas turi būti 1 EUR</w:t>
            </w:r>
            <w:r>
              <w:rPr>
                <w:b/>
                <w:i/>
              </w:rPr>
              <w:t>, o bendrovė turėtų būti įpareigota bent 25 proc</w:t>
            </w:r>
            <w:r>
              <w:t xml:space="preserve">. </w:t>
            </w:r>
            <w:r>
              <w:rPr>
                <w:b/>
                <w:i/>
              </w:rPr>
              <w:t>savo metinio pelno skirti į privalomąjį rezervą, kol tas rezervas kartu su bet kokiu iš pradžių įmokėtu kapitalu pasieks minimalų kapitalą, kurio reikalaujama pagal atitinkamą nacionalinę teisę.</w:t>
            </w:r>
          </w:p>
        </w:tc>
        <w:tc>
          <w:tcPr>
            <w:tcW w:w="4876" w:type="dxa"/>
            <w:tcBorders>
              <w:top w:val="nil"/>
              <w:left w:val="nil"/>
              <w:bottom w:val="nil"/>
              <w:right w:val="nil"/>
            </w:tcBorders>
          </w:tcPr>
          <w:p>
            <w:pPr>
              <w:pStyle w:val="Normal6a"/>
            </w:pPr>
            <w:r>
              <w:rPr>
                <w:b/>
                <w:i/>
              </w:rPr>
              <w:t>Kad ši bendrovė būtų</w:t>
            </w:r>
            <w:r>
              <w:t xml:space="preserve"> įregistruota, nedelsiant </w:t>
            </w:r>
            <w:r>
              <w:rPr>
                <w:b/>
                <w:i/>
              </w:rPr>
              <w:t>įmokėtas</w:t>
            </w:r>
            <w:r>
              <w:t xml:space="preserve"> kapitalas turi būti 1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punkto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Jeigu nacionalinėje bendrovių teisėje numatytas minimalus įmokėtasis kapitalas steigiant bendrovę, kuri gali būti įregistruota kaip </w:t>
            </w:r>
            <w:r>
              <w:rPr>
                <w:b/>
                <w:i/>
              </w:rPr>
              <w:t>ESSU</w:t>
            </w:r>
            <w:r>
              <w:t>, tos bendrovės registravimo tikslais nedelsiant įmokėtinas kapitalas turi būti 1 EUR, o bendrovė turėtų būti įpareigota bent 25 proc. savo metinio pelno skirti į privalomąjį rezervą, kol tas rezervas kartu su bet kokiu iš pradžių įmokėtu kapitalu pasieks minimalų kapitalą, kurio reikalaujama pagal atitinkamą nacionalinę teisę.</w:t>
            </w:r>
          </w:p>
        </w:tc>
        <w:tc>
          <w:tcPr>
            <w:tcW w:w="4876" w:type="dxa"/>
            <w:tcBorders>
              <w:top w:val="nil"/>
              <w:left w:val="nil"/>
              <w:bottom w:val="nil"/>
              <w:right w:val="nil"/>
            </w:tcBorders>
          </w:tcPr>
          <w:p>
            <w:pPr>
              <w:pStyle w:val="Normal6a"/>
            </w:pPr>
            <w:r>
              <w:t xml:space="preserve">Jeigu nacionalinėje bendrovių teisėje numatytas minimalus įmokėtasis kapitalas steigiant bendrovę, kuri gali būti įregistruota kaip </w:t>
            </w:r>
            <w:r>
              <w:rPr>
                <w:b/>
                <w:i/>
              </w:rPr>
              <w:t>SES</w:t>
            </w:r>
            <w:r>
              <w:t xml:space="preserve">, tos bendrovės registravimo tikslais nedelsiant įmokėtinas kapitalas turi būti 1 EUR, o bendrovė turėtų būti įpareigota bent 25 proc. savo metinio pelno </w:t>
            </w:r>
            <w:r>
              <w:rPr>
                <w:b/>
                <w:i/>
              </w:rPr>
              <w:t>(kai ji pradeda gauti pelno)</w:t>
            </w:r>
            <w:r>
              <w:t xml:space="preserve"> skirti į privalomąjį rezervą, kol tas rezervas kartu su bet kokiu iš pradžių įmokėtu kapitalu pasieks minimalų kapitalą, kurio reikalaujama pagal atitinkamą nacionalinę teisę. </w:t>
            </w:r>
            <w:r>
              <w:rPr>
                <w:b/>
                <w:i/>
              </w:rPr>
              <w:t>Siekiant išvengti bet kokios nacionalinės diskriminacijos SES atžvilgiu, minimalus įmokėtasis kapitalas neturėtų viršyti valstybėje narėje ribotos atsakomybės bendrovėms nustatyto minimalaus įmokėtojo kapitalo.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dalies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Jeigu nacionalinėje bendrovių teisėje numatytas minimalus įmokėtasis kapitalas steigiant bendrovę, kuri gali būti įregistruota kaip ESSU, tos bendrovės registravimo tikslais nedelsiant įmokėtinas kapitalas turi būti </w:t>
            </w:r>
            <w:r>
              <w:rPr>
                <w:b/>
                <w:i/>
              </w:rPr>
              <w:t>1</w:t>
            </w:r>
            <w:r>
              <w:t xml:space="preserve"> EUR, o bendrovė turėtų būti įpareigota bent 25 proc. savo metinio pelno skirti į privalomąjį rezervą, kol tas rezervas kartu su bet kokiu iš pradžių įmokėtu kapitalu pasieks minimalų kapitalą, kurio reikalaujama pagal atitinkamą nacionalinę teisę.</w:t>
            </w:r>
          </w:p>
        </w:tc>
        <w:tc>
          <w:tcPr>
            <w:tcW w:w="4876" w:type="dxa"/>
            <w:tcBorders>
              <w:top w:val="nil"/>
              <w:left w:val="nil"/>
              <w:bottom w:val="nil"/>
              <w:right w:val="nil"/>
            </w:tcBorders>
          </w:tcPr>
          <w:p>
            <w:pPr>
              <w:pStyle w:val="Normal6a"/>
            </w:pPr>
            <w:r>
              <w:t xml:space="preserve">Jeigu nacionalinėje bendrovių teisėje numatytas minimalus įmokėtasis kapitalas steigiant bendrovę, kuri gali būti įregistruota kaip ESSU, tos bendrovės registravimo tikslais nedelsiant įmokėtinas kapitalas turi būti </w:t>
            </w:r>
            <w:r>
              <w:rPr>
                <w:b/>
                <w:i/>
              </w:rPr>
              <w:t>100</w:t>
            </w:r>
            <w:r>
              <w:t xml:space="preserve"> EUR, o bendrovė turėtų būti įpareigota bent 25 proc. savo metinio pelno skirti į privalomąjį rezervą, kol tas rezervas kartu su bet kokiu iš pradžių įmokėtu kapitalu pasieks minimalų kapitalą, kurio reikalaujama pagal atitinkamą nacionalinę teisę.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dalies 4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Siekiant supaprastinimo, galimybė registruotis kaip ESSU neturėtų būti apribota nauja „novatoriškų bendrovių“ kategorija ar kitais ribojančiais veiksniais, nes dėl to atsirastų papildomas biurokratizmas ir nereikalinga biurokratinė našta.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punkto 4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Siekiant supaprastinimo, galimybė registruotis kaip </w:t>
            </w:r>
            <w:r>
              <w:rPr>
                <w:b/>
                <w:i/>
              </w:rPr>
              <w:t>ESSU</w:t>
            </w:r>
            <w:r>
              <w:t xml:space="preserve"> neturėtų būti apribota nauja „novatoriškų bendrovių“ kategorija ar kitais ribojančiais veiksniais, nes dėl to atsirastų papildomas biurokratizmas ir nereikalinga biurokratinė našta.</w:t>
            </w:r>
          </w:p>
        </w:tc>
        <w:tc>
          <w:tcPr>
            <w:tcW w:w="4876" w:type="dxa"/>
            <w:tcBorders>
              <w:top w:val="nil"/>
              <w:left w:val="nil"/>
              <w:bottom w:val="nil"/>
              <w:right w:val="nil"/>
            </w:tcBorders>
          </w:tcPr>
          <w:p>
            <w:pPr>
              <w:pStyle w:val="Normal6a"/>
            </w:pPr>
            <w:r>
              <w:t xml:space="preserve">Siekiant supaprastinimo, galimybė registruotis kaip </w:t>
            </w:r>
            <w:r>
              <w:rPr>
                <w:b/>
                <w:i/>
              </w:rPr>
              <w:t>SES</w:t>
            </w:r>
            <w:r>
              <w:t xml:space="preserve"> neturėtų būti apribota nauja „novatoriškų bendrovių“ kategorija ar kitais ribojančiais veiksniais, nes dėl to atsirastų papildomas biurokratizmas ir nereikalinga biurokratinė našta.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dalies 5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Jei ESSU ketina būti įtraukta į biržos sąrašus, turėtų būti reikalaujama, kad ji būtų pertvarkyta į akcinę bendrovę pagal nacionalinę arba Sąjungos teisę, laikantis nacionalinių ir Sąjungos pertvarkymo taisyklių.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punkto 5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Jei </w:t>
            </w:r>
            <w:r>
              <w:rPr>
                <w:b/>
                <w:i/>
              </w:rPr>
              <w:t>ESSU</w:t>
            </w:r>
            <w:r>
              <w:t xml:space="preserve"> ketina būti įtraukta į biržos sąrašus, turėtų būti reikalaujama, kad ji būtų pertvarkyta į akcinę bendrovę pagal nacionalinę arba Sąjungos teisę, laikantis nacionalinių ir Sąjungos pertvarkymo taisyklių.</w:t>
            </w:r>
          </w:p>
        </w:tc>
        <w:tc>
          <w:tcPr>
            <w:tcW w:w="4876" w:type="dxa"/>
            <w:tcBorders>
              <w:top w:val="nil"/>
              <w:left w:val="nil"/>
              <w:bottom w:val="nil"/>
              <w:right w:val="nil"/>
            </w:tcBorders>
          </w:tcPr>
          <w:p>
            <w:pPr>
              <w:pStyle w:val="Normal6a"/>
            </w:pPr>
            <w:r>
              <w:t xml:space="preserve">Jei </w:t>
            </w:r>
            <w:r>
              <w:rPr>
                <w:b/>
                <w:i/>
              </w:rPr>
              <w:t>SES</w:t>
            </w:r>
            <w:r>
              <w:t xml:space="preserve"> ketina būti įtraukta į biržos sąrašus, turėtų būti reikalaujama, kad ji būtų pertvarkyta į akcinę bendrovę pagal nacionalinę arba Sąjungos teisę, laikantis nacionalinių ir Sąjungos pertvarkymo taisyklių.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kūrimas ir registravimas turėtų būti visiškai skaitmeninis ir atitikti vienkartinio duomenų pateikimo principą</w:t>
            </w:r>
            <w:r>
              <w:rPr>
                <w:b/>
                <w:i/>
              </w:rPr>
              <w:t>.</w:t>
            </w:r>
            <w:r>
              <w:t xml:space="preserve"> </w:t>
            </w:r>
            <w:r>
              <w:rPr>
                <w:b/>
                <w:i/>
              </w:rPr>
              <w:t>ESSU</w:t>
            </w:r>
            <w:r>
              <w:t xml:space="preserve"> steigimas turi būti užbaigtas per 48 valandas.</w:t>
            </w:r>
          </w:p>
        </w:tc>
        <w:tc>
          <w:tcPr>
            <w:tcW w:w="4876" w:type="dxa"/>
            <w:tcBorders>
              <w:top w:val="nil"/>
              <w:left w:val="nil"/>
              <w:bottom w:val="nil"/>
              <w:right w:val="nil"/>
            </w:tcBorders>
          </w:tcPr>
          <w:p>
            <w:pPr>
              <w:pStyle w:val="Normal6a"/>
            </w:pPr>
            <w:r>
              <w:rPr>
                <w:b/>
                <w:i/>
              </w:rPr>
              <w:t>SES bendrovės</w:t>
            </w:r>
            <w:r>
              <w:t xml:space="preserve"> kūrimas ir registravimas turėtų būti visiškai skaitmeninis ir atitikti vienkartinio duomenų pateikimo principą</w:t>
            </w:r>
            <w:r>
              <w:rPr>
                <w:b/>
                <w:i/>
              </w:rPr>
              <w:t>, pagal kurį vienoje valstybėje narėje dokumentą teikiančios bendrovės neturėtų būti įpareigotos jo pateikti kitoje valstybėje narėje, kurioje įsisteigia.</w:t>
            </w:r>
            <w:r>
              <w:t xml:space="preserve"> </w:t>
            </w:r>
            <w:r>
              <w:rPr>
                <w:b/>
                <w:i/>
              </w:rPr>
              <w:t>SES</w:t>
            </w:r>
            <w:r>
              <w:t xml:space="preserve"> steigimas turi būti užbaigtas per 48 valandas.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w:t>
            </w:r>
            <w:r>
              <w:rPr>
                <w:b/>
                <w:i/>
              </w:rPr>
              <w:t>kūrimas ir registravimas</w:t>
            </w:r>
            <w:r>
              <w:t xml:space="preserve"> turėtų būti visiškai skaitmeninis ir atitikti vienkartinio duomenų pateikimo principą. ESSU steigimas turi būti užbaigtas per 48 valandas.</w:t>
            </w:r>
          </w:p>
        </w:tc>
        <w:tc>
          <w:tcPr>
            <w:tcW w:w="4876" w:type="dxa"/>
            <w:tcBorders>
              <w:top w:val="nil"/>
              <w:left w:val="nil"/>
              <w:bottom w:val="nil"/>
              <w:right w:val="nil"/>
            </w:tcBorders>
          </w:tcPr>
          <w:p>
            <w:pPr>
              <w:pStyle w:val="Normal6a"/>
            </w:pPr>
            <w:r>
              <w:t xml:space="preserve">ESSU </w:t>
            </w:r>
            <w:r>
              <w:rPr>
                <w:b/>
                <w:i/>
              </w:rPr>
              <w:t>turėtų būti kuriama ir registruojama naudojant centrinę ES platformą, šis procesas</w:t>
            </w:r>
            <w:r>
              <w:t xml:space="preserve"> turėtų būti visiškai skaitmeninis</w:t>
            </w:r>
            <w:r>
              <w:rPr>
                <w:b/>
                <w:i/>
              </w:rPr>
              <w:t>, gali būti vykdomas visomis oficialiosiomis ES kalbomis</w:t>
            </w:r>
            <w:r>
              <w:t xml:space="preserve"> ir atitikti vienkartinio duomenų pateikimo principą. ESSU steigimas turi būti užbaigtas per 48 valandas.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ESSU kūrimas ir registravimas turėtų būti visiškai skaitmeninis ir atitikti vienkartinio duomenų pateikimo principą. ESSU steigimas turi būti užbaigtas per 48 valandas.</w:t>
            </w:r>
          </w:p>
        </w:tc>
        <w:tc>
          <w:tcPr>
            <w:tcW w:w="4876" w:type="dxa"/>
            <w:tcBorders>
              <w:top w:val="nil"/>
              <w:left w:val="nil"/>
              <w:bottom w:val="nil"/>
              <w:right w:val="nil"/>
            </w:tcBorders>
          </w:tcPr>
          <w:p>
            <w:pPr>
              <w:pStyle w:val="Normal6a"/>
            </w:pPr>
            <w:r>
              <w:rPr>
                <w:b/>
                <w:i/>
              </w:rPr>
              <w:t>Atsižvelgiant į Direktyvą (ES) 2025/25,</w:t>
            </w:r>
            <w:r>
              <w:t xml:space="preserve"> ESSU kūrimas ir registravimas turėtų būti visiškai skaitmeninis ir atitikti vienkartinio duomenų pateikimo principą. ESSU steigimas turi būti užbaigtas per 48 valandas.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kūrimas ir registravimas </w:t>
            </w:r>
            <w:r>
              <w:rPr>
                <w:b/>
                <w:i/>
              </w:rPr>
              <w:t>turėtų</w:t>
            </w:r>
            <w:r>
              <w:t xml:space="preserve"> būti visiškai skaitmeninis ir atitikti vienkartinio duomenų pateikimo principą. ESSU steigimas turi būti užbaigtas per 48 valandas.</w:t>
            </w:r>
          </w:p>
        </w:tc>
        <w:tc>
          <w:tcPr>
            <w:tcW w:w="4876" w:type="dxa"/>
            <w:tcBorders>
              <w:top w:val="nil"/>
              <w:left w:val="nil"/>
              <w:bottom w:val="nil"/>
              <w:right w:val="nil"/>
            </w:tcBorders>
          </w:tcPr>
          <w:p>
            <w:pPr>
              <w:pStyle w:val="Normal6a"/>
            </w:pPr>
            <w:r>
              <w:t xml:space="preserve">ESSU kūrimas ir registravimas </w:t>
            </w:r>
            <w:r>
              <w:rPr>
                <w:b/>
                <w:i/>
              </w:rPr>
              <w:t>turi</w:t>
            </w:r>
            <w:r>
              <w:t xml:space="preserve"> būti visiškai skaitmeninis ir atitikti vienkartinio duomenų pateikimo principą. ESSU steigimas turi būti užbaigtas per 48 valandas.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kūrimas ir registravimas </w:t>
            </w:r>
            <w:r>
              <w:rPr>
                <w:b/>
                <w:i/>
              </w:rPr>
              <w:t>turėtų būti</w:t>
            </w:r>
            <w:r>
              <w:t xml:space="preserve"> visiškai skaitmeninis ir </w:t>
            </w:r>
            <w:r>
              <w:rPr>
                <w:b/>
                <w:i/>
              </w:rPr>
              <w:t>atitikti</w:t>
            </w:r>
            <w:r>
              <w:t xml:space="preserve"> vienkartinio duomenų pateikimo principą. ESSU steigimas turi būti užbaigtas per </w:t>
            </w:r>
            <w:r>
              <w:rPr>
                <w:b/>
                <w:i/>
              </w:rPr>
              <w:t>48</w:t>
            </w:r>
            <w:r>
              <w:t xml:space="preserve"> valandas.</w:t>
            </w:r>
          </w:p>
        </w:tc>
        <w:tc>
          <w:tcPr>
            <w:tcW w:w="4876" w:type="dxa"/>
            <w:tcBorders>
              <w:top w:val="nil"/>
              <w:left w:val="nil"/>
              <w:bottom w:val="nil"/>
              <w:right w:val="nil"/>
            </w:tcBorders>
          </w:tcPr>
          <w:p>
            <w:pPr>
              <w:pStyle w:val="Normal6a"/>
            </w:pPr>
            <w:r>
              <w:t xml:space="preserve">ESSU kūrimas ir registravimas </w:t>
            </w:r>
            <w:r>
              <w:rPr>
                <w:b/>
                <w:i/>
              </w:rPr>
              <w:t>yra</w:t>
            </w:r>
            <w:r>
              <w:t xml:space="preserve"> visiškai skaitmeninis ir </w:t>
            </w:r>
            <w:r>
              <w:rPr>
                <w:b/>
                <w:i/>
              </w:rPr>
              <w:t>atitinka</w:t>
            </w:r>
            <w:r>
              <w:t xml:space="preserve"> vienkartinio duomenų pateikimo principą. ESSU steigimas turi būti užbaigtas per </w:t>
            </w:r>
            <w:r>
              <w:rPr>
                <w:b/>
                <w:i/>
              </w:rPr>
              <w:t>24</w:t>
            </w:r>
            <w:r>
              <w:t xml:space="preserve"> valandas.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Sukūrus ESSU, jai turėtų būti suteikta vieninga skaitmeninė tapatybė ir įmonės identifikatorius, kad būtų supaprastinta registracija, padidintas skaidrumas ir pasitikėjimas, palengvintas įmonės tapatybės patikrinimas ir kovojama su sukčiavimu ir mokesčių slėpimu.</w:t>
            </w:r>
          </w:p>
        </w:tc>
        <w:tc>
          <w:tcPr>
            <w:tcW w:w="4876" w:type="dxa"/>
            <w:tcBorders>
              <w:top w:val="nil"/>
              <w:left w:val="nil"/>
              <w:bottom w:val="nil"/>
              <w:right w:val="nil"/>
            </w:tcBorders>
          </w:tcPr>
          <w:p>
            <w:pPr>
              <w:pStyle w:val="Normal6a"/>
            </w:pPr>
            <w:r>
              <w:t>Sukūrus ESSU, jai turėtų būti suteikta vieninga skaitmeninė tapatybė ir įmonės identifikatorius, kad būtų supaprastinta registracija, padidintas skaidrumas ir pasitikėjimas, palengvintas įmonės tapatybės patikrinimas ir kovojama su sukčiavimu</w:t>
            </w:r>
            <w:r>
              <w:rPr>
                <w:b/>
                <w:i/>
              </w:rPr>
              <w:t>, pinigų plovimu</w:t>
            </w:r>
            <w:r>
              <w:t xml:space="preserve"> ir mokesčių slėpimu.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Sukūrus </w:t>
            </w:r>
            <w:r>
              <w:rPr>
                <w:b/>
                <w:i/>
              </w:rPr>
              <w:t>ESSU</w:t>
            </w:r>
            <w:r>
              <w:t>, jai turėtų būti suteikta vieninga skaitmeninė tapatybė ir įmonės identifikatorius, kad būtų supaprastinta registracija, padidintas skaidrumas ir pasitikėjimas, palengvintas įmonės tapatybės patikrinimas ir kovojama su sukčiavimu ir mokesčių slėpimu.</w:t>
            </w:r>
          </w:p>
        </w:tc>
        <w:tc>
          <w:tcPr>
            <w:tcW w:w="4876" w:type="dxa"/>
            <w:tcBorders>
              <w:top w:val="nil"/>
              <w:left w:val="nil"/>
              <w:bottom w:val="nil"/>
              <w:right w:val="nil"/>
            </w:tcBorders>
          </w:tcPr>
          <w:p>
            <w:pPr>
              <w:pStyle w:val="Normal6a"/>
            </w:pPr>
            <w:r>
              <w:t xml:space="preserve">Sukūrus </w:t>
            </w:r>
            <w:r>
              <w:rPr>
                <w:b/>
                <w:i/>
              </w:rPr>
              <w:t>SES</w:t>
            </w:r>
            <w:r>
              <w:t>, jai turėtų būti suteikta vieninga skaitmeninė tapatybė ir įmonės identifikatorius, kad būtų supaprastinta registracija, padidintas skaidrumas ir pasitikėjimas, palengvintas įmonės tapatybės patikrinimas ir kovojama su sukčiavimu ir mokesčių slėpimu.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Kad būtų lengviau pasiekti šiuos tikslus, Komisija turėtų sukurti ir tvarkyti vieningą Sąjungos lygmens ESSU skaitmeninį bendrovių registrą. Tokiu registru būtų papildyta ir išplėsta </w:t>
            </w:r>
            <w:r>
              <w:rPr>
                <w:b/>
                <w:i/>
              </w:rPr>
              <w:t>esamą</w:t>
            </w:r>
            <w:r>
              <w:t xml:space="preserve"> Verslo registrų sąveikos </w:t>
            </w:r>
            <w:r>
              <w:rPr>
                <w:b/>
                <w:i/>
              </w:rPr>
              <w:t>sistemą (BRIS)</w:t>
            </w:r>
            <w:r>
              <w:t>. Bendras Sąjungos lygmens skaitmeninis bendrovių registras turėtų ne pakeisti galiojančias nacionalines steigimo taisykles, o veikti kaip bendras portalas. Registruodamasi Sąjungos lygmens skaitmeniniame bendrovių registre, bendrovė kaip įsisteigimo vietą turi pasirinkti valstybę narę, o tai darydama – įsisteigimui taikytiną nacionalinę teisę.</w:t>
            </w:r>
          </w:p>
        </w:tc>
        <w:tc>
          <w:tcPr>
            <w:tcW w:w="4876" w:type="dxa"/>
            <w:tcBorders>
              <w:top w:val="nil"/>
              <w:left w:val="nil"/>
              <w:bottom w:val="nil"/>
              <w:right w:val="nil"/>
            </w:tcBorders>
          </w:tcPr>
          <w:p>
            <w:pPr>
              <w:pStyle w:val="Normal6a"/>
            </w:pPr>
            <w:r>
              <w:t xml:space="preserve">Kad būtų lengviau pasiekti šiuos tikslus, Komisija turėtų sukurti ir tvarkyti vieningą Sąjungos lygmens ESSU skaitmeninį bendrovių registrą. Tokiu registru būtų papildyta ir išplėsta </w:t>
            </w:r>
            <w:r>
              <w:rPr>
                <w:b/>
                <w:i/>
              </w:rPr>
              <w:t>esama</w:t>
            </w:r>
            <w:r>
              <w:t xml:space="preserve"> Verslo registrų sąveikos </w:t>
            </w:r>
            <w:r>
              <w:rPr>
                <w:b/>
                <w:i/>
              </w:rPr>
              <w:t>sistema(BRIS), kuri šiuo metu nėra nei praktiška, nei pakankamai žinoma</w:t>
            </w:r>
            <w:r>
              <w:t>. Bendras Sąjungos lygmens skaitmeninis bendrovių registras turėtų ne pakeisti galiojančias nacionalines steigimo taisykles, o veikti kaip bendras portalas</w:t>
            </w:r>
            <w:r>
              <w:rPr>
                <w:b/>
                <w:i/>
              </w:rPr>
              <w:t>, kuriame būtų apibendrinta visa investuotojams reikalinga informacija.</w:t>
            </w:r>
            <w:r>
              <w:t xml:space="preserve"> </w:t>
            </w:r>
            <w:r>
              <w:rPr>
                <w:b/>
                <w:i/>
              </w:rPr>
              <w:t>Todėl valstybės narės turėtų automatiškai perduoti dokumentus į Sąjungos registrą, užtikrindamos pripažinimą ir sklandžią prieigą suinteresuotiesiems subjektams.</w:t>
            </w:r>
            <w:r>
              <w:t xml:space="preserve"> </w:t>
            </w:r>
            <w:r>
              <w:rPr>
                <w:b/>
                <w:i/>
              </w:rPr>
              <w:t>Platformoje taip pat turėtų būti teikiama informacija apie nacionalines procedūras ir išteklius, taip pat SES investuotojų dokumentų šablonai</w:t>
            </w:r>
            <w:r>
              <w:t>. Registruodamasi Sąjungos lygmens skaitmeniniame bendrovių registre, bendrovė kaip įsisteigimo vietą turi pasirinkti valstybę narę, o tai darydama – įsisteigimui taikytiną nacionalinę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Kad būtų lengviau pasiekti </w:t>
            </w:r>
            <w:r>
              <w:rPr>
                <w:b/>
                <w:i/>
              </w:rPr>
              <w:t>šiuos tikslus</w:t>
            </w:r>
            <w:r>
              <w:t xml:space="preserve">, Komisija turėtų sukurti ir </w:t>
            </w:r>
            <w:r>
              <w:rPr>
                <w:b/>
                <w:i/>
              </w:rPr>
              <w:t>tvarkyti vieningą</w:t>
            </w:r>
            <w:r>
              <w:t xml:space="preserve"> Sąjungos lygmens </w:t>
            </w:r>
            <w:r>
              <w:rPr>
                <w:b/>
                <w:i/>
              </w:rPr>
              <w:t>ESSU skaitmeninį bendrovių registrą.</w:t>
            </w:r>
            <w:r>
              <w:t xml:space="preserve"> </w:t>
            </w:r>
            <w:r>
              <w:rPr>
                <w:b/>
                <w:i/>
              </w:rPr>
              <w:t>Tokiu registru būtų papildyta ir išplėsta esamą</w:t>
            </w:r>
            <w:r>
              <w:t xml:space="preserve"> Verslo registrų sąveikos sistemą (BRIS). </w:t>
            </w:r>
            <w:r>
              <w:rPr>
                <w:b/>
                <w:i/>
              </w:rPr>
              <w:t>Bendras</w:t>
            </w:r>
            <w:r>
              <w:t xml:space="preserve"> Sąjungos lygmens </w:t>
            </w:r>
            <w:r>
              <w:rPr>
                <w:b/>
                <w:i/>
              </w:rPr>
              <w:t>skaitmeninis bendrovių registras turėtų ne</w:t>
            </w:r>
            <w:r>
              <w:t xml:space="preserve"> pakeisti </w:t>
            </w:r>
            <w:r>
              <w:rPr>
                <w:b/>
                <w:i/>
              </w:rPr>
              <w:t>galiojančias nacionalines</w:t>
            </w:r>
            <w:r>
              <w:t xml:space="preserve"> steigimo </w:t>
            </w:r>
            <w:r>
              <w:rPr>
                <w:b/>
                <w:i/>
              </w:rPr>
              <w:t>taisykles, o</w:t>
            </w:r>
            <w:r>
              <w:t xml:space="preserve"> veikti kaip bendras portalas. </w:t>
            </w:r>
            <w:r>
              <w:rPr>
                <w:b/>
                <w:i/>
              </w:rPr>
              <w:t>Registruodamasi Sąjungos lygmens skaitmeniniame bendrovių registre</w:t>
            </w:r>
            <w:r>
              <w:t xml:space="preserve">, bendrovė </w:t>
            </w:r>
            <w:r>
              <w:rPr>
                <w:b/>
                <w:i/>
              </w:rPr>
              <w:t>kaip įsisteigimo vietą</w:t>
            </w:r>
            <w:r>
              <w:t xml:space="preserve"> turi pasirinkti valstybę narę</w:t>
            </w:r>
            <w:r>
              <w:rPr>
                <w:b/>
                <w:i/>
              </w:rPr>
              <w:t>, o tai darydama – įsisteigimui</w:t>
            </w:r>
            <w:r>
              <w:t xml:space="preserve"> taikytiną nacionalinę teisę.</w:t>
            </w:r>
          </w:p>
        </w:tc>
        <w:tc>
          <w:tcPr>
            <w:tcW w:w="4876" w:type="dxa"/>
            <w:tcBorders>
              <w:top w:val="nil"/>
              <w:left w:val="nil"/>
              <w:bottom w:val="nil"/>
              <w:right w:val="nil"/>
            </w:tcBorders>
          </w:tcPr>
          <w:p>
            <w:pPr>
              <w:pStyle w:val="Normal6a"/>
            </w:pPr>
            <w:r>
              <w:t xml:space="preserve">Kad </w:t>
            </w:r>
            <w:r>
              <w:rPr>
                <w:b/>
                <w:i/>
              </w:rPr>
              <w:t>tuos tikslus</w:t>
            </w:r>
            <w:r>
              <w:t xml:space="preserve"> būtų lengviau pasiekti, Komisija </w:t>
            </w:r>
            <w:r>
              <w:rPr>
                <w:b/>
                <w:i/>
              </w:rPr>
              <w:t>Europos e. teisingumo portale</w:t>
            </w:r>
            <w:r>
              <w:t xml:space="preserve"> turėtų sukurti ir </w:t>
            </w:r>
            <w:r>
              <w:rPr>
                <w:b/>
                <w:i/>
              </w:rPr>
              <w:t>valdyti</w:t>
            </w:r>
            <w:r>
              <w:t xml:space="preserve"> Sąjungos lygmens </w:t>
            </w:r>
            <w:r>
              <w:rPr>
                <w:b/>
                <w:i/>
              </w:rPr>
              <w:t>prieigos punktą, skirtą ESSU registracijai;</w:t>
            </w:r>
            <w:r>
              <w:t xml:space="preserve"> </w:t>
            </w:r>
            <w:r>
              <w:rPr>
                <w:b/>
                <w:i/>
              </w:rPr>
              <w:t>Toks prieigos punktas papildytų ir išplėstų</w:t>
            </w:r>
            <w:r>
              <w:t xml:space="preserve"> Verslo registrų sąveikos sistemą (BRIS). Sąjungos lygmens </w:t>
            </w:r>
            <w:r>
              <w:rPr>
                <w:b/>
                <w:i/>
              </w:rPr>
              <w:t>prieigos punktas neturėtų</w:t>
            </w:r>
            <w:r>
              <w:t xml:space="preserve"> pakeisti </w:t>
            </w:r>
            <w:r>
              <w:rPr>
                <w:b/>
                <w:i/>
              </w:rPr>
              <w:t>nacionalinių</w:t>
            </w:r>
            <w:r>
              <w:t xml:space="preserve"> steigimo </w:t>
            </w:r>
            <w:r>
              <w:rPr>
                <w:b/>
                <w:i/>
              </w:rPr>
              <w:t>taisyklių, o turėtų</w:t>
            </w:r>
            <w:r>
              <w:t xml:space="preserve"> veikti kaip bendras portalas. </w:t>
            </w:r>
            <w:r>
              <w:rPr>
                <w:b/>
                <w:i/>
              </w:rPr>
              <w:t>Prisijungdama prie šio prieigos taško</w:t>
            </w:r>
            <w:r>
              <w:t xml:space="preserve">, bendrovė turi pasirinkti valstybę narę </w:t>
            </w:r>
            <w:r>
              <w:rPr>
                <w:b/>
                <w:i/>
              </w:rPr>
              <w:t>kaip įsisteigimo vietą, taigi ir steigimui</w:t>
            </w:r>
            <w:r>
              <w:t xml:space="preserve"> taikytiną nacionalinę teisę. </w:t>
            </w:r>
            <w:r>
              <w:rPr>
                <w:b/>
                <w:i/>
              </w:rPr>
              <w:t>Prieigos punktas veiktų kaip tiesioginė prieiga prie nacionalinių vieno langelio sistemų įmonėms, kurios būtų registruojamos kaip ESSU.</w:t>
            </w:r>
            <w:r>
              <w:t xml:space="preserve"> </w:t>
            </w:r>
            <w:r>
              <w:rPr>
                <w:b/>
                <w:i/>
              </w:rPr>
              <w:t>Sudarymas, teikimas ir atnaujinimai turėtų būti administruojami pagal nacionalinę teisę vieną kartą per kontaktinius centrus, prieinamus per prieigos punktą, remiantis daugiakalbe sąsaja ir eIDAS reglamente numatytais identifikavimo standartais.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Kad būtų lengviau pasiekti </w:t>
            </w:r>
            <w:r>
              <w:rPr>
                <w:b/>
                <w:i/>
              </w:rPr>
              <w:t>šiuos</w:t>
            </w:r>
            <w:r>
              <w:t xml:space="preserve"> tikslus, Komisija turėtų sukurti ir tvarkyti </w:t>
            </w:r>
            <w:r>
              <w:rPr>
                <w:b/>
                <w:i/>
              </w:rPr>
              <w:t>vieningą</w:t>
            </w:r>
            <w:r>
              <w:t xml:space="preserve"> Sąjungos lygmens </w:t>
            </w:r>
            <w:r>
              <w:rPr>
                <w:b/>
                <w:i/>
              </w:rPr>
              <w:t>ESSU skaitmeninį bendrovių registrą</w:t>
            </w:r>
            <w:r>
              <w:t xml:space="preserve">. Tokiu </w:t>
            </w:r>
            <w:r>
              <w:rPr>
                <w:b/>
                <w:i/>
              </w:rPr>
              <w:t>registru</w:t>
            </w:r>
            <w:r>
              <w:t xml:space="preserve"> būtų papildyta ir išplėsta </w:t>
            </w:r>
            <w:r>
              <w:rPr>
                <w:b/>
                <w:i/>
              </w:rPr>
              <w:t>esamą</w:t>
            </w:r>
            <w:r>
              <w:t xml:space="preserve"> Verslo registrų sąveikos </w:t>
            </w:r>
            <w:r>
              <w:rPr>
                <w:b/>
                <w:i/>
              </w:rPr>
              <w:t>sistemą (BRIS).</w:t>
            </w:r>
            <w:r>
              <w:t xml:space="preserve"> </w:t>
            </w:r>
            <w:r>
              <w:rPr>
                <w:b/>
                <w:i/>
              </w:rPr>
              <w:t>Bendras</w:t>
            </w:r>
            <w:r>
              <w:t xml:space="preserve"> Sąjungos lygmens </w:t>
            </w:r>
            <w:r>
              <w:rPr>
                <w:b/>
                <w:i/>
              </w:rPr>
              <w:t>skaitmeninis bendrovių registras</w:t>
            </w:r>
            <w:r>
              <w:t xml:space="preserve"> turėtų ne pakeisti galiojančias nacionalines steigimo taisykles, o veikti kaip bendras portalas. </w:t>
            </w:r>
            <w:r>
              <w:rPr>
                <w:b/>
                <w:i/>
              </w:rPr>
              <w:t>Registruodamasi Sąjungos lygmens skaitmeniniame bendrovių registre, bendrovė kaip įsisteigimo vietą turi pasirinkti valstybę narę, o tai darydama – įsisteigimui taikytiną nacionalinę teisę.</w:t>
            </w:r>
          </w:p>
        </w:tc>
        <w:tc>
          <w:tcPr>
            <w:tcW w:w="4876" w:type="dxa"/>
            <w:tcBorders>
              <w:top w:val="nil"/>
              <w:left w:val="nil"/>
              <w:bottom w:val="nil"/>
              <w:right w:val="nil"/>
            </w:tcBorders>
          </w:tcPr>
          <w:p>
            <w:pPr>
              <w:pStyle w:val="Normal6a"/>
            </w:pPr>
            <w:r>
              <w:t xml:space="preserve">Kad būtų lengviau pasiekti </w:t>
            </w:r>
            <w:r>
              <w:rPr>
                <w:b/>
                <w:i/>
              </w:rPr>
              <w:t>tuos</w:t>
            </w:r>
            <w:r>
              <w:t xml:space="preserve"> tikslus, Komisija turėtų sukurti ir tvarkyti Sąjungos lygmens </w:t>
            </w:r>
            <w:r>
              <w:rPr>
                <w:b/>
                <w:i/>
              </w:rPr>
              <w:t>prieigos punktą Europos e</w:t>
            </w:r>
            <w:r>
              <w:t xml:space="preserve">. </w:t>
            </w:r>
            <w:r>
              <w:rPr>
                <w:b/>
                <w:i/>
              </w:rPr>
              <w:t>teisingumo portale;</w:t>
            </w:r>
            <w:r>
              <w:t xml:space="preserve"> Tokiu </w:t>
            </w:r>
            <w:r>
              <w:rPr>
                <w:b/>
                <w:i/>
              </w:rPr>
              <w:t>prieigos punktu</w:t>
            </w:r>
            <w:r>
              <w:t xml:space="preserve"> būtų papildyta ir išplėsta </w:t>
            </w:r>
            <w:r>
              <w:rPr>
                <w:b/>
                <w:i/>
              </w:rPr>
              <w:t>esama</w:t>
            </w:r>
            <w:r>
              <w:t xml:space="preserve"> Verslo registrų sąveikos </w:t>
            </w:r>
            <w:r>
              <w:rPr>
                <w:b/>
                <w:i/>
              </w:rPr>
              <w:t>sistema (BRIS).</w:t>
            </w:r>
            <w:r>
              <w:t xml:space="preserve"> Sąjungos lygmens </w:t>
            </w:r>
            <w:r>
              <w:rPr>
                <w:b/>
                <w:i/>
              </w:rPr>
              <w:t>prieigos punktas</w:t>
            </w:r>
            <w:r>
              <w:t xml:space="preserve"> turėtų ne pakeisti galiojančias nacionalines steigimo taisykles, o veikti kaip bendras portalas.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Kad būtų lengviau pasiekti </w:t>
            </w:r>
            <w:r>
              <w:rPr>
                <w:b/>
                <w:i/>
              </w:rPr>
              <w:t>šiuos</w:t>
            </w:r>
            <w:r>
              <w:t xml:space="preserve"> tikslus, Komisija turėtų sukurti ir tvarkyti vieningą Sąjungos lygmens ESSU </w:t>
            </w:r>
            <w:r>
              <w:rPr>
                <w:b/>
                <w:i/>
              </w:rPr>
              <w:t>skaitmeninį bendrovių registrą.</w:t>
            </w:r>
            <w:r>
              <w:t xml:space="preserve"> </w:t>
            </w:r>
            <w:r>
              <w:rPr>
                <w:b/>
                <w:i/>
              </w:rPr>
              <w:t>Tokiu registru būtų papildyta ir išplėsta</w:t>
            </w:r>
            <w:r>
              <w:t xml:space="preserve"> esamą Verslo registrų sąveikos sistemą (BRIS)</w:t>
            </w:r>
            <w:r>
              <w:rPr>
                <w:b/>
                <w:i/>
              </w:rPr>
              <w:t>.</w:t>
            </w:r>
            <w:r>
              <w:t xml:space="preserve"> </w:t>
            </w:r>
            <w:r>
              <w:rPr>
                <w:b/>
                <w:i/>
              </w:rPr>
              <w:t>Bendras</w:t>
            </w:r>
            <w:r>
              <w:t xml:space="preserve"> Sąjungos lygmens </w:t>
            </w:r>
            <w:r>
              <w:rPr>
                <w:b/>
                <w:i/>
              </w:rPr>
              <w:t>skaitmeninis bendrovių registras</w:t>
            </w:r>
            <w:r>
              <w:t xml:space="preserve"> turėtų ne pakeisti galiojančias nacionalines steigimo taisykles, o veikti kaip bendras portalas. Registruodamasi Sąjungos lygmens skaitmeniniame bendrovių registre, bendrovė kaip įsisteigimo vietą turi pasirinkti valstybę narę, o tai darydama – įsisteigimui taikytiną nacionalinę teisę.</w:t>
            </w:r>
          </w:p>
        </w:tc>
        <w:tc>
          <w:tcPr>
            <w:tcW w:w="4876" w:type="dxa"/>
            <w:tcBorders>
              <w:top w:val="nil"/>
              <w:left w:val="nil"/>
              <w:bottom w:val="nil"/>
              <w:right w:val="nil"/>
            </w:tcBorders>
          </w:tcPr>
          <w:p>
            <w:pPr>
              <w:pStyle w:val="Normal6a"/>
            </w:pPr>
            <w:r>
              <w:t xml:space="preserve">Kad būtų lengviau pasiekti </w:t>
            </w:r>
            <w:r>
              <w:rPr>
                <w:b/>
                <w:i/>
              </w:rPr>
              <w:t>tuos</w:t>
            </w:r>
            <w:r>
              <w:t xml:space="preserve"> tikslus, Komisija turėtų sukurti ir tvarkyti vieningą Sąjungos lygmens ESSU </w:t>
            </w:r>
            <w:r>
              <w:rPr>
                <w:b/>
                <w:i/>
              </w:rPr>
              <w:t>skaitmeninės tiesioginės prieigos punktą. </w:t>
            </w:r>
            <w:r>
              <w:t xml:space="preserve"> </w:t>
            </w:r>
            <w:r>
              <w:rPr>
                <w:b/>
                <w:i/>
              </w:rPr>
              <w:t>Šis prieigos taškas papildytų ir išplėstų</w:t>
            </w:r>
            <w:r>
              <w:t xml:space="preserve"> esamą Verslo registrų sąveikos sistemą (BRIS)</w:t>
            </w:r>
            <w:r>
              <w:rPr>
                <w:b/>
                <w:i/>
              </w:rPr>
              <w:t>, sukurdamas suderintą, vienos prieigos sąsają, skirtą tarpvalstybiniam naudojimui, nesukurdamas atskiro ar lygiagretaus registro.</w:t>
            </w:r>
            <w:r>
              <w:t xml:space="preserve"> Sąjungos lygmens </w:t>
            </w:r>
            <w:r>
              <w:rPr>
                <w:b/>
                <w:i/>
              </w:rPr>
              <w:t>prieigos punktas</w:t>
            </w:r>
            <w:r>
              <w:t xml:space="preserve"> turėtų ne pakeisti galiojančias nacionalines steigimo taisykles, o veikti kaip bendras portalas. Registruodamasi Sąjungos lygmens skaitmeniniame bendrovių registre, bendrovė kaip įsisteigimo vietą turi pasirinkti valstybę narę, o tai darydama – įsisteigimui taikytiną nacionalinę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Kad būtų lengviau pasiekti šiuos tikslus, Komisija turėtų sukurti ir tvarkyti vieningą Sąjungos lygmens </w:t>
            </w:r>
            <w:r>
              <w:rPr>
                <w:b/>
                <w:i/>
              </w:rPr>
              <w:t>ESSU</w:t>
            </w:r>
            <w:r>
              <w:t xml:space="preserve"> skaitmeninį bendrovių registrą. Tokiu registru būtų papildyta ir išplėsta esamą Verslo registrų sąveikos sistemą (BRIS). Bendras Sąjungos lygmens skaitmeninis bendrovių registras turėtų ne pakeisti galiojančias nacionalines steigimo taisykles, o veikti kaip bendras portalas. Registruodamasi Sąjungos lygmens skaitmeniniame bendrovių registre, bendrovė kaip įsisteigimo vietą turi pasirinkti valstybę narę, o tai darydama – įsisteigimui taikytiną nacionalinę teisę.</w:t>
            </w:r>
          </w:p>
        </w:tc>
        <w:tc>
          <w:tcPr>
            <w:tcW w:w="4876" w:type="dxa"/>
            <w:tcBorders>
              <w:top w:val="nil"/>
              <w:left w:val="nil"/>
              <w:bottom w:val="nil"/>
              <w:right w:val="nil"/>
            </w:tcBorders>
          </w:tcPr>
          <w:p>
            <w:pPr>
              <w:pStyle w:val="Normal6a"/>
            </w:pPr>
            <w:r>
              <w:t xml:space="preserve">Kad būtų lengviau pasiekti šiuos tikslus, Komisija turėtų sukurti ir tvarkyti vieningą Sąjungos lygmens </w:t>
            </w:r>
            <w:r>
              <w:rPr>
                <w:b/>
                <w:i/>
              </w:rPr>
              <w:t>SES</w:t>
            </w:r>
            <w:r>
              <w:t xml:space="preserve"> skaitmeninį bendrovių registrą. Tokiu registru būtų papildyta ir išplėsta esamą Verslo registrų sąveikos sistemą (BRIS). Bendras Sąjungos lygmens skaitmeninis bendrovių registras turėtų ne pakeisti galiojančias nacionalines steigimo taisykles, o veikti kaip bendras portalas. Registruodamasi Sąjungos lygmens skaitmeniniame bendrovių registre, bendrovė kaip įsisteigimo vietą turi pasirinkti valstybę narę, o tai darydama – įsisteigimui taikytiną nacionalinę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Vieningas Sąjungos lygmens skaitmeninis bendrovių registras</w:t>
            </w:r>
            <w:r>
              <w:t xml:space="preserve"> būtų tiesioginis </w:t>
            </w:r>
            <w:r>
              <w:rPr>
                <w:b/>
                <w:i/>
              </w:rPr>
              <w:t>prieigos</w:t>
            </w:r>
            <w:r>
              <w:t xml:space="preserve"> taškas, </w:t>
            </w:r>
            <w:r>
              <w:rPr>
                <w:b/>
                <w:i/>
              </w:rPr>
              <w:t>kuriame bendrovės galėtų registruotis</w:t>
            </w:r>
            <w:r>
              <w:t xml:space="preserve"> kaip ESSU. Įtraukimas, pildymas ir atnaujinimai turėtų būti administruojami </w:t>
            </w:r>
            <w:r>
              <w:rPr>
                <w:b/>
                <w:i/>
              </w:rPr>
              <w:t>tame registre tik vieną kartą ir turėtų būti prieinami visose valstybėse narėse remiantis daugiakalbe sąsaja ir suderintais identifikavimo standartais</w:t>
            </w:r>
            <w:r>
              <w:t xml:space="preserve"> pagal </w:t>
            </w:r>
            <w:r>
              <w:rPr>
                <w:b/>
                <w:i/>
              </w:rPr>
              <w:t>eIDAS reglamentą</w:t>
            </w:r>
            <w:r>
              <w:rPr>
                <w:b/>
                <w:i/>
                <w:vertAlign w:val="superscript"/>
              </w:rPr>
              <w:t>1</w:t>
            </w:r>
            <w:r>
              <w:rPr>
                <w:b/>
                <w:i/>
              </w:rPr>
              <w:t>.</w:t>
            </w:r>
            <w:r>
              <w:t xml:space="preserve"> </w:t>
            </w:r>
            <w:r>
              <w:rPr>
                <w:b/>
                <w:i/>
              </w:rPr>
              <w:t>Registre galėtų būti naudojamas leidimais pagrįstas paskirstytojo registro technologijos (toliau –PRT</w:t>
            </w:r>
            <w:r>
              <w:t xml:space="preserve">) </w:t>
            </w:r>
            <w:r>
              <w:rPr>
                <w:b/>
                <w:i/>
              </w:rPr>
              <w:t>tinklas, kuriame būtų fiksuojami pagrindiniai bendrovių įvykiai, pavyzdžiui, registracija ar akcijų perleidimas, naudojant nekintamas laiko žymas</w:t>
            </w:r>
            <w:r>
              <w:t>.</w:t>
            </w:r>
          </w:p>
        </w:tc>
        <w:tc>
          <w:tcPr>
            <w:tcW w:w="4876" w:type="dxa"/>
            <w:tcBorders>
              <w:top w:val="nil"/>
              <w:left w:val="nil"/>
              <w:bottom w:val="nil"/>
              <w:right w:val="nil"/>
            </w:tcBorders>
          </w:tcPr>
          <w:p>
            <w:pPr>
              <w:pStyle w:val="Normal6a"/>
            </w:pPr>
            <w:r>
              <w:rPr>
                <w:b/>
                <w:i/>
              </w:rPr>
              <w:t>Prieigos punktas</w:t>
            </w:r>
            <w:r>
              <w:t xml:space="preserve"> būtų tiesioginis </w:t>
            </w:r>
            <w:r>
              <w:rPr>
                <w:b/>
                <w:i/>
              </w:rPr>
              <w:t>įėjimo</w:t>
            </w:r>
            <w:r>
              <w:t xml:space="preserve"> taškas, </w:t>
            </w:r>
            <w:r>
              <w:rPr>
                <w:b/>
                <w:i/>
              </w:rPr>
              <w:t>per kurį būtų galima ieškoti</w:t>
            </w:r>
            <w:r>
              <w:t xml:space="preserve"> kaip ESSU </w:t>
            </w:r>
            <w:r>
              <w:rPr>
                <w:b/>
                <w:i/>
              </w:rPr>
              <w:t>įregistruotų įmonių</w:t>
            </w:r>
            <w:r>
              <w:t xml:space="preserve">. Įtraukimas, pildymas ir atnaujinimai turėtų būti administruojami pagal </w:t>
            </w:r>
            <w:r>
              <w:rPr>
                <w:b/>
                <w:i/>
              </w:rPr>
              <w:t>Direktyvą (ES</w:t>
            </w:r>
            <w:r>
              <w:t xml:space="preserve">) </w:t>
            </w:r>
            <w:r>
              <w:rPr>
                <w:b/>
                <w:i/>
              </w:rPr>
              <w:t>2025/25</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2014 m. liepos 23 d.</w:t>
            </w:r>
            <w:r>
              <w:t xml:space="preserve"> </w:t>
            </w:r>
            <w:r>
              <w:rPr>
                <w:b/>
                <w:i/>
              </w:rPr>
              <w:t>Europos Parlamento ir Tarybos reglamentas (ES) Nr. 910/2014 dėl elektroninės atpažinties ir elektroninių operacijų patikimumo užtikrinimo paslaugų vidaus rinkoje, kuriuo panaikinama Direktyva 1999/93/EB, (OL L 257, 2014 8 28, p.</w:t>
            </w:r>
            <w:r>
              <w:t xml:space="preserve"> </w:t>
            </w:r>
            <w:r>
              <w:rPr>
                <w:b/>
                <w:i/>
              </w:rPr>
              <w:t>73, ELI: http://data.europa.eu/eli/reg/2014/910/oj).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Vieningas Sąjungos lygmens skaitmeninis bendrovių registras būtų tiesioginis prieigos taškas, kuriame bendrovės galėtų registruotis kaip ESSU</w:t>
            </w:r>
            <w:r>
              <w:rPr>
                <w:b/>
                <w:i/>
              </w:rPr>
              <w:t>.</w:t>
            </w:r>
            <w:r>
              <w:t xml:space="preserve"> Įtraukimas, pildymas ir atnaujinimai turėtų būti administruojami tame registre tik vieną kartą ir turėtų būti prieinami visose valstybėse narėse remiantis daugiakalbe sąsaja ir suderintais identifikavimo standartais pagal eIDAS reglamentą</w:t>
            </w:r>
            <w:r>
              <w:rPr>
                <w:vertAlign w:val="superscript"/>
              </w:rPr>
              <w:t>1</w:t>
            </w:r>
            <w:r>
              <w:t>. Registre galėtų būti naudojamas leidimais pagrįstas paskirstytojo registro technologijos (toliau –PRT) tinklas, kuriame būtų fiksuojami pagrindiniai bendrovių įvykiai, pavyzdžiui, registracija ar akcijų perleidimas, naudojant nekintamas laiko žymas.</w:t>
            </w:r>
          </w:p>
        </w:tc>
        <w:tc>
          <w:tcPr>
            <w:tcW w:w="4876" w:type="dxa"/>
            <w:tcBorders>
              <w:top w:val="nil"/>
              <w:left w:val="nil"/>
              <w:bottom w:val="nil"/>
              <w:right w:val="nil"/>
            </w:tcBorders>
          </w:tcPr>
          <w:p>
            <w:pPr>
              <w:pStyle w:val="Normal6a"/>
            </w:pPr>
            <w:r>
              <w:t>Vieningas Sąjungos lygmens skaitmeninis bendrovių registras būtų tiesioginis prieigos taškas, kuriame bendrovės galėtų registruotis kaip ESSU</w:t>
            </w:r>
            <w:r>
              <w:rPr>
                <w:b/>
                <w:i/>
              </w:rPr>
              <w:t>, o</w:t>
            </w:r>
            <w:r>
              <w:t xml:space="preserve"> įtraukimas, pildymas ir atnaujinimai turėtų būti administruojami tame registre tik vieną kartą ir turėtų būti prieinami visose valstybėse narėse remiantis daugiakalbe sąsaja ir suderintais identifikavimo standartais pagal eIDAS reglamentą</w:t>
            </w:r>
            <w:r>
              <w:rPr>
                <w:vertAlign w:val="superscript"/>
              </w:rPr>
              <w:t>1</w:t>
            </w:r>
            <w:r>
              <w:t>. Registre galėtų būti naudojamas leidimais pagrįstas paskirstytojo registro technologijos (toliau –PRT) tinklas, kuriame būtų fiksuojami pagrindiniai bendrovių įvykiai, pavyzdžiui, registracija ar akcijų perleidimas, naudojant nekintamas laiko žymas.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2014 m. liepos 23 d. Europos Parlamento ir Tarybos reglamentas (ES) Nr. 910/2014 dėl elektroninės atpažinties ir elektroninių operacijų patikimumo užtikrinimo paslaugų vidaus rinkoje, kuriuo panaikinama Direktyva 1999/93/EB</w:t>
            </w:r>
            <w:r>
              <w:rPr>
                <w:b/>
                <w:i/>
              </w:rPr>
              <w:t>,</w:t>
            </w:r>
            <w:r>
              <w:t xml:space="preserve"> (OL L 257, </w:t>
            </w:r>
            <w:r>
              <w:rPr>
                <w:b/>
                <w:i/>
              </w:rPr>
              <w:t>2014 8 28</w:t>
            </w:r>
            <w:r>
              <w:t>, p. 73, ELI: http://data.europa.eu/eli/reg/2014/910/oj)</w:t>
            </w:r>
            <w:r>
              <w:rPr>
                <w:b/>
                <w:i/>
              </w:rPr>
              <w:t>.</w:t>
            </w:r>
          </w:p>
        </w:tc>
        <w:tc>
          <w:tcPr>
            <w:tcW w:w="4876" w:type="dxa"/>
            <w:tcBorders>
              <w:top w:val="nil"/>
              <w:left w:val="nil"/>
              <w:bottom w:val="nil"/>
              <w:right w:val="nil"/>
            </w:tcBorders>
          </w:tcPr>
          <w:p>
            <w:pPr>
              <w:pStyle w:val="Normal6a"/>
            </w:pPr>
            <w:r>
              <w:rPr>
                <w:vertAlign w:val="superscript"/>
              </w:rPr>
              <w:t>1</w:t>
            </w:r>
            <w:r>
              <w:t xml:space="preserve"> </w:t>
            </w:r>
            <w:r>
              <w:t xml:space="preserve">2014 m. liepos 23 d. Europos Parlamento ir Tarybos reglamentas (ES) Nr. 910/2014 dėl elektroninės atpažinties ir elektroninių operacijų patikimumo užtikrinimo paslaugų vidaus rinkoje, kuriuo panaikinama Direktyva 1999/93/EB (OL L 257, </w:t>
            </w:r>
            <w:r>
              <w:rPr>
                <w:b/>
                <w:i/>
              </w:rPr>
              <w:t>2014 8 28</w:t>
            </w:r>
            <w:r>
              <w:t>, p. 73</w:t>
            </w:r>
            <w:r>
              <w:rPr>
                <w:b/>
                <w:i/>
              </w:rPr>
              <w:t>).</w:t>
            </w:r>
            <w:r>
              <w:t xml:space="preserve"> </w:t>
            </w:r>
            <w:r>
              <w:rPr>
                <w:b/>
                <w:i/>
              </w:rPr>
              <w:t>1</w:t>
            </w:r>
            <w:r>
              <w:t xml:space="preserve"> , ELI: http://data.europa.eu/eli/reg/2014/910/oj)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Vieningas Sąjungos lygmens skaitmeninis bendrovių registras būtų tiesioginis prieigos taškas, kuriame bendrovės galėtų registruotis kaip </w:t>
            </w:r>
            <w:r>
              <w:rPr>
                <w:b/>
                <w:i/>
              </w:rPr>
              <w:t>ESSU</w:t>
            </w:r>
            <w:r>
              <w:t>. Įtraukimas, pildymas ir atnaujinimai turėtų būti administruojami tame registre tik vieną kartą ir turėtų būti prieinami visose valstybėse narėse remiantis daugiakalbe sąsaja ir suderintais identifikavimo standartais pagal eIDAS reglamentą</w:t>
            </w:r>
            <w:r>
              <w:rPr>
                <w:vertAlign w:val="superscript"/>
              </w:rPr>
              <w:t>1</w:t>
            </w:r>
            <w:r>
              <w:t>. Registre galėtų būti naudojamas leidimais pagrįstas paskirstytojo registro technologijos (toliau –PRT) tinklas, kuriame būtų fiksuojami pagrindiniai bendrovių įvykiai, pavyzdžiui, registracija ar akcijų perleidimas, naudojant nekintamas laiko žymas.</w:t>
            </w:r>
          </w:p>
        </w:tc>
        <w:tc>
          <w:tcPr>
            <w:tcW w:w="4876" w:type="dxa"/>
            <w:tcBorders>
              <w:top w:val="nil"/>
              <w:left w:val="nil"/>
              <w:bottom w:val="nil"/>
              <w:right w:val="nil"/>
            </w:tcBorders>
          </w:tcPr>
          <w:p>
            <w:pPr>
              <w:pStyle w:val="Normal6a"/>
            </w:pPr>
            <w:r>
              <w:t xml:space="preserve">Vieningas Sąjungos lygmens skaitmeninis bendrovių registras būtų tiesioginis prieigos taškas, kuriame bendrovės galėtų registruotis kaip </w:t>
            </w:r>
            <w:r>
              <w:rPr>
                <w:b/>
                <w:i/>
              </w:rPr>
              <w:t>SES</w:t>
            </w:r>
            <w:r>
              <w:t>. Įtraukimas, pildymas ir atnaujinimai turėtų būti administruojami tame registre tik vieną kartą ir turėtų būti prieinami visose valstybėse narėse remiantis daugiakalbe sąsaja ir suderintais identifikavimo standartais pagal eIDAS reglamentą</w:t>
            </w:r>
            <w:r>
              <w:rPr>
                <w:vertAlign w:val="superscript"/>
              </w:rPr>
              <w:t>1</w:t>
            </w:r>
            <w:r>
              <w:t>. Registre galėtų būti naudojamas leidimais pagrįstas paskirstytojo registro technologijos (toliau –PRT) tinklas, kuriame būtų fiksuojami pagrindiniai bendrovių įvykiai, pavyzdžiui, registracija ar akcijų perleidimas, naudojant nekintamas laiko žymas.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2014 m. liepos 23 d. Europos Parlamento ir Tarybos reglamentas (ES) Nr. 910/2014 dėl elektroninės atpažinties ir elektroninių operacijų patikimumo užtikrinimo paslaugų vidaus rinkoje, kuriuo panaikinama Direktyva 1999/93/EB</w:t>
            </w:r>
            <w:r>
              <w:rPr>
                <w:b/>
                <w:i/>
              </w:rPr>
              <w:t>,</w:t>
            </w:r>
            <w:r>
              <w:t xml:space="preserve"> (OL L 257, </w:t>
            </w:r>
            <w:r>
              <w:rPr>
                <w:b/>
                <w:i/>
              </w:rPr>
              <w:t>2014 8 28</w:t>
            </w:r>
            <w:r>
              <w:t>, p. 73, ELI: http://data.europa.eu/eli/reg/2014/910/oj)</w:t>
            </w:r>
            <w:r>
              <w:rPr>
                <w:b/>
                <w:i/>
              </w:rPr>
              <w:t>.</w:t>
            </w:r>
          </w:p>
        </w:tc>
        <w:tc>
          <w:tcPr>
            <w:tcW w:w="4876" w:type="dxa"/>
            <w:tcBorders>
              <w:top w:val="nil"/>
              <w:left w:val="nil"/>
              <w:bottom w:val="nil"/>
              <w:right w:val="nil"/>
            </w:tcBorders>
          </w:tcPr>
          <w:p>
            <w:pPr>
              <w:pStyle w:val="Normal6a"/>
            </w:pPr>
            <w:r>
              <w:rPr>
                <w:vertAlign w:val="superscript"/>
              </w:rPr>
              <w:t>1</w:t>
            </w:r>
            <w:r>
              <w:t xml:space="preserve"> </w:t>
            </w:r>
            <w:r>
              <w:t xml:space="preserve">2014 m. liepos 23 d. Europos Parlamento ir Tarybos reglamentas (ES) Nr. 910/2014 dėl elektroninės atpažinties ir elektroninių operacijų patikimumo užtikrinimo paslaugų vidaus rinkoje, kuriuo panaikinama Direktyva 1999/93/EB (OL L 257, </w:t>
            </w:r>
            <w:r>
              <w:rPr>
                <w:b/>
                <w:i/>
              </w:rPr>
              <w:t>2014 8 28</w:t>
            </w:r>
            <w:r>
              <w:t>, p. 73</w:t>
            </w:r>
            <w:r>
              <w:rPr>
                <w:b/>
                <w:i/>
              </w:rPr>
              <w:t>).</w:t>
            </w:r>
            <w:r>
              <w:t xml:space="preserve"> </w:t>
            </w:r>
            <w:r>
              <w:rPr>
                <w:b/>
                <w:i/>
              </w:rPr>
              <w:t>1</w:t>
            </w:r>
            <w:r>
              <w:t xml:space="preserve"> , ELI: http://data.europa.eu/eli/reg/2014/910/oj)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Siekiant dar labiau paspartinti registraciją ir kuo labiau sumažinti klaidų skaičių, į skaitmeninį įmonių registrą taip pat turėtų būti įtraukti dirbtiniu intelektu varomi patvirtinimo varikliai ir skaitmeniniai tikrinimo mechanizmai.</w:t>
            </w:r>
            <w:r>
              <w:t xml:space="preserve"> </w:t>
            </w:r>
            <w:r>
              <w:rPr>
                <w:b/>
                <w:i/>
              </w:rPr>
              <w:t>Šios sistemos turi gebėti automatiškai patikrinti įtraukimo dokumentus, elektronines tapatybes (e. ID) ir notaro patvirtintus patvirtinimus dėl išsamumo ir teisinės atitikties, realiuoju laiku pažymėdamos neatitikimus.</w:t>
            </w:r>
            <w:r>
              <w:t xml:space="preserve"> </w:t>
            </w:r>
            <w:r>
              <w:rPr>
                <w:b/>
                <w:i/>
              </w:rPr>
              <w:t>Be to, jos turėtų integruotis į esamas e. teisingumo ir nacionalinių verslo registrų duomenų bazes, taip pat į „pažink savo klientą“ (KYC) ir (arba) kovos su pinigų plovimu stebėjimo sąrašus, kad tikruoju laiku patikrintų duomenis pagal nacionalinius ir Sąjungos lygmens stebėjimo sąrašus (pvz., pagrindinių tikrųjų savininkų (UBO) arba sankcijų sąrašus).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 to, turėtų būti sukurta internetinė bendrovių namų platforma, kuri palengvintų saugų skaitmeninį dokumentų, įskaitant notarus, pasirašymą, akcijų pardavimą ir paskirstymą, valdybos nutarimų rengimą ir priėmimą ir e. sąskaitų faktūrų išrašymo paslaugų teikimą.</w:t>
            </w:r>
            <w:r>
              <w:t xml:space="preserve"> </w:t>
            </w:r>
            <w:r>
              <w:rPr>
                <w:b/>
                <w:i/>
              </w:rPr>
              <w:t>Ši platforma taip pat turėtų sudaryti sąlygas vienoje valstybėje narėje išduotų sertifikatų, licencijų ir leidimų perkeliamumui pripažinti ir naudoti visoje Sąjungoje, laikantis taikytinos Sąjungos ir nacionalinės teisės;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Turėtų būti nustatyta supaprastinta ESSU steigimo procedūra, kai visi galimi nariai arba akcininkai yra Sąjungos piliečiai, galintys atlikti eiDAS autentiškumo patvirtinimą, arba ESSU, kurių atveju taip yra ir pagal kurią naudojamasi Europos Komisijos parengta pavyzdine įstatų asociacija.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punkto 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Turi būti užtikrinta, kad bet kokie piniginiai įnašai, kurių teisiškai reikalaujama bendrovei įsteigti, galėtų būti mokami valstybinei patikos agentūrai už laikotarpį iki banko sąskaitos atidarymo užbaigimo.</w:t>
            </w:r>
            <w:r>
              <w:t xml:space="preserve"> </w:t>
            </w:r>
            <w:r>
              <w:rPr>
                <w:b/>
                <w:i/>
              </w:rPr>
              <w:t>Atidarius banko sąskaitą, patikos agentūra perveda piniginius įnašus į šią banko sąskaitą.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Apsaugos priemonės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 taikomomis taisyklėmis neturėtų būti daromas poveikis individualiai ir kolektyvinei darbo teisei ir taisyklėms dėl darbuotojų dalyvavimo priimant sprendimus.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taikomomis taisyklėmis neturėtų būti daromas poveikis individualiai ir kolektyvinei darbo teisei ir taisyklėms dėl darbuotojų dalyvavimo priimant sprendimus.</w:t>
            </w:r>
          </w:p>
        </w:tc>
        <w:tc>
          <w:tcPr>
            <w:tcW w:w="4876" w:type="dxa"/>
            <w:tcBorders>
              <w:top w:val="nil"/>
              <w:left w:val="nil"/>
              <w:bottom w:val="nil"/>
              <w:right w:val="nil"/>
            </w:tcBorders>
          </w:tcPr>
          <w:p>
            <w:pPr>
              <w:pStyle w:val="Normal6a"/>
            </w:pPr>
            <w:r>
              <w:rPr>
                <w:b/>
                <w:i/>
              </w:rPr>
              <w:t>SES</w:t>
            </w:r>
            <w:r>
              <w:t xml:space="preserve"> taikomomis taisyklėmis neturėtų būti daromas poveikis individualiai ir kolektyvinei darbo teisei ir taisyklėms dėl darbuotojų dalyvavimo priimant sprendimus.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taikomomis taisyklėmis neturėtų būti daromas poveikis </w:t>
            </w:r>
            <w:r>
              <w:rPr>
                <w:b/>
                <w:i/>
              </w:rPr>
              <w:t>individualiai ir kolektyvinei</w:t>
            </w:r>
            <w:r>
              <w:t xml:space="preserve"> darbo teisei </w:t>
            </w:r>
            <w:r>
              <w:rPr>
                <w:b/>
                <w:i/>
              </w:rPr>
              <w:t>ir taisyklėms</w:t>
            </w:r>
            <w:r>
              <w:t xml:space="preserve"> dėl darbuotojų dalyvavimo priimant sprendimus.</w:t>
            </w:r>
          </w:p>
        </w:tc>
        <w:tc>
          <w:tcPr>
            <w:tcW w:w="4876" w:type="dxa"/>
            <w:tcBorders>
              <w:top w:val="nil"/>
              <w:left w:val="nil"/>
              <w:bottom w:val="nil"/>
              <w:right w:val="nil"/>
            </w:tcBorders>
          </w:tcPr>
          <w:p>
            <w:pPr>
              <w:pStyle w:val="Normal6a"/>
            </w:pPr>
            <w:r>
              <w:t xml:space="preserve">ESSU taikomomis taisyklėmis neturėtų būti daromas poveikis </w:t>
            </w:r>
            <w:r>
              <w:rPr>
                <w:b/>
                <w:i/>
              </w:rPr>
              <w:t>Sąjungos ir nacionalinei</w:t>
            </w:r>
            <w:r>
              <w:t xml:space="preserve"> darbo teisei</w:t>
            </w:r>
            <w:r>
              <w:rPr>
                <w:b/>
                <w:i/>
              </w:rPr>
              <w:t>, įskaitant taisykles</w:t>
            </w:r>
            <w:r>
              <w:t xml:space="preserve"> dėl darbuotojų dalyvavimo priimant sprendimus.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Individualioms darbo sutartims taikytina teisė turėtų būti išimtinai nustatyta Reglamento (EB) Nr. 593/2008 8 straipsnyje.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Individualioms darbo sutartims taikytina teisė turėtų būti išimtinai nustatyta Reglamento (EB) Nr. 593/2008 8 straipsnyje.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Individualioms darbo sutartims taikytina teisė </w:t>
            </w:r>
            <w:r>
              <w:rPr>
                <w:b/>
                <w:i/>
              </w:rPr>
              <w:t>turėtų būti</w:t>
            </w:r>
            <w:r>
              <w:t xml:space="preserve"> išimtinai nustatyta Reglamento (EB) Nr. 593/2008 8 straipsnyje.</w:t>
            </w:r>
          </w:p>
        </w:tc>
        <w:tc>
          <w:tcPr>
            <w:tcW w:w="4876" w:type="dxa"/>
            <w:tcBorders>
              <w:top w:val="nil"/>
              <w:left w:val="nil"/>
              <w:bottom w:val="nil"/>
              <w:right w:val="nil"/>
            </w:tcBorders>
          </w:tcPr>
          <w:p>
            <w:pPr>
              <w:pStyle w:val="Normal6a"/>
            </w:pPr>
            <w:r>
              <w:t xml:space="preserve">Individualioms darbo sutartims taikytina teisė </w:t>
            </w:r>
            <w:r>
              <w:rPr>
                <w:b/>
                <w:i/>
              </w:rPr>
              <w:t>lieka</w:t>
            </w:r>
            <w:r>
              <w:t xml:space="preserve"> išimtinai nustatyta Reglamento (EB) Nr. 593/2008 8 straipsnyje.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 darbuotojų dalyvavimu priimant sprendimus susijusiais klausimais taikytina teisė turėtų būti nustatoma pagal tikrosios bendrovės buveinės vietą, t. y. bendrovės centrinės administracijos vietą.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 darbuotojų dalyvavimu priimant sprendimus susijusiais klausimais taikytina teisė turėtų būti nustatoma pagal tikrosios bendrovės buveinės vietą, t. y. bendrovės centrinės administracijos vietą.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Su darbuotojų dalyvavimu priimant sprendimus susijusiais klausimais taikytina teisė turėtų būti nustatoma pagal </w:t>
            </w:r>
            <w:r>
              <w:rPr>
                <w:b/>
                <w:i/>
              </w:rPr>
              <w:t>tikrosios</w:t>
            </w:r>
            <w:r>
              <w:t xml:space="preserve"> bendrovės </w:t>
            </w:r>
            <w:r>
              <w:rPr>
                <w:b/>
                <w:i/>
              </w:rPr>
              <w:t>buveinės vietą, t. y</w:t>
            </w:r>
            <w:r>
              <w:t xml:space="preserve">. </w:t>
            </w:r>
            <w:r>
              <w:rPr>
                <w:b/>
                <w:i/>
              </w:rPr>
              <w:t>bendrovės centrinės administracijos vietą.</w:t>
            </w:r>
          </w:p>
        </w:tc>
        <w:tc>
          <w:tcPr>
            <w:tcW w:w="4876" w:type="dxa"/>
            <w:tcBorders>
              <w:top w:val="nil"/>
              <w:left w:val="nil"/>
              <w:bottom w:val="nil"/>
              <w:right w:val="nil"/>
            </w:tcBorders>
          </w:tcPr>
          <w:p>
            <w:pPr>
              <w:pStyle w:val="Normal6a"/>
            </w:pPr>
            <w:r>
              <w:t xml:space="preserve">Su darbuotojų dalyvavimu priimant sprendimus susijusiais klausimais taikytina teisė turėtų būti nustatoma pagal bendrovės </w:t>
            </w:r>
            <w:r>
              <w:rPr>
                <w:b/>
                <w:i/>
              </w:rPr>
              <w:t>darbuotojų darbo vietos teisę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Jei bendrovė turi darbuotojų keliose valstybėse narėse, taikytina teisė yra didžiausio darbuotojų skaičiaus darbo vieta.</w:t>
            </w:r>
            <w:r>
              <w:t xml:space="preserve"> </w:t>
            </w:r>
            <w:r>
              <w:rPr>
                <w:b/>
                <w:i/>
              </w:rPr>
              <w:t>Kai bendrovės darbuotojų skaičius viršija 500 darbuotojų kitoje valstybėje narėje nei ta, kurioje bendrovė iš pradžių buvo įregistruota, bendrovės registruota buveinė perkeliama į darbo vietos valstybę narę.</w:t>
            </w:r>
            <w:r>
              <w:t xml:space="preserve"> </w:t>
            </w:r>
            <w:r>
              <w:rPr>
                <w:b/>
                <w:i/>
              </w:rPr>
              <w:t>Jei bendrovės darbuotojų skaičius neviršija 500, tačiau bendrovė yra šią ribą vienoje valstybėje narėje pasiekusių bendrovių grupės patronuojančioji bendrovė, visi grupės darbuotojai toje valstybėje narėje priskiriami bendrovei.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Atsižvelgiant į poreikį išvengti mokesčių slėpimo, piktnaudžiavimo jais ir pinigų plovimo, taip pat sankcijų apėjimo, reikia parengti apsaugos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Kilus ginčui ar neaiškumams dėl to, kuri nacionalinė teisė reglamentuoja klausimus, susijusius su darbuotojų dalyvavimu priimant sprendimus, ESSU valdyba, darbuotojų atstovai ar profesinės sąjungos, kurie turėtų paskyrimo teisę pagal nacionalinę teisę, dėl kurios taikymo kyla ginčas ar kyla neaiškumų, turėtų turėti galimybę prašyti valstybės narės, kurioje yra bendrovės registruota buveinė, teismo ar tribunolo priimti sprendimą dėl taikytinos teisės.</w:t>
            </w:r>
            <w:r>
              <w:t xml:space="preserve"> </w:t>
            </w:r>
            <w:r>
              <w:rPr>
                <w:b/>
                <w:i/>
              </w:rPr>
              <w:t>Šis teismas turėtų turėti išimtinę jurisdikciją spręsti šį klausimą.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Kilus ginčui ar neaiškumams dėl to, kuri nacionalinė teisė reglamentuoja klausimus, susijusius su darbuotojų dalyvavimu priimant sprendimus, ESSU valdyba, darbuotojų atstovai ar profesinės sąjungos, kurie turėtų paskyrimo teisę pagal nacionalinę teisę, dėl kurios taikymo kyla ginčas ar kyla neaiškumų, turėtų turėti galimybę prašyti valstybės narės, kurioje yra bendrovės registruota buveinė, teismo ar tribunolo priimti sprendimą dėl taikytinos teisės.</w:t>
            </w:r>
            <w:r>
              <w:t xml:space="preserve"> </w:t>
            </w:r>
            <w:r>
              <w:rPr>
                <w:b/>
                <w:i/>
              </w:rPr>
              <w:t>Šis teismas turėtų turėti išimtinę jurisdikciją spręsti šį klausimą.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Kilus ginčui ar neaiškumams dėl to, kuri nacionalinė teisė reglamentuoja klausimus, susijusius su darbuotojų dalyvavimu priimant sprendimus, ESSU valdyba, darbuotojų atstovai ar profesinės sąjungos, kurie turėtų paskyrimo teisę pagal nacionalinę teisę, dėl kurios taikymo kyla ginčas ar kyla neaiškumų, turėtų turėti galimybę prašyti valstybės narės, kurioje yra bendrovės registruota buveinė, teismo ar tribunolo priimti sprendimą dėl taikytinos teisės. Šis teismas turėtų turėti išimtinę jurisdikciją spręsti šį klausimą.</w:t>
            </w:r>
          </w:p>
        </w:tc>
        <w:tc>
          <w:tcPr>
            <w:tcW w:w="4876" w:type="dxa"/>
            <w:tcBorders>
              <w:top w:val="nil"/>
              <w:left w:val="nil"/>
              <w:bottom w:val="nil"/>
              <w:right w:val="nil"/>
            </w:tcBorders>
          </w:tcPr>
          <w:p>
            <w:pPr>
              <w:pStyle w:val="Normal6a"/>
            </w:pPr>
            <w:r>
              <w:t xml:space="preserve">Kilus ginčui ar neaiškumams dėl to, kuri nacionalinė teisė reglamentuoja klausimus, susijusius su darbuotojų dalyvavimu priimant sprendimus, ESSU valdyba, darbuotojų atstovai ar profesinės sąjungos, kurie turėtų paskyrimo teisę pagal nacionalinę teisę, dėl kurios taikymo kyla ginčas ar kyla neaiškumų, turėtų turėti galimybę prašyti valstybės narės, kurioje yra bendrovės registruota buveinė, teismo ar tribunolo priimti sprendimą dėl taikytinos teisės </w:t>
            </w:r>
            <w:r>
              <w:rPr>
                <w:b/>
                <w:i/>
              </w:rPr>
              <w:t>ir ir dėl privalomo registruotosios buveinės perkėlimo</w:t>
            </w:r>
            <w:r>
              <w:t>. Šis teismas turėtų turėti išimtinę jurisdikciją spręsti šį klausimą.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4 punkto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Kilus ginčui ar neaiškumams dėl to, kuri nacionalinė teisė reglamentuoja klausimus, susijusius su darbuotojų dalyvavimu priimant sprendimus, </w:t>
            </w:r>
            <w:r>
              <w:rPr>
                <w:b/>
                <w:i/>
              </w:rPr>
              <w:t>ESSU</w:t>
            </w:r>
            <w:r>
              <w:t xml:space="preserve"> valdyba, darbuotojų atstovai ar profesinės sąjungos, kurie turėtų paskyrimo teisę pagal nacionalinę teisę, dėl kurios taikymo kyla ginčas ar kyla neaiškumų, turėtų turėti galimybę prašyti valstybės narės, kurioje yra bendrovės registruota buveinė, teismo ar tribunolo priimti sprendimą dėl taikytinos teisės. Šis teismas turėtų turėti išimtinę jurisdikciją spręsti šį klausimą.</w:t>
            </w:r>
          </w:p>
        </w:tc>
        <w:tc>
          <w:tcPr>
            <w:tcW w:w="4876" w:type="dxa"/>
            <w:tcBorders>
              <w:top w:val="nil"/>
              <w:left w:val="nil"/>
              <w:bottom w:val="nil"/>
              <w:right w:val="nil"/>
            </w:tcBorders>
          </w:tcPr>
          <w:p>
            <w:pPr>
              <w:pStyle w:val="Normal6a"/>
            </w:pPr>
            <w:r>
              <w:t xml:space="preserve">Kilus ginčui ar neaiškumams dėl to, kuri nacionalinė teisė reglamentuoja klausimus, susijusius su darbuotojų dalyvavimu priimant sprendimus, </w:t>
            </w:r>
            <w:r>
              <w:rPr>
                <w:b/>
                <w:i/>
              </w:rPr>
              <w:t>SES</w:t>
            </w:r>
            <w:r>
              <w:t xml:space="preserve"> valdyba, darbuotojų atstovai ar profesinės sąjungos, kurie turėtų paskyrimo teisę pagal nacionalinę teisę, dėl kurios taikymo kyla ginčas ar kyla neaiškumų, turėtų turėti galimybę prašyti valstybės narės, kurioje yra bendrovės registruota buveinė, teismo ar tribunolo priimti sprendimą dėl taikytinos teisės. Šis teismas turėtų turėti išimtinę jurisdikciją spręsti šį klausimą.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punkto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Neprivalomo ilgalaikiškumo skatinimas</w:t>
            </w:r>
          </w:p>
        </w:tc>
        <w:tc>
          <w:tcPr>
            <w:tcW w:w="4876" w:type="dxa"/>
            <w:tcBorders>
              <w:top w:val="nil"/>
              <w:left w:val="nil"/>
              <w:bottom w:val="nil"/>
              <w:right w:val="nil"/>
            </w:tcBorders>
          </w:tcPr>
          <w:p>
            <w:pPr>
              <w:pStyle w:val="Normal6a"/>
            </w:pPr>
            <w:r>
              <w:rPr>
                <w:b/>
                <w:i/>
              </w:rPr>
              <w:t>Neprivalomas ilgalaikiškumas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Siekdamos apsaugoti Europos novatoriškas įmones nuo destruktyvių įsigijimų ir užkirsti kelią inovacijų, kurių kūrimas dažnai remiamas Europos viešosiomis mokslinių tyrimų lėšomis, perkėlimui už Sąjungos ribų, valstybės narės turėtų nustatyti taisykles, pagal kurias įmonės galėtų neatšaukiamai pasirinkti papildomas teisinės apsaugos sistemas, pavyzdžiui:</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balsavimo teisių ir ekonominių teisių atskyrimą skirtingų klasių akcijomis, ypač dviejų klasių akcijomis;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balsavimo teisių kvalifikavimą kaip neperleidžiamų ir nepaveldimų;</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pelno paskirstymą investuotojams arba ekonominių teisių turėtojams remiantis sutartimi įformintu susitarimu, kuris yra ribojamas laiku arba sumomis ir kurį bet kuri šalis gali bet kada nutraukti;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tarpvalstybinio pertvarkymo į subjektus, kurie pasirinko papildomą teisinės apsaugos sistemą, ypač turto blokavimą, apribojimą;</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Siekdamos </w:t>
            </w:r>
            <w:r>
              <w:rPr>
                <w:b/>
                <w:i/>
              </w:rPr>
              <w:t>apsaugoti</w:t>
            </w:r>
            <w:r>
              <w:t xml:space="preserve"> Europos novatoriškas įmones </w:t>
            </w:r>
            <w:r>
              <w:rPr>
                <w:b/>
                <w:i/>
              </w:rPr>
              <w:t>nuo destruktyvių įsigijimų ir užkirsti kelią inovacijų, kurių kūrimas dažnai remiamas Europos viešosiomis mokslinių tyrimų lėšomis, perkėlimui už Sąjungos ribų</w:t>
            </w:r>
            <w:r>
              <w:t>, valstybės narės turėtų nustatyti taisykles, pagal kurias įmonės galėtų neatšaukiamai pasirinkti papildomas teisinės apsaugos sistemas, pavyzdžiui:</w:t>
            </w:r>
          </w:p>
        </w:tc>
        <w:tc>
          <w:tcPr>
            <w:tcW w:w="4876" w:type="dxa"/>
            <w:tcBorders>
              <w:top w:val="nil"/>
              <w:left w:val="nil"/>
              <w:bottom w:val="nil"/>
              <w:right w:val="nil"/>
            </w:tcBorders>
          </w:tcPr>
          <w:p>
            <w:pPr>
              <w:pStyle w:val="Normal6a"/>
            </w:pPr>
            <w:r>
              <w:t xml:space="preserve">Siekdamos </w:t>
            </w:r>
            <w:r>
              <w:rPr>
                <w:b/>
                <w:i/>
              </w:rPr>
              <w:t>skatinti</w:t>
            </w:r>
            <w:r>
              <w:t xml:space="preserve"> Europos novatoriškas įmones, valstybės narės turėtų nustatyti taisykles, pagal kurias įmonės galėtų neatšaukiamai pasirinkti papildomas teisinės apsaugos sistemas, pavyzdžiui: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Siekdamos apsaugoti</w:t>
            </w:r>
            <w:r>
              <w:t xml:space="preserve"> Europos </w:t>
            </w:r>
            <w:r>
              <w:rPr>
                <w:b/>
                <w:i/>
              </w:rPr>
              <w:t>novatoriškas įmones nuo destruktyvių įsigijimų</w:t>
            </w:r>
            <w:r>
              <w:t xml:space="preserve"> ir užkirsti kelią inovacijų</w:t>
            </w:r>
            <w:r>
              <w:rPr>
                <w:b/>
                <w:i/>
              </w:rPr>
              <w:t>, kurių kūrimas dažnai remiamas Europos viešosiomis mokslinių tyrimų lėšomis,</w:t>
            </w:r>
            <w:r>
              <w:t xml:space="preserve"> perkėlimui </w:t>
            </w:r>
            <w:r>
              <w:rPr>
                <w:b/>
                <w:i/>
              </w:rPr>
              <w:t>už Sąjungos ribų, valstybės narės</w:t>
            </w:r>
            <w:r>
              <w:t xml:space="preserve"> turėtų </w:t>
            </w:r>
            <w:r>
              <w:rPr>
                <w:b/>
                <w:i/>
              </w:rPr>
              <w:t>nustatyti taisykles</w:t>
            </w:r>
            <w:r>
              <w:t>, pagal kurias įmonės galėtų neatšaukiamai pasirinkti papildomas teisinės apsaugos sistemas, pavyzdžiui:</w:t>
            </w:r>
          </w:p>
        </w:tc>
        <w:tc>
          <w:tcPr>
            <w:tcW w:w="4876" w:type="dxa"/>
            <w:tcBorders>
              <w:top w:val="nil"/>
              <w:left w:val="nil"/>
              <w:bottom w:val="nil"/>
              <w:right w:val="nil"/>
            </w:tcBorders>
          </w:tcPr>
          <w:p>
            <w:pPr>
              <w:pStyle w:val="Normal6a"/>
            </w:pPr>
            <w:r>
              <w:rPr>
                <w:b/>
                <w:i/>
              </w:rPr>
              <w:t>Siekiant padėti novatoriškoms</w:t>
            </w:r>
            <w:r>
              <w:t xml:space="preserve"> Europos </w:t>
            </w:r>
            <w:r>
              <w:rPr>
                <w:b/>
                <w:i/>
              </w:rPr>
              <w:t>įmonėms gauti kapitalo, pritraukti talentų</w:t>
            </w:r>
            <w:r>
              <w:t xml:space="preserve"> ir užkirsti kelią inovacijų perkėlimui</w:t>
            </w:r>
            <w:r>
              <w:rPr>
                <w:b/>
                <w:i/>
              </w:rPr>
              <w:t>, reglamente</w:t>
            </w:r>
            <w:r>
              <w:t xml:space="preserve"> turėtų </w:t>
            </w:r>
            <w:r>
              <w:rPr>
                <w:b/>
                <w:i/>
              </w:rPr>
              <w:t>būti nustatytos taisyklės</w:t>
            </w:r>
            <w:r>
              <w:t>, pagal kurias įmonės galėtų neatšaukiamai pasirinkti papildomas teisinės apsaugos sistemas, pavyzdžiui: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Siekdamos apsaugoti Europos novatoriškas įmones nuo destruktyvių įsigijimų ir užkirsti kelią inovacijų, kurių kūrimas dažnai remiamas Europos viešosiomis mokslinių tyrimų lėšomis, perkėlimui už Sąjungos ribų,</w:t>
            </w:r>
            <w:r>
              <w:t xml:space="preserve"> valstybės narės turėtų nustatyti taisykles, pagal kurias įmonės galėtų neatšaukiamai pasirinkti papildomas teisinės apsaugos sistemas</w:t>
            </w:r>
            <w:r>
              <w:rPr>
                <w:b/>
                <w:i/>
              </w:rPr>
              <w:t>, pavyzdžiui</w:t>
            </w:r>
            <w:r>
              <w:t>:</w:t>
            </w:r>
          </w:p>
        </w:tc>
        <w:tc>
          <w:tcPr>
            <w:tcW w:w="4876" w:type="dxa"/>
            <w:tcBorders>
              <w:top w:val="nil"/>
              <w:left w:val="nil"/>
              <w:bottom w:val="nil"/>
              <w:right w:val="nil"/>
            </w:tcBorders>
          </w:tcPr>
          <w:p>
            <w:pPr>
              <w:pStyle w:val="Normal6a"/>
            </w:pPr>
            <w:r>
              <w:t xml:space="preserve">Valstybės narės turėtų nustatyti taisykles, pagal kurias įmonės galėtų </w:t>
            </w:r>
            <w:r>
              <w:rPr>
                <w:b/>
                <w:i/>
              </w:rPr>
              <w:t>savanoriškai ir</w:t>
            </w:r>
            <w:r>
              <w:t xml:space="preserve"> neatšaukiamai pasirinkti papildomas teisinės apsaugos sistemas</w:t>
            </w:r>
            <w:r>
              <w:rPr>
                <w:b/>
                <w:i/>
              </w:rPr>
              <w:t>.</w:t>
            </w:r>
            <w:r>
              <w:t xml:space="preserve"> </w:t>
            </w:r>
            <w:r>
              <w:rPr>
                <w:b/>
                <w:i/>
              </w:rPr>
              <w:t>Taip Europos įmonės, norinčios tęsti savo senąjį verslą, galėtų būti apsaugotos nuo destrukcinių įsigijimų ir perkėlimo.</w:t>
            </w:r>
            <w:r>
              <w:t xml:space="preserve"> </w:t>
            </w:r>
            <w:r>
              <w:rPr>
                <w:b/>
                <w:i/>
              </w:rPr>
              <w:t>Šias schemas gali sudaryti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Siekdamos apsaugoti Europos novatoriškas įmones nuo destruktyvių įsigijimų ir užkirsti kelią inovacijų, kurių kūrimas dažnai remiamas Europos viešosiomis mokslinių tyrimų lėšomis, perkėlimui už Sąjungos ribų, </w:t>
            </w:r>
            <w:r>
              <w:rPr>
                <w:b/>
                <w:i/>
              </w:rPr>
              <w:t>valstybės narės</w:t>
            </w:r>
            <w:r>
              <w:t xml:space="preserve"> turėtų </w:t>
            </w:r>
            <w:r>
              <w:rPr>
                <w:b/>
                <w:i/>
              </w:rPr>
              <w:t>nustatyti taisykles</w:t>
            </w:r>
            <w:r>
              <w:t>, pagal kurias įmonės galėtų neatšaukiamai pasirinkti papildomas teisinės apsaugos sistemas, pavyzdžiui:</w:t>
            </w:r>
          </w:p>
        </w:tc>
        <w:tc>
          <w:tcPr>
            <w:tcW w:w="4876" w:type="dxa"/>
            <w:tcBorders>
              <w:top w:val="nil"/>
              <w:left w:val="nil"/>
              <w:bottom w:val="nil"/>
              <w:right w:val="nil"/>
            </w:tcBorders>
          </w:tcPr>
          <w:p>
            <w:pPr>
              <w:pStyle w:val="Normal6a"/>
            </w:pPr>
            <w:r>
              <w:t xml:space="preserve">Siekdamos apsaugoti Europos novatoriškas įmones nuo destruktyvių įsigijimų ir užkirsti kelią inovacijų, kurių kūrimas dažnai remiamas Europos viešosiomis mokslinių tyrimų lėšomis, perkėlimui už Sąjungos ribų, </w:t>
            </w:r>
            <w:r>
              <w:rPr>
                <w:b/>
                <w:i/>
              </w:rPr>
              <w:t>ES teisės aktuose dėl 28-osios teisinės sistemos</w:t>
            </w:r>
            <w:r>
              <w:t xml:space="preserve"> turėtų </w:t>
            </w:r>
            <w:r>
              <w:rPr>
                <w:b/>
                <w:i/>
              </w:rPr>
              <w:t>būti nustatytos taisyklės</w:t>
            </w:r>
            <w:r>
              <w:t>, pagal kurias įmonės galėtų neatšaukiamai pasirinkti papildomas teisinės apsaugos sistemas, pavyzdžiui: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punkto 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balsavimo teisių ir ekonominių teisių atskyrimą skirtingų klasių akcijomis, </w:t>
            </w:r>
            <w:r>
              <w:rPr>
                <w:b/>
                <w:i/>
              </w:rPr>
              <w:t>ypač</w:t>
            </w:r>
            <w:r>
              <w:t xml:space="preserve"> dviejų klasių </w:t>
            </w:r>
            <w:r>
              <w:rPr>
                <w:b/>
                <w:i/>
              </w:rPr>
              <w:t>akcijomis</w:t>
            </w:r>
            <w:r>
              <w:t>;</w:t>
            </w:r>
          </w:p>
        </w:tc>
        <w:tc>
          <w:tcPr>
            <w:tcW w:w="4876" w:type="dxa"/>
            <w:tcBorders>
              <w:top w:val="nil"/>
              <w:left w:val="nil"/>
              <w:bottom w:val="nil"/>
              <w:right w:val="nil"/>
            </w:tcBorders>
          </w:tcPr>
          <w:p>
            <w:pPr>
              <w:pStyle w:val="Normal6a"/>
            </w:pPr>
            <w:r>
              <w:t>-</w:t>
            </w:r>
            <w:r>
              <w:tab/>
            </w:r>
            <w:r>
              <w:t>balsavimo teisių ir ekonominių teisių atskyrimą skirtingų klasių akcijomis, </w:t>
            </w:r>
            <w:r>
              <w:rPr>
                <w:b/>
                <w:i/>
              </w:rPr>
              <w:t>įskaitant</w:t>
            </w:r>
            <w:r>
              <w:t xml:space="preserve"> dviejų klasių </w:t>
            </w:r>
            <w:r>
              <w:rPr>
                <w:b/>
                <w:i/>
              </w:rPr>
              <w:t>akcijas, veto akcijas ir privilegijuotąsias akcijas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punkto 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tarpvalstybinio pertvarkymo į subjektus, kurie pasirinko papildomą teisinės apsaugos sistemą, ypač turto blokavimą, apribojimą;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punkto 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tarpvalstybinio pertvarkymo į subjektus, kurie pasirinko papildomą teisinės apsaugos sistemą, ypač turto blokavimą, apribojimą;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Bendrovės, kurios pasirinko tokias papildomas teisinės apsaugos sistemas, turėtų turėti galimybę savo įmonės pavadinime naudoti ženklą „priklausantis valdytojui“.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Bendrovės, kurios pasirinko tokias papildomas teisinės apsaugos sistemas, turėtų turėti galimybę savo įmonės pavadinime naudoti ženklą „priklausantis valdytojui“.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Direktyva (ES) 2017/1132, kiek tai susiję su tarpvalstybiniu bendrovių pertvarkymu, jungimu ir skaidymu, turėtų būti iš dalies pakeista, kad valstybėms narėms, kurios nusprendė nustatyti savo nacionalinę bendrovių valdytojų nuosavybės juridinę formą, būtų leista apriboti tokios nacionalinės bendrovių juridinės formos tarpvalstybinį pertvarkymą į kitų valstybių narių bendrovių juridines formas, kuriose taip pat numatytos panašios valdytojo nuosavybės juridinės formos.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Direktyva (ES) 2017/1132, kiek tai susiję su tarpvalstybiniu bendrovių pertvarkymu, jungimu ir skaidymu, turėtų būti iš dalies pakeista, kad valstybėms narėms, kurios nusprendė nustatyti savo nacionalinę bendrovių valdytojų nuosavybės juridinę formą, būtų leista apriboti tokios nacionalinės bendrovių juridinės formos tarpvalstybinį pertvarkymą į kitų valstybių narių bendrovių juridines formas, kuriose taip pat numatytos panašios valdytojo nuosavybės juridinės formos.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Papildomos inovacijų rėmimo priemonės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Kaip pažymėjo Komisija, 28-ąją teisinę sistemą novatoriškoms bendrovėms sudarys papildomų pasiūlymų rinkinys ir ji bus integruota taikant modulines priemones, apimančias įvairias politikos sritis ir reguliavimo sritis.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Kad ES taptų konkurencingesnė, į 28-osios teisinės sistemos novatoriškoms bendrovėms teisėkūros atnaujinimą ir vėlesnius Komisijos pateiktus pasiūlymus turi būti įtrauktas iššūkis Europos inovacijų sektoriaus, startuolių ir veiklą plečiančių įmonių mokesčių srities valdymą padaryti patrauklesnį ir skatinti naudingas darbuotojų akcijų nuosavybės bendrovėje naudingas dalyvavimo formas, suderinant Europos teisės aktus inovacijų srityje su geriausiais pasauliniais standartais.</w:t>
            </w:r>
            <w:r>
              <w:rPr>
                <w:b/>
                <w:i/>
              </w:rPr>
              <w:t>Iš ekonomikos rodiklių matyti, kad jurisdikcijos, pasirinkusios gerokai naudingesnį valdymą, sėkmingai pritraukia ir išlaiko kapitalą, investicijas ir specialistus.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Toks požiūris ne tik leistų konkuruoti visose srityse su geriausių rezultatų pasiekusiomis užsienio jurisdikcijomis, bet ir būtų galingas Europos konkurencingumo augimo ir naujų didelės pridėtinės vertės darbo vietų kūrimo ES variklis, kartu stiprinant suverenumą, technologinę nepriklausomybę ir Europos lyderystę pasaulinėje inovacijų aplinkoje.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Talentų pritraukimas</w:t>
            </w:r>
          </w:p>
        </w:tc>
        <w:tc>
          <w:tcPr>
            <w:tcW w:w="4876" w:type="dxa"/>
            <w:tcBorders>
              <w:top w:val="nil"/>
              <w:left w:val="nil"/>
              <w:bottom w:val="nil"/>
              <w:right w:val="nil"/>
            </w:tcBorders>
          </w:tcPr>
          <w:p>
            <w:pPr>
              <w:pStyle w:val="Normal6a"/>
            </w:pPr>
            <w:r>
              <w:t xml:space="preserve">Talentų pritraukimas </w:t>
            </w:r>
            <w:r>
              <w:rPr>
                <w:b/>
                <w:i/>
              </w:rPr>
              <w:t>ir parama jiems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Našumo augimas, inovacijos ir socialinė įtrauktis turi būti neatsiejami. </w:t>
            </w:r>
            <w:r>
              <w:rPr>
                <w:b/>
                <w:i/>
              </w:rPr>
              <w:t>ESSU</w:t>
            </w:r>
            <w:r>
              <w:t xml:space="preserve"> turėtų būti numatytos neprivalomos </w:t>
            </w:r>
            <w:r>
              <w:rPr>
                <w:b/>
                <w:i/>
              </w:rPr>
              <w:t>visoje Sąjungoje</w:t>
            </w:r>
            <w:r>
              <w:t xml:space="preserve"> suderintos </w:t>
            </w:r>
            <w:r>
              <w:rPr>
                <w:b/>
                <w:i/>
              </w:rPr>
              <w:t>taisyklės dėl</w:t>
            </w:r>
            <w:r>
              <w:t xml:space="preserve"> darbuotojų akcijų </w:t>
            </w:r>
            <w:r>
              <w:rPr>
                <w:b/>
                <w:i/>
              </w:rPr>
              <w:t>nuosavybės</w:t>
            </w:r>
            <w:r>
              <w:t xml:space="preserve"> planų (</w:t>
            </w:r>
            <w:r>
              <w:rPr>
                <w:b/>
                <w:i/>
              </w:rPr>
              <w:t>toliau – DANP</w:t>
            </w:r>
            <w:r>
              <w:t xml:space="preserve">) </w:t>
            </w:r>
            <w:r>
              <w:rPr>
                <w:b/>
                <w:i/>
              </w:rPr>
              <w:t>struktūrizavimo, kurį palengvintų atskiras tarpininkas.</w:t>
            </w:r>
            <w:r>
              <w:t xml:space="preserve"> </w:t>
            </w:r>
            <w:r>
              <w:rPr>
                <w:b/>
                <w:i/>
              </w:rPr>
              <w:t>Taip bus</w:t>
            </w:r>
            <w:r>
              <w:t xml:space="preserve"> ne tik </w:t>
            </w:r>
            <w:r>
              <w:rPr>
                <w:b/>
                <w:i/>
              </w:rPr>
              <w:t>sudarytos sąlygos</w:t>
            </w:r>
            <w:r>
              <w:t xml:space="preserve"> MVĮ, startuoliams ir veiklą plečiančioms įmonėms pritraukti talentų ir skatinti </w:t>
            </w:r>
            <w:r>
              <w:rPr>
                <w:b/>
                <w:i/>
              </w:rPr>
              <w:t>ilgalaikį įsipareigojimą</w:t>
            </w:r>
            <w:r>
              <w:t xml:space="preserve">, bet ir </w:t>
            </w:r>
            <w:r>
              <w:rPr>
                <w:b/>
                <w:i/>
              </w:rPr>
              <w:t>užtikrintas visapusiškas ir sąžiningas</w:t>
            </w:r>
            <w:r>
              <w:t xml:space="preserve"> darbuotojų </w:t>
            </w:r>
            <w:r>
              <w:rPr>
                <w:b/>
                <w:i/>
              </w:rPr>
              <w:t>dalyvavimas</w:t>
            </w:r>
            <w:r>
              <w:t xml:space="preserve"> kuriant vertę, kurią jie padeda </w:t>
            </w:r>
            <w:r>
              <w:rPr>
                <w:b/>
                <w:i/>
              </w:rPr>
              <w:t>kurti savo darbu</w:t>
            </w:r>
            <w:r>
              <w:t xml:space="preserve"> ir intelektiniu kapitalu. Rengiant suderintas </w:t>
            </w:r>
            <w:r>
              <w:rPr>
                <w:b/>
                <w:i/>
              </w:rPr>
              <w:t>ESSU</w:t>
            </w:r>
            <w:r>
              <w:t xml:space="preserve"> taisykles, būtina atsižvelgti į šiuos principus:</w:t>
            </w:r>
          </w:p>
        </w:tc>
        <w:tc>
          <w:tcPr>
            <w:tcW w:w="4876" w:type="dxa"/>
            <w:tcBorders>
              <w:top w:val="nil"/>
              <w:left w:val="nil"/>
              <w:bottom w:val="nil"/>
              <w:right w:val="nil"/>
            </w:tcBorders>
          </w:tcPr>
          <w:p>
            <w:pPr>
              <w:pStyle w:val="Normal6a"/>
            </w:pPr>
            <w:r>
              <w:t xml:space="preserve">Našumo augimas, inovacijos ir socialinė įtrauktis turi būti neatsiejami. </w:t>
            </w:r>
            <w:r>
              <w:rPr>
                <w:b/>
                <w:i/>
              </w:rPr>
              <w:t>SES</w:t>
            </w:r>
            <w:r>
              <w:t xml:space="preserve"> turėtų būti numatytos neprivalomos suderintos darbuotojų akcijų </w:t>
            </w:r>
            <w:r>
              <w:rPr>
                <w:b/>
                <w:i/>
              </w:rPr>
              <w:t>pasirinkimo sandorių</w:t>
            </w:r>
            <w:r>
              <w:t xml:space="preserve"> planų (</w:t>
            </w:r>
            <w:r>
              <w:rPr>
                <w:b/>
                <w:i/>
              </w:rPr>
              <w:t>ESVP</w:t>
            </w:r>
            <w:r>
              <w:t xml:space="preserve">) </w:t>
            </w:r>
            <w:r>
              <w:rPr>
                <w:b/>
                <w:i/>
              </w:rPr>
              <w:t>struktūros taisyklės visoje Sąjungoje. Tai</w:t>
            </w:r>
            <w:r>
              <w:t xml:space="preserve"> ne tik </w:t>
            </w:r>
            <w:r>
              <w:rPr>
                <w:b/>
                <w:i/>
              </w:rPr>
              <w:t>sudarys sąlygas</w:t>
            </w:r>
            <w:r>
              <w:t xml:space="preserve"> MVĮ, startuoliams ir veiklą plečiančioms įmonėms pritraukti talentų ir skatinti </w:t>
            </w:r>
            <w:r>
              <w:rPr>
                <w:b/>
                <w:i/>
              </w:rPr>
              <w:t>ilgalaikius įsipareigojimus, taip pat palengvinti jų veiklą įvairiose nacionalinėse rinkose dėl esamų skirtingų sistemų struktūros</w:t>
            </w:r>
            <w:r>
              <w:t xml:space="preserve">, bet ir </w:t>
            </w:r>
            <w:r>
              <w:rPr>
                <w:b/>
                <w:i/>
              </w:rPr>
              <w:t>užtikrins visapusišką ir sąžiningą</w:t>
            </w:r>
            <w:r>
              <w:t xml:space="preserve"> darbuotojų </w:t>
            </w:r>
            <w:r>
              <w:rPr>
                <w:b/>
                <w:i/>
              </w:rPr>
              <w:t>dalyvavimą</w:t>
            </w:r>
            <w:r>
              <w:t xml:space="preserve"> kuriant vertę, kurią jie padeda </w:t>
            </w:r>
            <w:r>
              <w:rPr>
                <w:b/>
                <w:i/>
              </w:rPr>
              <w:t>sukurti savo darbo</w:t>
            </w:r>
            <w:r>
              <w:t xml:space="preserve"> ir intelektiniu kapitalu. </w:t>
            </w:r>
            <w:r>
              <w:rPr>
                <w:b/>
                <w:i/>
              </w:rPr>
              <w:t>DAPN turėtų sutelkti dėmesį į darbuotojų akcijų nuosavybės planų elementų suderinimą, nedarant poveikio valstybių narių fiskaliniam suverenumui.</w:t>
            </w:r>
            <w:r>
              <w:t xml:space="preserve"> </w:t>
            </w:r>
            <w:r>
              <w:rPr>
                <w:b/>
                <w:i/>
              </w:rPr>
              <w:t>Dėl šios priežasties akcijų nuosavybės mokesčio tarifas ir toliau priklausys valstybių narių kompetencijai.</w:t>
            </w:r>
            <w:r>
              <w:t xml:space="preserve"> </w:t>
            </w:r>
            <w:r>
              <w:rPr>
                <w:b/>
                <w:i/>
              </w:rPr>
              <w:t>DAPN daugiausia turėtų būti susiję su apmokestinimo laiku akcijų pardavimo metu, kapitalo prieaugio apskaičiavimu siekiant užtikrinti suderinimą ir tokios sistemos sistema, pvz., sklandumu ir teisių suteikimo laikotarpiais, per kuriuos darbuotojai gali įsigyti akcijų pasirinkimo sandorius.</w:t>
            </w:r>
            <w:r>
              <w:t xml:space="preserve"> Rengiant suderintas </w:t>
            </w:r>
            <w:r>
              <w:rPr>
                <w:b/>
                <w:i/>
              </w:rPr>
              <w:t>SES</w:t>
            </w:r>
            <w:r>
              <w:t xml:space="preserve"> taisykles, būtina atsižvelgti į šiuos principus: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Našumo augimas, inovacijos ir socialinė įtrauktis turi būti neatsiejami. ESSU turėtų būti numatytos neprivalomos visoje Sąjungoje suderintos taisyklės dėl darbuotojų akcijų </w:t>
            </w:r>
            <w:r>
              <w:rPr>
                <w:b/>
                <w:i/>
              </w:rPr>
              <w:t>nuosavybės</w:t>
            </w:r>
            <w:r>
              <w:t xml:space="preserve"> planų (toliau – </w:t>
            </w:r>
            <w:r>
              <w:rPr>
                <w:b/>
                <w:i/>
              </w:rPr>
              <w:t>DANP</w:t>
            </w:r>
            <w:r>
              <w:t>) struktūrizavimo</w:t>
            </w:r>
            <w:r>
              <w:rPr>
                <w:b/>
                <w:i/>
              </w:rPr>
              <w:t>, kurį palengvintų atskiras tarpininkas</w:t>
            </w:r>
            <w:r>
              <w:t>. Taip bus ne tik sudarytos sąlygos MVĮ, startuoliams ir veiklą plečiančioms įmonėms pritraukti talentų ir skatinti ilgalaikį įsipareigojimą, bet ir užtikrintas visapusiškas ir sąžiningas darbuotojų dalyvavimas kuriant vertę, kurią jie padeda kurti savo darbu ir intelektiniu kapitalu. Rengiant suderintas ESSU taisykles, būtina atsižvelgti į šiuos principus:</w:t>
            </w:r>
          </w:p>
        </w:tc>
        <w:tc>
          <w:tcPr>
            <w:tcW w:w="4876" w:type="dxa"/>
            <w:tcBorders>
              <w:top w:val="nil"/>
              <w:left w:val="nil"/>
              <w:bottom w:val="nil"/>
              <w:right w:val="nil"/>
            </w:tcBorders>
          </w:tcPr>
          <w:p>
            <w:pPr>
              <w:pStyle w:val="Normal6a"/>
            </w:pPr>
            <w:r>
              <w:rPr>
                <w:b/>
                <w:i/>
              </w:rPr>
              <w:t>Siekiant skatinti ekonomikos augimą, skatinti inovacijas ir išlaikyti konkurencingumą sparčiai kintančioje pasaulinėje rinkoje, labai svarbu pritraukti kvalifikuotų ir novatoriškų specialistų.</w:t>
            </w:r>
            <w:r>
              <w:t xml:space="preserve"> Našumo augimas, inovacijos ir socialinė įtrauktis turi būti neatsiejami. ESSU turėtų būti numatytos neprivalomos visoje Sąjungoje suderintos taisyklės dėl darbuotojų akcijų planų (toliau – </w:t>
            </w:r>
            <w:r>
              <w:rPr>
                <w:b/>
                <w:i/>
              </w:rPr>
              <w:t>DAP</w:t>
            </w:r>
            <w:r>
              <w:t>) struktūrizavimo. Taip bus ne tik sudarytos sąlygos MVĮ, startuoliams ir veiklą plečiančioms įmonėms pritraukti talentų ir skatinti ilgalaikį įsipareigojimą, bet ir užtikrintas visapusiškas ir sąžiningas darbuotojų dalyvavimas kuriant vertę, kurią jie padeda kurti savo darbu ir intelektiniu kapitalu. Rengiant suderintas ESSU taisykles, būtina atsižvelgti į šiuos principus: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Našumo augimas, inovacijos ir socialinė įtrauktis turi būti neatsiejami. ESSU turėtų būti numatytos neprivalomos visoje Sąjungoje suderintos taisyklės dėl darbuotojų akcijų nuosavybės planų (toliau – DANP) struktūrizavimo</w:t>
            </w:r>
            <w:r>
              <w:rPr>
                <w:b/>
                <w:i/>
              </w:rPr>
              <w:t>, kurį palengvintų atskiras tarpininkas</w:t>
            </w:r>
            <w:r>
              <w:t>. Taip bus ne tik sudarytos sąlygos MVĮ, startuoliams ir veiklą plečiančioms įmonėms pritraukti talentų ir skatinti ilgalaikį įsipareigojimą, bet ir užtikrintas visapusiškas ir sąžiningas darbuotojų dalyvavimas kuriant vertę, kurią jie padeda kurti savo darbu ir intelektiniu kapitalu. Rengiant suderintas ESSU taisykles, būtina atsižvelgti į šiuos principus:</w:t>
            </w:r>
          </w:p>
        </w:tc>
        <w:tc>
          <w:tcPr>
            <w:tcW w:w="4876" w:type="dxa"/>
            <w:tcBorders>
              <w:top w:val="nil"/>
              <w:left w:val="nil"/>
              <w:bottom w:val="nil"/>
              <w:right w:val="nil"/>
            </w:tcBorders>
          </w:tcPr>
          <w:p>
            <w:pPr>
              <w:pStyle w:val="Normal6a"/>
            </w:pPr>
            <w:r>
              <w:t>Našumo augimas, inovacijos ir socialinė įtrauktis turi būti neatsiejami. ESSU turėtų būti numatytos neprivalomos visoje Sąjungoje suderintos taisyklės dėl darbuotojų akcijų nuosavybės planų (toliau – DANP) struktūrizavimo. Taip bus ne tik sudarytos sąlygos MVĮ, startuoliams ir veiklą plečiančioms įmonėms pritraukti talentų ir skatinti ilgalaikį įsipareigojimą, bet ir užtikrintas visapusiškas ir sąžiningas darbuotojų dalyvavimas kuriant vertę, kurią jie padeda kurti savo darbu ir intelektiniu kapitalu. Rengiant suderintas ESSU taisykles, būtina atsižvelgti į šiuos principus: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Našumo augimas, inovacijos ir socialinė įtrauktis turi būti neatsiejami. ESSU turėtų būti numatytos neprivalomos visoje Sąjungoje suderintos taisyklės dėl darbuotojų akcijų nuosavybės planų (toliau – DANP) struktūrizavimo, kurį palengvintų atskiras </w:t>
            </w:r>
            <w:r>
              <w:rPr>
                <w:b/>
                <w:i/>
              </w:rPr>
              <w:t>tarpininkas</w:t>
            </w:r>
            <w:r>
              <w:t>. Taip bus ne tik sudarytos sąlygos MVĮ, startuoliams ir veiklą plečiančioms įmonėms pritraukti talentų ir skatinti ilgalaikį įsipareigojimą, bet ir užtikrintas visapusiškas ir sąžiningas darbuotojų dalyvavimas kuriant vertę, kurią jie padeda kurti savo darbu ir intelektiniu kapitalu. Rengiant suderintas ESSU taisykles, būtina atsižvelgti į šiuos principus:</w:t>
            </w:r>
          </w:p>
        </w:tc>
        <w:tc>
          <w:tcPr>
            <w:tcW w:w="4876" w:type="dxa"/>
            <w:tcBorders>
              <w:top w:val="nil"/>
              <w:left w:val="nil"/>
              <w:bottom w:val="nil"/>
              <w:right w:val="nil"/>
            </w:tcBorders>
          </w:tcPr>
          <w:p>
            <w:pPr>
              <w:pStyle w:val="Normal6a"/>
            </w:pPr>
            <w:r>
              <w:t xml:space="preserve">Našumo augimas, inovacijos ir socialinė įtrauktis turi būti neatsiejami. ESSU turėtų būti numatytos neprivalomos visoje Sąjungoje suderintos taisyklės dėl darbuotojų akcijų nuosavybės planų (toliau – DANP) struktūrizavimo, kurį palengvintų atskiras </w:t>
            </w:r>
            <w:r>
              <w:rPr>
                <w:b/>
                <w:i/>
              </w:rPr>
              <w:t>teisinis subjektas</w:t>
            </w:r>
            <w:r>
              <w:t>. Taip bus ne tik sudarytos sąlygos MVĮ, startuoliams ir veiklą plečiančioms įmonėms pritraukti talentų ir skatinti ilgalaikį įsipareigojimą, bet ir užtikrintas visapusiškas ir sąžiningas darbuotojų dalyvavimas kuriant vertę, kurią jie padeda kurti savo darbu ir intelektiniu kapitalu. Rengiant suderintas ESSU taisykles, būtina atsižvelgti į šiuos principus: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išankstinė sąlyga – tokios sistemos jokiu būdu neturėtų pakeisti ar sumažinti įprasto bazinio darbo užmokesčio ar bet kokios kitos formos įmokų, pavyzdžiui, socialinio draudimo įmokų, bet turėtų būti išmoka, papildanti visas socialines ir sutartines teises;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išankstinė sąlyga – tokios sistemos jokiu būdu neturėtų pakeisti ar sumažinti įprasto bazinio darbo užmokesčio ar bet kokios kitos formos įmokų, pavyzdžiui, socialinio draudimo įmokų, bet turėtų būti išmoka, papildanti visas socialines ir sutartines teises;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dalies 2 pastraipos 1a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ESSU darbuotojams, kurie gauna akcijų pasirinkimo sandorius, neturėtų būti taikomas joks vienodas apmokestinimas.</w:t>
            </w:r>
            <w:r>
              <w:t xml:space="preserve"> </w:t>
            </w:r>
            <w:r>
              <w:rPr>
                <w:b/>
                <w:i/>
              </w:rPr>
              <w:t>Nauda, kurią darbuotojai gauna už aktyvų dalyvavimą bendrovės augimo ir verslo veikloje, turėtų būti pripažįstama kaip kapitalo prieaugis visoje Sąjungoje.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dalies 2 pastraipos 1b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tokios sistemos turėtų būti parengtos taip, kad būtų išsaugotas novatoriškų įmonių, startuolių ir veiklą plečiančių įmonių gebėjimas lanksčiai priimti sprendimus ir greitai reaguoti į veiklos ir gamybos poreikius.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rengiant ir įgyvendinant tokias </w:t>
            </w:r>
            <w:r>
              <w:rPr>
                <w:b/>
                <w:i/>
              </w:rPr>
              <w:t>sistemas pagrindinis principas turi būti skaidrumas</w:t>
            </w:r>
            <w:r>
              <w:t>;</w:t>
            </w:r>
          </w:p>
        </w:tc>
        <w:tc>
          <w:tcPr>
            <w:tcW w:w="4876" w:type="dxa"/>
            <w:tcBorders>
              <w:top w:val="nil"/>
              <w:left w:val="nil"/>
              <w:bottom w:val="nil"/>
              <w:right w:val="nil"/>
            </w:tcBorders>
          </w:tcPr>
          <w:p>
            <w:pPr>
              <w:pStyle w:val="Normal6a"/>
            </w:pPr>
            <w:r>
              <w:t>-</w:t>
            </w:r>
            <w:r>
              <w:tab/>
            </w:r>
            <w:r>
              <w:rPr>
                <w:b/>
                <w:i/>
              </w:rPr>
              <w:t>skaidrumas ir demokratinis valdymas turi būti pagrindiniai principai</w:t>
            </w:r>
            <w:r>
              <w:t xml:space="preserve"> rengiant ir įgyvendinant tokias </w:t>
            </w:r>
            <w:r>
              <w:rPr>
                <w:b/>
                <w:i/>
              </w:rPr>
              <w:t>programas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dalyvavimas tokiose sistemose turi būti nediskriminacinis ir atviras visiems darbuotojams;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dalyvavimas tokiose sistemose turi būti nediskriminacinis </w:t>
            </w:r>
            <w:r>
              <w:rPr>
                <w:b/>
                <w:i/>
              </w:rPr>
              <w:t>ir</w:t>
            </w:r>
            <w:r>
              <w:t xml:space="preserve"> atviras visiems darbuotojams;</w:t>
            </w:r>
          </w:p>
        </w:tc>
        <w:tc>
          <w:tcPr>
            <w:tcW w:w="4876" w:type="dxa"/>
            <w:tcBorders>
              <w:top w:val="nil"/>
              <w:left w:val="nil"/>
              <w:bottom w:val="nil"/>
              <w:right w:val="nil"/>
            </w:tcBorders>
          </w:tcPr>
          <w:p>
            <w:pPr>
              <w:pStyle w:val="Normal6a"/>
            </w:pPr>
            <w:r>
              <w:t>-</w:t>
            </w:r>
            <w:r>
              <w:tab/>
            </w:r>
            <w:r>
              <w:t>dalyvavimas tokiose sistemose turi būti nediskriminacinis</w:t>
            </w:r>
            <w:r>
              <w:rPr>
                <w:b/>
                <w:i/>
              </w:rPr>
              <w:t>,</w:t>
            </w:r>
            <w:r>
              <w:t xml:space="preserve"> atviras </w:t>
            </w:r>
            <w:r>
              <w:rPr>
                <w:b/>
                <w:i/>
              </w:rPr>
              <w:t>ir išskirtinai</w:t>
            </w:r>
            <w:r>
              <w:t xml:space="preserve"> visiems darbuotojams;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2 dalies 3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bet kokia nauda, kurią SES darbuotojai gauna pagal šiuos akcijų pasirinkimo sandorius, turėtų būti pripažįstama kaip kapitalo prieaugis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dalyvavimas tokiose sistemose </w:t>
            </w:r>
            <w:r>
              <w:rPr>
                <w:b/>
                <w:i/>
              </w:rPr>
              <w:t>darbuotojams</w:t>
            </w:r>
            <w:r>
              <w:t xml:space="preserve"> ir toliau turi būti savanoriškas;</w:t>
            </w:r>
          </w:p>
        </w:tc>
        <w:tc>
          <w:tcPr>
            <w:tcW w:w="4876" w:type="dxa"/>
            <w:tcBorders>
              <w:top w:val="nil"/>
              <w:left w:val="nil"/>
              <w:bottom w:val="nil"/>
              <w:right w:val="nil"/>
            </w:tcBorders>
          </w:tcPr>
          <w:p>
            <w:pPr>
              <w:pStyle w:val="Normal6a"/>
            </w:pPr>
            <w:r>
              <w:t>-</w:t>
            </w:r>
            <w:r>
              <w:tab/>
            </w:r>
            <w:r>
              <w:t>dalyvavimas tokiose sistemose ir toliau turi būti savanoriškas;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dalyvavimas tokiose sistemose </w:t>
            </w:r>
            <w:r>
              <w:rPr>
                <w:b/>
                <w:i/>
              </w:rPr>
              <w:t>darbuotojams</w:t>
            </w:r>
            <w:r>
              <w:t xml:space="preserve"> ir toliau turi būti savanoriškas;</w:t>
            </w:r>
          </w:p>
        </w:tc>
        <w:tc>
          <w:tcPr>
            <w:tcW w:w="4876" w:type="dxa"/>
            <w:tcBorders>
              <w:top w:val="nil"/>
              <w:left w:val="nil"/>
              <w:bottom w:val="nil"/>
              <w:right w:val="nil"/>
            </w:tcBorders>
          </w:tcPr>
          <w:p>
            <w:pPr>
              <w:pStyle w:val="Normal6a"/>
            </w:pPr>
            <w:r>
              <w:t>-</w:t>
            </w:r>
            <w:r>
              <w:tab/>
            </w:r>
            <w:r>
              <w:t>dalyvavimas tokiose sistemose ir toliau turi būti savanoriškas;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kartu su tokiomis sistemomis turi būti įdiegti mechanizmai, apsaugantys darbuotojus nuo nepagrįstos finansinės rizikos;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kartu su tokiomis sistemomis turi būti įdiegti mechanizmai, apsaugantys darbuotojus nuo nepagrįstos finansinės rizikos;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dalies 2 pastraipos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kartu su tokiomis sistemomis turi būti įdiegti mechanizmai, apsaugantys darbuotojus nuo nepagrįstos finansinės rizikos</w:t>
            </w:r>
            <w:r>
              <w:rPr>
                <w:b/>
                <w:i/>
              </w:rPr>
              <w:t>;</w:t>
            </w:r>
          </w:p>
        </w:tc>
        <w:tc>
          <w:tcPr>
            <w:tcW w:w="4876" w:type="dxa"/>
            <w:tcBorders>
              <w:top w:val="nil"/>
              <w:left w:val="nil"/>
              <w:bottom w:val="nil"/>
              <w:right w:val="nil"/>
            </w:tcBorders>
          </w:tcPr>
          <w:p>
            <w:pPr>
              <w:pStyle w:val="Normal6a"/>
            </w:pPr>
            <w:r>
              <w:rPr>
                <w:b/>
                <w:i/>
              </w:rPr>
              <w:t>–</w:t>
            </w:r>
            <w:r>
              <w:tab/>
            </w:r>
            <w:r>
              <w:t>kartu su tokiomis sistemomis turi būti įdiegti mechanizmai, apsaugantys darbuotojus nuo nepagrįstos finansinės rizikos</w:t>
            </w:r>
            <w:r>
              <w:rPr>
                <w:b/>
                <w:i/>
              </w:rPr>
              <w:t>, ir Europos lygmens apsaugos sąlyga, susijusi su darbuotojų kapitalo priemonių vertinimu, siekiant užtikrinti teisinį tikrumą ir kuo labiau sumažinti administracinę naštą ir išlaidas.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2 dalies 5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tokiomis schemomis turėtų būti prisidedama prie sanglaudos visoje Sąjungoje, užtikrinant lygias galimybes darbuotojams, nepriklausomai nuo to, ar jie įsikūrę kaimo ar miesto vietovėse, ar valstybėse narėse, kurių ekonominio išsivystymo lygis skiriasi;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2 dalies 5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darbuotojų nuosavo kapitalo priemonių vertinimo saugumo garantas, pagrįstas suderintais ES kriterijais, siekiant užtikrinti teisinį tikrumą ir kuo labiau sumažinti administracinę naštą;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konsultuodamasi su socialiniais partneriais ir remdamasi geriausios praktikos pavyzdžiais, turėtų parengti paprastus, elementarius ir bazinius pagalbinius pavyzdinius pelno pasidalijimo susitarimus ir gaires ESSU, kad palengvintų įgyvendinimą, padidintų informuotumą apie darbuotojų akcijų nuosavybės planus ir suvienodintų finansinio dalyvavimo sistemas valstybėse narėse.</w:t>
            </w:r>
            <w:r>
              <w:t xml:space="preserve"> </w:t>
            </w:r>
            <w:r>
              <w:rPr>
                <w:b/>
                <w:i/>
              </w:rPr>
              <w:t>Pavyzdiniuose susitarimuose ir gairėse turėtų būti pateikta informacija apie susijusią finansinę riziką darbuotojams, nurodytos darbuotojų išpirkimo galimybės ir apsvarstytas poveikis darbuotojams, ypač atsižvelgiant į lyčių lygybę.</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konsultuodamasi su socialiniais partneriais ir remdamasi geriausios praktikos pavyzdžiais, turėtų parengti paprastus, elementarius ir bazinius pagalbinius pavyzdinius pelno pasidalijimo susitarimus ir gaires ESSU, kad palengvintų įgyvendinimą, padidintų informuotumą apie darbuotojų akcijų nuosavybės planus ir suvienodintų finansinio dalyvavimo sistemas valstybėse narėse.</w:t>
            </w:r>
            <w:r>
              <w:t xml:space="preserve"> </w:t>
            </w:r>
            <w:r>
              <w:rPr>
                <w:b/>
                <w:i/>
              </w:rPr>
              <w:t>Pavyzdiniuose susitarimuose ir gairėse turėtų būti pateikta informacija apie susijusią finansinę riziką darbuotojams, nurodytos darbuotojų išpirkimo galimybės ir apsvarstytas poveikis darbuotojams, ypač atsižvelgiant į lyčių lygybę.</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Komisija, konsultuodamasi su socialiniais partneriais ir remdamasi geriausios praktikos pavyzdžiais, turėtų parengti paprastus, elementarius ir bazinius pagalbinius pavyzdinius pelno pasidalijimo susitarimus ir gaires ESSU, kad palengvintų įgyvendinimą, padidintų informuotumą apie darbuotojų akcijų nuosavybės planus ir suvienodintų finansinio dalyvavimo sistemas valstybėse narėse. Pavyzdiniuose susitarimuose ir gairėse turėtų būti pateikta informacija apie susijusią finansinę riziką darbuotojams, nurodytos darbuotojų išpirkimo </w:t>
            </w:r>
            <w:r>
              <w:rPr>
                <w:b/>
                <w:i/>
              </w:rPr>
              <w:t>galimybės</w:t>
            </w:r>
            <w:r>
              <w:t xml:space="preserve"> ir apsvarstytas poveikis darbuotojams, ypač atsižvelgiant į lyčių lygybę.</w:t>
            </w:r>
          </w:p>
        </w:tc>
        <w:tc>
          <w:tcPr>
            <w:tcW w:w="4876" w:type="dxa"/>
            <w:tcBorders>
              <w:top w:val="nil"/>
              <w:left w:val="nil"/>
              <w:bottom w:val="nil"/>
              <w:right w:val="nil"/>
            </w:tcBorders>
          </w:tcPr>
          <w:p>
            <w:pPr>
              <w:pStyle w:val="Normal6a"/>
            </w:pPr>
            <w:r>
              <w:t xml:space="preserve">Komisija, konsultuodamasi su socialiniais partneriais ir remdamasi geriausios praktikos pavyzdžiais, turėtų parengti paprastus, elementarius ir bazinius pagalbinius pavyzdinius pelno pasidalijimo susitarimus ir gaires ESSU, kad palengvintų įgyvendinimą, padidintų informuotumą apie darbuotojų akcijų nuosavybės planus ir suvienodintų finansinio dalyvavimo sistemas valstybėse narėse. Pavyzdiniuose susitarimuose ir gairėse turėtų būti pateikta informacija apie susijusią finansinę riziką darbuotojams, nurodytos darbuotojų išpirkimo </w:t>
            </w:r>
            <w:r>
              <w:rPr>
                <w:b/>
                <w:i/>
              </w:rPr>
              <w:t>galimybė, demokratinį valdymą</w:t>
            </w:r>
            <w:r>
              <w:t xml:space="preserve"> ir apsvarstytas poveikis darbuotojams, ypač atsižvelgiant į lyčių lygybę.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Komisija, konsultuodamasi su socialiniais partneriais ir remdamasi geriausios praktikos pavyzdžiais, turėtų parengti paprastus, elementarius ir bazinius pagalbinius pavyzdinius pelno pasidalijimo susitarimus ir gaires </w:t>
            </w:r>
            <w:r>
              <w:rPr>
                <w:b/>
                <w:i/>
              </w:rPr>
              <w:t>ESSU</w:t>
            </w:r>
            <w:r>
              <w:t>, kad palengvintų įgyvendinimą, padidintų informuotumą apie darbuotojų akcijų nuosavybės planus ir suvienodintų finansinio dalyvavimo sistemas valstybėse narėse. Pavyzdiniuose susitarimuose ir gairėse turėtų būti pateikta informacija apie susijusią finansinę riziką darbuotojams, nurodytos darbuotojų išpirkimo galimybės ir apsvarstytas poveikis darbuotojams, ypač atsižvelgiant į lyčių lygybę.</w:t>
            </w:r>
          </w:p>
        </w:tc>
        <w:tc>
          <w:tcPr>
            <w:tcW w:w="4876" w:type="dxa"/>
            <w:tcBorders>
              <w:top w:val="nil"/>
              <w:left w:val="nil"/>
              <w:bottom w:val="nil"/>
              <w:right w:val="nil"/>
            </w:tcBorders>
          </w:tcPr>
          <w:p>
            <w:pPr>
              <w:pStyle w:val="Normal6a"/>
            </w:pPr>
            <w:r>
              <w:t xml:space="preserve">Komisija, konsultuodamasi su socialiniais partneriais ir remdamasi geriausios praktikos pavyzdžiais, turėtų parengti paprastus, elementarius ir bazinius pagalbinius pavyzdinius pelno pasidalijimo susitarimus ir gaires </w:t>
            </w:r>
            <w:r>
              <w:rPr>
                <w:b/>
                <w:i/>
              </w:rPr>
              <w:t>SES</w:t>
            </w:r>
            <w:r>
              <w:t>, kad palengvintų įgyvendinimą, padidintų informuotumą apie darbuotojų akcijų nuosavybės planus ir suvienodintų finansinio dalyvavimo sistemas valstybėse narėse. Pavyzdiniuose susitarimuose ir gairėse turėtų būti pateikta informacija apie susijusią finansinę riziką darbuotojams, nurodytos darbuotojų išpirkimo galimybės ir apsvarstytas poveikis darbuotojams, ypač atsižvelgiant į lyčių lygybę.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Siekiant stiprinti ESSU inovacinius pajėgumus ir paspartinti mokslinių tyrimų rezultatų komercializaciją, sistema turėtų skatinti ir palengvinti ESSU ir universitetų, mokslinių tyrimų institutų ir technologijų perdavimo biurų struktūrizuotą partnerystę.</w:t>
            </w:r>
            <w:r>
              <w:rPr>
                <w:b/>
                <w:i/>
              </w:rPr>
              <w:t>Tokiomis partnerystėmis turėtų būti siekiama: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paspartinti pateikimo rinkai procesą ir remti atskirtų įmonių kūrimą;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suteikti ESSU prieigą prie bendros mokslinių tyrimų infrastruktūros, laboratorijų ir techninių žinių;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-sudaryti palankesnes sąlygas mokslo darbuotojų ir kvalifikuotų absolventų judumui į ESSU taikant specialias įdarbinimo programas;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skatinti bendrą dalyvavimą Sąjungos mokslinių tyrimų ir inovacijų finansavimo programose;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sukurti inovacijų kuponus arba panašius paramos mechanizmus, kad ESSU galėtų iš akademinių partnerių įsigyti MTTP ir inovacijų paslaugas.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Komisija turėtų parengti tokioms partnerystėms skirtas gaires ir bendradarbiavimo susitarimų pavyzdžius, užtikrindama, kad jie būtų paprasti, skaidrūs ir sąžiningi visoms susijusioms šalims.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6 punkto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ESSU suteikia įmonėms galimybę tiesiogiai samdyti ir įdarbinti darbuotojus skirtingose valstybėse narėse, nereikalaujant, kad darbdaviai būtų įrašų darbdaviai ar panašūs tarpininkai.</w:t>
            </w:r>
            <w:r>
              <w:t xml:space="preserve"> </w:t>
            </w:r>
            <w:r>
              <w:rPr>
                <w:b/>
                <w:i/>
              </w:rPr>
              <w:t>Šia nuostata siekiama sumažinti administracinę ir reguliavimo naštą, susijusią su tarpvalstybiniu užimtumu, kartu visapusiškai laikantis taikomų nacionalinių darbo, socialinės apsaugos ir užimtumo teisės aktų.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Valstybės narės</w:t>
            </w:r>
            <w:r>
              <w:t xml:space="preserve"> turėtų nustatyti </w:t>
            </w:r>
            <w:r>
              <w:rPr>
                <w:b/>
                <w:i/>
              </w:rPr>
              <w:t>suderintas</w:t>
            </w:r>
            <w:r>
              <w:t xml:space="preserve"> į nuosavą kapitalą panašias skolos priemones, kurios leistų investuotojams investuoti į bendroves neįgyjant bendrovės kontrolės teisių (pvz., dalyvavimo pelno dalybose teisės, partnerystės nedalyvaujant veikloje ar su pelnu susietos paskolos). Tokios į nuosavą kapitalą panašios skolos priemonės turėtų būti:</w:t>
            </w:r>
          </w:p>
        </w:tc>
        <w:tc>
          <w:tcPr>
            <w:tcW w:w="4876" w:type="dxa"/>
            <w:tcBorders>
              <w:top w:val="nil"/>
              <w:left w:val="nil"/>
              <w:bottom w:val="nil"/>
              <w:right w:val="nil"/>
            </w:tcBorders>
          </w:tcPr>
          <w:p>
            <w:pPr>
              <w:pStyle w:val="Normal6a"/>
            </w:pPr>
            <w:r>
              <w:rPr>
                <w:b/>
                <w:i/>
              </w:rPr>
              <w:t>ESSU</w:t>
            </w:r>
            <w:r>
              <w:t xml:space="preserve"> turėtų nustatyti į nuosavą kapitalą panašias skolos priemones, kurios leistų investuotojams investuoti į bendroves neįgyjant bendrovės kontrolės teisių (pvz., dalyvavimo pelno dalybose teisės, partnerystės nedalyvaujant veikloje ar su pelnu susietos paskolos). Tokios į nuosavą kapitalą panašios skolos priemonės turėtų būti: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Valstybės narės turėtų nustatyti suderintas</w:t>
            </w:r>
            <w:r>
              <w:t xml:space="preserve"> į nuosavą kapitalą </w:t>
            </w:r>
            <w:r>
              <w:rPr>
                <w:b/>
                <w:i/>
              </w:rPr>
              <w:t>panašias</w:t>
            </w:r>
            <w:r>
              <w:t xml:space="preserve"> skolos </w:t>
            </w:r>
            <w:r>
              <w:rPr>
                <w:b/>
                <w:i/>
              </w:rPr>
              <w:t>priemones, kurios leistų</w:t>
            </w:r>
            <w:r>
              <w:t xml:space="preserve"> investuotojams investuoti į bendroves neįgyjant bendrovės kontrolės teisių (pvz., </w:t>
            </w:r>
            <w:r>
              <w:rPr>
                <w:b/>
                <w:i/>
              </w:rPr>
              <w:t>dalyvavimo</w:t>
            </w:r>
            <w:r>
              <w:t xml:space="preserve"> pelno </w:t>
            </w:r>
            <w:r>
              <w:rPr>
                <w:b/>
                <w:i/>
              </w:rPr>
              <w:t>dalybose teisės, partnerystės nedalyvaujant veikloje ar</w:t>
            </w:r>
            <w:r>
              <w:t xml:space="preserve"> su pelnu </w:t>
            </w:r>
            <w:r>
              <w:rPr>
                <w:b/>
                <w:i/>
              </w:rPr>
              <w:t>susietos</w:t>
            </w:r>
            <w:r>
              <w:t xml:space="preserve"> paskolos). Tokios į nuosavą kapitalą panašios skolos priemonės turėtų būti:</w:t>
            </w:r>
          </w:p>
        </w:tc>
        <w:tc>
          <w:tcPr>
            <w:tcW w:w="4876" w:type="dxa"/>
            <w:tcBorders>
              <w:top w:val="nil"/>
              <w:left w:val="nil"/>
              <w:bottom w:val="nil"/>
              <w:right w:val="nil"/>
            </w:tcBorders>
          </w:tcPr>
          <w:p>
            <w:pPr>
              <w:pStyle w:val="Normal6a"/>
            </w:pPr>
            <w:r>
              <w:rPr>
                <w:b/>
                <w:i/>
              </w:rPr>
              <w:t>ESSU apima</w:t>
            </w:r>
            <w:r>
              <w:t xml:space="preserve"> į nuosavą kapitalą </w:t>
            </w:r>
            <w:r>
              <w:rPr>
                <w:b/>
                <w:i/>
              </w:rPr>
              <w:t>panašią</w:t>
            </w:r>
            <w:r>
              <w:t xml:space="preserve"> skolos </w:t>
            </w:r>
            <w:r>
              <w:rPr>
                <w:b/>
                <w:i/>
              </w:rPr>
              <w:t>priemonę, kuri leidžia</w:t>
            </w:r>
            <w:r>
              <w:t xml:space="preserve"> investuotojams investuoti į bendroves neįgyjant bendrovės kontrolės teisių (pvz., </w:t>
            </w:r>
            <w:r>
              <w:rPr>
                <w:b/>
                <w:i/>
              </w:rPr>
              <w:t>teisės gauti dalį</w:t>
            </w:r>
            <w:r>
              <w:t xml:space="preserve"> pelno</w:t>
            </w:r>
            <w:r>
              <w:rPr>
                <w:b/>
                <w:i/>
              </w:rPr>
              <w:t>, neskelbiamieji indėliai arba</w:t>
            </w:r>
            <w:r>
              <w:t xml:space="preserve"> su pelnu </w:t>
            </w:r>
            <w:r>
              <w:rPr>
                <w:b/>
                <w:i/>
              </w:rPr>
              <w:t>susijusios</w:t>
            </w:r>
            <w:r>
              <w:t xml:space="preserve"> paskolos). Tokios į nuosavą kapitalą panašios skolos priemonės turėtų būti: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dalies 2 pastraipos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sukurtos sudarant bendrovės ir investuotojo sutartimi įformintą susitarimą dėl kapitalo įnašo; tokiame susitarime turi būti nurodyta investuota pagrindinė suma</w:t>
            </w:r>
            <w:r>
              <w:rPr>
                <w:b/>
                <w:i/>
              </w:rPr>
              <w:t>, apibrėžta grąžinimo data ir numatyta kompensacija, kuri gali būti fiksuotos ar kintamos palūkanos arba dalyvavimas</w:t>
            </w:r>
            <w:r>
              <w:t xml:space="preserve"> pelno dalybose;</w:t>
            </w:r>
          </w:p>
        </w:tc>
        <w:tc>
          <w:tcPr>
            <w:tcW w:w="4876" w:type="dxa"/>
            <w:tcBorders>
              <w:top w:val="nil"/>
              <w:left w:val="nil"/>
              <w:bottom w:val="nil"/>
              <w:right w:val="nil"/>
            </w:tcBorders>
          </w:tcPr>
          <w:p>
            <w:pPr>
              <w:pStyle w:val="Normal6a"/>
            </w:pPr>
            <w:r>
              <w:rPr>
                <w:b/>
                <w:i/>
              </w:rPr>
              <w:t>–</w:t>
            </w:r>
            <w:r>
              <w:tab/>
            </w:r>
            <w:r>
              <w:t xml:space="preserve">sukurtos sudarant bendrovės ir investuotojo sutartimi įformintą susitarimą dėl kapitalo įnašo; tokiame susitarime turi būti nurodyta investuota pagrindinė suma </w:t>
            </w:r>
            <w:r>
              <w:rPr>
                <w:b/>
                <w:i/>
              </w:rPr>
              <w:t>ir dalyvavimo</w:t>
            </w:r>
            <w:r>
              <w:t xml:space="preserve"> pelno dalybose </w:t>
            </w:r>
            <w:r>
              <w:rPr>
                <w:b/>
                <w:i/>
              </w:rPr>
              <w:t>sąlygos</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sukurtos sudarant bendrovės ir investuotojo sutartimi įformintą susitarimą dėl kapitalo įnašo; tokiame susitarime turi būti nurodyta investuota pagrindinė suma</w:t>
            </w:r>
            <w:r>
              <w:rPr>
                <w:b/>
                <w:i/>
              </w:rPr>
              <w:t>, apibrėžta grąžinimo data ir numatyta kompensacija, kuri gali būti fiksuotos ar kintamos palūkanos arba dalyvavimas</w:t>
            </w:r>
            <w:r>
              <w:t xml:space="preserve"> pelno </w:t>
            </w:r>
            <w:r>
              <w:rPr>
                <w:b/>
                <w:i/>
              </w:rPr>
              <w:t>dalybose</w:t>
            </w:r>
            <w:r>
              <w:t>;</w:t>
            </w:r>
          </w:p>
        </w:tc>
        <w:tc>
          <w:tcPr>
            <w:tcW w:w="4876" w:type="dxa"/>
            <w:tcBorders>
              <w:top w:val="nil"/>
              <w:left w:val="nil"/>
              <w:bottom w:val="nil"/>
              <w:right w:val="nil"/>
            </w:tcBorders>
          </w:tcPr>
          <w:p>
            <w:pPr>
              <w:pStyle w:val="Normal6a"/>
            </w:pPr>
            <w:r>
              <w:t>-</w:t>
            </w:r>
            <w:r>
              <w:tab/>
            </w:r>
            <w:r>
              <w:t xml:space="preserve">sukurtos sudarant bendrovės ir investuotojo sutartimi įformintą susitarimą dėl kapitalo įnašo; tokiame susitarime turi būti nurodyta investuota pagrindinė suma </w:t>
            </w:r>
            <w:r>
              <w:rPr>
                <w:b/>
                <w:i/>
              </w:rPr>
              <w:t>arba teisės gauti dalį</w:t>
            </w:r>
            <w:r>
              <w:t xml:space="preserve"> pelno </w:t>
            </w:r>
            <w:r>
              <w:rPr>
                <w:b/>
                <w:i/>
              </w:rPr>
              <w:t>sąlygos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2 dalies 2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valstybės narės turėtų skatinti ESSU ir Europos skaitmeninės infrastruktūros, įskaitant viešąsias debesijos platformas ir technologijų inovacijų tinklus, strateginių partnerysčių plėtojimą, kad būtų sudarytos palankesnės sąlygos sparčiai plėsti ypatingos svarbos išteklius ir užtikrinti prieigą prie jų.</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Siekdama padidinti teisinį tikrumą visose 27 nacionalinėse vidaus rinkos jurisdikcijose ir sumažinti patekimo į rinką kliūtis, trukdančias investuoti į ESSU, Komisija turėtų sudaryti palankesnes sąlygas parengti pavyzdinius ESSU įstatus, akcininkų susitarimus ir visus kitus susijusius dokumentus ir sukurti platformą, kurioje šie pavyzdiniai dokumentai būtų pateikiami visomis oficialiosiomis Sąjungos kalbomis.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Siekdama padidinti teisinį tikrumą visose 27 nacionalinėse vidaus rinkos jurisdikcijose ir sumažinti patekimo į rinką kliūtis, trukdančias investuoti į ESSU,</w:t>
            </w:r>
            <w:r>
              <w:t xml:space="preserve"> Komisija turėtų </w:t>
            </w:r>
            <w:r>
              <w:rPr>
                <w:b/>
                <w:i/>
              </w:rPr>
              <w:t>sudaryti palankesnes sąlygas parengti pavyzdinius ESSU įstatus</w:t>
            </w:r>
            <w:r>
              <w:t xml:space="preserve">, akcininkų </w:t>
            </w:r>
            <w:r>
              <w:rPr>
                <w:b/>
                <w:i/>
              </w:rPr>
              <w:t>susitarimus ir visus kitus susijusius dokumentus</w:t>
            </w:r>
            <w:r>
              <w:t xml:space="preserve"> ir sukurti platformą, kurioje </w:t>
            </w:r>
            <w:r>
              <w:rPr>
                <w:b/>
                <w:i/>
              </w:rPr>
              <w:t>šie</w:t>
            </w:r>
            <w:r>
              <w:t xml:space="preserve"> pavyzdiniai dokumentai būtų </w:t>
            </w:r>
            <w:r>
              <w:rPr>
                <w:b/>
                <w:i/>
              </w:rPr>
              <w:t>pateikiami</w:t>
            </w:r>
            <w:r>
              <w:t xml:space="preserve"> visomis oficialiosiomis Sąjungos kalbomis.</w:t>
            </w:r>
          </w:p>
        </w:tc>
        <w:tc>
          <w:tcPr>
            <w:tcW w:w="4876" w:type="dxa"/>
            <w:tcBorders>
              <w:top w:val="nil"/>
              <w:left w:val="nil"/>
              <w:bottom w:val="nil"/>
              <w:right w:val="nil"/>
            </w:tcBorders>
          </w:tcPr>
          <w:p>
            <w:pPr>
              <w:pStyle w:val="Normal6a"/>
            </w:pPr>
            <w:r>
              <w:t xml:space="preserve">Komisija turėtų </w:t>
            </w:r>
            <w:r>
              <w:rPr>
                <w:b/>
                <w:i/>
              </w:rPr>
              <w:t>palengvinti standartinių daugiakalbių pavyzdinių įstatų</w:t>
            </w:r>
            <w:r>
              <w:t xml:space="preserve">, akcininkų </w:t>
            </w:r>
            <w:r>
              <w:rPr>
                <w:b/>
                <w:i/>
              </w:rPr>
              <w:t>susitarimų ir visų kitų svarbių ESSU dokumentų rengimą</w:t>
            </w:r>
            <w:r>
              <w:t xml:space="preserve"> ir sukurti platformą, kurioje </w:t>
            </w:r>
            <w:r>
              <w:rPr>
                <w:b/>
                <w:i/>
              </w:rPr>
              <w:t>tie</w:t>
            </w:r>
            <w:r>
              <w:t xml:space="preserve"> pavyzdiniai dokumentai būtų </w:t>
            </w:r>
            <w:r>
              <w:rPr>
                <w:b/>
                <w:i/>
              </w:rPr>
              <w:t>prieinami</w:t>
            </w:r>
            <w:r>
              <w:t xml:space="preserve"> visomis oficialiosiomis Sąjungos kalbomis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Siekdama padidinti teisinį tikrumą visose 27 nacionalinėse vidaus rinkos jurisdikcijose ir sumažinti patekimo į rinką kliūtis, trukdančias investuoti į ESSU,</w:t>
            </w:r>
            <w:r>
              <w:t xml:space="preserve"> Komisija turėtų </w:t>
            </w:r>
            <w:r>
              <w:rPr>
                <w:b/>
                <w:i/>
              </w:rPr>
              <w:t>sudaryti palankesnes sąlygas parengti pavyzdinius ESSU įstatus</w:t>
            </w:r>
            <w:r>
              <w:t xml:space="preserve">, akcininkų </w:t>
            </w:r>
            <w:r>
              <w:rPr>
                <w:b/>
                <w:i/>
              </w:rPr>
              <w:t>susitarimus ir visus kitus susijusius dokumentus</w:t>
            </w:r>
            <w:r>
              <w:t xml:space="preserve"> ir sukurti platformą, kurioje </w:t>
            </w:r>
            <w:r>
              <w:rPr>
                <w:b/>
                <w:i/>
              </w:rPr>
              <w:t>šie</w:t>
            </w:r>
            <w:r>
              <w:t xml:space="preserve"> pavyzdiniai dokumentai </w:t>
            </w:r>
            <w:r>
              <w:rPr>
                <w:b/>
                <w:i/>
              </w:rPr>
              <w:t>būtų pateikiami</w:t>
            </w:r>
            <w:r>
              <w:t xml:space="preserve"> visomis oficialiosiomis Sąjungos kalbomis.</w:t>
            </w:r>
          </w:p>
        </w:tc>
        <w:tc>
          <w:tcPr>
            <w:tcW w:w="4876" w:type="dxa"/>
            <w:tcBorders>
              <w:top w:val="nil"/>
              <w:left w:val="nil"/>
              <w:bottom w:val="nil"/>
              <w:right w:val="nil"/>
            </w:tcBorders>
          </w:tcPr>
          <w:p>
            <w:pPr>
              <w:pStyle w:val="Normal6a"/>
            </w:pPr>
            <w:r>
              <w:t xml:space="preserve">Komisija turėtų </w:t>
            </w:r>
            <w:r>
              <w:rPr>
                <w:b/>
                <w:i/>
              </w:rPr>
              <w:t>palengvinti pavyzdinių įstatų</w:t>
            </w:r>
            <w:r>
              <w:t xml:space="preserve">, akcininkų </w:t>
            </w:r>
            <w:r>
              <w:rPr>
                <w:b/>
                <w:i/>
              </w:rPr>
              <w:t>susitarimų ir visų kitų svarbių ESSU dokumentų rengimą</w:t>
            </w:r>
            <w:r>
              <w:t xml:space="preserve"> ir sukurti platformą, kurioje </w:t>
            </w:r>
            <w:r>
              <w:rPr>
                <w:b/>
                <w:i/>
              </w:rPr>
              <w:t>tie</w:t>
            </w:r>
            <w:r>
              <w:t xml:space="preserve"> pavyzdiniai dokumentai </w:t>
            </w:r>
            <w:r>
              <w:rPr>
                <w:b/>
                <w:i/>
              </w:rPr>
              <w:t>ir praktinė informacija būtų prieinami</w:t>
            </w:r>
            <w:r>
              <w:t xml:space="preserve"> visomis oficialiosiomis Sąjungos kalbomis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Siekdama</w:t>
            </w:r>
            <w:r>
              <w:t xml:space="preserve"> padidinti teisinį tikrumą </w:t>
            </w:r>
            <w:r>
              <w:rPr>
                <w:b/>
                <w:i/>
              </w:rPr>
              <w:t>visose</w:t>
            </w:r>
            <w:r>
              <w:t xml:space="preserve"> 27 nacionalinėse vidaus rinkos jurisdikcijose ir sumažinti </w:t>
            </w:r>
            <w:r>
              <w:rPr>
                <w:b/>
                <w:i/>
              </w:rPr>
              <w:t>patekimo</w:t>
            </w:r>
            <w:r>
              <w:t xml:space="preserve"> į rinką </w:t>
            </w:r>
            <w:r>
              <w:rPr>
                <w:b/>
                <w:i/>
              </w:rPr>
              <w:t>kliūtis, trukdančias investuoti</w:t>
            </w:r>
            <w:r>
              <w:t xml:space="preserve"> į ESSU, </w:t>
            </w:r>
            <w:r>
              <w:rPr>
                <w:b/>
                <w:i/>
              </w:rPr>
              <w:t>Komisija</w:t>
            </w:r>
            <w:r>
              <w:t xml:space="preserve"> turėtų </w:t>
            </w:r>
            <w:r>
              <w:rPr>
                <w:b/>
                <w:i/>
              </w:rPr>
              <w:t>sudaryti palankesnes sąlygas parengti pavyzdinius ESSU įstatus,</w:t>
            </w:r>
            <w:r>
              <w:t xml:space="preserve"> akcininkų </w:t>
            </w:r>
            <w:r>
              <w:rPr>
                <w:b/>
                <w:i/>
              </w:rPr>
              <w:t>susitarimus ir visus kitus susijusius dokumentus ir</w:t>
            </w:r>
            <w:r>
              <w:t xml:space="preserve"> sukurti platformą, kurioje </w:t>
            </w:r>
            <w:r>
              <w:rPr>
                <w:b/>
                <w:i/>
              </w:rPr>
              <w:t>šie pavyzdiniai dokumentai būtų pateikiami visomis oficialiosiomis Sąjungos kalbomis</w:t>
            </w:r>
            <w:r>
              <w:t>.</w:t>
            </w:r>
          </w:p>
        </w:tc>
        <w:tc>
          <w:tcPr>
            <w:tcW w:w="4876" w:type="dxa"/>
            <w:tcBorders>
              <w:top w:val="nil"/>
              <w:left w:val="nil"/>
              <w:bottom w:val="nil"/>
              <w:right w:val="nil"/>
            </w:tcBorders>
          </w:tcPr>
          <w:p>
            <w:pPr>
              <w:pStyle w:val="Normal6a"/>
            </w:pPr>
            <w:r>
              <w:rPr>
                <w:b/>
                <w:i/>
              </w:rPr>
              <w:t>Siekiant</w:t>
            </w:r>
            <w:r>
              <w:t xml:space="preserve"> padidinti teisinį tikrumą 27 nacionalinėse vidaus rinkos jurisdikcijose ir sumažinti </w:t>
            </w:r>
            <w:r>
              <w:rPr>
                <w:b/>
                <w:i/>
              </w:rPr>
              <w:t>kliūtis patekti</w:t>
            </w:r>
            <w:r>
              <w:t xml:space="preserve"> į rinką </w:t>
            </w:r>
            <w:r>
              <w:rPr>
                <w:b/>
                <w:i/>
              </w:rPr>
              <w:t>investicijoms</w:t>
            </w:r>
            <w:r>
              <w:t xml:space="preserve"> į ESSU, </w:t>
            </w:r>
            <w:r>
              <w:rPr>
                <w:b/>
                <w:i/>
              </w:rPr>
              <w:t>valstybės narės</w:t>
            </w:r>
            <w:r>
              <w:t xml:space="preserve"> turėtų </w:t>
            </w:r>
            <w:r>
              <w:rPr>
                <w:b/>
                <w:i/>
              </w:rPr>
              <w:t>remti ESSU steigimo dokumentų ir</w:t>
            </w:r>
            <w:r>
              <w:t xml:space="preserve"> akcininkų </w:t>
            </w:r>
            <w:r>
              <w:rPr>
                <w:b/>
                <w:i/>
              </w:rPr>
              <w:t>susitarimų šablonų rengimą, o Komisija galėtų</w:t>
            </w:r>
            <w:r>
              <w:t xml:space="preserve"> sukurti platformą, kurioje </w:t>
            </w:r>
            <w:r>
              <w:rPr>
                <w:b/>
                <w:i/>
              </w:rPr>
              <w:t>būtų galima susipažinti su šiais pavyzdiniais dokumentais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Siekdama padidinti teisinį tikrumą visose 27 nacionalinėse vidaus rinkos jurisdikcijose ir sumažinti patekimo į rinką kliūtis, trukdančias investuoti į </w:t>
            </w:r>
            <w:r>
              <w:rPr>
                <w:b/>
                <w:i/>
              </w:rPr>
              <w:t>ESSU</w:t>
            </w:r>
            <w:r>
              <w:t xml:space="preserve">, Komisija turėtų sudaryti palankesnes sąlygas parengti pavyzdinius </w:t>
            </w:r>
            <w:r>
              <w:rPr>
                <w:b/>
                <w:i/>
              </w:rPr>
              <w:t>ESSU</w:t>
            </w:r>
            <w:r>
              <w:t xml:space="preserve"> įstatus, akcininkų susitarimus ir visus kitus susijusius dokumentus ir sukurti platformą, kurioje šie pavyzdiniai dokumentai būtų pateikiami visomis oficialiosiomis Sąjungos kalbomis.</w:t>
            </w:r>
          </w:p>
        </w:tc>
        <w:tc>
          <w:tcPr>
            <w:tcW w:w="4876" w:type="dxa"/>
            <w:tcBorders>
              <w:top w:val="nil"/>
              <w:left w:val="nil"/>
              <w:bottom w:val="nil"/>
              <w:right w:val="nil"/>
            </w:tcBorders>
          </w:tcPr>
          <w:p>
            <w:pPr>
              <w:pStyle w:val="Normal6a"/>
            </w:pPr>
            <w:r>
              <w:t xml:space="preserve">Siekdama padidinti teisinį tikrumą visose 27 nacionalinėse vidaus rinkos jurisdikcijose ir sumažinti patekimo į rinką kliūtis, trukdančias investuoti į </w:t>
            </w:r>
            <w:r>
              <w:rPr>
                <w:b/>
                <w:i/>
              </w:rPr>
              <w:t>SES</w:t>
            </w:r>
            <w:r>
              <w:t xml:space="preserve">, Komisija turėtų sudaryti palankesnes sąlygas parengti pavyzdinius </w:t>
            </w:r>
            <w:r>
              <w:rPr>
                <w:b/>
                <w:i/>
              </w:rPr>
              <w:t>SES</w:t>
            </w:r>
            <w:r>
              <w:t xml:space="preserve"> įstatus, akcininkų susitarimus ir visus kitus susijusius dokumentus ir sukurti platformą, kurioje šie pavyzdiniai dokumentai būtų pateikiami visomis oficialiosiomis Sąjungos kalbomis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turėtų paskirti ekspertų grupę, kuriai būtų pavesta parengti standartizuotus aukštos kokybės pavyzdinius įstatus, atitinkančius suderintus ESSU keliamus reikalavimus.</w:t>
            </w:r>
            <w:r>
              <w:t xml:space="preserve"> </w:t>
            </w:r>
            <w:r>
              <w:rPr>
                <w:b/>
                <w:i/>
              </w:rPr>
              <w:t>Į tą ekspertų grupę, be kita ko, turėtų būti įtraukti steigėjai, investuotojai ir profesinės sąjungos.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w:t>
            </w:r>
            <w:r>
              <w:t xml:space="preserve"> turėtų paskirti ekspertų grupę, kuriai būtų pavesta parengti </w:t>
            </w:r>
            <w:r>
              <w:rPr>
                <w:b/>
                <w:i/>
              </w:rPr>
              <w:t>standartizuotus</w:t>
            </w:r>
            <w:r>
              <w:t xml:space="preserve"> aukštos kokybės </w:t>
            </w:r>
            <w:r>
              <w:rPr>
                <w:b/>
                <w:i/>
              </w:rPr>
              <w:t>pavyzdinius įstatus</w:t>
            </w:r>
            <w:r>
              <w:t xml:space="preserve">, atitinkančius suderintus ESSU </w:t>
            </w:r>
            <w:r>
              <w:rPr>
                <w:b/>
                <w:i/>
              </w:rPr>
              <w:t>keliamus</w:t>
            </w:r>
            <w:r>
              <w:t xml:space="preserve"> reikalavimus. </w:t>
            </w:r>
            <w:r>
              <w:rPr>
                <w:b/>
                <w:i/>
              </w:rPr>
              <w:t>Į tą</w:t>
            </w:r>
            <w:r>
              <w:t xml:space="preserve"> ekspertų </w:t>
            </w:r>
            <w:r>
              <w:rPr>
                <w:b/>
                <w:i/>
              </w:rPr>
              <w:t>grupę</w:t>
            </w:r>
            <w:r>
              <w:t xml:space="preserve">, be kita ko, </w:t>
            </w:r>
            <w:r>
              <w:rPr>
                <w:b/>
                <w:i/>
              </w:rPr>
              <w:t>turėtų būti įtraukti steigėjai, investuotojai ir profesinės sąjungos</w:t>
            </w:r>
            <w:r>
              <w:t>.</w:t>
            </w:r>
          </w:p>
        </w:tc>
        <w:tc>
          <w:tcPr>
            <w:tcW w:w="4876" w:type="dxa"/>
            <w:tcBorders>
              <w:top w:val="nil"/>
              <w:left w:val="nil"/>
              <w:bottom w:val="nil"/>
              <w:right w:val="nil"/>
            </w:tcBorders>
          </w:tcPr>
          <w:p>
            <w:pPr>
              <w:pStyle w:val="Normal6a"/>
            </w:pPr>
            <w:r>
              <w:rPr>
                <w:b/>
                <w:i/>
              </w:rPr>
              <w:t>valstybės narės</w:t>
            </w:r>
            <w:r>
              <w:t xml:space="preserve"> turėtų paskirti ekspertų grupę, kuriai būtų pavesta parengti aukštos kokybės </w:t>
            </w:r>
            <w:r>
              <w:rPr>
                <w:b/>
                <w:i/>
              </w:rPr>
              <w:t>nacionalinius steigiamųjų aktų šablonus</w:t>
            </w:r>
            <w:r>
              <w:t>, atitinkančius suderintus ESSU reikalavimus.</w:t>
            </w:r>
            <w:r>
              <w:rPr>
                <w:b/>
                <w:i/>
              </w:rPr>
              <w:t> </w:t>
            </w:r>
            <w:r>
              <w:t xml:space="preserve"> </w:t>
            </w:r>
            <w:r>
              <w:rPr>
                <w:b/>
                <w:i/>
              </w:rPr>
              <w:t>Ši</w:t>
            </w:r>
            <w:r>
              <w:t xml:space="preserve"> ekspertų </w:t>
            </w:r>
            <w:r>
              <w:rPr>
                <w:b/>
                <w:i/>
              </w:rPr>
              <w:t>grupė turėtų apimti</w:t>
            </w:r>
            <w:r>
              <w:t xml:space="preserve">, be kita ko, </w:t>
            </w:r>
            <w:r>
              <w:rPr>
                <w:b/>
                <w:i/>
              </w:rPr>
              <w:t>steigėjus, investuotojus, profesines sąjungas, notarus ir kitas kompetentingas institucijas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Komisija turėtų paskirti ekspertų grupę, kuriai būtų pavesta parengti standartizuotus aukštos kokybės pavyzdinius įstatus, atitinkančius suderintus </w:t>
            </w:r>
            <w:r>
              <w:rPr>
                <w:b/>
                <w:i/>
              </w:rPr>
              <w:t>ESSU</w:t>
            </w:r>
            <w:r>
              <w:t xml:space="preserve"> keliamus reikalavimus. Į tą ekspertų grupę, be kita ko, turėtų būti įtraukti steigėjai, investuotojai ir profesinės sąjungos.</w:t>
            </w:r>
          </w:p>
        </w:tc>
        <w:tc>
          <w:tcPr>
            <w:tcW w:w="4876" w:type="dxa"/>
            <w:tcBorders>
              <w:top w:val="nil"/>
              <w:left w:val="nil"/>
              <w:bottom w:val="nil"/>
              <w:right w:val="nil"/>
            </w:tcBorders>
          </w:tcPr>
          <w:p>
            <w:pPr>
              <w:pStyle w:val="Normal6a"/>
            </w:pPr>
            <w:r>
              <w:t xml:space="preserve">Komisija turėtų paskirti ekspertų grupę, kuriai būtų pavesta parengti standartizuotus aukštos kokybės pavyzdinius įstatus, atitinkančius suderintus </w:t>
            </w:r>
            <w:r>
              <w:rPr>
                <w:b/>
                <w:i/>
              </w:rPr>
              <w:t>SES</w:t>
            </w:r>
            <w:r>
              <w:t xml:space="preserve"> keliamus reikalavimus. Į tą ekspertų grupę, be kita ko, turėtų būti įtraukti steigėjai, investuotojai ir profesinės sąjungos.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Komisija turėtų paskirti ekspertų grupę, kuriai būtų pavesta parengti standartizuotus aukštos kokybės pavyzdinius įstatus, atitinkančius suderintus ESSU keliamus reikalavimus. Į </w:t>
            </w:r>
            <w:r>
              <w:rPr>
                <w:b/>
                <w:i/>
              </w:rPr>
              <w:t>tą</w:t>
            </w:r>
            <w:r>
              <w:t xml:space="preserve"> ekspertų grupę, be kita ko, turėtų būti įtraukti steigėjai</w:t>
            </w:r>
            <w:r>
              <w:rPr>
                <w:b/>
                <w:i/>
              </w:rPr>
              <w:t>,</w:t>
            </w:r>
            <w:r>
              <w:t xml:space="preserve"> investuotojai </w:t>
            </w:r>
            <w:r>
              <w:rPr>
                <w:b/>
                <w:i/>
              </w:rPr>
              <w:t>ir profesinės sąjungos</w:t>
            </w:r>
            <w:r>
              <w:t>.</w:t>
            </w:r>
          </w:p>
        </w:tc>
        <w:tc>
          <w:tcPr>
            <w:tcW w:w="4876" w:type="dxa"/>
            <w:tcBorders>
              <w:top w:val="nil"/>
              <w:left w:val="nil"/>
              <w:bottom w:val="nil"/>
              <w:right w:val="nil"/>
            </w:tcBorders>
          </w:tcPr>
          <w:p>
            <w:pPr>
              <w:pStyle w:val="Normal6a"/>
            </w:pPr>
            <w:r>
              <w:t xml:space="preserve">Komisija turėtų paskirti ekspertų grupę, kuriai būtų pavesta parengti standartizuotus aukštos kokybės pavyzdinius įstatus, atitinkančius suderintus ESSU keliamus reikalavimus. Į </w:t>
            </w:r>
            <w:r>
              <w:rPr>
                <w:b/>
                <w:i/>
              </w:rPr>
              <w:t>šią</w:t>
            </w:r>
            <w:r>
              <w:t xml:space="preserve"> ekspertų grupę, be kita ko, turėtų būti įtraukti steigėjai </w:t>
            </w:r>
            <w:r>
              <w:rPr>
                <w:b/>
                <w:i/>
              </w:rPr>
              <w:t>ir</w:t>
            </w:r>
            <w:r>
              <w:t xml:space="preserve"> investuotojai.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turėtų paskirti dar vieną ekspertų grupę, kuriai būtų pavesta parengti standartizuotus, sąžiningus ir aukštos kokybės pavyzdinius akcininkų susitarimus.</w:t>
            </w:r>
            <w:r>
              <w:t xml:space="preserve"> </w:t>
            </w:r>
            <w:r>
              <w:rPr>
                <w:b/>
                <w:i/>
              </w:rPr>
              <w:t>Tokiuose pavyzdiniuose akcininkų susitarimuose turėtų būti užtikrinta steigėjų ir investuotojų interesų pusiausvyra.</w:t>
            </w:r>
            <w:r>
              <w:t xml:space="preserve"> </w:t>
            </w:r>
            <w:r>
              <w:rPr>
                <w:b/>
                <w:i/>
              </w:rPr>
              <w:t>Į šią ekspertų grupę, be kita ko, turėtų būti įtraukti steigėjai ir rizikos kapitalo investuotojai.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turėtų paskirti dar vieną ekspertų grupę, kuriai būtų pavesta parengti standartizuotus, sąžiningus ir aukštos kokybės pavyzdinius akcininkų susitarimus.</w:t>
            </w:r>
            <w:r>
              <w:t xml:space="preserve"> </w:t>
            </w:r>
            <w:r>
              <w:rPr>
                <w:b/>
                <w:i/>
              </w:rPr>
              <w:t>Tokiuose pavyzdiniuose akcininkų susitarimuose turėtų būti užtikrinta steigėjų ir investuotojų interesų pusiausvyra.</w:t>
            </w:r>
            <w:r>
              <w:t xml:space="preserve"> </w:t>
            </w:r>
            <w:r>
              <w:rPr>
                <w:b/>
                <w:i/>
              </w:rPr>
              <w:t>Į šią ekspertų grupę, be kita ko, turėtų būti įtraukti steigėjai ir rizikos kapitalo investuotojai.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w:t>
            </w:r>
            <w:r>
              <w:t xml:space="preserve"> turėtų paskirti </w:t>
            </w:r>
            <w:r>
              <w:rPr>
                <w:b/>
                <w:i/>
              </w:rPr>
              <w:t>dar vieną</w:t>
            </w:r>
            <w:r>
              <w:t xml:space="preserve"> ekspertų grupę, kuriai būtų pavesta parengti </w:t>
            </w:r>
            <w:r>
              <w:rPr>
                <w:b/>
                <w:i/>
              </w:rPr>
              <w:t>standartizuotus, sąžiningus</w:t>
            </w:r>
            <w:r>
              <w:t xml:space="preserve"> ir aukštos kokybės </w:t>
            </w:r>
            <w:r>
              <w:rPr>
                <w:b/>
                <w:i/>
              </w:rPr>
              <w:t>pavyzdinius</w:t>
            </w:r>
            <w:r>
              <w:t xml:space="preserve"> akcininkų </w:t>
            </w:r>
            <w:r>
              <w:rPr>
                <w:b/>
                <w:i/>
              </w:rPr>
              <w:t>susitarimus</w:t>
            </w:r>
            <w:r>
              <w:t xml:space="preserve">. Tokiuose pavyzdiniuose akcininkų susitarimuose turėtų būti užtikrinta steigėjų ir investuotojų interesų pusiausvyra. </w:t>
            </w:r>
            <w:r>
              <w:rPr>
                <w:b/>
                <w:i/>
              </w:rPr>
              <w:t>Į šią</w:t>
            </w:r>
            <w:r>
              <w:t xml:space="preserve"> ekspertų </w:t>
            </w:r>
            <w:r>
              <w:rPr>
                <w:b/>
                <w:i/>
              </w:rPr>
              <w:t>grupę</w:t>
            </w:r>
            <w:r>
              <w:t xml:space="preserve">, be kita ko, </w:t>
            </w:r>
            <w:r>
              <w:rPr>
                <w:b/>
                <w:i/>
              </w:rPr>
              <w:t>turėtų būti įtraukti steigėjai ir</w:t>
            </w:r>
            <w:r>
              <w:t xml:space="preserve"> rizikos </w:t>
            </w:r>
            <w:r>
              <w:rPr>
                <w:b/>
                <w:i/>
              </w:rPr>
              <w:t>kapitalo investuotojai</w:t>
            </w:r>
            <w:r>
              <w:t>.</w:t>
            </w:r>
          </w:p>
        </w:tc>
        <w:tc>
          <w:tcPr>
            <w:tcW w:w="4876" w:type="dxa"/>
            <w:tcBorders>
              <w:top w:val="nil"/>
              <w:left w:val="nil"/>
              <w:bottom w:val="nil"/>
              <w:right w:val="nil"/>
            </w:tcBorders>
          </w:tcPr>
          <w:p>
            <w:pPr>
              <w:pStyle w:val="Normal6a"/>
            </w:pPr>
            <w:r>
              <w:rPr>
                <w:b/>
                <w:i/>
              </w:rPr>
              <w:t>Valstybės narės</w:t>
            </w:r>
            <w:r>
              <w:t xml:space="preserve"> turėtų paskirti </w:t>
            </w:r>
            <w:r>
              <w:rPr>
                <w:b/>
                <w:i/>
              </w:rPr>
              <w:t>kitą</w:t>
            </w:r>
            <w:r>
              <w:t xml:space="preserve"> ekspertų grupę, kuriai būtų pavesta parengti </w:t>
            </w:r>
            <w:r>
              <w:rPr>
                <w:b/>
                <w:i/>
              </w:rPr>
              <w:t>nacionalinius sąžiningų</w:t>
            </w:r>
            <w:r>
              <w:t xml:space="preserve"> ir aukštos kokybės akcininkų </w:t>
            </w:r>
            <w:r>
              <w:rPr>
                <w:b/>
                <w:i/>
              </w:rPr>
              <w:t>susitarimų modelius</w:t>
            </w:r>
            <w:r>
              <w:t xml:space="preserve">. Tokiuose pavyzdiniuose akcininkų susitarimuose turėtų būti užtikrinta steigėjų ir investuotojų interesų pusiausvyra. </w:t>
            </w:r>
            <w:r>
              <w:rPr>
                <w:b/>
                <w:i/>
              </w:rPr>
              <w:t>Ši</w:t>
            </w:r>
            <w:r>
              <w:t xml:space="preserve"> ekspertų </w:t>
            </w:r>
            <w:r>
              <w:rPr>
                <w:b/>
                <w:i/>
              </w:rPr>
              <w:t>grupė turėtų apimti</w:t>
            </w:r>
            <w:r>
              <w:t xml:space="preserve">, be kita ko, </w:t>
            </w:r>
            <w:r>
              <w:rPr>
                <w:b/>
                <w:i/>
              </w:rPr>
              <w:t>steigėjus, investuotojus,</w:t>
            </w:r>
            <w:r>
              <w:t xml:space="preserve"> rizikos </w:t>
            </w:r>
            <w:r>
              <w:rPr>
                <w:b/>
                <w:i/>
              </w:rPr>
              <w:t>kapitalą, notarus ir kitas kompetentingas institucijas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dalies 6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turėtų įsteigti Europos ir lyginamosios verslo teisės jungtinį tyrimų centrą, kuris parengtų laisvai prieinamą ir palyginamą informaciją apie verslo reguliavimą valstybėse narėse visomis oficialiosiomis Sąjungos kalbomis.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turėtų įsteigti Europos ir lyginamosios verslo teisės jungtinį tyrimų centrą, kuris parengtų laisvai prieinamą ir palyginamą informaciją apie verslo reguliavimą valstybėse narėse visomis oficialiosiomis Sąjungos kalbomis.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turėtų įsteigti Europos ir lyginamosios verslo teisės jungtinį tyrimų centrą, kuris parengtų laisvai prieinamą ir palyginamą informaciją apie verslo reguliavimą valstybėse narėse visomis oficialiosiomis Sąjungos kalbomis.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Atsižvelgiant į Sąjungos dalyvavimo didinimo ir kompetencijos sklaidos strategiją pagal programą „Europos horizontas“, priemonėmis turėtų būti užtikrinta, kad valstybėse narėse, kurios istoriškai turi mažiau galimybių gauti rizikos kapitalo, įsisteigusios novatoriškos įmonės galėtų pasinaudoti teisingomis finansavimo galimybėmis.</w:t>
            </w:r>
            <w:r>
              <w:t xml:space="preserve"> </w:t>
            </w:r>
            <w:r>
              <w:rPr>
                <w:b/>
                <w:i/>
              </w:rPr>
              <w:t>Toks požiūris sumažintų struktūrinius skirtumus visoje Sąjungoje, sustiprintų valstybių narių sanglaudą ir sudarytų sąlygas ESSU plėsti veiklą nepriklausomai nuo jų geografinės padėties.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7 punkto 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Aiškumo užtikrinimas tiek Europos, tiek užsienio investuotojams dėl suderintų taisyklių labai svarbus verslininkams priimant 28-ąjį režimą.</w:t>
            </w:r>
            <w:r>
              <w:t xml:space="preserve"> </w:t>
            </w:r>
            <w:r>
              <w:rPr>
                <w:b/>
                <w:i/>
              </w:rPr>
              <w:t>Todėl tokios tvarkos poveikis investuotojų kapitalui turėtų būti apskaičiuojamas ir vertinamas kaip bendrovės formos sėkmės įvertinimas.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Specializuotas ginčų sprendimas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Siekiant paspartinti su ESSU susijusių ginčų sprendimą, turėtų būti sukurtas alternatyvus specializuotas ginčų sprendimo mechanizmas.</w:t>
            </w:r>
            <w:r>
              <w:rPr>
                <w:b/>
                <w:i/>
              </w:rPr>
              <w:t xml:space="preserve"> </w:t>
            </w:r>
            <w:r>
              <w:rPr>
                <w:b/>
                <w:i/>
              </w:rPr>
              <w:t>Dalyvavimas tame mechanizme turėtų vykti dalyvaujančių šalių sutikimu.</w:t>
            </w:r>
            <w:r>
              <w:rPr>
                <w:b/>
                <w:i/>
              </w:rPr>
              <w:t xml:space="preserve"> </w:t>
            </w:r>
            <w:r>
              <w:rPr>
                <w:b/>
                <w:i/>
              </w:rPr>
              <w:t>Su individualia ir kolektyvine darbo teise susiję ginčai neturėtų būti įtraukti į šį mechanizmą.</w:t>
            </w:r>
            <w:r>
              <w:rPr>
                <w:b/>
                <w:i/>
              </w:rPr>
              <w:t xml:space="preserve"> </w:t>
            </w:r>
            <w:r>
              <w:rPr>
                <w:b/>
                <w:i/>
              </w:rPr>
              <w:t>Tais atvejais jurisdikcija turėtų būti nustatoma pagal Reglamento (ES) Nr. 1215/2012 20–23 straipsnius.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 to, valstybės narės savo nacionaliniuose teismuose turėtų įsteigti specialią kolegiją – arba vieną kolegiją viename konkrečiame teisme nacionaliniu lygmeniu, arba vieną kolegiją viename konkrečiame kiekvieno federalinio subjekto teisme, atsižvelgiant į atitinkamą nacionalinę teismų sistemą.</w:t>
            </w:r>
            <w:r>
              <w:rPr>
                <w:b/>
                <w:i/>
              </w:rPr>
              <w:t xml:space="preserve"> </w:t>
            </w:r>
            <w:r>
              <w:rPr>
                <w:b/>
                <w:i/>
              </w:rPr>
              <w:t>Tokios komisijos turėtų būti skirtos įmonių civilinės teisės ginčams, susijusiems su ESSU bendrovės juridine forma, ginčams, kylantiems dėl ESSU ar ESSU akcijų įsigijimo arba susijusiems su tokiu įsigijimu, ir ESSU bei jo valdybos ar stebėtojų tarybos narių ginčams spręsti.</w:t>
            </w:r>
            <w:r>
              <w:rPr>
                <w:b/>
                <w:i/>
              </w:rPr>
              <w:t xml:space="preserve"> </w:t>
            </w:r>
            <w:r>
              <w:rPr>
                <w:b/>
                <w:i/>
              </w:rPr>
              <w:t>Valstybės narės turėtų užtikrinti, kad procesai tokiose kolegijose galėtų vykti anglų kalba, jei su tuo sutinka dalyvaujančios šalys.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8 punkto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Specializuotas ginčų sprendimas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8 punkto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Siekiant paspartinti su ESSU susijusių ginčų sprendimą, turėtų būti sukurtas alternatyvus specializuotas ginčų sprendimo mechanizmas.</w:t>
            </w:r>
            <w:r>
              <w:t xml:space="preserve"> </w:t>
            </w:r>
            <w:r>
              <w:rPr>
                <w:b/>
                <w:i/>
              </w:rPr>
              <w:t>Dalyvavimas tame mechanizme turėtų vykti dalyvaujančių šalių sutikimu.</w:t>
            </w:r>
            <w:r>
              <w:t xml:space="preserve"> </w:t>
            </w:r>
            <w:r>
              <w:rPr>
                <w:b/>
                <w:i/>
              </w:rPr>
              <w:t>Su individualia ir kolektyvine darbo teise susiję ginčai neturėtų būti įtraukti į šį mechanizmą.</w:t>
            </w:r>
            <w:r>
              <w:t xml:space="preserve"> </w:t>
            </w:r>
            <w:r>
              <w:rPr>
                <w:b/>
                <w:i/>
              </w:rPr>
              <w:t>Tais atvejais jurisdikcija turėtų būti nustatoma pagal Reglamento (ES) Nr. 1215/2012 20–23 straipsnius.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8 punkto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Siekiant paspartinti su ESSU susijusių ginčų sprendimą, </w:t>
            </w:r>
            <w:r>
              <w:rPr>
                <w:b/>
                <w:i/>
              </w:rPr>
              <w:t>turėtų</w:t>
            </w:r>
            <w:r>
              <w:t xml:space="preserve"> būti sukurtas alternatyvus specializuotas ginčų sprendimo mechanizmas. Dalyvavimas tame mechanizme turėtų vykti dalyvaujančių šalių sutikimu. </w:t>
            </w:r>
            <w:r>
              <w:rPr>
                <w:b/>
                <w:i/>
              </w:rPr>
              <w:t>Su individualia ir kolektyvine darbo teise susiję ginčai neturėtų būti įtraukti į šį mechanizmą.</w:t>
            </w:r>
            <w:r>
              <w:t xml:space="preserve"> </w:t>
            </w:r>
            <w:r>
              <w:rPr>
                <w:b/>
                <w:i/>
              </w:rPr>
              <w:t>Tais atvejais jurisdikcija turėtų būti nustatoma pagal Reglamento (ES) Nr. 1215/2012 20–23 straipsnius.</w:t>
            </w:r>
          </w:p>
        </w:tc>
        <w:tc>
          <w:tcPr>
            <w:tcW w:w="4876" w:type="dxa"/>
            <w:tcBorders>
              <w:top w:val="nil"/>
              <w:left w:val="nil"/>
              <w:bottom w:val="nil"/>
              <w:right w:val="nil"/>
            </w:tcBorders>
          </w:tcPr>
          <w:p>
            <w:pPr>
              <w:pStyle w:val="Normal6a"/>
            </w:pPr>
            <w:r>
              <w:t xml:space="preserve">Siekiant paspartinti su ESSU susijusių ginčų sprendimą, </w:t>
            </w:r>
            <w:r>
              <w:rPr>
                <w:b/>
                <w:i/>
              </w:rPr>
              <w:t>gali</w:t>
            </w:r>
            <w:r>
              <w:t xml:space="preserve"> būti sukurtas alternatyvus specializuotas ginčų sprendimo mechanizmas. Dalyvavimas tame mechanizme turėtų vykti dalyvaujančių šalių sutikimu.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8 punkto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Siekiant paspartinti su </w:t>
            </w:r>
            <w:r>
              <w:rPr>
                <w:b/>
                <w:i/>
              </w:rPr>
              <w:t>ESSU</w:t>
            </w:r>
            <w:r>
              <w:t xml:space="preserve"> susijusių ginčų sprendimą, turėtų būti sukurtas alternatyvus specializuotas ginčų sprendimo mechanizmas. Dalyvavimas tame mechanizme turėtų vykti dalyvaujančių šalių sutikimu. Su individualia ir kolektyvine darbo teise susiję ginčai neturėtų būti įtraukti į šį mechanizmą. Tais atvejais jurisdikcija turėtų būti nustatoma pagal Reglamento (ES) Nr. 1215/2012 20–23 straipsnius.</w:t>
            </w:r>
          </w:p>
        </w:tc>
        <w:tc>
          <w:tcPr>
            <w:tcW w:w="4876" w:type="dxa"/>
            <w:tcBorders>
              <w:top w:val="nil"/>
              <w:left w:val="nil"/>
              <w:bottom w:val="nil"/>
              <w:right w:val="nil"/>
            </w:tcBorders>
          </w:tcPr>
          <w:p>
            <w:pPr>
              <w:pStyle w:val="Normal6a"/>
            </w:pPr>
            <w:r>
              <w:t xml:space="preserve">Siekiant paspartinti su </w:t>
            </w:r>
            <w:r>
              <w:rPr>
                <w:b/>
                <w:i/>
              </w:rPr>
              <w:t>SES</w:t>
            </w:r>
            <w:r>
              <w:t xml:space="preserve"> susijusių ginčų sprendimą, turėtų būti sukurtas alternatyvus specializuotas ginčų sprendimo mechanizmas. Dalyvavimas tame mechanizme turėtų vykti dalyvaujančių šalių sutikimu. Su individualia ir kolektyvine darbo teise susiję ginčai neturėtų būti įtraukti į šį mechanizmą. Tais atvejais jurisdikcija turėtų būti nustatoma pagal Reglamento (ES) Nr. 1215/2012 20–23 straipsnius.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8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 to, valstybės narės savo nacionaliniuose teismuose turėtų įsteigti specialią kolegiją – arba vieną kolegiją viename konkrečiame teisme nacionaliniu lygmeniu, arba vieną kolegiją viename konkrečiame kiekvieno federalinio subjekto teisme, atsižvelgiant į atitinkamą nacionalinę teismų sistemą.</w:t>
            </w:r>
            <w:r>
              <w:t xml:space="preserve"> </w:t>
            </w:r>
            <w:r>
              <w:rPr>
                <w:b/>
                <w:i/>
              </w:rPr>
              <w:t>Tokios komisijos turėtų būti skirtos įmonių civilinės teisės ginčams, susijusiems su ESSU bendrovės juridine forma, ginčams, kylantiems dėl ESSU ar ESSU akcijų įsigijimo arba susijusiems su tokiu įsigijimu, ir ESSU bei jo valdybos ar stebėtojų tarybos narių ginčams spręsti.</w:t>
            </w:r>
            <w:r>
              <w:t xml:space="preserve"> </w:t>
            </w:r>
            <w:r>
              <w:rPr>
                <w:b/>
                <w:i/>
              </w:rPr>
              <w:t>Valstybės narės turėtų užtikrinti, kad procesai tokiose kolegijose galėtų vykti anglų kalba, jei su tuo sutinka dalyvaujančios šalys.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8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 to, valstybės narės savo nacionaliniuose teismuose turėtų įsteigti specialią kolegiją – arba vieną kolegiją viename konkrečiame teisme nacionaliniu lygmeniu, arba vieną kolegiją viename konkrečiame kiekvieno federalinio subjekto teisme, atsižvelgiant į atitinkamą nacionalinę teismų sistemą.</w:t>
            </w:r>
            <w:r>
              <w:t xml:space="preserve"> </w:t>
            </w:r>
            <w:r>
              <w:rPr>
                <w:b/>
                <w:i/>
              </w:rPr>
              <w:t>Tokios komisijos turėtų būti skirtos įmonių civilinės teisės ginčams, susijusiems su ESSU bendrovės juridine forma, ginčams, kylantiems dėl ESSU ar ESSU akcijų įsigijimo arba susijusiems su tokiu įsigijimu, ir ESSU bei jo valdybos ar stebėtojų tarybos narių ginčams spręsti.</w:t>
            </w:r>
            <w:r>
              <w:t xml:space="preserve"> </w:t>
            </w:r>
            <w:r>
              <w:rPr>
                <w:b/>
                <w:i/>
              </w:rPr>
              <w:t>Valstybės narės turėtų užtikrinti, kad procesai tokiose kolegijose galėtų vykti anglų kalba, jei su tuo sutinka dalyvaujančios šalys.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8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 to, valstybės narės savo nacionaliniuose teismuose turėtų įsteigti specialią kolegiją – arba vieną kolegiją viename konkrečiame teisme nacionaliniu lygmeniu, arba vieną kolegiją viename konkrečiame kiekvieno federalinio subjekto teisme, atsižvelgiant į atitinkamą nacionalinę teismų sistemą.</w:t>
            </w:r>
            <w:r>
              <w:t xml:space="preserve"> </w:t>
            </w:r>
            <w:r>
              <w:rPr>
                <w:b/>
                <w:i/>
              </w:rPr>
              <w:t>Tokios komisijos turėtų būti skirtos įmonių civilinės teisės ginčams, susijusiems su ESSU bendrovės juridine forma, ginčams, kylantiems dėl ESSU ar ESSU akcijų įsigijimo arba susijusiems su tokiu įsigijimu, ir ESSU bei jo valdybos ar stebėtojų tarybos narių ginčams spręsti.</w:t>
            </w:r>
            <w:r>
              <w:t xml:space="preserve"> </w:t>
            </w:r>
            <w:r>
              <w:rPr>
                <w:b/>
                <w:i/>
              </w:rPr>
              <w:t>Valstybės narės turėtų užtikrinti, kad procesai tokiose kolegijose galėtų vykti anglų kalba, jei su tuo sutinka dalyvaujančios šalys.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8 dalies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Be to, valstybės narės savo nacionaliniuose teismuose turėtų įsteigti specialią kolegiją – arba vieną kolegiją viename konkrečiame teisme nacionaliniu lygmeniu, arba vieną kolegiją viename konkrečiame kiekvieno federalinio subjekto teisme, atsižvelgiant į atitinkamą nacionalinę teismų sistemą. Tokios komisijos turėtų būti skirtos įmonių civilinės teisės ginčams, susijusiems su ESSU bendrovės juridine forma, ginčams, kylantiems dėl ESSU ar ESSU akcijų įsigijimo arba susijusiems su tokiu įsigijimu, ir ESSU bei jo valdybos ar stebėtojų tarybos narių ginčams spręsti. Valstybės narės turėtų užtikrinti, kad procesai tokiose kolegijose galėtų vykti anglų kalba, </w:t>
            </w:r>
            <w:r>
              <w:rPr>
                <w:b/>
                <w:i/>
              </w:rPr>
              <w:t>jei su tuo sutinka dalyvaujančios šalys</w:t>
            </w:r>
            <w:r>
              <w:t>.</w:t>
            </w:r>
          </w:p>
        </w:tc>
        <w:tc>
          <w:tcPr>
            <w:tcW w:w="4876" w:type="dxa"/>
            <w:tcBorders>
              <w:top w:val="nil"/>
              <w:left w:val="nil"/>
              <w:bottom w:val="nil"/>
              <w:right w:val="nil"/>
            </w:tcBorders>
          </w:tcPr>
          <w:p>
            <w:pPr>
              <w:pStyle w:val="Normal6a"/>
            </w:pPr>
            <w:r>
              <w:t xml:space="preserve">Be to, valstybės narės savo nacionaliniuose teismuose turėtų įsteigti specialią kolegiją – arba vieną kolegiją viename konkrečiame teisme nacionaliniu lygmeniu, arba vieną kolegiją viename konkrečiame kiekvieno federalinio subjekto teisme, atsižvelgiant į atitinkamą nacionalinę teismų sistemą. Tokios komisijos turėtų būti skirtos įmonių civilinės teisės ginčams, susijusiems su ESSU bendrovės juridine forma, ginčams, kylantiems dėl ESSU ar ESSU akcijų įsigijimo arba susijusiems su tokiu įsigijimu, ir ESSU bei jo valdybos ar stebėtojų tarybos narių ginčams </w:t>
            </w:r>
            <w:r>
              <w:rPr>
                <w:b/>
                <w:i/>
              </w:rPr>
              <w:t>grietai ir veiksmingai</w:t>
            </w:r>
            <w:r>
              <w:t xml:space="preserve"> spręsti. Valstybės narės turėtų užtikrinti, kad procesai tokiose kolegijose galėtų vykti </w:t>
            </w:r>
            <w:r>
              <w:rPr>
                <w:b/>
                <w:i/>
              </w:rPr>
              <w:t>ir</w:t>
            </w:r>
            <w:r>
              <w:t xml:space="preserve"> anglų kalba, </w:t>
            </w:r>
            <w:r>
              <w:rPr>
                <w:b/>
                <w:i/>
              </w:rPr>
              <w:t>kai to prašo bent viena iš ginčo šalių</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8 punkto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Be to, valstybės narės savo nacionaliniuose teismuose turėtų įsteigti specialią kolegiją – arba vieną kolegiją viename konkrečiame teisme nacionaliniu lygmeniu, arba vieną kolegiją viename konkrečiame kiekvieno federalinio subjekto teisme, atsižvelgiant į atitinkamą nacionalinę teismų sistemą. Tokios komisijos turėtų būti skirtos įmonių civilinės teisės ginčams, susijusiems su </w:t>
            </w:r>
            <w:r>
              <w:rPr>
                <w:b/>
                <w:i/>
              </w:rPr>
              <w:t>ESSU</w:t>
            </w:r>
            <w:r>
              <w:t xml:space="preserve"> bendrovės juridine forma, ginčams, kylantiems dėl </w:t>
            </w:r>
            <w:r>
              <w:rPr>
                <w:b/>
                <w:i/>
              </w:rPr>
              <w:t>ESSU ar ESSU</w:t>
            </w:r>
            <w:r>
              <w:t xml:space="preserve"> akcijų įsigijimo arba susijusiems su tokiu įsigijimu, ir </w:t>
            </w:r>
            <w:r>
              <w:rPr>
                <w:b/>
                <w:i/>
              </w:rPr>
              <w:t>ESSU</w:t>
            </w:r>
            <w:r>
              <w:t xml:space="preserve"> bei jo valdybos ar stebėtojų tarybos narių ginčams spręsti. Valstybės narės turėtų užtikrinti, kad procesai tokiose kolegijose galėtų vykti anglų kalba, jei su tuo sutinka dalyvaujančios šalys.</w:t>
            </w:r>
          </w:p>
        </w:tc>
        <w:tc>
          <w:tcPr>
            <w:tcW w:w="4876" w:type="dxa"/>
            <w:tcBorders>
              <w:top w:val="nil"/>
              <w:left w:val="nil"/>
              <w:bottom w:val="nil"/>
              <w:right w:val="nil"/>
            </w:tcBorders>
          </w:tcPr>
          <w:p>
            <w:pPr>
              <w:pStyle w:val="Normal6a"/>
            </w:pPr>
            <w:r>
              <w:t xml:space="preserve">Be to, valstybės narės savo nacionaliniuose teismuose turėtų įsteigti specialią kolegiją – arba vieną kolegiją viename konkrečiame teisme nacionaliniu lygmeniu, arba vieną kolegiją viename konkrečiame kiekvieno federalinio subjekto teisme, atsižvelgiant į atitinkamą nacionalinę teismų sistemą. Tokios komisijos turėtų būti skirtos įmonių civilinės teisės ginčams, susijusiems su </w:t>
            </w:r>
            <w:r>
              <w:rPr>
                <w:b/>
                <w:i/>
              </w:rPr>
              <w:t>SES</w:t>
            </w:r>
            <w:r>
              <w:t xml:space="preserve"> bendrovės juridine forma, ginčams, kylantiems dėl </w:t>
            </w:r>
            <w:r>
              <w:rPr>
                <w:b/>
                <w:i/>
              </w:rPr>
              <w:t>SES ar SES</w:t>
            </w:r>
            <w:r>
              <w:t xml:space="preserve"> akcijų įsigijimo arba susijusiems su tokiu įsigijimu, ir </w:t>
            </w:r>
            <w:r>
              <w:rPr>
                <w:b/>
                <w:i/>
              </w:rPr>
              <w:t>SES</w:t>
            </w:r>
            <w:r>
              <w:t xml:space="preserve"> bei jo valdybos ar stebėtojų tarybos narių ginčams spręsti. Valstybės narės turėtų užtikrinti, kad procesai tokiose kolegijose galėtų vykti anglų kalba, jei su tuo sutinka dalyvaujančios šalys.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164</w:t>
    </w:r>
    <w:r>
      <w:fldChar w:fldCharType="end"/>
    </w:r>
    <w:r>
      <w:t>/</w:t>
    </w:r>
    <w:r>
      <w:fldChar w:fldCharType="begin"/>
    </w:r>
    <w:r>
      <w:instrText xml:space="preserve"> NUMPAGES </w:instrText>
    </w:r>
    <w:r>
      <w:fldChar w:fldCharType="separate"/>
    </w:r>
    <w:r>
      <w:t>164</w:t>
    </w:r>
    <w:r>
      <w:fldChar w:fldCharType="end"/>
    </w:r>
    <w:r>
      <w:tab/>
    </w:r>
    <w:r>
      <w:rPr>
        <w:rStyle w:val="HideTWBExt"/>
      </w:rPr>
      <w:t>&lt;PathFdR&gt;</w:t>
    </w:r>
    <w:r>
      <w:t>AM\1327577LT.docx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AM\1327577LT.docx</w:t>
    </w:r>
    <w:r>
      <w:rPr>
        <w:rStyle w:val="HideTWBExt"/>
      </w:rPr>
      <w:t>&lt;/PathFdR&gt;</w:t>
    </w:r>
    <w:r>
      <w:tab/>
    </w:r>
    <w:r>
      <w:fldChar w:fldCharType="begin"/>
    </w:r>
    <w:r>
      <w:instrText xml:space="preserve"> PAGE </w:instrText>
    </w:r>
    <w:r>
      <w:fldChar w:fldCharType="separate"/>
    </w:r>
    <w:r>
      <w:t>163</w:t>
    </w:r>
    <w:r>
      <w:fldChar w:fldCharType="end"/>
    </w:r>
    <w:r>
      <w:t>/</w:t>
    </w:r>
    <w:r>
      <w:fldChar w:fldCharType="begin"/>
    </w:r>
    <w:r>
      <w:instrText xml:space="preserve"> NUMPAGES </w:instrText>
    </w:r>
    <w:r>
      <w:fldChar w:fldCharType="separate"/>
    </w:r>
    <w:r>
      <w:t>164</w:t>
    </w:r>
    <w:r>
      <w:fldChar w:fldCharType="end"/>
    </w:r>
    <w:r>
      <w:tab/>
    </w:r>
    <w:r>
      <w:t>PE</w:t>
    </w:r>
    <w:r>
      <w:rPr>
        <w:rStyle w:val="HideTWBExt"/>
      </w:rPr>
      <w:t>&lt;NoPE&gt;</w:t>
    </w:r>
    <w:r>
      <w:t>776.972</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AM\1327577LT.docx</w:t>
    </w:r>
    <w:r>
      <w:rPr>
        <w:rStyle w:val="HideTWBExt"/>
      </w:rPr>
      <w:t>&lt;/PathFdR&gt;</w:t>
    </w:r>
    <w:r>
      <w:tab/>
    </w:r>
    <w:r>
      <w:tab/>
    </w:r>
    <w:r>
      <w:t>PE</w:t>
    </w:r>
    <w:r>
      <w:rPr>
        <w:rStyle w:val="HideTWBExt"/>
      </w:rPr>
      <w:t>&lt;NoPE&gt;</w:t>
    </w:r>
    <w:r>
      <w:t>776.972</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164</Pages>
  <Words>29688</Words>
  <Characters>204635</Characters>
  <Application>Microsoft Office Word</Application>
  <DocSecurity>0</DocSecurity>
  <Lines>1</Lines>
  <Paragraphs>3098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1327577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245924</vt:lpwstr>
  </property>
  <property fmtid="{D5CDD505-2E9C-101B-9397-08002B2CF9AE}" pid="7" name="dmxml.render.traceId">
    <vt:lpwstr>68d510cc55ce833fb01403aaa47f5ef6</vt:lpwstr>
  </property>
  <property fmtid="{D5CDD505-2E9C-101B-9397-08002B2CF9AE}" pid="8" name="FooterPath">
    <vt:lpwstr>AM\1327577LT.docx</vt:lpwstr>
  </property>
  <property fmtid="{D5CDD505-2E9C-101B-9397-08002B2CF9AE}" pid="9" name="PE Number">
    <vt:lpwstr>776.972</vt:lpwstr>
  </property>
  <property fmtid="{D5CDD505-2E9C-101B-9397-08002B2CF9AE}" pid="10" name="UID">
    <vt:lpwstr>eu.europa.europarl-DIN1-2025-0000165770_02.00-lt-01.00_text-xml</vt:lpwstr>
  </property>
</Properties>
</file>