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 Europejski</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{JURI}</w:t>
      </w:r>
      <w:r>
        <w:t>Komisja Prawna</w:t>
      </w:r>
      <w:r>
        <w:rPr>
          <w:rStyle w:val="HideTWBExt"/>
        </w:rPr>
        <w:t>&lt;/Commission&gt;</w:t>
      </w:r>
    </w:p>
    <w:p>
      <w:pPr>
        <w:pStyle w:val="LineBottom"/>
      </w:pPr>
      <w:r>
        <w:t xml:space="preserve"> </w:t>
      </w:r>
    </w:p>
    <w:p>
      <w:pPr>
        <w:pStyle w:val="CoverReference"/>
      </w:pPr>
      <w:r>
        <w:rPr>
          <w:rStyle w:val="HideTWBExt"/>
        </w:rPr>
        <w:t>&lt;RefProc&gt;</w:t>
      </w:r>
      <w:r>
        <w:t>2025/2079</w:t>
      </w:r>
      <w:r>
        <w:rPr>
          <w:rStyle w:val="HideTWBExt"/>
        </w:rPr>
        <w:t>&lt;/RefProc&gt;</w:t>
      </w:r>
      <w:r>
        <w:rPr>
          <w:rStyle w:val="HideTWBExt"/>
        </w:rPr>
        <w:t>&lt;RefTypeProc&gt;</w:t>
      </w:r>
      <w:r>
        <w:t>(INL)</w:t>
      </w:r>
      <w:r>
        <w:rPr>
          <w:rStyle w:val="HideTWBExt"/>
        </w:rPr>
        <w:t>&lt;/RefTypeProc&gt;</w:t>
      </w:r>
    </w:p>
    <w:p>
      <w:pPr>
        <w:pStyle w:val="CoverDate"/>
      </w:pPr>
      <w:r>
        <w:rPr>
          <w:rStyle w:val="HideTWBExt"/>
        </w:rPr>
        <w:t>&lt;Date&gt;</w:t>
      </w:r>
      <w:r>
        <w:rPr>
          <w:rStyle w:val="HideTWBInt"/>
        </w:rPr>
        <w:t>{12/09/2025}</w:t>
      </w:r>
      <w:r>
        <w:t>12.9.2025</w:t>
      </w:r>
      <w:r>
        <w:rPr>
          <w:rStyle w:val="HideTWBExt"/>
        </w:rPr>
        <w:t>&lt;/Date&gt;</w:t>
      </w:r>
    </w:p>
    <w:p>
      <w:pPr>
        <w:pStyle w:val="CoverDocType"/>
      </w:pPr>
      <w:r>
        <w:rPr>
          <w:rStyle w:val="HideTWBExt"/>
        </w:rPr>
        <w:t>&lt;TypeAM&gt;</w:t>
      </w:r>
      <w:r>
        <w:t>POPRAWKI</w:t>
      </w:r>
      <w:r>
        <w:rPr>
          <w:rStyle w:val="HideTWBExt"/>
        </w:rPr>
        <w:t>&lt;/TypeAM&gt;</w:t>
      </w:r>
    </w:p>
    <w:p>
      <w:pPr>
        <w:pStyle w:val="CoverDocType24a"/>
      </w:pPr>
      <w:r>
        <w:rPr>
          <w:rStyle w:val="HideTWBExt"/>
        </w:rPr>
        <w:t>&lt;RangeAM&gt;</w:t>
      </w:r>
      <w:r>
        <w:t>1</w:t>
      </w:r>
      <w:r>
        <w:t xml:space="preserve"> - </w:t>
      </w:r>
      <w:r>
        <w:t>344</w:t>
      </w:r>
      <w:r>
        <w:rPr>
          <w:rStyle w:val="HideTWBExt"/>
        </w:rPr>
        <w:t>&lt;/RangeAM&gt;</w:t>
      </w:r>
    </w:p>
    <w:p>
      <w:pPr>
        <w:pStyle w:val="CoverBold"/>
      </w:pPr>
      <w:r>
        <w:rPr>
          <w:rStyle w:val="HideTWBExt"/>
        </w:rPr>
        <w:t>&lt;TitreType&gt;</w:t>
      </w:r>
      <w:r>
        <w:t>Projekt sprawozdania</w:t>
      </w:r>
      <w:r>
        <w:rPr>
          <w:rStyle w:val="HideTWBExt"/>
        </w:rPr>
        <w:t>&lt;/TitreType&gt;</w:t>
      </w:r>
    </w:p>
    <w:p>
      <w:pPr>
        <w:pStyle w:val="CoverBold"/>
      </w:pPr>
      <w:r>
        <w:rPr>
          <w:rStyle w:val="HideTWBExt"/>
        </w:rPr>
        <w:t>&lt;Rapporteur&gt;</w:t>
      </w:r>
      <w:r>
        <w:t>René Repasi</w:t>
      </w:r>
      <w:r>
        <w:rPr>
          <w:rStyle w:val="HideTWBExt"/>
        </w:rPr>
        <w:t>&lt;/Rapporteur&gt;</w:t>
      </w:r>
    </w:p>
    <w:p>
      <w:pPr>
        <w:pStyle w:val="CoverNormal24a"/>
      </w:pPr>
      <w:r>
        <w:rPr>
          <w:rStyle w:val="HideTWBExt"/>
        </w:rPr>
        <w:t>&lt;DocRefPE&gt;</w:t>
      </w:r>
      <w:r>
        <w:t>(PE773.199v01-00)</w:t>
      </w:r>
      <w:r>
        <w:rPr>
          <w:rStyle w:val="HideTWBExt"/>
        </w:rPr>
        <w:t>&lt;/DocRefPE&gt;</w:t>
      </w:r>
    </w:p>
    <w:p>
      <w:pPr>
        <w:pStyle w:val="CoverNormal"/>
      </w:pPr>
      <w:r>
        <w:rPr>
          <w:rStyle w:val="HideTWBExt"/>
        </w:rPr>
        <w:t>&lt;Titre&gt;</w:t>
      </w:r>
      <w:r>
        <w:t>28. system prawny – nowe ramy prawne dla innowacyjnych przedsiębiorstw</w:t>
      </w:r>
      <w:r>
        <w:rPr>
          <w:rStyle w:val="HideTWBExt"/>
        </w:rPr>
        <w:t>&lt;/Titre&gt;</w:t>
      </w:r>
    </w:p>
    <w:p>
      <w:pPr>
        <w:pStyle w:val="CoverNormal24a"/>
      </w:pPr>
      <w:r>
        <w:rPr>
          <w:rStyle w:val="HideTWBExt"/>
        </w:rPr>
        <w:t>&lt;DocRef&gt;</w:t>
      </w:r>
      <w:r>
        <w:t>(2025/2079(INL))</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Poprawka</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Tytuł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z zaleceniami dla Komisji w sprawie 28. systemu prawnego – nowe ramy prawne dla </w:t>
            </w:r>
            <w:r>
              <w:rPr>
                <w:b/>
                <w:i/>
              </w:rPr>
              <w:t>innowacyjnych</w:t>
            </w:r>
            <w:r>
              <w:t xml:space="preserve"> przedsiębiorstw</w:t>
            </w:r>
          </w:p>
        </w:tc>
        <w:tc>
          <w:tcPr>
            <w:tcW w:w="4876" w:type="dxa"/>
            <w:tcBorders>
              <w:top w:val="nil"/>
              <w:left w:val="nil"/>
              <w:bottom w:val="nil"/>
              <w:right w:val="nil"/>
            </w:tcBorders>
          </w:tcPr>
          <w:p>
            <w:pPr>
              <w:pStyle w:val="Normal6a"/>
            </w:pPr>
            <w:r>
              <w:t xml:space="preserve">z zaleceniami dla Komisji w sprawie 28. systemu prawnego – nowe ramy prawne dla przedsiębiorstw </w:t>
            </w:r>
            <w:r>
              <w:rPr>
                <w:b/>
                <w:i/>
              </w:rPr>
              <w:t>typu start-up i scale-up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Axel Voss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uwzględniając art. 50 i art. 114 ust. 1 Traktatu o funkcjonowaniu Unii Europejskiej,</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uwzględniając art. 50 </w:t>
            </w:r>
            <w:r>
              <w:rPr>
                <w:b/>
                <w:i/>
              </w:rPr>
              <w:t>i art. 114 ust. 1</w:t>
            </w:r>
            <w:r>
              <w:t xml:space="preserve"> Traktatu o funkcjonowaniu Unii Europejskiej,</w:t>
            </w:r>
          </w:p>
        </w:tc>
        <w:tc>
          <w:tcPr>
            <w:tcW w:w="4876" w:type="dxa"/>
            <w:tcBorders>
              <w:top w:val="nil"/>
              <w:left w:val="nil"/>
              <w:bottom w:val="nil"/>
              <w:right w:val="nil"/>
            </w:tcBorders>
          </w:tcPr>
          <w:p>
            <w:pPr>
              <w:pStyle w:val="Normal6a"/>
            </w:pPr>
            <w:r>
              <w:rPr>
                <w:b/>
                <w:i/>
              </w:rPr>
              <w:t>–</w:t>
            </w:r>
            <w:r>
              <w:tab/>
            </w:r>
            <w:r>
              <w:t>uwzględniając art. 50 Traktatu o funkcjonowaniu Unii Europejskiej,</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2 a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art. 352 ust. 1 Traktatu o funkcjonowaniu Unii Europejskiej,</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6 a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dyrektywę Parlamentu Europejskiego i Rady (UE) 2019/1151 z dnia 20 czerwca 2019 r. zmieniającą dyrektywę (UE) 2017/1132 w odniesieniu do stosowania narzędzi i procesów cyfrowych w prawie spółek,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6 a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dyrektywę Parlamentu Europejskiego i Rady (UE) 2025/25 z dnia 19 grudnia 2024 r. w sprawie zmiany dyrektyw 2009/102/WE i (UE) 2017/1132 w odniesieniu do szerszego wykorzystania i aktualizacji narzędzi i procesów cyfrowych w ramach prawa spółek,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6 a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dyrektywę Parlamentu Europejskiego i Rady (UE) 2025/25 z dnia 19 grudnia 2024 r. w sprawie zmiany dyrektyw 2009/102/WE i (UE) 2017/1132 w odniesieniu do szerszego wykorzystania i aktualizacji narzędzi i procesów cyfrowych w ramach prawa spółek,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6 b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dyrektywę Parlamentu Europejskiego i Rady (UE) 2025/25 z dnia 19 grudnia 2024 r. w sprawie zmiany dyrektyw 2009/102/WE i (UE) 2017/1132 w odniesieniu do szerszego wykorzystania i aktualizacji narzędzi i procesów cyfrowych w ramach prawa spółek,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6 b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dyrektywę Parlamentu Europejskiego i Rady (UE) 2019/2121 z dnia 27 listopada 2019 r. zmieniającą dyrektywę (UE) 2017/1132 w odniesieniu do transgranicznego przekształcania, łączenia i podziału spółek,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mając na uwadze, że </w:t>
            </w:r>
            <w:r>
              <w:rPr>
                <w:b/>
                <w:i/>
              </w:rPr>
              <w:t>unijne</w:t>
            </w:r>
            <w:r>
              <w:t xml:space="preserve"> przedsiębiorstwa, w szczególności </w:t>
            </w:r>
            <w:r>
              <w:rPr>
                <w:b/>
                <w:i/>
              </w:rPr>
              <w:t>małe i średnie przedsiębiorstwa (MŚP),</w:t>
            </w:r>
            <w:r>
              <w:t xml:space="preserve"> przedsiębiorstwa typu start-up i scale-up, </w:t>
            </w:r>
            <w:r>
              <w:rPr>
                <w:b/>
                <w:i/>
              </w:rPr>
              <w:t>w różnych</w:t>
            </w:r>
            <w:r>
              <w:t xml:space="preserve"> państwach członkowskich </w:t>
            </w:r>
            <w:r>
              <w:rPr>
                <w:b/>
                <w:i/>
              </w:rPr>
              <w:t>podlegają bardzo różnym przepisom</w:t>
            </w:r>
            <w:r>
              <w:t xml:space="preserve">; mając na uwadze, że ta różnorodność przepisów i koszty poruszania się w nieznanym środowisku </w:t>
            </w:r>
            <w:r>
              <w:rPr>
                <w:b/>
                <w:i/>
              </w:rPr>
              <w:t>utrudniają ogólnoeuropejskie finansowanie</w:t>
            </w:r>
            <w:r>
              <w:t xml:space="preserve"> przedsiębiorstw;</w:t>
            </w:r>
          </w:p>
        </w:tc>
        <w:tc>
          <w:tcPr>
            <w:tcW w:w="4876" w:type="dxa"/>
            <w:tcBorders>
              <w:top w:val="nil"/>
              <w:left w:val="nil"/>
              <w:bottom w:val="nil"/>
              <w:right w:val="nil"/>
            </w:tcBorders>
          </w:tcPr>
          <w:p>
            <w:pPr>
              <w:pStyle w:val="Normal6a"/>
            </w:pPr>
            <w:r>
              <w:t>A.</w:t>
            </w:r>
            <w:r>
              <w:tab/>
            </w:r>
            <w:r>
              <w:t xml:space="preserve">mając na uwadze, że przedsiębiorstwa, w szczególności przedsiębiorstwa typu start-up i scale-up, </w:t>
            </w:r>
            <w:r>
              <w:rPr>
                <w:b/>
                <w:i/>
              </w:rPr>
              <w:t>coraz częściej borykają się z rozdrobnionymi europejskimi ramami regulacyjnymi, które różnią się znacznie w poszczególnych</w:t>
            </w:r>
            <w:r>
              <w:t xml:space="preserve"> państwach członkowskich; mając na uwadze, że ta </w:t>
            </w:r>
            <w:r>
              <w:rPr>
                <w:b/>
                <w:i/>
              </w:rPr>
              <w:t>fragmentaryzacja i</w:t>
            </w:r>
            <w:r>
              <w:t xml:space="preserve"> różnorodność przepisów i koszty poruszania się w nieznanym środowisku </w:t>
            </w:r>
            <w:r>
              <w:rPr>
                <w:b/>
                <w:i/>
              </w:rPr>
              <w:t>ponadnarodowym stanowią przeszkodę dla ogólnoeuropejskiego finansowania</w:t>
            </w:r>
            <w:r>
              <w:t xml:space="preserve"> przedsiębiorstw;</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mając na uwadze, że unijne przedsiębiorstwa, w szczególności małe i średnie przedsiębiorstwa (MŚP), przedsiębiorstwa typu start-up i scale-up, w różnych państwach członkowskich podlegają bardzo różnym przepisom; mając na uwadze, że ta różnorodność przepisów i koszty poruszania się w nieznanym środowisku utrudniają ogólnoeuropejskie finansowanie przedsiębiorstw;</w:t>
            </w:r>
          </w:p>
        </w:tc>
        <w:tc>
          <w:tcPr>
            <w:tcW w:w="4876" w:type="dxa"/>
            <w:tcBorders>
              <w:top w:val="nil"/>
              <w:left w:val="nil"/>
              <w:bottom w:val="nil"/>
              <w:right w:val="nil"/>
            </w:tcBorders>
          </w:tcPr>
          <w:p>
            <w:pPr>
              <w:pStyle w:val="Normal6a"/>
            </w:pPr>
            <w:r>
              <w:t>A.</w:t>
            </w:r>
            <w:r>
              <w:tab/>
            </w:r>
            <w:r>
              <w:t xml:space="preserve">mając na uwadze, że unijne przedsiębiorstwa, w szczególności małe i średnie przedsiębiorstwa (MŚP), przedsiębiorstwa typu start-up i scale-up, w różnych państwach członkowskich podlegają bardzo różnym przepisom; mając na uwadze, że ta różnorodność przepisów i koszty poruszania się w nieznanym środowisku utrudniają ogólnoeuropejskie finansowanie </w:t>
            </w:r>
            <w:r>
              <w:rPr>
                <w:b/>
                <w:i/>
              </w:rPr>
              <w:t>i skalowanie</w:t>
            </w:r>
            <w:r>
              <w:t xml:space="preserve"> przedsiębiorstw;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mając na uwadze, że </w:t>
            </w:r>
            <w:r>
              <w:rPr>
                <w:b/>
                <w:i/>
              </w:rPr>
              <w:t>unijne przedsiębiorstwa, w szczególności małe i średnie przedsiębiorstwa (MŚP),</w:t>
            </w:r>
            <w:r>
              <w:t xml:space="preserve"> przedsiębiorstwa typu start-up i scale-up</w:t>
            </w:r>
            <w:r>
              <w:rPr>
                <w:b/>
                <w:i/>
              </w:rPr>
              <w:t>,</w:t>
            </w:r>
            <w:r>
              <w:t xml:space="preserve"> w różnych państwach członkowskich podlegają bardzo różnym przepisom; mając na uwadze, że ta różnorodność przepisów i koszty poruszania się w nieznanym środowisku utrudniają </w:t>
            </w:r>
            <w:r>
              <w:rPr>
                <w:b/>
                <w:i/>
              </w:rPr>
              <w:t>ogólnoeuropejskie finansowanie przedsiębiorstw</w:t>
            </w:r>
            <w:r>
              <w:t>;</w:t>
            </w:r>
          </w:p>
        </w:tc>
        <w:tc>
          <w:tcPr>
            <w:tcW w:w="4876" w:type="dxa"/>
            <w:tcBorders>
              <w:top w:val="nil"/>
              <w:left w:val="nil"/>
              <w:bottom w:val="nil"/>
              <w:right w:val="nil"/>
            </w:tcBorders>
          </w:tcPr>
          <w:p>
            <w:pPr>
              <w:pStyle w:val="Normal6a"/>
            </w:pPr>
            <w:r>
              <w:t>A.</w:t>
            </w:r>
            <w:r>
              <w:tab/>
            </w:r>
            <w:r>
              <w:t xml:space="preserve">mając na uwadze, że przedsiębiorstwa typu start-up i scale-up </w:t>
            </w:r>
            <w:r>
              <w:rPr>
                <w:b/>
                <w:i/>
              </w:rPr>
              <w:t>prowadzące działalność w sektorze cyfrowym</w:t>
            </w:r>
            <w:r>
              <w:t xml:space="preserve"> w różnych państwach członkowskich podlegają bardzo różnym przepisom; mając na uwadze, że ta różnorodność przepisów i koszty poruszania się w nieznanym środowisku utrudniają </w:t>
            </w:r>
            <w:r>
              <w:rPr>
                <w:b/>
                <w:i/>
              </w:rPr>
              <w:t>ich zdolność do rozwoju</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A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mając na uwadze, że – jak podkreśliła Komisja Europejska w komunikacie w sprawie strategii UE na rzecz przedsiębiorstw typu start-up i przedsiębiorstw scale-up – tworzenie i zwiększanie skali działalności innowacyjnych przedsiębiorstw w Europie stoi obecnie w obliczu poważnych wyzwań, w szczególności ze względu na rozdrobnione ramy regulacyjne na szczeblu UE, niechęć inwestorów do podejmowania ryzyka, powolne wdrażanie innowacyjnych technologii i niedostatecznie wykorzystywane zamówienia publiczne;</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A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mając na uwadze, że globalne środowisko biznesowe w coraz większym stopniu wymaga sprawności, cyfryzacji i dostępu do różnorodnych rynków i puli talentów, co stanowi obecnie duże wyzwanie dla wielu przedsiębiorstw unijnych ze względu na złożoność przepisów i niespójne ramy;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mając na uwadze, że </w:t>
            </w:r>
            <w:r>
              <w:rPr>
                <w:b/>
                <w:i/>
              </w:rPr>
              <w:t>jednolity</w:t>
            </w:r>
            <w:r>
              <w:t xml:space="preserve"> system europejski można osiągnąć nie tylko za pomocą odrębnego aktu prawnego Unii, ale również przez wprowadzenie zbioru przepisów obowiązujących równolegle z krajowym systemem prawnym każdego państwa członkowskiego;</w:t>
            </w:r>
          </w:p>
        </w:tc>
        <w:tc>
          <w:tcPr>
            <w:tcW w:w="4876" w:type="dxa"/>
            <w:tcBorders>
              <w:top w:val="nil"/>
              <w:left w:val="nil"/>
              <w:bottom w:val="nil"/>
              <w:right w:val="nil"/>
            </w:tcBorders>
          </w:tcPr>
          <w:p>
            <w:pPr>
              <w:pStyle w:val="Normal6a"/>
            </w:pPr>
            <w:r>
              <w:t>B.</w:t>
            </w:r>
            <w:r>
              <w:tab/>
            </w:r>
            <w:r>
              <w:t xml:space="preserve">mając na uwadze, że </w:t>
            </w:r>
            <w:r>
              <w:rPr>
                <w:b/>
                <w:i/>
              </w:rPr>
              <w:t>skuteczniejszy zharmonizowany</w:t>
            </w:r>
            <w:r>
              <w:t xml:space="preserve"> system europejski można osiągnąć nie tylko za pomocą odrębnego aktu prawnego Unii, ale również przez wprowadzenie zbioru przepisów obowiązujących równolegle z krajowym systemem prawnym każdego państwa członkowskiego</w:t>
            </w:r>
            <w:r>
              <w:rPr>
                <w:b/>
                <w:i/>
              </w:rPr>
              <w:t>, dbając jednak o to, by przepisy te nie powodowały dodatkowych obciążeń administracyjnych, biurokratycznych i finansowych ani innych rodzajów przeszkód rozwoju przedsiębiorstw, w szczególności MŚP</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mając na uwadze, że </w:t>
            </w:r>
            <w:r>
              <w:rPr>
                <w:b/>
                <w:i/>
              </w:rPr>
              <w:t>jednolity system europejski</w:t>
            </w:r>
            <w:r>
              <w:t xml:space="preserve"> można </w:t>
            </w:r>
            <w:r>
              <w:rPr>
                <w:b/>
                <w:i/>
              </w:rPr>
              <w:t>osiągnąć nie tylko za pomocą odrębnego aktu prawnego Unii, ale również przez wprowadzenie zbioru</w:t>
            </w:r>
            <w:r>
              <w:t xml:space="preserve"> przepisów </w:t>
            </w:r>
            <w:r>
              <w:rPr>
                <w:b/>
                <w:i/>
              </w:rPr>
              <w:t>obowiązujących równolegle z krajowym systemem prawnym każdego państwa członkowskiego</w:t>
            </w:r>
            <w:r>
              <w:t>;</w:t>
            </w:r>
          </w:p>
        </w:tc>
        <w:tc>
          <w:tcPr>
            <w:tcW w:w="4876" w:type="dxa"/>
            <w:tcBorders>
              <w:top w:val="nil"/>
              <w:left w:val="nil"/>
              <w:bottom w:val="nil"/>
              <w:right w:val="nil"/>
            </w:tcBorders>
          </w:tcPr>
          <w:p>
            <w:pPr>
              <w:pStyle w:val="Normal6a"/>
            </w:pPr>
            <w:r>
              <w:t>B.</w:t>
            </w:r>
            <w:r>
              <w:tab/>
            </w:r>
            <w:r>
              <w:t xml:space="preserve">mając na uwadze, że można </w:t>
            </w:r>
            <w:r>
              <w:rPr>
                <w:b/>
                <w:i/>
              </w:rPr>
              <w:t>wprowadzić zbiór</w:t>
            </w:r>
            <w:r>
              <w:t xml:space="preserve"> przepisów </w:t>
            </w:r>
            <w:r>
              <w:rPr>
                <w:b/>
                <w:i/>
              </w:rPr>
              <w:t>ułatwiających uznawanie przedsiębiorstw typu start-up i scale-up działających w sektorze cyfrowym w każdym państwie członkowskim, przy jednoczesnym zachowaniu krajowych systemów prawa podatkowego i socjalnego</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mając na uwadze, że wiele unijnych przedsiębiorstw typu start-up i scale-up opracowuje przełomowe technologie;</w:t>
            </w:r>
            <w:r>
              <w:t xml:space="preserve"> </w:t>
            </w:r>
            <w:r>
              <w:rPr>
                <w:b/>
                <w:i/>
              </w:rPr>
              <w:t>mając na uwadze, że przedsiębiorstwa zagraniczne często przejmują te przedsiębiorstwa, zanim zdążą się one w pełni rozwinąć;</w:t>
            </w:r>
            <w:r>
              <w:t xml:space="preserve"> </w:t>
            </w:r>
            <w:r>
              <w:rPr>
                <w:b/>
                <w:i/>
              </w:rPr>
              <w:t>mając na uwadze, że takie przejęcia często znajdują się poniżej unijnych progów kontroli połączeń;</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mając na uwadze, że wiele unijnych przedsiębiorstw typu start-up i scale-up opracowuje przełomowe technologie;</w:t>
            </w:r>
            <w:r>
              <w:t xml:space="preserve"> </w:t>
            </w:r>
            <w:r>
              <w:rPr>
                <w:b/>
                <w:i/>
              </w:rPr>
              <w:t>mając na uwadze, że przedsiębiorstwa zagraniczne często przejmują te przedsiębiorstwa, zanim zdążą się one w pełni rozwinąć;</w:t>
            </w:r>
            <w:r>
              <w:t xml:space="preserve"> </w:t>
            </w:r>
            <w:r>
              <w:rPr>
                <w:b/>
                <w:i/>
              </w:rPr>
              <w:t>mając na uwadze, że takie przejęcia często znajdują się poniżej unijnych progów kontroli połączeń;</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mając na uwadze, że wiele unijnych przedsiębiorstw typu start-up i scale-up opracowuje przełomowe technologie; mając na uwadze, że przedsiębiorstwa zagraniczne często przejmują te przedsiębiorstwa, zanim zdążą się one w pełni rozwinąć; mając na uwadze, że takie przejęcia często znajdują się poniżej unijnych progów kontroli połączeń;</w:t>
            </w:r>
          </w:p>
        </w:tc>
        <w:tc>
          <w:tcPr>
            <w:tcW w:w="4876" w:type="dxa"/>
            <w:tcBorders>
              <w:top w:val="nil"/>
              <w:left w:val="nil"/>
              <w:bottom w:val="nil"/>
              <w:right w:val="nil"/>
            </w:tcBorders>
          </w:tcPr>
          <w:p>
            <w:pPr>
              <w:pStyle w:val="Normal6a"/>
            </w:pPr>
            <w:r>
              <w:t>C.</w:t>
            </w:r>
            <w:r>
              <w:tab/>
            </w:r>
            <w:r>
              <w:t xml:space="preserve">mając na uwadze, że wiele unijnych przedsiębiorstw typu start-up i scale-up opracowuje przełomowe technologie; mając na uwadze, że przedsiębiorstwa zagraniczne często przejmują te </w:t>
            </w:r>
            <w:r>
              <w:rPr>
                <w:b/>
                <w:i/>
              </w:rPr>
              <w:t>innowacyjne</w:t>
            </w:r>
            <w:r>
              <w:t xml:space="preserve"> przedsiębiorstwa, zanim zdążą się one w pełni rozwinąć; mając na uwadze, że takie przejęcia często znajdują się poniżej unijnych progów kontroli połączeń;</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C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mając na uwadze, że Unia przyjęła już ramy prawne dla przedsiębiorstw europejskich, spółdzielni europejskich i ugrupowań interesów gospodarczych, które nie pozwalają jednak przedsiębiorstwom typu start-up i scale-up na skuteczniejsze działanie na rynku wewnętrznym;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mając na uwadze, że innowacyjne przedsiębiorstwa potrzebują dostępu do kapitału wysokiego ryzyka, ogólnoeuropejskiej mobilności, skalowalności, wysoko wykwalifikowanych pracowników, ochrony przed „zabójczymi przejęciami” i inwestycji długoterminowych;</w:t>
            </w:r>
          </w:p>
        </w:tc>
        <w:tc>
          <w:tcPr>
            <w:tcW w:w="4876" w:type="dxa"/>
            <w:tcBorders>
              <w:top w:val="nil"/>
              <w:left w:val="nil"/>
              <w:bottom w:val="nil"/>
              <w:right w:val="nil"/>
            </w:tcBorders>
          </w:tcPr>
          <w:p>
            <w:pPr>
              <w:pStyle w:val="Normal6a"/>
            </w:pPr>
            <w:r>
              <w:t>D.</w:t>
            </w:r>
            <w:r>
              <w:tab/>
            </w:r>
            <w:r>
              <w:t xml:space="preserve">mając na uwadze, że innowacyjne przedsiębiorstwa potrzebują </w:t>
            </w:r>
            <w:r>
              <w:rPr>
                <w:b/>
                <w:i/>
              </w:rPr>
              <w:t>większego</w:t>
            </w:r>
            <w:r>
              <w:t xml:space="preserve"> dostępu do kapitału wysokiego ryzyka, ogólnoeuropejskiej mobilności</w:t>
            </w:r>
            <w:r>
              <w:rPr>
                <w:b/>
                <w:i/>
              </w:rPr>
              <w:t>, więcej możliwości do prowadzenia wymiany dobrych praktyk na poziomie europejskim</w:t>
            </w:r>
            <w:r>
              <w:t>, skalowalności, wysoko wykwalifikowanych pracowników, ochrony przed „zabójczymi przejęciami” i inwestycji długoterminowych;</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mając na uwadze, że innowacyjne przedsiębiorstwa potrzebują dostępu do kapitału wysokiego ryzyka, ogólnoeuropejskiej mobilności, skalowalności, wysoko wykwalifikowanych pracowników</w:t>
            </w:r>
            <w:r>
              <w:rPr>
                <w:b/>
                <w:i/>
              </w:rPr>
              <w:t>, ochrony przed „zabójczymi przejęciami”</w:t>
            </w:r>
            <w:r>
              <w:t xml:space="preserve"> i inwestycji długoterminowych;</w:t>
            </w:r>
          </w:p>
        </w:tc>
        <w:tc>
          <w:tcPr>
            <w:tcW w:w="4876" w:type="dxa"/>
            <w:tcBorders>
              <w:top w:val="nil"/>
              <w:left w:val="nil"/>
              <w:bottom w:val="nil"/>
              <w:right w:val="nil"/>
            </w:tcBorders>
          </w:tcPr>
          <w:p>
            <w:pPr>
              <w:pStyle w:val="Normal6a"/>
            </w:pPr>
            <w:r>
              <w:t>D.</w:t>
            </w:r>
            <w:r>
              <w:tab/>
            </w:r>
            <w:r>
              <w:t xml:space="preserve">mając na uwadze, że </w:t>
            </w:r>
            <w:r>
              <w:rPr>
                <w:b/>
                <w:i/>
              </w:rPr>
              <w:t>te</w:t>
            </w:r>
            <w:r>
              <w:t xml:space="preserve"> innowacyjne przedsiębiorstwa potrzebują dostępu do kapitału wysokiego ryzyka, ogólnoeuropejskiej mobilności, skalowalności, wysoko wykwalifikowanych pracowników i inwestycji długoterminowych;</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mając na uwadze, że </w:t>
            </w:r>
            <w:r>
              <w:rPr>
                <w:b/>
                <w:i/>
              </w:rPr>
              <w:t>innowacyjne</w:t>
            </w:r>
            <w:r>
              <w:t xml:space="preserve"> przedsiębiorstwa potrzebują dostępu do kapitału </w:t>
            </w:r>
            <w:r>
              <w:rPr>
                <w:b/>
                <w:i/>
              </w:rPr>
              <w:t>wysokiego ryzyka</w:t>
            </w:r>
            <w:r>
              <w:t>, ogólnoeuropejskiej mobilności, skalowalności, wysoko wykwalifikowanych pracowników, ochrony przed „zabójczymi przejęciami” i inwestycji długoterminowych;</w:t>
            </w:r>
          </w:p>
        </w:tc>
        <w:tc>
          <w:tcPr>
            <w:tcW w:w="4876" w:type="dxa"/>
            <w:tcBorders>
              <w:top w:val="nil"/>
              <w:left w:val="nil"/>
              <w:bottom w:val="nil"/>
              <w:right w:val="nil"/>
            </w:tcBorders>
          </w:tcPr>
          <w:p>
            <w:pPr>
              <w:pStyle w:val="Normal6a"/>
            </w:pPr>
            <w:r>
              <w:t>D.</w:t>
            </w:r>
            <w:r>
              <w:tab/>
            </w:r>
            <w:r>
              <w:t xml:space="preserve">mając na uwadze, że przedsiębiorstwa </w:t>
            </w:r>
            <w:r>
              <w:rPr>
                <w:b/>
                <w:i/>
              </w:rPr>
              <w:t>typu start-up i scale-up</w:t>
            </w:r>
            <w:r>
              <w:t xml:space="preserve"> potrzebują dostępu do </w:t>
            </w:r>
            <w:r>
              <w:rPr>
                <w:b/>
                <w:i/>
              </w:rPr>
              <w:t>różnych form</w:t>
            </w:r>
            <w:r>
              <w:t xml:space="preserve"> kapitału, ogólnoeuropejskiej mobilności, skalowalności, wysoko wykwalifikowanych pracowników, ochrony przed „zabójczymi przejęciami” i inwestycji długoterminowych;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Axel Voss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mając na uwadze, że innowacyjne przedsiębiorstwa potrzebują dostępu do kapitału wysokiego ryzyka, ogólnoeuropejskiej mobilności, skalowalności, wysoko wykwalifikowanych pracowników, </w:t>
            </w:r>
            <w:r>
              <w:rPr>
                <w:b/>
                <w:i/>
              </w:rPr>
              <w:t>ochrony przed „zabójczymi przejęciami”</w:t>
            </w:r>
            <w:r>
              <w:t xml:space="preserve"> i inwestycji długoterminowych;</w:t>
            </w:r>
          </w:p>
        </w:tc>
        <w:tc>
          <w:tcPr>
            <w:tcW w:w="4876" w:type="dxa"/>
            <w:tcBorders>
              <w:top w:val="nil"/>
              <w:left w:val="nil"/>
              <w:bottom w:val="nil"/>
              <w:right w:val="nil"/>
            </w:tcBorders>
          </w:tcPr>
          <w:p>
            <w:pPr>
              <w:pStyle w:val="Normal6a"/>
            </w:pPr>
            <w:r>
              <w:t>D.</w:t>
            </w:r>
            <w:r>
              <w:tab/>
            </w:r>
            <w:r>
              <w:t xml:space="preserve">mając na uwadze, że innowacyjne przedsiębiorstwa potrzebują dostępu do kapitału wysokiego ryzyka, ogólnoeuropejskiej mobilności, skalowalności, wysoko wykwalifikowanych pracowników, </w:t>
            </w:r>
            <w:r>
              <w:rPr>
                <w:b/>
                <w:i/>
              </w:rPr>
              <w:t>wyników i produktów badań naukowych (w tym danych)</w:t>
            </w:r>
            <w:r>
              <w:t xml:space="preserve"> i inwestycji długoterminowych;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D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mając na uwadze, że prawo spółek jest tylko jednym z obszarów, którymi należałoby się zająć w ramach 28. systemu dla innowacyjnych przedsiębiorstw, oraz mając na uwadze, że cała ta dziedzina będzie podlegała modułowym i uzupełniającym się regulacjom i wnioskom obejmującymi różne aspekty regulacyjne;</w:t>
            </w:r>
            <w:r>
              <w:t xml:space="preserve"> </w:t>
            </w:r>
            <w:r>
              <w:rPr>
                <w:b/>
                <w:i/>
              </w:rPr>
              <w:t>zarządzanie w kwestiach podatkowych, prawo pracy, kwestia niewypłacalności i transgraniczne usługi finansowe będą kluczowymi elementami prawodawstwa europejskiego w ramach 28. systemu i przyczynią się do ożywienia innowacji dzięki wdrożeniu skutecznych, korzystnych i atrakcyjnych przepisów, które będą mogły konkurować z najlepszymi światowymi standardami w tym sektorze oraz z najbardziej wydajnymi jurysdykcjami pozaeuropejskimi, utrzymując w ten sposób i przyciągając międzynarodowe finansowanie i kapitał wysokiego ryzyka do Europy w celu wspierania europejskich przedsiębiorstw, przedsiębiorstw typu start-up i scale-up w tym sektorze;</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D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mając na uwadze, że przedsiębiorstwa społeczne i przedsiębiorstwa założone przez młodych ludzi lub przez przedsiębiorców, którzy dopiero rozpoczynają działalność, odgrywają kluczową rolę w pobudzaniu innowacji, tworzeniu spójności społecznej i poprawie zrównoważonego wzrostu gospodarczego, ale często napotykają większe wyzwania w dostępie do finansowania, sieci i specjalistycznego wsparcia;</w:t>
            </w:r>
            <w:r>
              <w:t xml:space="preserve"> </w:t>
            </w:r>
            <w:r>
              <w:rPr>
                <w:b/>
                <w:i/>
              </w:rPr>
              <w:t>mając na uwadze, że współpraca z uniwersytetami, instytutami badawczymi i urzędami ds. transferu technologii może przyspieszyć proces wprowadzania nowo opracowanych rozwiązań na rynek, ułatwić dostęp do wiedzy fachowej i infrastruktury oraz zwiększyć komercjalizację wyników badań;</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D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mając na uwadze, że MŚP, które mają kluczowe znaczenie dla konkurencyjności Unii, a wiele z nich to przedsiębiorstwa rodzinne, stoją w obliczu wyzwań związanych z sukcesją;</w:t>
            </w:r>
            <w:r>
              <w:t xml:space="preserve"> </w:t>
            </w:r>
            <w:r>
              <w:rPr>
                <w:b/>
                <w:i/>
              </w:rPr>
              <w:t>mając na uwadze, że modele własności pracowniczej mogą pomóc w wyeliminowaniu luki spadkowej w sytuacji, kiedy nie dochodzi do dziedziczenia w rodzinie, a tym samym mogą wspierać długoterminową stabilność i wzrost;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D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mając na uwadze, że ułatwienie dostępu do kapitału i talentów dzięki uproszczonym i jednolitym ramom prawnym zwiększy zdolność MŚP oraz przedsiębiorstw typu start-up i scale-up do konkurowania na rynku światowym i przyciągania inwestycji, a także przyczynia się do tworzenia miejsc pracy i spójności społecznej w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D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mając na uwadze, że dostępowi do kapitału i narzędzi cyfrowych muszą towarzyszyć środki wsparcia i ułatwienia dla przedsiębiorstw w państwach członkowskich o niskim poziomie cyfryzacji, w tym okresy przejściowe i wielojęzyczne platformy;</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D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mając na uwadze, że warunkiem wstępnym harmonizacji przewidzianej w art. 50 i 114 TFUE jest istnienia porównywalnych form prawnych spółek, a tym samym możliwości ich harmonizacji w ramach systemów prawnych państw członkowskich;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D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mając na uwadze, że każdy podmiot ustanowiony na podstawie 28. systemu prawnego powinien być zobowiązany do rejestracji i utrzymywania swojej siedziby statutowej w państwie członkowskim Unii, zapewniając tym samym silne powiązanie z krajowymi systemami prawnymi;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D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mając na uwadze, że zwiększenie pewności i przewidywalności prawa dla przedsiębiorstw działających w różnych państwach członkowskich ma zasadnicze znaczenie dla umocnienia pozycji Unii jako wiodącej lokalizacji w zakresie przedsiębiorczości, innowacji i zrównoważonego rozwoju działalności gospodarczej;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D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mając na uwadze, że przyjęcie prawodawstwa Unii w dziedzinie prawa spółek może przyczynić się do zahamowania rozdrobnienia w tej dziedzinie;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z zadowoleniem przyjmuje zobowiązanie Komisji do przedłożenia wniosku ustawodawczego w sprawie 28. systemu prawnego dla </w:t>
            </w:r>
            <w:r>
              <w:rPr>
                <w:b/>
                <w:i/>
              </w:rPr>
              <w:t>innowacyjnych</w:t>
            </w:r>
            <w:r>
              <w:t xml:space="preserve"> przedsiębiorstw </w:t>
            </w:r>
            <w:r>
              <w:rPr>
                <w:b/>
                <w:i/>
              </w:rPr>
              <w:t>(„28. system prawny”), który powinien obejmować wniosek ustawodawczy dotyczący dyrektywy, której podstawą prawną będzie art. 50 i art. 114 ust. 1 Traktatu o funkcjonowaniu Unii Europejskiej (TFUE)</w:t>
            </w:r>
            <w:r>
              <w:t>;</w:t>
            </w:r>
          </w:p>
        </w:tc>
        <w:tc>
          <w:tcPr>
            <w:tcW w:w="4876" w:type="dxa"/>
            <w:tcBorders>
              <w:top w:val="nil"/>
              <w:left w:val="nil"/>
              <w:bottom w:val="nil"/>
              <w:right w:val="nil"/>
            </w:tcBorders>
          </w:tcPr>
          <w:p>
            <w:pPr>
              <w:pStyle w:val="Normal6a"/>
            </w:pPr>
            <w:r>
              <w:t>1.</w:t>
            </w:r>
            <w:r>
              <w:tab/>
            </w:r>
            <w:r>
              <w:t xml:space="preserve">z zadowoleniem przyjmuje zobowiązanie Komisji do przedłożenia wniosku ustawodawczego w sprawie 28. systemu prawnego dla </w:t>
            </w:r>
            <w:r>
              <w:rPr>
                <w:b/>
                <w:i/>
              </w:rPr>
              <w:t>przedsiębiorstw typu start-up i scale-up (zwanego dalej „28. systemem prawnym”), przyznaje, że prawo spółek byłoby pierwszym krokiem w kierunku 28. systemu prawnego, ale podkreśla, że system ten musi obejmować więcej obszarów regulacyjnych, aby był rzeczywiście atrakcyjny dla</w:t>
            </w:r>
            <w:r>
              <w:t xml:space="preserve"> przedsiębiorstw </w:t>
            </w:r>
            <w:r>
              <w:rPr>
                <w:b/>
                <w:i/>
              </w:rPr>
              <w:t>typu start-up i scale-up</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z zadowoleniem przyjmuje zobowiązanie Komisji do przedłożenia wniosku ustawodawczego w sprawie 28. systemu prawnego dla innowacyjnych przedsiębiorstw („28. system prawny”), który powinien obejmować wniosek ustawodawczy dotyczący </w:t>
            </w:r>
            <w:r>
              <w:rPr>
                <w:b/>
                <w:i/>
              </w:rPr>
              <w:t>dyrektywy, której podstawą prawną będzie art. 50 i art. 114 ust. 1 Traktatu o funkcjonowaniu Unii Europejskiej (TFUE)</w:t>
            </w:r>
            <w:r>
              <w:t>;</w:t>
            </w:r>
          </w:p>
        </w:tc>
        <w:tc>
          <w:tcPr>
            <w:tcW w:w="4876" w:type="dxa"/>
            <w:tcBorders>
              <w:top w:val="nil"/>
              <w:left w:val="nil"/>
              <w:bottom w:val="nil"/>
              <w:right w:val="nil"/>
            </w:tcBorders>
          </w:tcPr>
          <w:p>
            <w:pPr>
              <w:pStyle w:val="Normal6a"/>
            </w:pPr>
            <w:r>
              <w:t>1.</w:t>
            </w:r>
            <w:r>
              <w:tab/>
            </w:r>
            <w:r>
              <w:t xml:space="preserve">z zadowoleniem przyjmuje zobowiązanie Komisji do przedłożenia wniosku ustawodawczego w sprawie 28. systemu prawnego dla innowacyjnych przedsiębiorstw („28. system prawny”), który powinien obejmować wniosek ustawodawczy dotyczący </w:t>
            </w:r>
            <w:r>
              <w:rPr>
                <w:b/>
                <w:i/>
              </w:rPr>
              <w:t>rozporządzenia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z zadowoleniem przyjmuje zobowiązanie Komisji do przedłożenia wniosku ustawodawczego w sprawie 28. systemu </w:t>
            </w:r>
            <w:r>
              <w:rPr>
                <w:b/>
                <w:i/>
              </w:rPr>
              <w:t>prawnego</w:t>
            </w:r>
            <w:r>
              <w:t xml:space="preserve"> dla innowacyjnych przedsiębiorstw („28. system </w:t>
            </w:r>
            <w:r>
              <w:rPr>
                <w:b/>
                <w:i/>
              </w:rPr>
              <w:t>prawny”), który powinien obejmować wniosek ustawodawczy dotyczący dyrektywy, której podstawą prawną będzie art. 50 i art. 114 ust. 1 Traktatu o funkcjonowaniu Unii Europejskiej (TFUE)</w:t>
            </w:r>
            <w:r>
              <w:t>;</w:t>
            </w:r>
          </w:p>
        </w:tc>
        <w:tc>
          <w:tcPr>
            <w:tcW w:w="4876" w:type="dxa"/>
            <w:tcBorders>
              <w:top w:val="nil"/>
              <w:left w:val="nil"/>
              <w:bottom w:val="nil"/>
              <w:right w:val="nil"/>
            </w:tcBorders>
          </w:tcPr>
          <w:p>
            <w:pPr>
              <w:pStyle w:val="Normal6a"/>
            </w:pPr>
            <w:r>
              <w:t>1.</w:t>
            </w:r>
            <w:r>
              <w:tab/>
            </w:r>
            <w:r>
              <w:t xml:space="preserve">z zadowoleniem przyjmuje zobowiązanie Komisji do przedłożenia wniosku ustawodawczego w sprawie </w:t>
            </w:r>
            <w:r>
              <w:rPr>
                <w:b/>
                <w:i/>
              </w:rPr>
              <w:t>nowego</w:t>
            </w:r>
            <w:r>
              <w:t xml:space="preserve"> 28. systemu </w:t>
            </w:r>
            <w:r>
              <w:rPr>
                <w:b/>
                <w:i/>
              </w:rPr>
              <w:t>korporacyjnego</w:t>
            </w:r>
            <w:r>
              <w:t xml:space="preserve"> dla innowacyjnych przedsiębiorstw („28. system</w:t>
            </w:r>
            <w:r>
              <w:rPr>
                <w:b/>
                <w:i/>
              </w:rPr>
              <w:t>”), którego celem jest ukończenie i wzmocnienie europejskiego jednolitego rynku w sektorze innowacji, przy czym ze względu na cechy i cele tego systemu wymagane jest zastosowania art. 352 TFUE jako podstawy prawnej</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z zadowoleniem przyjmuje</w:t>
            </w:r>
            <w:r>
              <w:t xml:space="preserve"> zobowiązanie Komisji do przedłożenia wniosku ustawodawczego w sprawie 28. systemu prawnego dla innowacyjnych przedsiębiorstw („28. system prawny”), który powinien obejmować wniosek ustawodawczy dotyczący dyrektywy, której podstawą prawną będzie art. 50 </w:t>
            </w:r>
            <w:r>
              <w:rPr>
                <w:b/>
                <w:i/>
              </w:rPr>
              <w:t>i art. 114 ust. 1</w:t>
            </w:r>
            <w:r>
              <w:t xml:space="preserve"> Traktatu o funkcjonowaniu Unii Europejskiej (TFUE);</w:t>
            </w:r>
          </w:p>
        </w:tc>
        <w:tc>
          <w:tcPr>
            <w:tcW w:w="4876" w:type="dxa"/>
            <w:tcBorders>
              <w:top w:val="nil"/>
              <w:left w:val="nil"/>
              <w:bottom w:val="nil"/>
              <w:right w:val="nil"/>
            </w:tcBorders>
          </w:tcPr>
          <w:p>
            <w:pPr>
              <w:pStyle w:val="Normal6a"/>
            </w:pPr>
            <w:r>
              <w:t>1.</w:t>
            </w:r>
            <w:r>
              <w:tab/>
            </w:r>
            <w:r>
              <w:rPr>
                <w:b/>
                <w:i/>
              </w:rPr>
              <w:t>odnotowuje</w:t>
            </w:r>
            <w:r>
              <w:t xml:space="preserve"> zobowiązanie Komisji do przedłożenia wniosku ustawodawczego w sprawie 28. systemu prawnego dla innowacyjnych przedsiębiorstw („28. system prawny”), który powinien obejmować wniosek ustawodawczy dotyczący dyrektywy, której podstawą prawną będzie art. 50 Traktatu o funkcjonowaniu Unii Europejskiej (TFUE);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z zadowoleniem przyjmuje zobowiązanie Komisji do przedłożenia wniosku ustawodawczego w sprawie 28. systemu prawnego dla innowacyjnych przedsiębiorstw („28. system prawny”), który powinien obejmować wniosek ustawodawczy dotyczący </w:t>
            </w:r>
            <w:r>
              <w:rPr>
                <w:b/>
                <w:i/>
              </w:rPr>
              <w:t>dyrektywy, której</w:t>
            </w:r>
            <w:r>
              <w:t xml:space="preserve"> podstawą prawną będzie </w:t>
            </w:r>
            <w:r>
              <w:rPr>
                <w:b/>
                <w:i/>
              </w:rPr>
              <w:t>art. 50 i art. 114 ust. 1 Traktatu</w:t>
            </w:r>
            <w:r>
              <w:t xml:space="preserve"> o funkcjonowaniu Unii Europejskiej (TFUE);</w:t>
            </w:r>
          </w:p>
        </w:tc>
        <w:tc>
          <w:tcPr>
            <w:tcW w:w="4876" w:type="dxa"/>
            <w:tcBorders>
              <w:top w:val="nil"/>
              <w:left w:val="nil"/>
              <w:bottom w:val="nil"/>
              <w:right w:val="nil"/>
            </w:tcBorders>
          </w:tcPr>
          <w:p>
            <w:pPr>
              <w:pStyle w:val="Normal6a"/>
            </w:pPr>
            <w:r>
              <w:t>1.</w:t>
            </w:r>
            <w:r>
              <w:tab/>
            </w:r>
            <w:r>
              <w:t xml:space="preserve">z zadowoleniem przyjmuje zobowiązanie Komisji do przedłożenia wniosku ustawodawczego w sprawie 28. systemu prawnego dla innowacyjnych przedsiębiorstw („28. system prawny”), który powinien obejmować wniosek ustawodawczy dotyczący </w:t>
            </w:r>
            <w:r>
              <w:rPr>
                <w:b/>
                <w:i/>
              </w:rPr>
              <w:t>rozporządzenia, którego</w:t>
            </w:r>
            <w:r>
              <w:t xml:space="preserve"> podstawą prawną będzie </w:t>
            </w:r>
            <w:r>
              <w:rPr>
                <w:b/>
                <w:i/>
              </w:rPr>
              <w:t>Traktat</w:t>
            </w:r>
            <w:r>
              <w:t xml:space="preserve"> o funkcjonowaniu Unii Europejskiej (TFUE);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zdecydowanie sprzeciwia się stosowaniu art. 352 ust. 1 TFUE jako podstawy prawnej, ponieważ – ze względu na wymóg jednomyślności – mogłoby to opóźnić przyjęcie wniosku ustawodawczego;</w:t>
            </w:r>
            <w:r>
              <w:t xml:space="preserve"> </w:t>
            </w:r>
            <w:r>
              <w:rPr>
                <w:b/>
                <w:i/>
              </w:rPr>
              <w:t>krytycznie odnosi się do stosowania wzmocnionej współpracy, o której mowa w art. 20 Traktatu o Unii Europejskiej i art. 329 TFUE, lub umów międzyrządowych w celu ustanowienia 28. systemu prawnego;</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zdecydowanie sprzeciwia się stosowaniu art. 352 ust. 1 TFUE jako podstawy prawnej, ponieważ – ze względu na wymóg jednomyślności – mogłoby to opóźnić przyjęcie wniosku ustawodawczego;</w:t>
            </w:r>
            <w:r>
              <w:t xml:space="preserve"> </w:t>
            </w:r>
            <w:r>
              <w:rPr>
                <w:b/>
                <w:i/>
              </w:rPr>
              <w:t>krytycznie odnosi się do stosowania wzmocnionej współpracy, o której mowa w art. 20 Traktatu o Unii Europejskiej i art. 329 TFUE, lub umów międzyrządowych w celu ustanowienia 28. systemu prawnego;</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Axel Voss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zdecydowanie sprzeciwia się stosowaniu art. 352 ust. 1 TFUE jako podstawy prawnej, ponieważ – ze względu na wymóg jednomyślności – mogłoby to opóźnić przyjęcie wniosku ustawodawczego;</w:t>
            </w:r>
            <w:r>
              <w:t xml:space="preserve"> </w:t>
            </w:r>
            <w:r>
              <w:rPr>
                <w:b/>
                <w:i/>
              </w:rPr>
              <w:t>krytycznie odnosi się do stosowania wzmocnionej współpracy, o której mowa w art. 20 Traktatu o Unii Europejskiej i art. 329 TFUE, lub umów międzyrządowych w celu ustanowienia 28. systemu prawnego;</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zdecydowanie sprzeciwia się stosowaniu</w:t>
            </w:r>
            <w:r>
              <w:t xml:space="preserve"> art. 352 ust. 1 TFUE jako podstawy prawnej</w:t>
            </w:r>
            <w:r>
              <w:rPr>
                <w:b/>
                <w:i/>
              </w:rPr>
              <w:t>, ponieważ – ze względu na wymóg jednomyślności –</w:t>
            </w:r>
            <w:r>
              <w:t xml:space="preserve"> mogłoby </w:t>
            </w:r>
            <w:r>
              <w:rPr>
                <w:b/>
                <w:i/>
              </w:rPr>
              <w:t>to</w:t>
            </w:r>
            <w:r>
              <w:t xml:space="preserve"> opóźnić przyjęcie wniosku ustawodawczego; krytycznie odnosi się do stosowania wzmocnionej współpracy, o której mowa w art. 20 Traktatu o Unii Europejskiej i art. 329 TFUE, lub umów międzyrządowych w celu ustanowienia 28. systemu prawnego;</w:t>
            </w:r>
          </w:p>
        </w:tc>
        <w:tc>
          <w:tcPr>
            <w:tcW w:w="4876" w:type="dxa"/>
            <w:tcBorders>
              <w:top w:val="nil"/>
              <w:left w:val="nil"/>
              <w:bottom w:val="nil"/>
              <w:right w:val="nil"/>
            </w:tcBorders>
          </w:tcPr>
          <w:p>
            <w:pPr>
              <w:pStyle w:val="Normal6a"/>
            </w:pPr>
            <w:r>
              <w:t>2.</w:t>
            </w:r>
            <w:r>
              <w:tab/>
            </w:r>
            <w:r>
              <w:rPr>
                <w:b/>
                <w:i/>
              </w:rPr>
              <w:t>ocenia, że stosowanie</w:t>
            </w:r>
            <w:r>
              <w:t xml:space="preserve"> art. 352 ust. 1 TFUE jako podstawy prawnej mogłoby opóźnić przyjęcie wniosku ustawodawczego </w:t>
            </w:r>
            <w:r>
              <w:rPr>
                <w:b/>
                <w:i/>
              </w:rPr>
              <w:t>ze względu na wymóg jednomyślności</w:t>
            </w:r>
            <w:r>
              <w:t>; krytycznie odnosi się do stosowania wzmocnionej współpracy, o której mowa w art. 20 Traktatu o Unii Europejskiej i art. 329 TFUE, lub umów międzyrządowych w celu ustanowienia 28. systemu prawnego;</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uznaje, że ze względu na złożoność, niejednorodność i modułowość obszarów regulacyjnych, którymi według Komisji będzie musiał zająć się nowy 28. system (prawo spółek, podatki, niewypłacalność, praca, usługi finansowe), niezbędne może okazać się zastosowanie różnych podstaw prawnych oraz różnorodnych mechanizmów i systemów większości głosów;</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uważa jednak, że jeżeli podstawa prawna z art. 114 TFUE umożliwia przyjęcie rozporządzenia bez warunku jednomyślności, należy dokładnie zbadać taką możliwość;</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2b.</w:t>
            </w:r>
            <w:r>
              <w:tab/>
            </w:r>
            <w:r>
              <w:rPr>
                <w:b/>
                <w:i/>
              </w:rPr>
              <w:t>uważa, że ze względu na ogólne wymogi dotyczące jednolitości, skuteczności, spójności i pewności regulacyjnej, których domagają się międzynarodowi operatorzy innowacyjni, przedsiębiorstwa typu start-up, przedsiębiorstwa scale-up i inwestorzy w tym sektorze, konieczne i preferowane jest stosowanie instrumentu regulacyjnego, jakim jest rozporządzenie, a nie dyrektywa;</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dostrzega, że art. 50 i art. 114 ust. 1 TFUE wymagają środków harmonizujących prawa spółek, które należałoby wdrożyć do prawa krajowego państw członkowskich;</w:t>
            </w:r>
            <w:r>
              <w:t xml:space="preserve"> </w:t>
            </w:r>
            <w:r>
              <w:rPr>
                <w:b/>
                <w:i/>
              </w:rPr>
              <w:t>uważa, że w tym przypadku należy preferować maksymalną harmonizację, aby zapewnić jednolite przepisy we wszystkich państwach członkowskich;</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dostrzega, że art. 50 i art. 114 ust. 1 TFUE wymagają środków harmonizujących prawa spółek, które należałoby wdrożyć do prawa krajowego państw członkowskich;</w:t>
            </w:r>
            <w:r>
              <w:t xml:space="preserve"> </w:t>
            </w:r>
            <w:r>
              <w:rPr>
                <w:b/>
                <w:i/>
              </w:rPr>
              <w:t>uważa, że w tym przypadku należy preferować maksymalną harmonizację, aby zapewnić jednolite przepisy we wszystkich państwach członkowskich;</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Axel Voss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dostrzega, że art. 50 i art. 114 ust. 1 TFUE wymagają środków harmonizujących prawa spółek, które należałoby wdrożyć do prawa krajowego państw członkowskich;</w:t>
            </w:r>
            <w:r>
              <w:t xml:space="preserve"> </w:t>
            </w:r>
            <w:r>
              <w:rPr>
                <w:b/>
                <w:i/>
              </w:rPr>
              <w:t>uważa, że w tym przypadku należy preferować maksymalną harmonizację, aby zapewnić jednolite przepisy we wszystkich państwach członkowskich;</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dostrzega, że art. 50 i art. 114 ust. 1 TFUE wymagają środków harmonizujących prawa spółek, które należałoby wdrożyć do prawa krajowego państw członkowskich; uważa, że w tym przypadku należy preferować maksymalną harmonizację, aby zapewnić jednolite przepisy we wszystkich państwach członkowskich;</w:t>
            </w:r>
          </w:p>
        </w:tc>
        <w:tc>
          <w:tcPr>
            <w:tcW w:w="4876" w:type="dxa"/>
            <w:tcBorders>
              <w:top w:val="nil"/>
              <w:left w:val="nil"/>
              <w:bottom w:val="nil"/>
              <w:right w:val="nil"/>
            </w:tcBorders>
          </w:tcPr>
          <w:p>
            <w:pPr>
              <w:pStyle w:val="Normal6a"/>
            </w:pPr>
            <w:r>
              <w:t>3.</w:t>
            </w:r>
            <w:r>
              <w:tab/>
            </w:r>
            <w:r>
              <w:t xml:space="preserve">dostrzega, że art. 50 i art. 114 ust. 1 TFUE wymagają środków harmonizujących prawa spółek, które należałoby wdrożyć do prawa krajowego państw członkowskich; uważa, że w tym przypadku należy preferować maksymalną harmonizację, aby zapewnić jednolite przepisy we wszystkich państwach członkowskich; </w:t>
            </w:r>
            <w:r>
              <w:rPr>
                <w:b/>
                <w:i/>
              </w:rPr>
              <w:t>wzywa Komisję do rozszerzenia klauzul dotyczących tej maksymalnej harmonizacji na większość elementów 28. systemu prawnego;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dostrzega, że art. 50 i art. 114 ust. 1 TFUE wymagają środków harmonizujących prawa spółek, które należałoby wdrożyć do prawa krajowego państw członkowskich; uważa, że w tym przypadku należy preferować </w:t>
            </w:r>
            <w:r>
              <w:rPr>
                <w:b/>
                <w:i/>
              </w:rPr>
              <w:t>maksymalną</w:t>
            </w:r>
            <w:r>
              <w:t xml:space="preserve"> harmonizację, aby zapewnić </w:t>
            </w:r>
            <w:r>
              <w:rPr>
                <w:b/>
                <w:i/>
              </w:rPr>
              <w:t>jednolite przepisy</w:t>
            </w:r>
            <w:r>
              <w:t xml:space="preserve"> we wszystkich państwach członkowskich;</w:t>
            </w:r>
          </w:p>
        </w:tc>
        <w:tc>
          <w:tcPr>
            <w:tcW w:w="4876" w:type="dxa"/>
            <w:tcBorders>
              <w:top w:val="nil"/>
              <w:left w:val="nil"/>
              <w:bottom w:val="nil"/>
              <w:right w:val="nil"/>
            </w:tcBorders>
          </w:tcPr>
          <w:p>
            <w:pPr>
              <w:pStyle w:val="Normal6a"/>
            </w:pPr>
            <w:r>
              <w:t>3.</w:t>
            </w:r>
            <w:r>
              <w:tab/>
            </w:r>
            <w:r>
              <w:t xml:space="preserve">dostrzega, że art. 50 i art. 114 ust. 1 TFUE wymagają środków harmonizujących prawa spółek, które należałoby wdrożyć do prawa krajowego państw członkowskich; uważa, że w tym przypadku należy preferować </w:t>
            </w:r>
            <w:r>
              <w:rPr>
                <w:b/>
                <w:i/>
              </w:rPr>
              <w:t>jak najskuteczniejszą</w:t>
            </w:r>
            <w:r>
              <w:t xml:space="preserve"> harmonizację, aby zapewnić </w:t>
            </w:r>
            <w:r>
              <w:rPr>
                <w:b/>
                <w:i/>
              </w:rPr>
              <w:t>jak najbardziej zrównoważone stosowanie przepisów</w:t>
            </w:r>
            <w:r>
              <w:t xml:space="preserve"> we wszystkich państwach członkowskich</w:t>
            </w:r>
            <w:r>
              <w:rPr>
                <w:b/>
                <w:i/>
              </w:rPr>
              <w:t>, bez tworzenia dodatkowych barier administracyjnych lub finansowych dla przedsiębiorstw</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dostrzega, że art. 50 i art. 114 ust. 1 TFUE wymagają środków harmonizujących prawa spółek, które należałoby wdrożyć do prawa krajowego państw członkowskich; uważa, że w tym przypadku </w:t>
            </w:r>
            <w:r>
              <w:rPr>
                <w:b/>
                <w:i/>
              </w:rPr>
              <w:t>należy preferować maksymalną harmonizację</w:t>
            </w:r>
            <w:r>
              <w:t>, aby zapewnić jednolite przepisy we wszystkich państwach członkowskich;</w:t>
            </w:r>
          </w:p>
        </w:tc>
        <w:tc>
          <w:tcPr>
            <w:tcW w:w="4876" w:type="dxa"/>
            <w:tcBorders>
              <w:top w:val="nil"/>
              <w:left w:val="nil"/>
              <w:bottom w:val="nil"/>
              <w:right w:val="nil"/>
            </w:tcBorders>
          </w:tcPr>
          <w:p>
            <w:pPr>
              <w:pStyle w:val="Normal6a"/>
            </w:pPr>
            <w:r>
              <w:t>3.</w:t>
            </w:r>
            <w:r>
              <w:tab/>
            </w:r>
            <w:r>
              <w:t xml:space="preserve">dostrzega, że art. 50 i art. 114 ust. 1 TFUE wymagają środków harmonizujących prawa spółek, które należałoby wdrożyć do prawa krajowego państw członkowskich; uważa, że </w:t>
            </w:r>
            <w:r>
              <w:rPr>
                <w:b/>
                <w:i/>
              </w:rPr>
              <w:t>maksymalna harmonizacja jest</w:t>
            </w:r>
            <w:r>
              <w:t xml:space="preserve"> w tym przypadku </w:t>
            </w:r>
            <w:r>
              <w:rPr>
                <w:b/>
                <w:i/>
              </w:rPr>
              <w:t>preferowana</w:t>
            </w:r>
            <w:r>
              <w:t>, aby zapewnić jednolite przepisy we wszystkich państwach członkowskich</w:t>
            </w:r>
            <w:r>
              <w:rPr>
                <w:b/>
                <w:i/>
              </w:rPr>
              <w:t>, nie naruszając ustalonych norm, takich jak prawa pracownicze lub wymogi dotyczące formy krajowej</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dostrzega, że art. 50 i art. 114 ust. 1 TFUE wymagają środków harmonizujących prawa spółek, które należałoby wdrożyć do prawa krajowego państw członkowskich; uważa, że w tym przypadku </w:t>
            </w:r>
            <w:r>
              <w:rPr>
                <w:b/>
                <w:i/>
              </w:rPr>
              <w:t>należy preferować maksymalną harmonizację</w:t>
            </w:r>
            <w:r>
              <w:t>, aby zapewnić jednolite przepisy we wszystkich państwach członkowskich;</w:t>
            </w:r>
          </w:p>
        </w:tc>
        <w:tc>
          <w:tcPr>
            <w:tcW w:w="4876" w:type="dxa"/>
            <w:tcBorders>
              <w:top w:val="nil"/>
              <w:left w:val="nil"/>
              <w:bottom w:val="nil"/>
              <w:right w:val="nil"/>
            </w:tcBorders>
          </w:tcPr>
          <w:p>
            <w:pPr>
              <w:pStyle w:val="Normal6a"/>
            </w:pPr>
            <w:r>
              <w:t>3.</w:t>
            </w:r>
            <w:r>
              <w:tab/>
            </w:r>
            <w:r>
              <w:t xml:space="preserve">dostrzega, że art. 50 i art. 114 ust. 1 TFUE wymagają środków harmonizujących prawa spółek, które należałoby wdrożyć do prawa krajowego państw członkowskich; uważa, że w tym przypadku </w:t>
            </w:r>
            <w:r>
              <w:rPr>
                <w:b/>
                <w:i/>
              </w:rPr>
              <w:t>preferowana jest maksymalna harmonizacja na podstawie rozporządzenia</w:t>
            </w:r>
            <w:r>
              <w:t>, aby zapewnić jednolite przepisy we wszystkich państwach członkowskich;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przypomina, że w praktyce 28. system prawny może być korzystną alternatywą dla przedsiębiorstw typu start-up i scale-up tylko wtedy, gdy zapewni harmonizację na szeroką skalę;</w:t>
            </w:r>
            <w:r>
              <w:t xml:space="preserve"> </w:t>
            </w:r>
            <w:r>
              <w:rPr>
                <w:b/>
                <w:i/>
              </w:rPr>
              <w:t>w związku z tym wzywa Komisję, aby na kolejnym etapie włączyła do 28. systemu prawnego finansowe i sektorowe strategie polityczne, takie jak przepisy dotyczące VAT, rynków finansowych i opodatkowania osób prawnych, zgodnie z uzgodnionymi już decyzjami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zauważa, że art. 114 ust. 1 TFUE nie jest właściwą podstawą prawną w kontekście prawodawstwa, które dotyczy przede wszystkim prawa spółek;</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uważa, że 28. system prawny </w:t>
            </w:r>
            <w:r>
              <w:rPr>
                <w:b/>
                <w:i/>
              </w:rPr>
              <w:t>stanowi krok w kierunku dalszego pogłębiania</w:t>
            </w:r>
            <w:r>
              <w:t xml:space="preserve"> jednolitego rynku </w:t>
            </w:r>
            <w:r>
              <w:rPr>
                <w:b/>
                <w:i/>
              </w:rPr>
              <w:t>i większej integracji europejskiej</w:t>
            </w:r>
            <w:r>
              <w:t>;</w:t>
            </w:r>
          </w:p>
        </w:tc>
        <w:tc>
          <w:tcPr>
            <w:tcW w:w="4876" w:type="dxa"/>
            <w:tcBorders>
              <w:top w:val="nil"/>
              <w:left w:val="nil"/>
              <w:bottom w:val="nil"/>
              <w:right w:val="nil"/>
            </w:tcBorders>
          </w:tcPr>
          <w:p>
            <w:pPr>
              <w:pStyle w:val="Normal6a"/>
            </w:pPr>
            <w:r>
              <w:t>4.</w:t>
            </w:r>
            <w:r>
              <w:tab/>
            </w:r>
            <w:r>
              <w:t>uważa, że 28. system prawny </w:t>
            </w:r>
            <w:r>
              <w:rPr>
                <w:b/>
                <w:i/>
              </w:rPr>
              <w:t>powinien umożliwić europejskim przedsiębiorstwom typu start-up i scale-up działającym w sektorze cyfrowym rozwój w ramach</w:t>
            </w:r>
            <w:r>
              <w:t xml:space="preserve"> jednolitego rynku;</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uważa, że 28. system prawny stanowi krok w kierunku dalszego pogłębiania jednolitego rynku i większej integracji europejskiej;</w:t>
            </w:r>
          </w:p>
        </w:tc>
        <w:tc>
          <w:tcPr>
            <w:tcW w:w="4876" w:type="dxa"/>
            <w:tcBorders>
              <w:top w:val="nil"/>
              <w:left w:val="nil"/>
              <w:bottom w:val="nil"/>
              <w:right w:val="nil"/>
            </w:tcBorders>
          </w:tcPr>
          <w:p>
            <w:pPr>
              <w:pStyle w:val="Normal6a"/>
            </w:pPr>
            <w:r>
              <w:t>4.</w:t>
            </w:r>
            <w:r>
              <w:tab/>
            </w:r>
            <w:r>
              <w:t xml:space="preserve">uważa, że 28. system prawny stanowi krok w kierunku dalszego pogłębiania jednolitego rynku i większej integracji europejskiej </w:t>
            </w:r>
            <w:r>
              <w:rPr>
                <w:b/>
                <w:i/>
              </w:rPr>
              <w:t>oraz przywrócenia konkurencyjności Unii Europejskiej</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przypomina, że przedsiębiorstwa, które dobrowolnie </w:t>
            </w:r>
            <w:r>
              <w:rPr>
                <w:b/>
                <w:i/>
              </w:rPr>
              <w:t>przystąpiły</w:t>
            </w:r>
            <w:r>
              <w:t xml:space="preserve"> do 28. systemu prawnego, powinny przestrzegać jego zasad;</w:t>
            </w:r>
          </w:p>
        </w:tc>
        <w:tc>
          <w:tcPr>
            <w:tcW w:w="4876" w:type="dxa"/>
            <w:tcBorders>
              <w:top w:val="nil"/>
              <w:left w:val="nil"/>
              <w:bottom w:val="nil"/>
              <w:right w:val="nil"/>
            </w:tcBorders>
          </w:tcPr>
          <w:p>
            <w:pPr>
              <w:pStyle w:val="Normal6a"/>
            </w:pPr>
            <w:r>
              <w:t>5.</w:t>
            </w:r>
            <w:r>
              <w:tab/>
            </w:r>
            <w:r>
              <w:t xml:space="preserve">przypomina, że przedsiębiorstwa, które dobrowolnie </w:t>
            </w:r>
            <w:r>
              <w:rPr>
                <w:b/>
                <w:i/>
              </w:rPr>
              <w:t>przystępują</w:t>
            </w:r>
            <w:r>
              <w:t xml:space="preserve"> do 28. systemu prawnego, powinny przestrzegać jego zasad</w:t>
            </w:r>
            <w:r>
              <w:rPr>
                <w:b/>
                <w:i/>
              </w:rPr>
              <w:t>, i uważa, że system ten powinien umożliwiać przedsiębiorstwom przystąpienie do niego w każdej chwili, gdy są gotowe do rozwoju, bez konieczności porzucenia dotychczasowej formy prawnej</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jest świadomy ryzyka, że 28. system prawny może umożliwić obchodzenie krajowej ochrony obowiązkowej dla słabszych stron;</w:t>
            </w:r>
            <w:r>
              <w:t xml:space="preserve"> </w:t>
            </w:r>
            <w:r>
              <w:rPr>
                <w:b/>
                <w:i/>
              </w:rPr>
              <w:t>podkreśla, że 28. system prawny nie może stać się narzędziem osłabiającym istniejące poziomy ochrony;</w:t>
            </w:r>
            <w:r>
              <w:t xml:space="preserve"> </w:t>
            </w:r>
            <w:r>
              <w:rPr>
                <w:b/>
                <w:i/>
              </w:rPr>
              <w:t>nalega, aby</w:t>
            </w:r>
            <w:r>
              <w:t xml:space="preserve"> zabezpieczenia </w:t>
            </w:r>
            <w:r>
              <w:rPr>
                <w:b/>
                <w:i/>
              </w:rPr>
              <w:t>zostały określone</w:t>
            </w:r>
            <w:r>
              <w:t xml:space="preserve"> za pomocą przepisów prawa materialnego o wysokim poziomie ochrony oraz za pomocą przepisów kolizyjnych, które zapewniają stosowanie obowiązkowych przepisów krajowych;</w:t>
            </w:r>
          </w:p>
        </w:tc>
        <w:tc>
          <w:tcPr>
            <w:tcW w:w="4876" w:type="dxa"/>
            <w:tcBorders>
              <w:top w:val="nil"/>
              <w:left w:val="nil"/>
              <w:bottom w:val="nil"/>
              <w:right w:val="nil"/>
            </w:tcBorders>
          </w:tcPr>
          <w:p>
            <w:pPr>
              <w:pStyle w:val="Normal6a"/>
            </w:pPr>
            <w:r>
              <w:t>7.</w:t>
            </w:r>
            <w:r>
              <w:tab/>
            </w:r>
            <w:r>
              <w:rPr>
                <w:b/>
                <w:i/>
              </w:rPr>
              <w:t>uważa, że</w:t>
            </w:r>
            <w:r>
              <w:t xml:space="preserve"> zabezpieczenia </w:t>
            </w:r>
            <w:r>
              <w:rPr>
                <w:b/>
                <w:i/>
              </w:rPr>
              <w:t>trzeba określić</w:t>
            </w:r>
            <w:r>
              <w:t xml:space="preserve"> za pomocą przepisów prawa materialnego o wysokim poziomie ochrony oraz za pomocą przepisów kolizyjnych, które zapewniają stosowanie obowiązkowych przepisów krajowych;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Arash Saeidi</w:t>
      </w:r>
      <w:r>
        <w:rPr>
          <w:rStyle w:val="HideTWBExt"/>
          <w:b w:val="0"/>
        </w:rPr>
        <w:t>&lt;/Members&gt;</w:t>
      </w:r>
    </w:p>
    <w:p>
      <w:r>
        <w:rPr>
          <w:rStyle w:val="HideTWBExt"/>
          <w:b w:val="0"/>
        </w:rPr>
        <w:t>&lt;AuNomDe&gt;</w:t>
      </w:r>
      <w:r>
        <w:t>on behalf of The Left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jest świadomy ryzyka, że 28. system prawny może umożliwić obchodzenie krajowej ochrony obowiązkowej dla słabszych stron; podkreśla, że 28. system prawny nie może stać się narzędziem osłabiającym istniejące poziomy ochrony; nalega, aby zabezpieczenia zostały określone za pomocą przepisów prawa materialnego o wysokim poziomie ochrony oraz za pomocą przepisów kolizyjnych, które zapewniają stosowanie obowiązkowych przepisów krajowych;</w:t>
            </w:r>
          </w:p>
        </w:tc>
        <w:tc>
          <w:tcPr>
            <w:tcW w:w="4876" w:type="dxa"/>
            <w:tcBorders>
              <w:top w:val="nil"/>
              <w:left w:val="nil"/>
              <w:bottom w:val="nil"/>
              <w:right w:val="nil"/>
            </w:tcBorders>
          </w:tcPr>
          <w:p>
            <w:pPr>
              <w:pStyle w:val="Normal6a"/>
            </w:pPr>
            <w:r>
              <w:t>7.</w:t>
            </w:r>
            <w:r>
              <w:tab/>
            </w:r>
            <w:r>
              <w:t xml:space="preserve">jest świadomy ryzyka, że 28. system prawny może umożliwić obchodzenie krajowej ochrony obowiązkowej dla słabszych stron; podkreśla, że 28. system prawny </w:t>
            </w:r>
            <w:r>
              <w:rPr>
                <w:b/>
                <w:i/>
              </w:rPr>
              <w:t>w żadnym wypadku</w:t>
            </w:r>
            <w:r>
              <w:t xml:space="preserve"> nie może stać się narzędziem </w:t>
            </w:r>
            <w:r>
              <w:rPr>
                <w:b/>
                <w:i/>
              </w:rPr>
              <w:t>ograniczającym,</w:t>
            </w:r>
            <w:r>
              <w:t xml:space="preserve"> osłabiającym </w:t>
            </w:r>
            <w:r>
              <w:rPr>
                <w:b/>
                <w:i/>
              </w:rPr>
              <w:t>lub obchodzącym</w:t>
            </w:r>
            <w:r>
              <w:t xml:space="preserve"> istniejące poziomy ochrony; nalega, aby </w:t>
            </w:r>
            <w:r>
              <w:rPr>
                <w:b/>
                <w:i/>
              </w:rPr>
              <w:t>jasne, wiążące i skutecznie monitorowane</w:t>
            </w:r>
            <w:r>
              <w:t xml:space="preserve"> zabezpieczenia zostały określone za pomocą przepisów prawa materialnego o wysokim poziomie ochrony oraz za pomocą przepisów kolizyjnych, które zapewniają </w:t>
            </w:r>
            <w:r>
              <w:rPr>
                <w:b/>
                <w:i/>
              </w:rPr>
              <w:t>systematyczne i bezwzględne</w:t>
            </w:r>
            <w:r>
              <w:t xml:space="preserve"> stosowanie obowiązkowych przepisów krajowych;</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jest świadomy ryzyka, że 28. system prawny może umożliwić obchodzenie krajowej ochrony obowiązkowej dla słabszych stron;</w:t>
            </w:r>
            <w:r>
              <w:t xml:space="preserve"> podkreśla, że 28. system prawny nie może stać się narzędziem osłabiającym istniejące poziomy ochrony; nalega, aby zabezpieczenia zostały określone za pomocą przepisów prawa materialnego o wysokim poziomie ochrony oraz za pomocą przepisów kolizyjnych, które zapewniają stosowanie obowiązkowych przepisów krajowych;</w:t>
            </w:r>
          </w:p>
        </w:tc>
        <w:tc>
          <w:tcPr>
            <w:tcW w:w="4876" w:type="dxa"/>
            <w:tcBorders>
              <w:top w:val="nil"/>
              <w:left w:val="nil"/>
              <w:bottom w:val="nil"/>
              <w:right w:val="nil"/>
            </w:tcBorders>
          </w:tcPr>
          <w:p>
            <w:pPr>
              <w:pStyle w:val="Normal6a"/>
            </w:pPr>
            <w:r>
              <w:t>7.</w:t>
            </w:r>
            <w:r>
              <w:tab/>
            </w:r>
            <w:r>
              <w:t xml:space="preserve">podkreśla, że 28. system prawny nie może stać się narzędziem osłabiającym istniejące poziomy ochrony </w:t>
            </w:r>
            <w:r>
              <w:rPr>
                <w:b/>
                <w:i/>
              </w:rPr>
              <w:t>na szczeblu państw członkowskich i na szczeblu UE</w:t>
            </w:r>
            <w:r>
              <w:t>; nalega, aby zabezpieczenia zostały określone za pomocą przepisów prawa materialnego o wysokim poziomie ochrony oraz za pomocą przepisów kolizyjnych, które zapewniają stosowanie obowiązkowych przepisów krajowych;</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jest świadomy ryzyka, że 28. system prawny może umożliwić obchodzenie krajowej ochrony obowiązkowej dla słabszych stron; podkreśla, że 28. system prawny nie może stać się narzędziem osłabiającym istniejące poziomy ochrony; nalega, aby zabezpieczenia zostały określone za pomocą przepisów prawa materialnego o wysokim poziomie ochrony oraz za pomocą przepisów kolizyjnych, które zapewniają stosowanie obowiązkowych przepisów krajowych;</w:t>
            </w:r>
          </w:p>
        </w:tc>
        <w:tc>
          <w:tcPr>
            <w:tcW w:w="4876" w:type="dxa"/>
            <w:tcBorders>
              <w:top w:val="nil"/>
              <w:left w:val="nil"/>
              <w:bottom w:val="nil"/>
              <w:right w:val="nil"/>
            </w:tcBorders>
          </w:tcPr>
          <w:p>
            <w:pPr>
              <w:pStyle w:val="Normal6a"/>
            </w:pPr>
            <w:r>
              <w:t>7.</w:t>
            </w:r>
            <w:r>
              <w:tab/>
            </w:r>
            <w:r>
              <w:t>jest świadomy ryzyka, że 28. system prawny może umożliwić obchodzenie krajowej ochrony obowiązkowej dla słabszych stron</w:t>
            </w:r>
            <w:r>
              <w:rPr>
                <w:b/>
                <w:i/>
              </w:rPr>
              <w:t>;</w:t>
            </w:r>
            <w:r>
              <w:t xml:space="preserve"> </w:t>
            </w:r>
            <w:r>
              <w:rPr>
                <w:b/>
                <w:i/>
              </w:rPr>
              <w:t>podkreśla potrzebę podjęcia działań w celu uniknięcia dumpingu socjalnego lub podatkowego</w:t>
            </w:r>
            <w:r>
              <w:t>; podkreśla, że 28. system prawny nie może stać się narzędziem osłabiającym istniejące poziomy ochrony; nalega, aby zabezpieczenia zostały określone za pomocą przepisów prawa materialnego o wysokim poziomie ochrony oraz za pomocą przepisów kolizyjnych, które zapewniają stosowanie obowiązkowych przepisów krajowych;</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jest świadomy ryzyka, że 28. system prawny może umożliwić obchodzenie </w:t>
            </w:r>
            <w:r>
              <w:rPr>
                <w:b/>
                <w:i/>
              </w:rPr>
              <w:t>krajowej ochrony obowiązkowej dla</w:t>
            </w:r>
            <w:r>
              <w:t xml:space="preserve"> słabszych stron; podkreśla, że 28. system prawny nie może stać się narzędziem osłabiającym istniejące poziomy ochrony; nalega, aby zabezpieczenia zostały określone za pomocą przepisów prawa materialnego o wysokim poziomie ochrony oraz za pomocą przepisów kolizyjnych, które zapewniają stosowanie obowiązkowych przepisów krajowych;</w:t>
            </w:r>
          </w:p>
        </w:tc>
        <w:tc>
          <w:tcPr>
            <w:tcW w:w="4876" w:type="dxa"/>
            <w:tcBorders>
              <w:top w:val="nil"/>
              <w:left w:val="nil"/>
              <w:bottom w:val="nil"/>
              <w:right w:val="nil"/>
            </w:tcBorders>
          </w:tcPr>
          <w:p>
            <w:pPr>
              <w:pStyle w:val="Normal6a"/>
            </w:pPr>
            <w:r>
              <w:t>7.</w:t>
            </w:r>
            <w:r>
              <w:tab/>
            </w:r>
            <w:r>
              <w:t xml:space="preserve">jest świadomy ryzyka, że 28. system prawny może umożliwić obchodzenie </w:t>
            </w:r>
            <w:r>
              <w:rPr>
                <w:b/>
                <w:i/>
              </w:rPr>
              <w:t>obowiązkowych przepisów mających na celu ochronę interesów publicznych i pewności prawa, w szczególności w odniesieniu do</w:t>
            </w:r>
            <w:r>
              <w:t xml:space="preserve"> słabszych stron; podkreśla, że 28. system prawny nie może stać się narzędziem osłabiającym istniejące poziomy ochrony; nalega, aby zabezpieczenia zostały określone za pomocą przepisów prawa materialnego o wysokim poziomie ochrony oraz za pomocą przepisów kolizyjnych, które zapewniają stosowanie obowiązkowych przepisów krajowych;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jest świadomy ryzyka, że 28. system prawny może umożliwić obchodzenie krajowej ochrony obowiązkowej dla słabszych stron; podkreśla, że 28. system prawny nie może stać się narzędziem osłabiającym istniejące poziomy ochrony; nalega, aby zabezpieczenia zostały określone za pomocą przepisów prawa materialnego o wysokim poziomie ochrony oraz za pomocą przepisów kolizyjnych, które zapewniają stosowanie obowiązkowych przepisów krajowych;</w:t>
            </w:r>
          </w:p>
        </w:tc>
        <w:tc>
          <w:tcPr>
            <w:tcW w:w="4876" w:type="dxa"/>
            <w:tcBorders>
              <w:top w:val="nil"/>
              <w:left w:val="nil"/>
              <w:bottom w:val="nil"/>
              <w:right w:val="nil"/>
            </w:tcBorders>
          </w:tcPr>
          <w:p>
            <w:pPr>
              <w:pStyle w:val="Normal6a"/>
            </w:pPr>
            <w:r>
              <w:t>7.</w:t>
            </w:r>
            <w:r>
              <w:tab/>
            </w:r>
            <w:r>
              <w:t>jest świadomy ryzyka, że 28. system prawny może umożliwić obchodzenie krajowej ochrony obowiązkowej dla słabszych stron; podkreśla, że 28. system prawny nie może stać się narzędziem osłabiającym istniejące poziomy ochrony; nalega, aby zabezpieczenia zostały określone za pomocą przepisów prawa materialnego o wysokim poziomie ochrony</w:t>
            </w:r>
            <w:r>
              <w:rPr>
                <w:b/>
                <w:i/>
              </w:rPr>
              <w:t>, takich jak wymogi krajowe dotyczące formy prawnej,</w:t>
            </w:r>
            <w:r>
              <w:t xml:space="preserve"> oraz za pomocą przepisów kolizyjnych, które zapewniają stosowanie obowiązkowych przepisów krajowych;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7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uważa, że zasadnicze znaczenie ma ustanowienie nowego 28. systemu prawnego dla innowacyjnych przedsiębiorstw celu pobudzenia europejskiej konkurencyjności i wzrostu; uważa, że zatwierdzenie tego systemu i powiązanych z nim środków regulacyjnych i wykonawczych musi nastąpić jak najszybciej;</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7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wzywa Komisję, aby przewidziała ocenę wraz z ewentualnym przeglądem 28. systemu prawnego, w tym ocenę tego, jak często korzystają z niego przedsiębiorstwa typu start-up i scale-up, czy jest on odpowiedni do zakładanych celów oraz czy jest dostosowany do potrzeb przedsiębiorstw i społeczeństwa;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Śródtytuł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28. system prawny dla </w:t>
            </w:r>
            <w:r>
              <w:rPr>
                <w:b/>
                <w:i/>
              </w:rPr>
              <w:t>innowacyjnych</w:t>
            </w:r>
            <w:r>
              <w:t xml:space="preserve"> przedsiębiorstw</w:t>
            </w:r>
          </w:p>
        </w:tc>
        <w:tc>
          <w:tcPr>
            <w:tcW w:w="4876" w:type="dxa"/>
            <w:tcBorders>
              <w:top w:val="nil"/>
              <w:left w:val="nil"/>
              <w:bottom w:val="nil"/>
              <w:right w:val="nil"/>
            </w:tcBorders>
          </w:tcPr>
          <w:p>
            <w:pPr>
              <w:pStyle w:val="Normal6a"/>
            </w:pPr>
            <w:r>
              <w:t xml:space="preserve">28. system prawny </w:t>
            </w:r>
            <w:r>
              <w:rPr>
                <w:b/>
                <w:i/>
              </w:rPr>
              <w:t>–</w:t>
            </w:r>
            <w:r>
              <w:t xml:space="preserve"> </w:t>
            </w:r>
            <w:r>
              <w:rPr>
                <w:b/>
                <w:i/>
              </w:rPr>
              <w:t>nowe ramy prawne</w:t>
            </w:r>
            <w:r>
              <w:t xml:space="preserve"> dla przedsiębiorstw </w:t>
            </w:r>
            <w:r>
              <w:rPr>
                <w:b/>
                <w:i/>
              </w:rPr>
              <w:t>typu start-up i scale-up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Śródtytuł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28. </w:t>
            </w:r>
            <w:r>
              <w:rPr>
                <w:b/>
                <w:i/>
              </w:rPr>
              <w:t>system prawny dla innowacyjnych przedsiębiorstw</w:t>
            </w:r>
          </w:p>
        </w:tc>
        <w:tc>
          <w:tcPr>
            <w:tcW w:w="4876" w:type="dxa"/>
            <w:tcBorders>
              <w:top w:val="nil"/>
              <w:left w:val="nil"/>
              <w:bottom w:val="nil"/>
              <w:right w:val="nil"/>
            </w:tcBorders>
          </w:tcPr>
          <w:p>
            <w:pPr>
              <w:pStyle w:val="Normal6a"/>
            </w:pPr>
            <w:r>
              <w:t xml:space="preserve">28. </w:t>
            </w:r>
            <w:r>
              <w:rPr>
                <w:b/>
                <w:i/>
              </w:rPr>
              <w:t>systemowe ramy prawa spółek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Śródtytuł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28. </w:t>
            </w:r>
            <w:r>
              <w:rPr>
                <w:b/>
                <w:i/>
              </w:rPr>
              <w:t>system prawny dla innowacyjnych przedsiębiorstw</w:t>
            </w:r>
          </w:p>
        </w:tc>
        <w:tc>
          <w:tcPr>
            <w:tcW w:w="4876" w:type="dxa"/>
            <w:tcBorders>
              <w:top w:val="nil"/>
              <w:left w:val="nil"/>
              <w:bottom w:val="nil"/>
              <w:right w:val="nil"/>
            </w:tcBorders>
          </w:tcPr>
          <w:p>
            <w:pPr>
              <w:pStyle w:val="Normal6a"/>
            </w:pPr>
            <w:r>
              <w:t xml:space="preserve">28. </w:t>
            </w:r>
            <w:r>
              <w:rPr>
                <w:b/>
                <w:i/>
              </w:rPr>
              <w:t>systemowe ramy prawne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uważa, że 28. system </w:t>
            </w:r>
            <w:r>
              <w:rPr>
                <w:b/>
                <w:i/>
              </w:rPr>
              <w:t>prawny powinien koncentrować się głównie na przepisach</w:t>
            </w:r>
            <w:r>
              <w:t xml:space="preserve"> prawa spółek, </w:t>
            </w:r>
            <w:r>
              <w:rPr>
                <w:b/>
                <w:i/>
              </w:rPr>
              <w:t>a możliwość przystąpienia do niego powinny mieć jedynie spółki z ograniczoną odpowiedzialnością, które nie są notowane na giełdzie;</w:t>
            </w:r>
            <w:r>
              <w:t xml:space="preserve"> </w:t>
            </w:r>
            <w:r>
              <w:rPr>
                <w:b/>
                <w:i/>
              </w:rPr>
              <w:t>uważa, że 28. system prawny powinien być zbiorem zasad, które należy włączyć do istniejących lub nowych krajowych form korporacyjnych;</w:t>
            </w:r>
          </w:p>
        </w:tc>
        <w:tc>
          <w:tcPr>
            <w:tcW w:w="4876" w:type="dxa"/>
            <w:tcBorders>
              <w:top w:val="nil"/>
              <w:left w:val="nil"/>
              <w:bottom w:val="nil"/>
              <w:right w:val="nil"/>
            </w:tcBorders>
          </w:tcPr>
          <w:p>
            <w:pPr>
              <w:pStyle w:val="Normal6a"/>
            </w:pPr>
            <w:r>
              <w:t>8.</w:t>
            </w:r>
            <w:r>
              <w:tab/>
            </w:r>
            <w:r>
              <w:t xml:space="preserve">uważa, że </w:t>
            </w:r>
            <w:r>
              <w:rPr>
                <w:b/>
                <w:i/>
              </w:rPr>
              <w:t>– jak stwierdziła Komisja Europejska –</w:t>
            </w:r>
            <w:r>
              <w:t xml:space="preserve"> 28. system </w:t>
            </w:r>
            <w:r>
              <w:rPr>
                <w:b/>
                <w:i/>
              </w:rPr>
              <w:t>jest modułowym projektem regulacyjnym, który dotyczy różnych obszarów regulacyjnych i który będzie wdrażany za pomocą uzupełniających i odrębnych środków ustawodawczych w oparciu o różne podstawy prawne, i który nie będzie ograniczał się wyłącznie do przepisów</w:t>
            </w:r>
            <w:r>
              <w:t xml:space="preserve"> prawa spółek, </w:t>
            </w:r>
            <w:r>
              <w:rPr>
                <w:b/>
                <w:i/>
              </w:rPr>
              <w:t>ale będzie podejmował i określał dalsze aspekty i strategie polityczne mające zasadnicze znaczenie dla ożywienia innowacji i europejskiej konkurencyjności w tym sektorze, ze szczególnym uwzględnieniem: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zarządzania podatkowego atrakcyjnego dla innowacyjnych przedsiębiorstw, przedsiębiorstw typu start-up i przedsiębiorstw scale-up, tak aby przedsiębiorstwa te były w stanie przyciągać międzynarodowy kapitał i inwestorów, konkurować ze szczególnie konkurencyjnymi jurysdykcjami państw trzecich oraz wspierać europejski wzrost i niezależność sektora;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zachęcania – w celu zatrzymania talentów i specjalistów w Europie – do form udziałów pracowniczych w innowacyjnych przedsiębiorstwach oraz do stosowania do tych przedsiębiorstw i do powiązanych wynagrodzeń korzystnych systemów podatkowych, uznając ich status jako odpowiadający zyskom kapitałowym na szczeblu UE;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zapewnienia rzeczywiście bliskich związków i obiegu zamkniętego między uniwersytetami, przedsiębiorstwami typu start-up, organami rejestracyjnymi i organami ochrony własności intelektualnej, przedsiębiorstwami, funduszami inwestycyjnymi i kapitałem wysokiego ryzyka w celu natychmiastowego udostępnienia i uruchomienia komercjalizacji projektów strategicznych i innowacyjnych pomysłów o wysokiej wartości;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zapewnienia przedsiębiorstwom typu start-up i innowacyjnym przedsiębiorstwom europejskich środków pomostowych i finansowania pomostowego, które mogą wspierać ich rozwój na etapie bezpośrednio poprzedzającym komercyjne wdrożenie;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dalszego – i koniecznego – zwiększenia Europejskiego Funduszu Innowacyjnego do poziomu, który może wykraczać poza inwestycje poszczególnych państw i generować wielkość wydatków publicznych wystarczającą do rozwoju europejskiej drogi do innowacji, tak aby EU mogła konkurować z głównymi światowymi podmiotami w tym sektorze;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wspierania jednolitego rynku i europejskiego rynku kapitałowego oraz form uproszczenia procedur administracyjnych;</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uważa, że 28. system prawny powinien koncentrować się głównie na przepisach prawa spółek, a możliwość przystąpienia do niego powinny mieć jedynie spółki z ograniczoną odpowiedzialnością, które nie są notowane na giełdzie; uważa, że 28. system prawny powinien być zbiorem zasad, które należy włączyć do istniejących lub nowych krajowych form korporacyjnych;</w:t>
            </w:r>
          </w:p>
        </w:tc>
        <w:tc>
          <w:tcPr>
            <w:tcW w:w="4876" w:type="dxa"/>
            <w:tcBorders>
              <w:top w:val="nil"/>
              <w:left w:val="nil"/>
              <w:bottom w:val="nil"/>
              <w:right w:val="nil"/>
            </w:tcBorders>
          </w:tcPr>
          <w:p>
            <w:pPr>
              <w:pStyle w:val="Normal6a"/>
            </w:pPr>
            <w:r>
              <w:t>8.</w:t>
            </w:r>
            <w:r>
              <w:tab/>
            </w:r>
            <w:r>
              <w:t xml:space="preserve">uważa, że 28. system prawny powinien koncentrować się głównie na przepisach prawa spółek, a możliwość przystąpienia do niego powinny mieć jedynie spółki z ograniczoną odpowiedzialnością, które nie są notowane na giełdzie; uważa, że 28. system prawny powinien być zbiorem zasad, które należy włączyć do istniejących lub nowych krajowych form korporacyjnych; </w:t>
            </w:r>
            <w:r>
              <w:rPr>
                <w:b/>
                <w:i/>
              </w:rPr>
              <w:t>ten zbiór zasad powinien być zgodny z dorobkiem prawnym mającym zastosowanie do spółek z ograniczoną odpowiedzialnością i podlegać stosowaniu dyrektywy (UE) 2017/1132, dyrektywy 2009/102/WE i dyrektywy 2013/34/UE;</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uważa, że 28. system prawny powinien koncentrować się głównie na przepisach prawa spółek, a możliwość przystąpienia do niego powinny mieć jedynie spółki z ograniczoną odpowiedzialnością, które nie są notowane na giełdzie; uważa, że 28. system prawny powinien być zbiorem zasad, które należy włączyć do istniejących lub nowych krajowych form korporacyjnych;</w:t>
            </w:r>
          </w:p>
        </w:tc>
        <w:tc>
          <w:tcPr>
            <w:tcW w:w="4876" w:type="dxa"/>
            <w:tcBorders>
              <w:top w:val="nil"/>
              <w:left w:val="nil"/>
              <w:bottom w:val="nil"/>
              <w:right w:val="nil"/>
            </w:tcBorders>
          </w:tcPr>
          <w:p>
            <w:pPr>
              <w:pStyle w:val="Normal6a"/>
            </w:pPr>
            <w:r>
              <w:t>8.</w:t>
            </w:r>
            <w:r>
              <w:tab/>
            </w:r>
            <w:r>
              <w:t xml:space="preserve">uważa, że 28. system prawny powinien koncentrować się głównie na przepisach prawa spółek, a możliwość przystąpienia do niego powinny mieć jedynie spółki z ograniczoną odpowiedzialnością, które nie są notowane na giełdzie; uważa, że 28. system prawny powinien być zbiorem zasad, które należy włączyć do istniejących lub nowych krajowych form korporacyjnych </w:t>
            </w:r>
            <w:r>
              <w:rPr>
                <w:b/>
                <w:i/>
              </w:rPr>
              <w:t>oraz że powinien on podlegać już ustanowionemu dorobkowi prawnemu UE dotyczącemu spółek z ograniczoną odpowiedzialnością, wymienionemu w dyrektywie (UE) 2017/1132, dyrektywie 2009/102/WE i dyrektywie 2013/34/UE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uważa, że 28. system prawny powinien koncentrować się głównie na przepisach prawa spółek, a możliwość przystąpienia do niego powinny mieć jedynie spółki z ograniczoną odpowiedzialnością, które nie są notowane na giełdzie; uważa, że 28. system prawny powinien być zbiorem zasad, które należy włączyć do istniejących lub nowych krajowych form korporacyjnych;</w:t>
            </w:r>
          </w:p>
        </w:tc>
        <w:tc>
          <w:tcPr>
            <w:tcW w:w="4876" w:type="dxa"/>
            <w:tcBorders>
              <w:top w:val="nil"/>
              <w:left w:val="nil"/>
              <w:bottom w:val="nil"/>
              <w:right w:val="nil"/>
            </w:tcBorders>
          </w:tcPr>
          <w:p>
            <w:pPr>
              <w:pStyle w:val="Normal6a"/>
            </w:pPr>
            <w:r>
              <w:t>8.</w:t>
            </w:r>
            <w:r>
              <w:tab/>
            </w:r>
            <w:r>
              <w:t xml:space="preserve">uważa, że 28. system prawny powinien koncentrować się głównie na przepisach prawa spółek, a możliwość przystąpienia do niego powinny mieć jedynie spółki z ograniczoną odpowiedzialnością </w:t>
            </w:r>
            <w:r>
              <w:rPr>
                <w:b/>
                <w:i/>
              </w:rPr>
              <w:t>działające w sektorze cyfrowym</w:t>
            </w:r>
            <w:r>
              <w:t>, które nie są notowane na giełdzie; uważa, że 28. system prawny powinien być zbiorem zasad, które należy włączyć do istniejących lub nowych krajowych form korporacyjnych;</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uważa, że 28. system prawny powinien koncentrować się głównie na przepisach prawa spółek, a możliwość przystąpienia do niego powinny mieć jedynie spółki z ograniczoną odpowiedzialnością, które nie są notowane na giełdzie; uważa, że 28. system prawny powinien być zbiorem zasad, które należy włączyć do </w:t>
            </w:r>
            <w:r>
              <w:rPr>
                <w:b/>
                <w:i/>
              </w:rPr>
              <w:t>istniejących lub</w:t>
            </w:r>
            <w:r>
              <w:t xml:space="preserve"> nowych krajowych form korporacyjnych;</w:t>
            </w:r>
          </w:p>
        </w:tc>
        <w:tc>
          <w:tcPr>
            <w:tcW w:w="4876" w:type="dxa"/>
            <w:tcBorders>
              <w:top w:val="nil"/>
              <w:left w:val="nil"/>
              <w:bottom w:val="nil"/>
              <w:right w:val="nil"/>
            </w:tcBorders>
          </w:tcPr>
          <w:p>
            <w:pPr>
              <w:pStyle w:val="Normal6a"/>
            </w:pPr>
            <w:r>
              <w:t>8.</w:t>
            </w:r>
            <w:r>
              <w:tab/>
            </w:r>
            <w:r>
              <w:t>uważa, że 28. system prawny powinien koncentrować się głównie na przepisach prawa spółek, a możliwość przystąpienia do niego powinny mieć jedynie spółki z ograniczoną odpowiedzialnością, które nie są notowane na giełdzie; uważa, że 28. system prawny powinien być zbiorem zasad, które należy włączyć do nowych krajowych form korporacyjnych;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uważa, że 28. system prawny powinien koncentrować się głównie na przepisach prawa spółek, a możliwość przystąpienia do niego powinny mieć jedynie spółki z ograniczoną odpowiedzialnością, które nie są notowane na giełdzie; uważa, że 28. system prawny powinien być zbiorem zasad, które należy włączyć do </w:t>
            </w:r>
            <w:r>
              <w:rPr>
                <w:b/>
                <w:i/>
              </w:rPr>
              <w:t>istniejących lub</w:t>
            </w:r>
            <w:r>
              <w:t xml:space="preserve"> nowych krajowych form korporacyjnych;</w:t>
            </w:r>
          </w:p>
        </w:tc>
        <w:tc>
          <w:tcPr>
            <w:tcW w:w="4876" w:type="dxa"/>
            <w:tcBorders>
              <w:top w:val="nil"/>
              <w:left w:val="nil"/>
              <w:bottom w:val="nil"/>
              <w:right w:val="nil"/>
            </w:tcBorders>
          </w:tcPr>
          <w:p>
            <w:pPr>
              <w:pStyle w:val="Normal6a"/>
            </w:pPr>
            <w:r>
              <w:t>8.</w:t>
            </w:r>
            <w:r>
              <w:tab/>
            </w:r>
            <w:r>
              <w:t>uważa, że 28. system prawny powinien koncentrować się głównie na przepisach prawa spółek, a możliwość przystąpienia do niego powinny mieć jedynie spółki z ograniczoną odpowiedzialnością, które nie są notowane na giełdzie; uważa, że 28. system prawny powinien być zbiorem zasad, które należy włączyć do nowych krajowych form korporacyjnych;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8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wzywa Komisję do właściwego zdefiniowania pojęć „start-up” i „scale-up” na podstawie obecnego uzusu w państwach członkowskich, a także spójnie ze znaczeniem tych pojęć stosowanym przez organizacje międzynarodowe, w tym OECD;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8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uważa, że 28. system prawny nie powinien ograniczać się wyłącznie do spółek z ograniczoną odpowiedzialnością, lecz powinien być również otwarty dla spółek notowanych na giełdzie;</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proponuje, aby formę korporacyjną objętą 28. systemem prawnym nazwać „</w:t>
            </w:r>
            <w:r>
              <w:rPr>
                <w:b/>
                <w:i/>
              </w:rPr>
              <w:t>europejską spółką start-up i scale-up” (ESSU</w:t>
            </w:r>
            <w:r>
              <w:t>); apeluje, aby dodać skrót „</w:t>
            </w:r>
            <w:r>
              <w:rPr>
                <w:b/>
                <w:i/>
              </w:rPr>
              <w:t>ESSU</w:t>
            </w:r>
            <w:r>
              <w:t>” do istniejących krajowych skrótów form korporacyjnych;</w:t>
            </w:r>
          </w:p>
        </w:tc>
        <w:tc>
          <w:tcPr>
            <w:tcW w:w="4876" w:type="dxa"/>
            <w:tcBorders>
              <w:top w:val="nil"/>
              <w:left w:val="nil"/>
              <w:bottom w:val="nil"/>
              <w:right w:val="nil"/>
            </w:tcBorders>
          </w:tcPr>
          <w:p>
            <w:pPr>
              <w:pStyle w:val="Normal6a"/>
            </w:pPr>
            <w:r>
              <w:t>9.</w:t>
            </w:r>
            <w:r>
              <w:tab/>
            </w:r>
            <w:r>
              <w:t>proponuje, aby formę korporacyjną objętą 28. systemem prawnym nazwać „</w:t>
            </w:r>
            <w:r>
              <w:rPr>
                <w:b/>
                <w:i/>
              </w:rPr>
              <w:t>uproszczonym statusem europejskim” (SES</w:t>
            </w:r>
            <w:r>
              <w:t>); apeluje, aby dodać skrót „</w:t>
            </w:r>
            <w:r>
              <w:rPr>
                <w:b/>
                <w:i/>
              </w:rPr>
              <w:t>SES</w:t>
            </w:r>
            <w:r>
              <w:t>” do istniejących krajowych skrótów form korporacyjnych;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podkreśla, że 28. system prawny pozostaje bez uszczerbku dla prawa Unii i prawa krajowego w dziedzinie indywidualnego i zbiorowego prawa pracy oraz prawa pracowników do współzarządzania;</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Arash Saeidi</w:t>
      </w:r>
      <w:r>
        <w:rPr>
          <w:rStyle w:val="HideTWBExt"/>
          <w:b w:val="0"/>
        </w:rPr>
        <w:t>&lt;/Members&gt;</w:t>
      </w:r>
    </w:p>
    <w:p>
      <w:r>
        <w:rPr>
          <w:rStyle w:val="HideTWBExt"/>
          <w:b w:val="0"/>
        </w:rPr>
        <w:t>&lt;AuNomDe&gt;</w:t>
      </w:r>
      <w:r>
        <w:rPr>
          <w:rStyle w:val="HideTWBInt"/>
        </w:rPr>
        <w:t>{The Left}</w:t>
      </w:r>
      <w:r>
        <w:t>w imieniu grupy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podkreśla, że 28. system prawny pozostaje bez uszczerbku dla prawa Unii i prawa krajowego w dziedzinie indywidualnego i zbiorowego prawa pracy oraz prawa pracowników do współzarządzania;</w:t>
            </w:r>
          </w:p>
        </w:tc>
        <w:tc>
          <w:tcPr>
            <w:tcW w:w="4876" w:type="dxa"/>
            <w:tcBorders>
              <w:top w:val="nil"/>
              <w:left w:val="nil"/>
              <w:bottom w:val="nil"/>
              <w:right w:val="nil"/>
            </w:tcBorders>
          </w:tcPr>
          <w:p>
            <w:pPr>
              <w:pStyle w:val="Normal6a"/>
            </w:pPr>
            <w:r>
              <w:t>10.</w:t>
            </w:r>
            <w:r>
              <w:tab/>
            </w:r>
            <w:r>
              <w:t xml:space="preserve">podkreśla, że 28. system prawny pozostaje bez uszczerbku dla prawa Unii i prawa krajowego w dziedzinie indywidualnego i zbiorowego prawa pracy oraz prawa pracowników do współzarządzania; </w:t>
            </w:r>
            <w:r>
              <w:rPr>
                <w:b/>
                <w:i/>
              </w:rPr>
              <w:t>podkreśla, że należy zastanowić się nad potrzebą wprowadzenia przez wszystkie ESSU obowiązkowego uczestnictwa pracowników w zarządzie lub radzie nadzorczej, zgodnie z zasadami określonymi w prawie krajowym;</w:t>
            </w:r>
            <w:r>
              <w:t xml:space="preserve"> </w:t>
            </w:r>
            <w:r>
              <w:rPr>
                <w:b/>
                <w:i/>
              </w:rPr>
              <w:t>uważa, że co najmniej jedna trzecia miejsc powinna być zarezerwowana dla reprezentacji pracowników, z zastrzeżeniem bardziej rygorystycznych przepisów krajowych;</w:t>
            </w:r>
            <w:r>
              <w:t xml:space="preserve"> </w:t>
            </w:r>
            <w:r>
              <w:rPr>
                <w:b/>
                <w:i/>
              </w:rPr>
              <w:t>uważa, że zasadnicze znaczenie ma zagwarantowanie swobodnego wyboru przedstawicieli pracowników, ich ochrony przed działaniami odwetowymi oraz zapewnienie środków niezbędnych do wykonywania ich mandatu;</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podkreśla, że 28. system prawny pozostaje bez uszczerbku dla prawa Unii i prawa krajowego w dziedzinie indywidualnego i zbiorowego prawa pracy oraz prawa pracowników do współzarządzania;</w:t>
            </w:r>
          </w:p>
        </w:tc>
        <w:tc>
          <w:tcPr>
            <w:tcW w:w="4876" w:type="dxa"/>
            <w:tcBorders>
              <w:top w:val="nil"/>
              <w:left w:val="nil"/>
              <w:bottom w:val="nil"/>
              <w:right w:val="nil"/>
            </w:tcBorders>
          </w:tcPr>
          <w:p>
            <w:pPr>
              <w:pStyle w:val="Normal6a"/>
            </w:pPr>
            <w:r>
              <w:t>10.</w:t>
            </w:r>
            <w:r>
              <w:tab/>
            </w:r>
            <w:r>
              <w:t xml:space="preserve">podkreśla, że 28. system prawny pozostaje bez uszczerbku dla prawa Unii i prawa krajowego w dziedzinie indywidualnego i zbiorowego prawa pracy oraz prawa pracowników do współzarządzania; </w:t>
            </w:r>
            <w:r>
              <w:rPr>
                <w:b/>
                <w:i/>
              </w:rPr>
              <w:t>podkreśla, że konieczna jest ochrona wszystkich obowiązujących praw pracowniczych i elastyczne środki tej ochrony;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podkreśla, że 28. system prawny </w:t>
            </w:r>
            <w:r>
              <w:rPr>
                <w:b/>
                <w:i/>
              </w:rPr>
              <w:t>pozostaje bez uszczerbku dla</w:t>
            </w:r>
            <w:r>
              <w:t xml:space="preserve"> prawa Unii </w:t>
            </w:r>
            <w:r>
              <w:rPr>
                <w:b/>
                <w:i/>
              </w:rPr>
              <w:t>i</w:t>
            </w:r>
            <w:r>
              <w:t xml:space="preserve"> prawa krajowego w dziedzinie </w:t>
            </w:r>
            <w:r>
              <w:rPr>
                <w:b/>
                <w:i/>
              </w:rPr>
              <w:t>indywidualnego i zbiorowego</w:t>
            </w:r>
            <w:r>
              <w:t xml:space="preserve"> prawa pracy </w:t>
            </w:r>
            <w:r>
              <w:rPr>
                <w:b/>
                <w:i/>
              </w:rPr>
              <w:t>oraz</w:t>
            </w:r>
            <w:r>
              <w:t xml:space="preserve"> prawa </w:t>
            </w:r>
            <w:r>
              <w:rPr>
                <w:b/>
                <w:i/>
              </w:rPr>
              <w:t>pracowników do</w:t>
            </w:r>
            <w:r>
              <w:t xml:space="preserve"> współzarządzania;</w:t>
            </w:r>
          </w:p>
        </w:tc>
        <w:tc>
          <w:tcPr>
            <w:tcW w:w="4876" w:type="dxa"/>
            <w:tcBorders>
              <w:top w:val="nil"/>
              <w:left w:val="nil"/>
              <w:bottom w:val="nil"/>
              <w:right w:val="nil"/>
            </w:tcBorders>
          </w:tcPr>
          <w:p>
            <w:pPr>
              <w:pStyle w:val="Normal6a"/>
            </w:pPr>
            <w:r>
              <w:t>10.</w:t>
            </w:r>
            <w:r>
              <w:tab/>
            </w:r>
            <w:r>
              <w:t xml:space="preserve">podkreśla, że 28. system prawny </w:t>
            </w:r>
            <w:r>
              <w:rPr>
                <w:b/>
                <w:i/>
              </w:rPr>
              <w:t>nie narusza</w:t>
            </w:r>
            <w:r>
              <w:t xml:space="preserve"> prawa Unii </w:t>
            </w:r>
            <w:r>
              <w:rPr>
                <w:b/>
                <w:i/>
              </w:rPr>
              <w:t>ani</w:t>
            </w:r>
            <w:r>
              <w:t xml:space="preserve"> prawa krajowego w dziedzinie prawa pracy </w:t>
            </w:r>
            <w:r>
              <w:rPr>
                <w:b/>
                <w:i/>
              </w:rPr>
              <w:t>i</w:t>
            </w:r>
            <w:r>
              <w:t xml:space="preserve"> prawa </w:t>
            </w:r>
            <w:r>
              <w:rPr>
                <w:b/>
                <w:i/>
              </w:rPr>
              <w:t>socjalnego, w tym przepisów dotyczących</w:t>
            </w:r>
            <w:r>
              <w:t xml:space="preserve"> współzarządzania </w:t>
            </w:r>
            <w:r>
              <w:rPr>
                <w:b/>
                <w:i/>
              </w:rPr>
              <w:t>przez pracowników</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zwraca uwagę, że należy uprościć proces zakładania i rejestracji przedsiębiorstw; apeluje, aby uprościć procedury i umożliwić przeprowadzenie procedury rejestracji w celu utworzenia ESSU w ciągu 48 godzin; apeluje o możliwość składania dokumentów spółki online przez cały cykl życia formy korporacyjnej oraz o pełne wdrożenie zasady jednorazowości przy rejestracji ESSU; uważa, że należy umożliwić stosowanie procedur cyfrowych, takich jak zgromadzenia ogólne i posiedzenia zarządu online;</w:t>
            </w:r>
          </w:p>
        </w:tc>
        <w:tc>
          <w:tcPr>
            <w:tcW w:w="4876" w:type="dxa"/>
            <w:tcBorders>
              <w:top w:val="nil"/>
              <w:left w:val="nil"/>
              <w:bottom w:val="nil"/>
              <w:right w:val="nil"/>
            </w:tcBorders>
          </w:tcPr>
          <w:p>
            <w:pPr>
              <w:pStyle w:val="Normal6a"/>
            </w:pPr>
            <w:r>
              <w:t>11.</w:t>
            </w:r>
            <w:r>
              <w:tab/>
            </w:r>
            <w:r>
              <w:t xml:space="preserve">zwraca uwagę, że należy uprościć proces zakładania i rejestracji przedsiębiorstw; apeluje, aby uprościć procedury i umożliwić przeprowadzenie procedury rejestracji w celu utworzenia ESSU w ciągu 48 godzin; apeluje o możliwość składania dokumentów spółki online przez cały cykl życia formy korporacyjnej oraz o pełne wdrożenie zasady jednorazowości przy rejestracji ESSU; uważa, że należy umożliwić stosowanie procedur cyfrowych, takich jak zgromadzenia ogólne i posiedzenia zarządu online; </w:t>
            </w:r>
            <w:r>
              <w:rPr>
                <w:b/>
                <w:i/>
              </w:rPr>
              <w:t>państwa członkowskie mogą korzystać z istniejących modeli, które przewidują uproszczone i przyspieszone procedury tworzenia przedsiębiorstw oparte na współpracy z innymi służbami publicznymi, takimi jak organy zabezpieczenia społecznego lub organy podatkowe, a także z modeli składania wniosków do krajowych rejestrów przedsiębiorstw, aby usprawnić procedury, z którymi borykają się przedsiębiorstwa, w szczególności MŚP, przy jednoczesnym zapewnieniu pewności prawa;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zwraca uwagę, że należy uprościć proces zakładania i rejestracji przedsiębiorstw; apeluje, aby uprościć procedury i umożliwić przeprowadzenie procedury rejestracji w celu utworzenia ESSU w ciągu 48 godzin; apeluje o możliwość składania dokumentów spółki online przez cały cykl życia formy korporacyjnej oraz o pełne wdrożenie zasady jednorazowości przy rejestracji ESSU; uważa, że należy umożliwić stosowanie procedur cyfrowych, takich jak zgromadzenia ogólne i posiedzenia zarządu online;</w:t>
            </w:r>
          </w:p>
        </w:tc>
        <w:tc>
          <w:tcPr>
            <w:tcW w:w="4876" w:type="dxa"/>
            <w:tcBorders>
              <w:top w:val="nil"/>
              <w:left w:val="nil"/>
              <w:bottom w:val="nil"/>
              <w:right w:val="nil"/>
            </w:tcBorders>
          </w:tcPr>
          <w:p>
            <w:pPr>
              <w:pStyle w:val="Normal6a"/>
            </w:pPr>
            <w:r>
              <w:t>11.</w:t>
            </w:r>
            <w:r>
              <w:tab/>
            </w:r>
            <w:r>
              <w:t>zwraca uwagę, że należy uprościć proces zakładania i rejestracji przedsiębiorstw; apeluje, aby uprościć procedury i umożliwić przeprowadzenie procedury rejestracji w celu utworzenia ESSU w ciągu 48 godzin; apeluje o możliwość składania dokumentów spółki online przez cały cykl życia formy korporacyjnej oraz o pełne wdrożenie zasady jednorazowości przy rejestracji ESSU; uważa, że należy umożliwić stosowanie procedur cyfrowych, takich jak zgromadzenia ogólne i posiedzenia zarządu online</w:t>
            </w:r>
            <w:r>
              <w:rPr>
                <w:b/>
                <w:i/>
              </w:rPr>
              <w:t>, wzywa do automatyzacji procesu rejestracji poprzez włączenie technologii sztucznej inteligencji i interoperacyjność z odpowiednimi krajowymi i europejskimi bazami danych w celu zmniejszenia obciążeń administracyjnych dla założycieli</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rPr>
                <w:b/>
                <w:i/>
              </w:rPr>
              <w:t>zwraca uwagę, że należy uprościć proces zakładania</w:t>
            </w:r>
            <w:r>
              <w:t xml:space="preserve"> i rejestracji przedsiębiorstw; apeluje, aby uprościć procedury i umożliwić przeprowadzenie procedury rejestracji w celu utworzenia ESSU w ciągu 48 godzin; apeluje o możliwość składania dokumentów spółki online przez cały cykl życia formy korporacyjnej oraz o pełne wdrożenie zasady jednorazowości przy rejestracji ESSU; uważa, że należy umożliwić stosowanie procedur cyfrowych, takich jak zgromadzenia ogólne i posiedzenia zarządu online;</w:t>
            </w:r>
          </w:p>
        </w:tc>
        <w:tc>
          <w:tcPr>
            <w:tcW w:w="4876" w:type="dxa"/>
            <w:tcBorders>
              <w:top w:val="nil"/>
              <w:left w:val="nil"/>
              <w:bottom w:val="nil"/>
              <w:right w:val="nil"/>
            </w:tcBorders>
          </w:tcPr>
          <w:p>
            <w:pPr>
              <w:pStyle w:val="Normal6a"/>
            </w:pPr>
            <w:r>
              <w:t>11.</w:t>
            </w:r>
            <w:r>
              <w:tab/>
            </w:r>
            <w:r>
              <w:rPr>
                <w:b/>
                <w:i/>
              </w:rPr>
              <w:t>zgodnie z dyrektywą (UE) 2025/25 podkreśla potrzebę prostego i niezawodnego tworzenia</w:t>
            </w:r>
            <w:r>
              <w:t xml:space="preserve"> i rejestracji przedsiębiorstw; apeluje, aby uprościć procedury i umożliwić przeprowadzenie procedury rejestracji w celu utworzenia ESSU w ciągu 48 godzin; apeluje o możliwość składania dokumentów spółki online przez cały cykl życia formy korporacyjnej oraz o pełne wdrożenie zasady jednorazowości przy rejestracji ESSU; uważa, że należy umożliwić stosowanie procedur cyfrowych, takich jak zgromadzenia ogólne i posiedzenia zarządu online;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zwraca uwagę, że należy uprościć proces zakładania i rejestracji przedsiębiorstw; apeluje, aby uprościć procedury i umożliwić </w:t>
            </w:r>
            <w:r>
              <w:rPr>
                <w:b/>
                <w:i/>
              </w:rPr>
              <w:t>przeprowadzenie procedury</w:t>
            </w:r>
            <w:r>
              <w:t xml:space="preserve"> rejestracji w celu utworzenia ESSU w ciągu </w:t>
            </w:r>
            <w:r>
              <w:rPr>
                <w:b/>
                <w:i/>
              </w:rPr>
              <w:t>48</w:t>
            </w:r>
            <w:r>
              <w:t xml:space="preserve"> godzin; apeluje o możliwość składania dokumentów spółki online przez cały cykl życia formy korporacyjnej oraz o pełne wdrożenie zasady jednorazowości przy rejestracji ESSU; </w:t>
            </w:r>
            <w:r>
              <w:rPr>
                <w:b/>
                <w:i/>
              </w:rPr>
              <w:t>uważa, że należy</w:t>
            </w:r>
            <w:r>
              <w:t xml:space="preserve"> umożliwić stosowanie procedur cyfrowych, takich jak zgromadzenia ogólne i posiedzenia zarządu </w:t>
            </w:r>
            <w:r>
              <w:rPr>
                <w:b/>
                <w:i/>
              </w:rPr>
              <w:t>online</w:t>
            </w:r>
            <w:r>
              <w:t>;</w:t>
            </w:r>
          </w:p>
        </w:tc>
        <w:tc>
          <w:tcPr>
            <w:tcW w:w="4876" w:type="dxa"/>
            <w:tcBorders>
              <w:top w:val="nil"/>
              <w:left w:val="nil"/>
              <w:bottom w:val="nil"/>
              <w:right w:val="nil"/>
            </w:tcBorders>
          </w:tcPr>
          <w:p>
            <w:pPr>
              <w:pStyle w:val="Normal6a"/>
            </w:pPr>
            <w:r>
              <w:t>11.</w:t>
            </w:r>
            <w:r>
              <w:tab/>
            </w:r>
            <w:r>
              <w:t xml:space="preserve">zwraca uwagę, że należy uprościć proces zakładania i rejestracji przedsiębiorstw </w:t>
            </w:r>
            <w:r>
              <w:rPr>
                <w:b/>
                <w:i/>
              </w:rPr>
              <w:t>oraz umożliwić dokonywanie tych czynności przez internet</w:t>
            </w:r>
            <w:r>
              <w:t xml:space="preserve">; apeluje, aby uprościć procedury i umożliwić </w:t>
            </w:r>
            <w:r>
              <w:rPr>
                <w:b/>
                <w:i/>
              </w:rPr>
              <w:t>internetową procedurę</w:t>
            </w:r>
            <w:r>
              <w:t xml:space="preserve"> rejestracji w celu utworzenia ESSU w ciągu </w:t>
            </w:r>
            <w:r>
              <w:rPr>
                <w:b/>
                <w:i/>
              </w:rPr>
              <w:t>24</w:t>
            </w:r>
            <w:r>
              <w:t xml:space="preserve"> godzin; apeluje o możliwość składania dokumentów spółki </w:t>
            </w:r>
            <w:r>
              <w:rPr>
                <w:b/>
                <w:i/>
              </w:rPr>
              <w:t>i przekazywania informacji</w:t>
            </w:r>
            <w:r>
              <w:t xml:space="preserve"> online przez cały cykl życia formy korporacyjnej oraz o pełne wdrożenie zasady jednorazowości przy rejestracji ESSU; </w:t>
            </w:r>
            <w:r>
              <w:rPr>
                <w:b/>
                <w:i/>
              </w:rPr>
              <w:t>apeluje, aby</w:t>
            </w:r>
            <w:r>
              <w:t xml:space="preserve"> umożliwić stosowanie procedur cyfrowych, takich jak </w:t>
            </w:r>
            <w:r>
              <w:rPr>
                <w:b/>
                <w:i/>
              </w:rPr>
              <w:t>zdalne</w:t>
            </w:r>
            <w:r>
              <w:t xml:space="preserve"> zgromadzenia ogólne i </w:t>
            </w:r>
            <w:r>
              <w:rPr>
                <w:b/>
                <w:i/>
              </w:rPr>
              <w:t>zdalne</w:t>
            </w:r>
            <w:r>
              <w:t xml:space="preserve"> posiedzenia zarządu;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zwraca uwagę, że należy uprościć proces zakładania i rejestracji przedsiębiorstw; apeluje, aby uprościć procedury i umożliwić przeprowadzenie procedury rejestracji w celu utworzenia ESSU w ciągu 48 godzin; apeluje o możliwość składania dokumentów spółki online przez cały cykl życia formy korporacyjnej oraz o pełne wdrożenie zasady jednorazowości przy rejestracji ESSU; </w:t>
            </w:r>
            <w:r>
              <w:rPr>
                <w:b/>
                <w:i/>
              </w:rPr>
              <w:t>uważa, że należy</w:t>
            </w:r>
            <w:r>
              <w:t xml:space="preserve"> umożliwić stosowanie procedur cyfrowych, takich jak zgromadzenia ogólne i posiedzenia zarządu </w:t>
            </w:r>
            <w:r>
              <w:rPr>
                <w:b/>
                <w:i/>
              </w:rPr>
              <w:t>online</w:t>
            </w:r>
            <w:r>
              <w:t>;</w:t>
            </w:r>
          </w:p>
        </w:tc>
        <w:tc>
          <w:tcPr>
            <w:tcW w:w="4876" w:type="dxa"/>
            <w:tcBorders>
              <w:top w:val="nil"/>
              <w:left w:val="nil"/>
              <w:bottom w:val="nil"/>
              <w:right w:val="nil"/>
            </w:tcBorders>
          </w:tcPr>
          <w:p>
            <w:pPr>
              <w:pStyle w:val="Normal6a"/>
            </w:pPr>
            <w:r>
              <w:t>11.</w:t>
            </w:r>
            <w:r>
              <w:tab/>
            </w:r>
            <w:r>
              <w:t xml:space="preserve">zwraca uwagę, że należy uprościć </w:t>
            </w:r>
            <w:r>
              <w:rPr>
                <w:b/>
                <w:i/>
              </w:rPr>
              <w:t>i zdygitalizować</w:t>
            </w:r>
            <w:r>
              <w:t xml:space="preserve"> proces zakładania i rejestracji przedsiębiorstw; apeluje, aby uprościć procedury i umożliwić </w:t>
            </w:r>
            <w:r>
              <w:rPr>
                <w:b/>
                <w:i/>
              </w:rPr>
              <w:t>cyfrowe</w:t>
            </w:r>
            <w:r>
              <w:t xml:space="preserve"> przeprowadzenie procedury rejestracji w celu utworzenia ESSU w ciągu 48 godzin; apeluje o możliwość składania dokumentów spółki online przez cały cykl życia formy korporacyjnej oraz o pełne wdrożenie zasady jednorazowości przy rejestracji </w:t>
            </w:r>
            <w:r>
              <w:rPr>
                <w:b/>
                <w:i/>
              </w:rPr>
              <w:t>i zarządzaniu</w:t>
            </w:r>
            <w:r>
              <w:t xml:space="preserve"> ESSU; </w:t>
            </w:r>
            <w:r>
              <w:rPr>
                <w:b/>
                <w:i/>
              </w:rPr>
              <w:t>apeluje, aby</w:t>
            </w:r>
            <w:r>
              <w:t xml:space="preserve"> umożliwić stosowanie procedur cyfrowych, takich jak </w:t>
            </w:r>
            <w:r>
              <w:rPr>
                <w:b/>
                <w:i/>
              </w:rPr>
              <w:t>zdalne</w:t>
            </w:r>
            <w:r>
              <w:t xml:space="preserve"> zgromadzenia ogólne i </w:t>
            </w:r>
            <w:r>
              <w:rPr>
                <w:b/>
                <w:i/>
              </w:rPr>
              <w:t>zdalne</w:t>
            </w:r>
            <w:r>
              <w:t xml:space="preserve"> posiedzenia zarządu;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zwraca uwagę, że należy uprościć proces zakładania i rejestracji przedsiębiorstw; apeluje, aby uprościć procedury i umożliwić przeprowadzenie procedury rejestracji w celu utworzenia ESSU w ciągu </w:t>
            </w:r>
            <w:r>
              <w:rPr>
                <w:b/>
                <w:i/>
              </w:rPr>
              <w:t>48</w:t>
            </w:r>
            <w:r>
              <w:t xml:space="preserve"> godzin; apeluje o możliwość składania dokumentów spółki online przez cały cykl życia formy korporacyjnej oraz o pełne wdrożenie zasady jednorazowości przy rejestracji ESSU; uważa, że należy umożliwić stosowanie procedur cyfrowych, takich jak zgromadzenia ogólne i posiedzenia zarządu online;</w:t>
            </w:r>
          </w:p>
        </w:tc>
        <w:tc>
          <w:tcPr>
            <w:tcW w:w="4876" w:type="dxa"/>
            <w:tcBorders>
              <w:top w:val="nil"/>
              <w:left w:val="nil"/>
              <w:bottom w:val="nil"/>
              <w:right w:val="nil"/>
            </w:tcBorders>
          </w:tcPr>
          <w:p>
            <w:pPr>
              <w:pStyle w:val="Normal6a"/>
            </w:pPr>
            <w:r>
              <w:t>11.</w:t>
            </w:r>
            <w:r>
              <w:tab/>
            </w:r>
            <w:r>
              <w:t xml:space="preserve">zwraca uwagę, że należy uprościć proces zakładania i rejestracji przedsiębiorstw; apeluje, aby uprościć procedury i umożliwić przeprowadzenie procedury rejestracji w celu utworzenia ESSU w ciągu </w:t>
            </w:r>
            <w:r>
              <w:rPr>
                <w:b/>
                <w:i/>
              </w:rPr>
              <w:t>24</w:t>
            </w:r>
            <w:r>
              <w:t xml:space="preserve"> godzin; apeluje o możliwość składania dokumentów spółki online przez cały cykl życia formy korporacyjnej oraz o pełne wdrożenie zasady jednorazowości przy rejestracji ESSU; uważa, że należy umożliwić stosowanie procedur cyfrowych, takich jak zgromadzenia ogólne i posiedzenia zarządu online;</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zwraca uwagę, że należy uprościć proces zakładania i rejestracji przedsiębiorstw; apeluje, aby uprościć procedury i umożliwić przeprowadzenie procedury rejestracji w celu utworzenia </w:t>
            </w:r>
            <w:r>
              <w:rPr>
                <w:b/>
                <w:i/>
              </w:rPr>
              <w:t>ESSU</w:t>
            </w:r>
            <w:r>
              <w:t xml:space="preserve"> w ciągu 48 godzin; apeluje o możliwość składania dokumentów spółki online przez cały cykl życia formy korporacyjnej oraz o pełne wdrożenie zasady jednorazowości przy rejestracji </w:t>
            </w:r>
            <w:r>
              <w:rPr>
                <w:b/>
                <w:i/>
              </w:rPr>
              <w:t>ESSU</w:t>
            </w:r>
            <w:r>
              <w:t>; uważa, że należy umożliwić stosowanie procedur cyfrowych, takich jak zgromadzenia ogólne i posiedzenia zarządu online;</w:t>
            </w:r>
          </w:p>
        </w:tc>
        <w:tc>
          <w:tcPr>
            <w:tcW w:w="4876" w:type="dxa"/>
            <w:tcBorders>
              <w:top w:val="nil"/>
              <w:left w:val="nil"/>
              <w:bottom w:val="nil"/>
              <w:right w:val="nil"/>
            </w:tcBorders>
          </w:tcPr>
          <w:p>
            <w:pPr>
              <w:pStyle w:val="Normal6a"/>
            </w:pPr>
            <w:r>
              <w:t>11.</w:t>
            </w:r>
            <w:r>
              <w:tab/>
            </w:r>
            <w:r>
              <w:t xml:space="preserve">zwraca uwagę, że należy uprościć proces zakładania i rejestracji przedsiębiorstw; apeluje, aby uprościć procedury i umożliwić przeprowadzenie procedury rejestracji w celu utworzenia </w:t>
            </w:r>
            <w:r>
              <w:rPr>
                <w:b/>
                <w:i/>
              </w:rPr>
              <w:t>SES</w:t>
            </w:r>
            <w:r>
              <w:t xml:space="preserve"> w ciągu 48 godzin; apeluje o możliwość składania dokumentów spółki online przez cały cykl życia formy korporacyjnej oraz o pełne wdrożenie zasady jednorazowości przy rejestracji </w:t>
            </w:r>
            <w:r>
              <w:rPr>
                <w:b/>
                <w:i/>
              </w:rPr>
              <w:t>SES</w:t>
            </w:r>
            <w:r>
              <w:t>; uważa, że należy umożliwić stosowanie procedur cyfrowych, takich jak zgromadzenia ogólne i posiedzenia zarządu online;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11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wzywa ponadto do pełnego wdrożenia i oceny obowiązujących przepisów Unii dotyczących stosowania narzędzi cyfrowych w prawie spółek, w szczególności dyrektyw (UE) 2019/1151 i (UE) 2025/25, a także do dalszej cyfryzacji i automatyzacji sprawozdań dla organów jako głównego priorytetu w pracach nad uproszczeniem przepisów w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11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podkreśla, że utworzenie ESSU powinno być w pełni zintegrowane z planowanym ogólnounijnym portfelem biznesowym, aby zapewnić płynne kontakty cyfrowe przedsiębiorstw we wszystkich państwach członkowskich;</w:t>
            </w:r>
            <w:r>
              <w:t xml:space="preserve"> </w:t>
            </w:r>
            <w:r>
              <w:rPr>
                <w:b/>
                <w:i/>
              </w:rPr>
              <w:t>podkreśla, że taki kontakt ułatwi dostęp do podstawowych usług cyfrowych, w tym rejestracji przedsiębiorstw, zgłoszeń i transakcji;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11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wzywa do ustanowienia ogólnounijnego systemu standardowych opłat za usługi bankowe i notarialne bezpośrednio związane z zakładaniem ESSU i jego podstawową działalnością, przy zapewnieniu, że koszty pozostaną proporcjonalne, przejrzyste i nie przekraczają poziomu określonego w ramach ESSU we wszystkich państwach członkowskich;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11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wzywa do wydania europejskiego certyfikatu ESSU, który byłby uznawany we wszystkich państwach członkowskich, w momencie jego wydania, w odniesieniu do siedziby spółki i istotnych informacji przechowywanych w rejestrze spółki;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apeluje o utworzenie jednolitego cyfrowego rejestru przedsiębiorstw na szczeblu Unii, który stanowiłby bezpośredni punkt dostępu do rejestracji </w:t>
            </w:r>
            <w:r>
              <w:rPr>
                <w:b/>
                <w:i/>
              </w:rPr>
              <w:t>ESSU</w:t>
            </w:r>
            <w:r>
              <w:t>, uzupełniając i rozszerzając istniejący system integracji rejestrów przedsiębiorstw (BRIS);</w:t>
            </w:r>
          </w:p>
        </w:tc>
        <w:tc>
          <w:tcPr>
            <w:tcW w:w="4876" w:type="dxa"/>
            <w:tcBorders>
              <w:top w:val="nil"/>
              <w:left w:val="nil"/>
              <w:bottom w:val="nil"/>
              <w:right w:val="nil"/>
            </w:tcBorders>
          </w:tcPr>
          <w:p>
            <w:pPr>
              <w:pStyle w:val="Normal6a"/>
            </w:pPr>
            <w:r>
              <w:t>12.</w:t>
            </w:r>
            <w:r>
              <w:tab/>
            </w:r>
            <w:r>
              <w:t xml:space="preserve">apeluje o utworzenie jednolitego cyfrowego rejestru przedsiębiorstw na szczeblu Unii, który stanowiłby bezpośredni punkt dostępu do rejestracji </w:t>
            </w:r>
            <w:r>
              <w:rPr>
                <w:b/>
                <w:i/>
              </w:rPr>
              <w:t>SES</w:t>
            </w:r>
            <w:r>
              <w:t xml:space="preserve">, uzupełniając i rozszerzając istniejący system integracji rejestrów przedsiębiorstw (BRIS); </w:t>
            </w:r>
            <w:r>
              <w:rPr>
                <w:b/>
                <w:i/>
              </w:rPr>
              <w:t>dzięki temu byłby on bezpośrednio dostępny publicznie i zintegrowany z krajowymi rejestrami przedsiębiorstw;</w:t>
            </w:r>
            <w:r>
              <w:t xml:space="preserve"> </w:t>
            </w:r>
            <w:r>
              <w:rPr>
                <w:b/>
                <w:i/>
              </w:rPr>
              <w:t>oczekuje, że rejestr ten umożliwi również przechowywanie dokumentów niezbędnych do rejestracji SES i stosowanie w praktyce zasady „jednorazowego poświadczenia”, a także krajowych certyfikatów, które mogłyby być później uznawane we wszystkich państwach członkowskich w celu zwiększenia „paszportowania” zaświadczeń;</w:t>
            </w:r>
            <w:r>
              <w:t xml:space="preserve"> </w:t>
            </w:r>
            <w:r>
              <w:rPr>
                <w:b/>
                <w:i/>
              </w:rPr>
              <w:t>podkreśla, że platforma musi być wielojęzyczna i umożliwiać obsługę transgraniczną;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Pascale Piera, Ernő Schaller-Baross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apeluje o utworzenie jednolitego cyfrowego rejestru przedsiębiorstw na szczeblu Unii, który stanowiłby bezpośredni punkt dostępu do rejestracji ESSU, uzupełniając i rozszerzając istniejący system integracji rejestrów przedsiębiorstw (BRIS);</w:t>
            </w:r>
          </w:p>
        </w:tc>
        <w:tc>
          <w:tcPr>
            <w:tcW w:w="4876" w:type="dxa"/>
            <w:tcBorders>
              <w:top w:val="nil"/>
              <w:left w:val="nil"/>
              <w:bottom w:val="nil"/>
              <w:right w:val="nil"/>
            </w:tcBorders>
          </w:tcPr>
          <w:p>
            <w:pPr>
              <w:pStyle w:val="Normal6a"/>
            </w:pPr>
            <w:r>
              <w:t>12.</w:t>
            </w:r>
            <w:r>
              <w:tab/>
            </w:r>
            <w:r>
              <w:t xml:space="preserve">apeluje o utworzenie jednolitego cyfrowego rejestru przedsiębiorstw na szczeblu Unii, który stanowiłby bezpośredni punkt dostępu do rejestracji ESSU, uzupełniając i rozszerzając istniejący system integracji rejestrów przedsiębiorstw (BRIS); </w:t>
            </w:r>
            <w:r>
              <w:rPr>
                <w:b/>
                <w:i/>
              </w:rPr>
              <w:t>podkreśla, że przedsiębiorstwom nie wolno zezwalać na obchodzenie krajowych wymogów rejestracyjnych oraz że udział prawników lub notariuszy w procedurach rejestracji musi pozostać obowiązkowy, aby zapewnić legalność i zapobiegać praniu pieniędzy;</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Arash Saeidi</w:t>
      </w:r>
      <w:r>
        <w:rPr>
          <w:rStyle w:val="HideTWBExt"/>
          <w:b w:val="0"/>
        </w:rPr>
        <w:t>&lt;/Members&gt;</w:t>
      </w:r>
    </w:p>
    <w:p>
      <w:r>
        <w:rPr>
          <w:rStyle w:val="HideTWBExt"/>
          <w:b w:val="0"/>
        </w:rPr>
        <w:t>&lt;AuNomDe&gt;</w:t>
      </w:r>
      <w:r>
        <w:rPr>
          <w:rStyle w:val="HideTWBInt"/>
        </w:rPr>
        <w:t>{The Left}</w:t>
      </w:r>
      <w:r>
        <w:t>w imieniu grupy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apeluje o utworzenie jednolitego cyfrowego rejestru przedsiębiorstw na szczeblu Unii, który stanowiłby bezpośredni punkt dostępu do rejestracji ESSU, uzupełniając i rozszerzając istniejący system integracji rejestrów przedsiębiorstw (BRIS);</w:t>
            </w:r>
          </w:p>
        </w:tc>
        <w:tc>
          <w:tcPr>
            <w:tcW w:w="4876" w:type="dxa"/>
            <w:tcBorders>
              <w:top w:val="nil"/>
              <w:left w:val="nil"/>
              <w:bottom w:val="nil"/>
              <w:right w:val="nil"/>
            </w:tcBorders>
          </w:tcPr>
          <w:p>
            <w:pPr>
              <w:pStyle w:val="Normal6a"/>
            </w:pPr>
            <w:r>
              <w:t>12.</w:t>
            </w:r>
            <w:r>
              <w:tab/>
            </w:r>
            <w:r>
              <w:t xml:space="preserve">apeluje o utworzenie jednolitego cyfrowego rejestru przedsiębiorstw na szczeblu Unii, który stanowiłby bezpośredni punkt dostępu do rejestracji ESSU, uzupełniając i rozszerzając istniejący system integracji rejestrów przedsiębiorstw (BRIS); </w:t>
            </w:r>
            <w:r>
              <w:rPr>
                <w:b/>
                <w:i/>
              </w:rPr>
              <w:t>podkreśla ponadto potrzebę uzupełnienia tego rejestru o publicznie dostępny rejestr służący przejrzystości, aby zapewnić publikację informacji na temat własności rzeczywistej, struktur własnościowych i praktyk podatkowych, aby uniknąć niejasności lub nadużyć;</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apeluje o utworzenie </w:t>
            </w:r>
            <w:r>
              <w:rPr>
                <w:b/>
                <w:i/>
              </w:rPr>
              <w:t>jednolitego cyfrowego rejestru przedsiębiorstw na szczeblu Unii, który stanowiłby bezpośredni punkt dostępu do rejestracji ESSU, uzupełniając i rozszerzając istniejący system</w:t>
            </w:r>
            <w:r>
              <w:t xml:space="preserve"> integracji rejestrów przedsiębiorstw (BRIS);</w:t>
            </w:r>
          </w:p>
        </w:tc>
        <w:tc>
          <w:tcPr>
            <w:tcW w:w="4876" w:type="dxa"/>
            <w:tcBorders>
              <w:top w:val="nil"/>
              <w:left w:val="nil"/>
              <w:bottom w:val="nil"/>
              <w:right w:val="nil"/>
            </w:tcBorders>
          </w:tcPr>
          <w:p>
            <w:pPr>
              <w:pStyle w:val="Normal6a"/>
            </w:pPr>
            <w:r>
              <w:t>12.</w:t>
            </w:r>
            <w:r>
              <w:tab/>
            </w:r>
            <w:r>
              <w:t xml:space="preserve">apeluje o utworzenie </w:t>
            </w:r>
            <w:r>
              <w:rPr>
                <w:b/>
                <w:i/>
              </w:rPr>
              <w:t>i rozszerzenie istniejącego systemu</w:t>
            </w:r>
            <w:r>
              <w:t xml:space="preserve"> integracji rejestrów przedsiębiorstw (BRIS) </w:t>
            </w:r>
            <w:r>
              <w:rPr>
                <w:b/>
                <w:i/>
              </w:rPr>
              <w:t>jako głównego narzędzia cyfrowego służącego do rejestracji i współpracy ESSU w całej Unii</w:t>
            </w:r>
            <w:r>
              <w:t xml:space="preserve">; </w:t>
            </w:r>
            <w:r>
              <w:rPr>
                <w:b/>
                <w:i/>
              </w:rPr>
              <w:t>podkreśla, że w celu zwiększenia skuteczności BRIS mógłby być powiązany z różnymi bazami danych obsługiwanymi przez Komisję lub agencje unijne, w tym bazami związanymi z własnością intelektualną, taką jak znaki towarowe i wzory;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apeluje o utworzenie jednolitego cyfrowego </w:t>
            </w:r>
            <w:r>
              <w:rPr>
                <w:b/>
                <w:i/>
              </w:rPr>
              <w:t>rejestru przedsiębiorstw na szczeblu Unii, który stanowiłby bezpośredni punkt</w:t>
            </w:r>
            <w:r>
              <w:t xml:space="preserve"> dostępu do rejestracji ESSU, </w:t>
            </w:r>
            <w:r>
              <w:rPr>
                <w:b/>
                <w:i/>
              </w:rPr>
              <w:t>uzupełniając i rozszerzając</w:t>
            </w:r>
            <w:r>
              <w:t xml:space="preserve"> istniejący system integracji rejestrów przedsiębiorstw (BRIS);</w:t>
            </w:r>
          </w:p>
        </w:tc>
        <w:tc>
          <w:tcPr>
            <w:tcW w:w="4876" w:type="dxa"/>
            <w:tcBorders>
              <w:top w:val="nil"/>
              <w:left w:val="nil"/>
              <w:bottom w:val="nil"/>
              <w:right w:val="nil"/>
            </w:tcBorders>
          </w:tcPr>
          <w:p>
            <w:pPr>
              <w:pStyle w:val="Normal6a"/>
            </w:pPr>
            <w:r>
              <w:t>12.</w:t>
            </w:r>
            <w:r>
              <w:tab/>
            </w:r>
            <w:r>
              <w:t xml:space="preserve">apeluje o utworzenie jednolitego cyfrowego </w:t>
            </w:r>
            <w:r>
              <w:rPr>
                <w:b/>
                <w:i/>
              </w:rPr>
              <w:t>punktu</w:t>
            </w:r>
            <w:r>
              <w:t xml:space="preserve"> dostępu do rejestracji ESSU, </w:t>
            </w:r>
            <w:r>
              <w:rPr>
                <w:b/>
                <w:i/>
              </w:rPr>
              <w:t>który będzie uzupełniał i rozszerzał</w:t>
            </w:r>
            <w:r>
              <w:t xml:space="preserve"> istniejący system integracji rejestrów przedsiębiorstw (BRIS); </w:t>
            </w:r>
            <w:r>
              <w:rPr>
                <w:b/>
                <w:i/>
              </w:rPr>
              <w:t>podkreśla, że punkt dostępu, o którym mowa powyżej, powinien opierać się na istniejącym portalu „e-Sprawiedliwość” i w stosownych przypadkach go modernizować, aby zapewnić przyjazny dla użytkownika, wielojęzyczny i bezpieczny interfejs dla transgranicznych procedur dotyczących spółek;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apeluje o </w:t>
            </w:r>
            <w:r>
              <w:rPr>
                <w:b/>
                <w:i/>
              </w:rPr>
              <w:t>utworzenie jednolitego cyfrowego rejestru przedsiębiorstw na szczeblu Unii, który stanowiłby bezpośredni punkt dostępu do rejestracji ESSU, uzupełniając i rozszerzając istniejący system</w:t>
            </w:r>
            <w:r>
              <w:t xml:space="preserve"> integracji rejestrów przedsiębiorstw (BRIS)</w:t>
            </w:r>
            <w:r>
              <w:rPr>
                <w:b/>
                <w:i/>
              </w:rPr>
              <w:t>;</w:t>
            </w:r>
          </w:p>
        </w:tc>
        <w:tc>
          <w:tcPr>
            <w:tcW w:w="4876" w:type="dxa"/>
            <w:tcBorders>
              <w:top w:val="nil"/>
              <w:left w:val="nil"/>
              <w:bottom w:val="nil"/>
              <w:right w:val="nil"/>
            </w:tcBorders>
          </w:tcPr>
          <w:p>
            <w:pPr>
              <w:pStyle w:val="Normal6a"/>
            </w:pPr>
            <w:r>
              <w:t>12.</w:t>
            </w:r>
            <w:r>
              <w:tab/>
            </w:r>
            <w:r>
              <w:t xml:space="preserve">apeluje o </w:t>
            </w:r>
            <w:r>
              <w:rPr>
                <w:b/>
                <w:i/>
              </w:rPr>
              <w:t>dalsze rozszerzenie istniejącego systemu</w:t>
            </w:r>
            <w:r>
              <w:t xml:space="preserve"> integracji rejestrów przedsiębiorstw (BRIS)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apeluje o utworzenie jednolitego </w:t>
            </w:r>
            <w:r>
              <w:rPr>
                <w:b/>
                <w:i/>
              </w:rPr>
              <w:t>cyfrowego rejestru przedsiębiorstw</w:t>
            </w:r>
            <w:r>
              <w:t xml:space="preserve"> na szczeblu Unii, który stanowiłby bezpośredni punkt dostępu do rejestracji ESSU, uzupełniając i rozszerzając istniejący system integracji rejestrów przedsiębiorstw (BRIS);</w:t>
            </w:r>
          </w:p>
        </w:tc>
        <w:tc>
          <w:tcPr>
            <w:tcW w:w="4876" w:type="dxa"/>
            <w:tcBorders>
              <w:top w:val="nil"/>
              <w:left w:val="nil"/>
              <w:bottom w:val="nil"/>
              <w:right w:val="nil"/>
            </w:tcBorders>
          </w:tcPr>
          <w:p>
            <w:pPr>
              <w:pStyle w:val="Normal6a"/>
            </w:pPr>
            <w:r>
              <w:t>12.</w:t>
            </w:r>
            <w:r>
              <w:tab/>
            </w:r>
            <w:r>
              <w:t xml:space="preserve">apeluje o utworzenie jednolitego </w:t>
            </w:r>
            <w:r>
              <w:rPr>
                <w:b/>
                <w:i/>
              </w:rPr>
              <w:t>punktu dostępu na europejskim portalu „e-Sprawiedliwość”</w:t>
            </w:r>
            <w:r>
              <w:t xml:space="preserve"> na szczeblu Unii, który stanowiłby bezpośredni punkt dostępu do </w:t>
            </w:r>
            <w:r>
              <w:rPr>
                <w:b/>
                <w:i/>
              </w:rPr>
              <w:t>krajowych punktów kompleksowej obsługi w celu</w:t>
            </w:r>
            <w:r>
              <w:t xml:space="preserve"> rejestracji ESSU, uzupełniając i rozszerzając istniejący system integracji rejestrów przedsiębiorstw (BRIS);</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12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wzywa do utworzenia internetowej platformy domowej przedsiębiorstw, aby ułatwić bezpieczne procedury cyfrowe, w tym weryfikowalnych danych uwierzytelniających i podpisu elektronicznego dokumentów (również przez notariuszy), sprzedaży i przydziału akcji, tworzenia i przyjmowania uchwał zarządów oraz świadczenia usług fakturowania elektronicznego;</w:t>
            </w:r>
            <w:r>
              <w:t xml:space="preserve"> </w:t>
            </w:r>
            <w:r>
              <w:rPr>
                <w:b/>
                <w:i/>
              </w:rPr>
              <w:t>podkreśla, że platforma ta powinna umożliwiać uznawanie i wykorzystywanie w całej Unii certyfikatów, licencji i zezwoleń wydanych w jednym państwie członkowskim, zgodnie z mającym zastosowanie prawem unijnym i krajowym;</w:t>
            </w:r>
            <w:r>
              <w:t xml:space="preserve"> </w:t>
            </w:r>
            <w:r>
              <w:rPr>
                <w:b/>
                <w:i/>
              </w:rPr>
              <w:t>podkreśla, że takie narzędzia cyfrowe zwiększą pewność prawa, zmniejszą obciążenia administracyjne i będą promować sprawne funkcjonowanie przedsiębiorstw na rynku wewnętrznym;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12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apeluje, aby ramy ESSU zapewniały, aby wszystkie wymagane dokumenty prawne i podatkowe były składane jednorazowo przy rejestracji za pośrednictwem unijnego cyfrowego rejestru przedsiębiorstw i udostępniane wszystkim właściwym organom krajowym za pośrednictwem bezpiecznych systemów wzajemnych połączeń, tak aby przedsiębiorstwa nie musiały wielokrotnie przedkładać tych dokumentów w cyklu życia;</w:t>
            </w:r>
            <w:r>
              <w:t xml:space="preserve"> </w:t>
            </w:r>
            <w:r>
              <w:rPr>
                <w:b/>
                <w:i/>
              </w:rPr>
              <w:t>wzywa do umożliwienia przedsiębiorstwom rejestrującym się jako ESSU składania wymaganych dokumentów prawnych i podatkowych w dowolnym języku urzędowym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Arash Saeidi</w:t>
      </w:r>
      <w:r>
        <w:rPr>
          <w:rStyle w:val="HideTWBExt"/>
          <w:b w:val="0"/>
        </w:rPr>
        <w:t>&lt;/Members&gt;</w:t>
      </w:r>
    </w:p>
    <w:p>
      <w:r>
        <w:rPr>
          <w:rStyle w:val="HideTWBExt"/>
          <w:b w:val="0"/>
        </w:rPr>
        <w:t>&lt;AuNomDe&gt;</w:t>
      </w:r>
      <w:r>
        <w:rPr>
          <w:rStyle w:val="HideTWBInt"/>
        </w:rPr>
        <w:t>{The Left}</w:t>
      </w:r>
      <w:r>
        <w:t>w imieniu grupy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12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podkreśla potrzebę ustanowienia ogólnounijnego rejestru służącego przejrzystości, połączonego z cyfrowym rejestrem przedsiębiorstw i systemem BRIS, zapewniającego ujawnianie informacji na temat własności rzeczywistej, struktur własnościowych i deklaracji podatkowych od osób prawnych;</w:t>
            </w:r>
            <w:r>
              <w:t xml:space="preserve"> </w:t>
            </w:r>
            <w:r>
              <w:rPr>
                <w:b/>
                <w:i/>
              </w:rPr>
              <w:t>nalega, aby rejestr ten był publicznie dostępny, regularnie aktualizowany oraz aby obejmował mechanizmy kontroli oraz skuteczne i odstraszające kary za nieprzestrzeganie przepisów;</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apeluje o dalszy rozwój i dostosowanie unijnego identyfikatora przedsiębiorstwa, aby usprawnić rejestrację, zwiększyć przejrzystość i zaufanie, ułatwić weryfikację tożsamości przedsiębiorstwa oraz zwalczać oszustwa i uchylanie się od opodatkowania;</w:t>
            </w:r>
          </w:p>
        </w:tc>
        <w:tc>
          <w:tcPr>
            <w:tcW w:w="4876" w:type="dxa"/>
            <w:tcBorders>
              <w:top w:val="nil"/>
              <w:left w:val="nil"/>
              <w:bottom w:val="nil"/>
              <w:right w:val="nil"/>
            </w:tcBorders>
          </w:tcPr>
          <w:p>
            <w:pPr>
              <w:pStyle w:val="Normal6a"/>
            </w:pPr>
            <w:r>
              <w:t>13.</w:t>
            </w:r>
            <w:r>
              <w:tab/>
            </w:r>
            <w:r>
              <w:t xml:space="preserve">apeluje o dalszy rozwój i dostosowanie </w:t>
            </w:r>
            <w:r>
              <w:rPr>
                <w:b/>
                <w:i/>
              </w:rPr>
              <w:t>jednego</w:t>
            </w:r>
            <w:r>
              <w:t xml:space="preserve"> unijnego identyfikatora przedsiębiorstwa </w:t>
            </w:r>
            <w:r>
              <w:rPr>
                <w:b/>
                <w:i/>
              </w:rPr>
              <w:t>związanego z rejestrem unijnym</w:t>
            </w:r>
            <w:r>
              <w:t xml:space="preserve">, aby usprawnić rejestrację, zwiększyć przejrzystość i zaufanie, ułatwić weryfikację tożsamości przedsiębiorstwa oraz zwalczać oszustwa i uchylanie się od opodatkowania; </w:t>
            </w:r>
            <w:r>
              <w:rPr>
                <w:b/>
                <w:i/>
              </w:rPr>
              <w:t>zachęca Komisję Europejską do pracy nad interoperacyjnością z globalnymi inicjatywami na rzecz identyfikatora przedsiębiorstwa;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Axel Voss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apeluje o dalszy rozwój i dostosowanie unijnego identyfikatora przedsiębiorstwa, aby usprawnić rejestrację, zwiększyć przejrzystość i zaufanie, ułatwić weryfikację tożsamości przedsiębiorstwa oraz zwalczać oszustwa i uchylanie się od opodatkowania;</w:t>
            </w:r>
          </w:p>
        </w:tc>
        <w:tc>
          <w:tcPr>
            <w:tcW w:w="4876" w:type="dxa"/>
            <w:tcBorders>
              <w:top w:val="nil"/>
              <w:left w:val="nil"/>
              <w:bottom w:val="nil"/>
              <w:right w:val="nil"/>
            </w:tcBorders>
          </w:tcPr>
          <w:p>
            <w:pPr>
              <w:pStyle w:val="Normal6a"/>
            </w:pPr>
            <w:r>
              <w:t>13.</w:t>
            </w:r>
            <w:r>
              <w:tab/>
            </w:r>
            <w:r>
              <w:t xml:space="preserve">apeluje o dalszy rozwój i dostosowanie unijnego identyfikatora przedsiębiorstwa, aby usprawnić rejestrację, zwiększyć przejrzystość i zaufanie, ułatwić weryfikację tożsamości przedsiębiorstwa oraz zwalczać oszustwa i uchylanie się od opodatkowania; </w:t>
            </w:r>
            <w:r>
              <w:rPr>
                <w:b/>
                <w:i/>
              </w:rPr>
              <w:t>podkreśla, że umożliwiłoby to przedsiębiorstwom bezpieczne przechowywanie i wymianę weryfikowalnych danych uwierzytelniających z organami w całej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apeluje o </w:t>
            </w:r>
            <w:r>
              <w:rPr>
                <w:b/>
                <w:i/>
              </w:rPr>
              <w:t>dalszy rozwój i dostosowanie</w:t>
            </w:r>
            <w:r>
              <w:t xml:space="preserve"> unijnego identyfikatora przedsiębiorstwa, aby usprawnić rejestrację, zwiększyć przejrzystość i zaufanie, ułatwić weryfikację tożsamości przedsiębiorstwa oraz zwalczać oszustwa i uchylanie się od opodatkowania;</w:t>
            </w:r>
          </w:p>
        </w:tc>
        <w:tc>
          <w:tcPr>
            <w:tcW w:w="4876" w:type="dxa"/>
            <w:tcBorders>
              <w:top w:val="nil"/>
              <w:left w:val="nil"/>
              <w:bottom w:val="nil"/>
              <w:right w:val="nil"/>
            </w:tcBorders>
          </w:tcPr>
          <w:p>
            <w:pPr>
              <w:pStyle w:val="Normal6a"/>
            </w:pPr>
            <w:r>
              <w:t>13.</w:t>
            </w:r>
            <w:r>
              <w:tab/>
            </w:r>
            <w:r>
              <w:t xml:space="preserve">apeluje o </w:t>
            </w:r>
            <w:r>
              <w:rPr>
                <w:b/>
                <w:i/>
              </w:rPr>
              <w:t>kontynuację i pełną realizację projektu rozwoju</w:t>
            </w:r>
            <w:r>
              <w:t xml:space="preserve"> unijnego identyfikatora przedsiębiorstwa </w:t>
            </w:r>
            <w:r>
              <w:rPr>
                <w:b/>
                <w:i/>
              </w:rPr>
              <w:t>połączonego z rejestrem UE</w:t>
            </w:r>
            <w:r>
              <w:t>, aby usprawnić rejestrację, zwiększyć przejrzystość i zaufanie, ułatwić weryfikację tożsamości przedsiębiorstwa oraz zwalczać oszustwa i uchylanie się od opodatkowania;</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apeluje o dalszy rozwój i dostosowanie unijnego identyfikatora przedsiębiorstwa, aby usprawnić rejestrację, zwiększyć przejrzystość i zaufanie, ułatwić weryfikację tożsamości przedsiębiorstwa oraz zwalczać oszustwa i uchylanie się od opodatkowania;</w:t>
            </w:r>
          </w:p>
        </w:tc>
        <w:tc>
          <w:tcPr>
            <w:tcW w:w="4876" w:type="dxa"/>
            <w:tcBorders>
              <w:top w:val="nil"/>
              <w:left w:val="nil"/>
              <w:bottom w:val="nil"/>
              <w:right w:val="nil"/>
            </w:tcBorders>
          </w:tcPr>
          <w:p>
            <w:pPr>
              <w:pStyle w:val="Normal6a"/>
            </w:pPr>
            <w:r>
              <w:t>13.</w:t>
            </w:r>
            <w:r>
              <w:tab/>
            </w:r>
            <w:r>
              <w:t>apeluje o dalszy rozwój i dostosowanie unijnego identyfikatora przedsiębiorstwa, aby usprawnić rejestrację, zwiększyć przejrzystość i zaufanie, ułatwić weryfikację tożsamości przedsiębiorstwa oraz zwalczać oszustwa</w:t>
            </w:r>
            <w:r>
              <w:rPr>
                <w:b/>
                <w:i/>
              </w:rPr>
              <w:t>, pranie pieniędzy</w:t>
            </w:r>
            <w:r>
              <w:t xml:space="preserve"> i uchylanie się od opodatkowania;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jest zdania, że możliwość rejestracji jako ESSU nie powinna być zawężona do nowej kategorii „innowacyjnych przedsiębiorstw” </w:t>
            </w:r>
            <w:r>
              <w:rPr>
                <w:b/>
                <w:i/>
              </w:rPr>
              <w:t>ani do innych kryteriów ograniczających;</w:t>
            </w:r>
            <w:r>
              <w:t xml:space="preserve"> </w:t>
            </w:r>
            <w:r>
              <w:rPr>
                <w:b/>
                <w:i/>
              </w:rPr>
              <w:t>ostrzega, że utworzenie takiej nowej kategorii zwiększyłoby zbędną biurokrację;</w:t>
            </w:r>
            <w:r>
              <w:t xml:space="preserve"> </w:t>
            </w:r>
            <w:r>
              <w:rPr>
                <w:b/>
                <w:i/>
              </w:rPr>
              <w:t>precyzuje, że ESSU mogą być tworzone wyłącznie przez osoby fizyczne lub prawne, które mają miejsce zamieszkania lub siedzibę w Unii;</w:t>
            </w:r>
          </w:p>
        </w:tc>
        <w:tc>
          <w:tcPr>
            <w:tcW w:w="4876" w:type="dxa"/>
            <w:tcBorders>
              <w:top w:val="nil"/>
              <w:left w:val="nil"/>
              <w:bottom w:val="nil"/>
              <w:right w:val="nil"/>
            </w:tcBorders>
          </w:tcPr>
          <w:p>
            <w:pPr>
              <w:pStyle w:val="Normal6a"/>
            </w:pPr>
            <w:r>
              <w:t>14.</w:t>
            </w:r>
            <w:r>
              <w:tab/>
            </w:r>
            <w:r>
              <w:t>jest zdania, że możliwość rejestracji jako ESSU nie powinna być zawężona do nowej kategorii „innowacyjnych przedsiębiorstw”</w:t>
            </w:r>
            <w:r>
              <w:rPr>
                <w:b/>
                <w:i/>
              </w:rP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jest zdania, że możliwość rejestracji jako ESSU nie powinna być zawężona do nowej kategorii „innowacyjnych przedsiębiorstw” ani do innych kryteriów ograniczających; ostrzega, że utworzenie takiej nowej kategorii zwiększyłoby zbędną biurokrację; precyzuje, że ESSU mogą być tworzone wyłącznie przez osoby fizyczne lub prawne, które mają miejsce zamieszkania lub siedzibę w Unii;</w:t>
            </w:r>
          </w:p>
        </w:tc>
        <w:tc>
          <w:tcPr>
            <w:tcW w:w="4876" w:type="dxa"/>
            <w:tcBorders>
              <w:top w:val="nil"/>
              <w:left w:val="nil"/>
              <w:bottom w:val="nil"/>
              <w:right w:val="nil"/>
            </w:tcBorders>
          </w:tcPr>
          <w:p>
            <w:pPr>
              <w:pStyle w:val="Normal6a"/>
            </w:pPr>
            <w:r>
              <w:t>14.</w:t>
            </w:r>
            <w:r>
              <w:tab/>
            </w:r>
            <w:r>
              <w:t>jest zdania, że możliwość rejestracji jako ESSU nie powinna być zawężona do nowej kategorii „innowacyjnych przedsiębiorstw” ani do innych kryteriów ograniczających; ostrzega, że utworzenie takiej nowej kategorii zwiększyłoby zbędną biurokrację; precyzuje, że ESSU mogą być tworzone wyłącznie przez osoby fizyczne lub prawne, które mają miejsce zamieszkania lub siedzibę w Unii</w:t>
            </w:r>
            <w:r>
              <w:rPr>
                <w:b/>
                <w:i/>
              </w:rPr>
              <w:t>, czy to poprzez włączenie nowej spółki do ESSU, czy to poprzez przekształcenie istniejącej spółki w innej formie w ESSU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jest zdania, że możliwość rejestracji jako ESSU </w:t>
            </w:r>
            <w:r>
              <w:rPr>
                <w:b/>
                <w:i/>
              </w:rPr>
              <w:t>nie</w:t>
            </w:r>
            <w:r>
              <w:t xml:space="preserve"> powinna być </w:t>
            </w:r>
            <w:r>
              <w:rPr>
                <w:b/>
                <w:i/>
              </w:rPr>
              <w:t>zawężona do nowej kategorii „innowacyjnych</w:t>
            </w:r>
            <w:r>
              <w:t xml:space="preserve"> przedsiębiorstw</w:t>
            </w:r>
            <w:r>
              <w:rPr>
                <w:b/>
                <w:i/>
              </w:rPr>
              <w:t>” ani do innych kryteriów ograniczających;</w:t>
            </w:r>
            <w:r>
              <w:t xml:space="preserve"> </w:t>
            </w:r>
            <w:r>
              <w:rPr>
                <w:b/>
                <w:i/>
              </w:rPr>
              <w:t>ostrzega, że utworzenie takiej nowej kategorii zwiększyłoby zbędną biurokrację</w:t>
            </w:r>
            <w:r>
              <w:t>; precyzuje, że ESSU mogą być tworzone wyłącznie przez osoby fizyczne lub prawne, które mają miejsce zamieszkania lub siedzibę w Unii;</w:t>
            </w:r>
          </w:p>
        </w:tc>
        <w:tc>
          <w:tcPr>
            <w:tcW w:w="4876" w:type="dxa"/>
            <w:tcBorders>
              <w:top w:val="nil"/>
              <w:left w:val="nil"/>
              <w:bottom w:val="nil"/>
              <w:right w:val="nil"/>
            </w:tcBorders>
          </w:tcPr>
          <w:p>
            <w:pPr>
              <w:pStyle w:val="Normal6a"/>
            </w:pPr>
            <w:r>
              <w:t>14.</w:t>
            </w:r>
            <w:r>
              <w:tab/>
            </w:r>
            <w:r>
              <w:t xml:space="preserve">jest zdania, że możliwość rejestracji jako ESSU powinna być </w:t>
            </w:r>
            <w:r>
              <w:rPr>
                <w:b/>
                <w:i/>
              </w:rPr>
              <w:t>ograniczona do</w:t>
            </w:r>
            <w:r>
              <w:t xml:space="preserve"> przedsiębiorstw </w:t>
            </w:r>
            <w:r>
              <w:rPr>
                <w:b/>
                <w:i/>
              </w:rPr>
              <w:t>typu start-up i scale-up działających w sektorze cyfrowym</w:t>
            </w:r>
            <w:r>
              <w:t>; precyzuje, że ESSU mogą być tworzone wyłącznie przez osoby fizyczne lub prawne, które mają miejsce zamieszkania lub siedzibę w Unii;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jest zdania, że możliwość rejestracji jako ESSU </w:t>
            </w:r>
            <w:r>
              <w:rPr>
                <w:b/>
                <w:i/>
              </w:rPr>
              <w:t>nie</w:t>
            </w:r>
            <w:r>
              <w:t xml:space="preserve"> powinna </w:t>
            </w:r>
            <w:r>
              <w:rPr>
                <w:b/>
                <w:i/>
              </w:rPr>
              <w:t>być zawężona</w:t>
            </w:r>
            <w:r>
              <w:t xml:space="preserve"> do nowej kategorii „innowacyjnych przedsiębiorstw” ani do innych kryteriów ograniczających; ostrzega, że utworzenie takiej nowej kategorii zwiększyłoby zbędną biurokrację; precyzuje, że ESSU mogą być tworzone wyłącznie przez osoby fizyczne lub prawne, które mają miejsce zamieszkania lub siedzibę w Unii;</w:t>
            </w:r>
          </w:p>
        </w:tc>
        <w:tc>
          <w:tcPr>
            <w:tcW w:w="4876" w:type="dxa"/>
            <w:tcBorders>
              <w:top w:val="nil"/>
              <w:left w:val="nil"/>
              <w:bottom w:val="nil"/>
              <w:right w:val="nil"/>
            </w:tcBorders>
          </w:tcPr>
          <w:p>
            <w:pPr>
              <w:pStyle w:val="Normal6a"/>
            </w:pPr>
            <w:r>
              <w:t>14.</w:t>
            </w:r>
            <w:r>
              <w:tab/>
            </w:r>
            <w:r>
              <w:t xml:space="preserve">jest zdania, że możliwość rejestracji jako ESSU powinna </w:t>
            </w:r>
            <w:r>
              <w:rPr>
                <w:b/>
                <w:i/>
              </w:rPr>
              <w:t>uwzględniać różnorodność modeli biznesowych;</w:t>
            </w:r>
            <w:r>
              <w:t xml:space="preserve"> </w:t>
            </w:r>
            <w:r>
              <w:rPr>
                <w:b/>
                <w:i/>
              </w:rPr>
              <w:t>powinien on zatem być dostępny dla wszystkich form spółek i nie powinien ograniczać się</w:t>
            </w:r>
            <w:r>
              <w:t xml:space="preserve"> do nowej kategorii „innowacyjnych przedsiębiorstw” ani do innych kryteriów ograniczających; ostrzega, że utworzenie takiej nowej kategorii zwiększyłoby zbędną biurokrację; precyzuje, że ESSU mogą być tworzone wyłącznie przez osoby fizyczne lub prawne, które mają miejsce zamieszkania lub siedzibę w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rPr>
                <w:b/>
                <w:i/>
              </w:rPr>
              <w:t>jest zdania, że możliwość rejestracji</w:t>
            </w:r>
            <w:r>
              <w:t xml:space="preserve"> jako ESSU </w:t>
            </w:r>
            <w:r>
              <w:rPr>
                <w:b/>
                <w:i/>
              </w:rPr>
              <w:t>nie</w:t>
            </w:r>
            <w:r>
              <w:t xml:space="preserve"> powinna być </w:t>
            </w:r>
            <w:r>
              <w:rPr>
                <w:b/>
                <w:i/>
              </w:rPr>
              <w:t>zawężona do</w:t>
            </w:r>
            <w:r>
              <w:t xml:space="preserve"> nowej </w:t>
            </w:r>
            <w:r>
              <w:rPr>
                <w:b/>
                <w:i/>
              </w:rPr>
              <w:t>kategorii „innowacyjnych przedsiębiorstw” ani do innych kryteriów ograniczających;</w:t>
            </w:r>
            <w:r>
              <w:t xml:space="preserve"> </w:t>
            </w:r>
            <w:r>
              <w:rPr>
                <w:b/>
                <w:i/>
              </w:rPr>
              <w:t>ostrzega, że utworzenie takiej nowej kategorii zwiększyłoby zbędną biurokrację;</w:t>
            </w:r>
            <w:r>
              <w:t xml:space="preserve"> </w:t>
            </w:r>
            <w:r>
              <w:rPr>
                <w:b/>
                <w:i/>
              </w:rPr>
              <w:t>precyzuje, że ESSU mogą być tworzone wyłącznie przez osoby fizyczne lub prawne, które mają miejsce zamieszkania lub siedzibę w Unii</w:t>
            </w:r>
            <w:r>
              <w:t>;</w:t>
            </w:r>
          </w:p>
        </w:tc>
        <w:tc>
          <w:tcPr>
            <w:tcW w:w="4876" w:type="dxa"/>
            <w:tcBorders>
              <w:top w:val="nil"/>
              <w:left w:val="nil"/>
              <w:bottom w:val="nil"/>
              <w:right w:val="nil"/>
            </w:tcBorders>
          </w:tcPr>
          <w:p>
            <w:pPr>
              <w:pStyle w:val="Normal6a"/>
            </w:pPr>
            <w:r>
              <w:t>14.</w:t>
            </w:r>
            <w:r>
              <w:tab/>
            </w:r>
            <w:r>
              <w:rPr>
                <w:b/>
                <w:i/>
              </w:rPr>
              <w:t>uważa, że rejestracja</w:t>
            </w:r>
            <w:r>
              <w:t xml:space="preserve"> jako ESSU powinna być </w:t>
            </w:r>
            <w:r>
              <w:rPr>
                <w:b/>
                <w:i/>
              </w:rPr>
              <w:t>możliwa albo poprzez przejęcie</w:t>
            </w:r>
            <w:r>
              <w:t xml:space="preserve"> nowej </w:t>
            </w:r>
            <w:r>
              <w:rPr>
                <w:b/>
                <w:i/>
              </w:rPr>
              <w:t>spółki do formy ESSU albo poprzez przekształcenie w ESSU istniejącej spółki o innej formie prawnej</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jest zdania, że możliwość rejestracji jako </w:t>
            </w:r>
            <w:r>
              <w:rPr>
                <w:b/>
                <w:i/>
              </w:rPr>
              <w:t>ESSU</w:t>
            </w:r>
            <w:r>
              <w:t xml:space="preserve"> nie powinna być zawężona do nowej kategorii „innowacyjnych przedsiębiorstw” ani do innych kryteriów ograniczających; ostrzega, że utworzenie takiej nowej kategorii zwiększyłoby zbędną biurokrację; </w:t>
            </w:r>
            <w:r>
              <w:rPr>
                <w:b/>
                <w:i/>
              </w:rPr>
              <w:t>precyzuje, że ESSU mogą być tworzone wyłącznie przez osoby fizyczne lub prawne, które mają miejsce zamieszkania lub siedzibę w Unii</w:t>
            </w:r>
            <w:r>
              <w:t>;</w:t>
            </w:r>
          </w:p>
        </w:tc>
        <w:tc>
          <w:tcPr>
            <w:tcW w:w="4876" w:type="dxa"/>
            <w:tcBorders>
              <w:top w:val="nil"/>
              <w:left w:val="nil"/>
              <w:bottom w:val="nil"/>
              <w:right w:val="nil"/>
            </w:tcBorders>
          </w:tcPr>
          <w:p>
            <w:pPr>
              <w:pStyle w:val="Normal6a"/>
            </w:pPr>
            <w:r>
              <w:t>14.</w:t>
            </w:r>
            <w:r>
              <w:tab/>
            </w:r>
            <w:r>
              <w:t xml:space="preserve">jest zdania, że możliwość rejestracji jako </w:t>
            </w:r>
            <w:r>
              <w:rPr>
                <w:b/>
                <w:i/>
              </w:rPr>
              <w:t>SES</w:t>
            </w:r>
            <w:r>
              <w:t xml:space="preserve"> nie powinna być zawężona do nowej kategorii „innowacyjnych przedsiębiorstw” ani do innych kryteriów ograniczających; ostrzega, że utworzenie takiej nowej kategorii zwiększyłoby zbędną biurokrację; </w:t>
            </w:r>
            <w:r>
              <w:rPr>
                <w:b/>
                <w:i/>
              </w:rPr>
              <w:t>wzywa Komisję do pracy nad rozwiązaniem umożliwiającym osobom niebędącym rezydentami ustanowienie SES na przykładzie programu e-rezydencji dostępnego w Estonii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uważa, że ESSU powinna </w:t>
            </w:r>
            <w:r>
              <w:rPr>
                <w:b/>
                <w:i/>
              </w:rPr>
              <w:t>móc działać jako samodzielna</w:t>
            </w:r>
            <w:r>
              <w:t xml:space="preserve"> spółka </w:t>
            </w:r>
            <w:r>
              <w:rPr>
                <w:b/>
                <w:i/>
              </w:rPr>
              <w:t>jednoosobowa lub jako</w:t>
            </w:r>
            <w:r>
              <w:t xml:space="preserve"> spółka zależna spółki dominującej ESSU;</w:t>
            </w:r>
          </w:p>
        </w:tc>
        <w:tc>
          <w:tcPr>
            <w:tcW w:w="4876" w:type="dxa"/>
            <w:tcBorders>
              <w:top w:val="nil"/>
              <w:left w:val="nil"/>
              <w:bottom w:val="nil"/>
              <w:right w:val="nil"/>
            </w:tcBorders>
          </w:tcPr>
          <w:p>
            <w:pPr>
              <w:pStyle w:val="Normal6a"/>
            </w:pPr>
            <w:r>
              <w:t>15.</w:t>
            </w:r>
            <w:r>
              <w:tab/>
            </w:r>
            <w:r>
              <w:t xml:space="preserve">uważa, że ESSU powinna </w:t>
            </w:r>
            <w:r>
              <w:rPr>
                <w:b/>
                <w:i/>
              </w:rPr>
              <w:t>służyć jako forma korporacyjna dla pojedynczych podmiotów, tak jak w przypadku jednolitego zarządzania grupą, i uważa, że ESSU powinna mieć możliwość działania jako</w:t>
            </w:r>
            <w:r>
              <w:t xml:space="preserve"> spółka </w:t>
            </w:r>
            <w:r>
              <w:rPr>
                <w:b/>
                <w:i/>
              </w:rPr>
              <w:t>dominująca lub</w:t>
            </w:r>
            <w:r>
              <w:t xml:space="preserve"> spółka zależna spółki dominującej ESSU;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uważa, że </w:t>
            </w:r>
            <w:r>
              <w:rPr>
                <w:b/>
                <w:i/>
              </w:rPr>
              <w:t>ESSU</w:t>
            </w:r>
            <w:r>
              <w:t xml:space="preserve"> powinna móc działać jako samodzielna spółka jednoosobowa lub jako spółka zależna spółki dominującej ESSU;</w:t>
            </w:r>
          </w:p>
        </w:tc>
        <w:tc>
          <w:tcPr>
            <w:tcW w:w="4876" w:type="dxa"/>
            <w:tcBorders>
              <w:top w:val="nil"/>
              <w:left w:val="nil"/>
              <w:bottom w:val="nil"/>
              <w:right w:val="nil"/>
            </w:tcBorders>
          </w:tcPr>
          <w:p>
            <w:pPr>
              <w:pStyle w:val="Normal6a"/>
            </w:pPr>
            <w:r>
              <w:t>15.</w:t>
            </w:r>
            <w:r>
              <w:tab/>
            </w:r>
            <w:r>
              <w:t xml:space="preserve">uważa, że </w:t>
            </w:r>
            <w:r>
              <w:rPr>
                <w:b/>
                <w:i/>
              </w:rPr>
              <w:t>SES</w:t>
            </w:r>
            <w:r>
              <w:t xml:space="preserve"> powinna móc działać jako samodzielna spółka jednoosobowa</w:t>
            </w:r>
            <w:r>
              <w:rPr>
                <w:b/>
                <w:i/>
              </w:rPr>
              <w:t>, spółka zależna od spółki dominującej,</w:t>
            </w:r>
            <w:r>
              <w:t xml:space="preserve"> lub jako spółka zależna spółki dominującej ESSU;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uważa, że ESSU powinna móc działać jako samodzielna spółka jednoosobowa lub jako spółka zależna spółki dominującej </w:t>
            </w:r>
            <w:r>
              <w:rPr>
                <w:b/>
                <w:i/>
              </w:rPr>
              <w:t>ESSU</w:t>
            </w:r>
            <w:r>
              <w:t>;</w:t>
            </w:r>
          </w:p>
        </w:tc>
        <w:tc>
          <w:tcPr>
            <w:tcW w:w="4876" w:type="dxa"/>
            <w:tcBorders>
              <w:top w:val="nil"/>
              <w:left w:val="nil"/>
              <w:bottom w:val="nil"/>
              <w:right w:val="nil"/>
            </w:tcBorders>
          </w:tcPr>
          <w:p>
            <w:pPr>
              <w:pStyle w:val="Normal6a"/>
            </w:pPr>
            <w:r>
              <w:t>15.</w:t>
            </w:r>
            <w:r>
              <w:tab/>
            </w:r>
            <w:r>
              <w:t>uważa, że ESSU powinna móc działać jako samodzielna spółka jednoosobowa lub jako spółka zależna spółki dominującej;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podkreśla, że aby móc zarejestrować spółkę jako ESSU, jej siedziba musi znajdować się w jednym z 27 państw członkowskich; podkreśla, że siedziba i siedziba statutowa mogą znajdować się w różnych państwach członkowskich;</w:t>
            </w:r>
          </w:p>
        </w:tc>
        <w:tc>
          <w:tcPr>
            <w:tcW w:w="4876" w:type="dxa"/>
            <w:tcBorders>
              <w:top w:val="nil"/>
              <w:left w:val="nil"/>
              <w:bottom w:val="nil"/>
              <w:right w:val="nil"/>
            </w:tcBorders>
          </w:tcPr>
          <w:p>
            <w:pPr>
              <w:pStyle w:val="Normal6a"/>
            </w:pPr>
            <w:r>
              <w:t>16.</w:t>
            </w:r>
            <w:r>
              <w:tab/>
            </w:r>
            <w:r>
              <w:t xml:space="preserve">podkreśla, że aby móc zarejestrować spółkę jako ESSU, jej siedziba musi znajdować się w jednym z 27 państw członkowskich; podkreśla, że siedziba i siedziba statutowa mogą znajdować się w różnych państwach członkowskich; </w:t>
            </w:r>
            <w:r>
              <w:rPr>
                <w:b/>
                <w:i/>
              </w:rPr>
              <w:t>podkreśla ponadto, że ESSU powinna mieć możliwość przeniesienia siedziby statutowej do innego państwa członkowskiego w Unii bez konieczności rozwiązania lub ponownego założenia, zgodnie ze zharmonizowanymi procedurami zapewniającymi ciągłość osobowości prawnej;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podkreśla, że aby móc zarejestrować spółkę jako ESSU, jej siedziba musi znajdować się w jednym z 27 państw członkowskich; podkreśla, że siedziba i siedziba statutowa mogą znajdować się w różnych państwach członkowskich;</w:t>
            </w:r>
          </w:p>
        </w:tc>
        <w:tc>
          <w:tcPr>
            <w:tcW w:w="4876" w:type="dxa"/>
            <w:tcBorders>
              <w:top w:val="nil"/>
              <w:left w:val="nil"/>
              <w:bottom w:val="nil"/>
              <w:right w:val="nil"/>
            </w:tcBorders>
          </w:tcPr>
          <w:p>
            <w:pPr>
              <w:pStyle w:val="Normal6a"/>
            </w:pPr>
            <w:r>
              <w:t>16.</w:t>
            </w:r>
            <w:r>
              <w:tab/>
            </w:r>
            <w:r>
              <w:t>podkreśla, że aby móc zarejestrować spółkę jako ESSU, jej siedziba musi znajdować się w jednym z 27 państw członkowskich; podkreśla, że siedziba i siedziba statutowa mogą znajdować się w różnych państwach członkowskich</w:t>
            </w:r>
            <w:r>
              <w:rPr>
                <w:b/>
                <w:i/>
              </w:rPr>
              <w:t>, pod warunkiem że przedsiębiorstwo utrzymuje rzeczywisty związek z jurysdykcją prawną i podatkową swojej siedziby oraz o ile połączenie nie jest konieczne dla ochrony nadrzędnych interesów publicznych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podkreśla, że aby móc zarejestrować spółkę jako </w:t>
            </w:r>
            <w:r>
              <w:rPr>
                <w:b/>
                <w:i/>
              </w:rPr>
              <w:t>ESSU</w:t>
            </w:r>
            <w:r>
              <w:t>, jej siedziba musi znajdować się w jednym z 27 państw członkowskich; podkreśla, że siedziba i siedziba statutowa mogą znajdować się w różnych państwach członkowskich;</w:t>
            </w:r>
          </w:p>
        </w:tc>
        <w:tc>
          <w:tcPr>
            <w:tcW w:w="4876" w:type="dxa"/>
            <w:tcBorders>
              <w:top w:val="nil"/>
              <w:left w:val="nil"/>
              <w:bottom w:val="nil"/>
              <w:right w:val="nil"/>
            </w:tcBorders>
          </w:tcPr>
          <w:p>
            <w:pPr>
              <w:pStyle w:val="Normal6a"/>
            </w:pPr>
            <w:r>
              <w:t>16.</w:t>
            </w:r>
            <w:r>
              <w:tab/>
            </w:r>
            <w:r>
              <w:t xml:space="preserve">podkreśla, że aby móc zarejestrować spółkę jako </w:t>
            </w:r>
            <w:r>
              <w:rPr>
                <w:b/>
                <w:i/>
              </w:rPr>
              <w:t>SES</w:t>
            </w:r>
            <w:r>
              <w:t>, jej siedziba musi znajdować się w jednym z 27 państw członkowskich; podkreśla, że siedziba i siedziba statutowa mogą znajdować się w różnych państwach członkowskich</w:t>
            </w:r>
            <w:r>
              <w:rPr>
                <w:b/>
                <w:i/>
              </w:rPr>
              <w:t>, pod warunkiem że przedsiębiorstwo utrzymuje rzeczywisty i możliwy do zweryfikowania związek z jurysdykcją prawną i podatkową swojej siedziby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podkreśla, że aby móc zarejestrować spółkę jako ESSU, jej siedziba musi znajdować się w jednym z 27 państw członkowskich; podkreśla, że siedziba i siedziba statutowa mogą znajdować się w różnych państwach członkowskich;</w:t>
            </w:r>
          </w:p>
        </w:tc>
        <w:tc>
          <w:tcPr>
            <w:tcW w:w="4876" w:type="dxa"/>
            <w:tcBorders>
              <w:top w:val="nil"/>
              <w:left w:val="nil"/>
              <w:bottom w:val="nil"/>
              <w:right w:val="nil"/>
            </w:tcBorders>
          </w:tcPr>
          <w:p>
            <w:pPr>
              <w:pStyle w:val="Normal6a"/>
            </w:pPr>
            <w:r>
              <w:t>16.</w:t>
            </w:r>
            <w:r>
              <w:tab/>
            </w:r>
            <w:r>
              <w:t>podkreśla, że aby móc zarejestrować spółkę jako ESSU, jej siedziba musi znajdować się w jednym z 27 państw członkowskich; podkreśla, że siedziba i siedziba statutowa mogą znajdować się w różnych państwach członkowskich</w:t>
            </w:r>
            <w:r>
              <w:rPr>
                <w:b/>
                <w:i/>
              </w:rPr>
              <w:t>, pod warunkiem że przedsiębiorstwo zachowa rzeczywisty związek z jurysdykcją państwa, którym mieści się jego siedziba statutowa</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podkreśla, że aby móc zarejestrować spółkę jako ESSU, jej siedziba musi znajdować się w jednym z 27 państw członkowskich; </w:t>
            </w:r>
            <w:r>
              <w:rPr>
                <w:b/>
                <w:i/>
              </w:rPr>
              <w:t>podkreśla, że siedziba i siedziba statutowa mogą znajdować się w różnych państwach członkowskich;</w:t>
            </w:r>
          </w:p>
        </w:tc>
        <w:tc>
          <w:tcPr>
            <w:tcW w:w="4876" w:type="dxa"/>
            <w:tcBorders>
              <w:top w:val="nil"/>
              <w:left w:val="nil"/>
              <w:bottom w:val="nil"/>
              <w:right w:val="nil"/>
            </w:tcBorders>
          </w:tcPr>
          <w:p>
            <w:pPr>
              <w:pStyle w:val="Normal6a"/>
            </w:pPr>
            <w:r>
              <w:t>16.</w:t>
            </w:r>
            <w:r>
              <w:tab/>
            </w:r>
            <w:r>
              <w:t>podkreśla, że aby móc zarejestrować spółkę jako ESSU, jej siedziba musi znajdować się w jednym z 27 państw członkowskich;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podkreśla, że </w:t>
            </w:r>
            <w:r>
              <w:rPr>
                <w:b/>
                <w:i/>
              </w:rPr>
              <w:t>aby móc zarejestrować spółkę jako ESSU, jej</w:t>
            </w:r>
            <w:r>
              <w:t xml:space="preserve"> siedziba musi znajdować się w jednym z 27 państw członkowskich; podkreśla, że siedziba i siedziba statutowa mogą znajdować się w różnych państwach członkowskich;</w:t>
            </w:r>
          </w:p>
        </w:tc>
        <w:tc>
          <w:tcPr>
            <w:tcW w:w="4876" w:type="dxa"/>
            <w:tcBorders>
              <w:top w:val="nil"/>
              <w:left w:val="nil"/>
              <w:bottom w:val="nil"/>
              <w:right w:val="nil"/>
            </w:tcBorders>
          </w:tcPr>
          <w:p>
            <w:pPr>
              <w:pStyle w:val="Normal6a"/>
            </w:pPr>
            <w:r>
              <w:t>16.</w:t>
            </w:r>
            <w:r>
              <w:tab/>
            </w:r>
            <w:r>
              <w:t xml:space="preserve">podkreśla, że siedziba </w:t>
            </w:r>
            <w:r>
              <w:rPr>
                <w:b/>
                <w:i/>
              </w:rPr>
              <w:t>ESSU</w:t>
            </w:r>
            <w:r>
              <w:t xml:space="preserve"> musi znajdować się w jednym z 27 państw członkowskich; podkreśla, że siedziba i siedziba statutowa mogą znajdować się w różnych państwach członkowskich;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w:t>
            </w:r>
            <w:r>
              <w:tab/>
            </w:r>
            <w:r>
              <w:rPr>
                <w:b/>
                <w:i/>
              </w:rPr>
              <w:t>podkreśla, że wzrost wydajności, innowacje i włączenie społeczne muszą współgrać;</w:t>
            </w:r>
            <w:r>
              <w:t xml:space="preserve"> </w:t>
            </w:r>
            <w:r>
              <w:rPr>
                <w:b/>
                <w:i/>
              </w:rPr>
              <w:t>uważa, że należy rozważyć utworzenie programów akcjonariatu pracowniczego dla pracowników ESSU, aby mogli oni uzyskać udziały własnościowe w spółce;</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w:t>
            </w:r>
            <w:r>
              <w:tab/>
            </w:r>
            <w:r>
              <w:rPr>
                <w:b/>
                <w:i/>
              </w:rPr>
              <w:t>podkreśla, że wzrost wydajności, innowacje i włączenie społeczne muszą współgrać;</w:t>
            </w:r>
            <w:r>
              <w:t xml:space="preserve"> </w:t>
            </w:r>
            <w:r>
              <w:rPr>
                <w:b/>
                <w:i/>
              </w:rPr>
              <w:t>uważa, że należy rozważyć utworzenie programów akcjonariatu pracowniczego dla pracowników ESSU, aby mogli oni uzyskać udziały własnościowe w spółce;</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podkreśla, że wzrost wydajności, innowacje i włączenie społeczne muszą współgrać; </w:t>
            </w:r>
            <w:r>
              <w:rPr>
                <w:b/>
                <w:i/>
              </w:rPr>
              <w:t>uważa, że</w:t>
            </w:r>
            <w:r>
              <w:t xml:space="preserve"> należy </w:t>
            </w:r>
            <w:r>
              <w:rPr>
                <w:b/>
                <w:i/>
              </w:rPr>
              <w:t>rozważyć utworzenie programów akcjonariatu pracowniczego</w:t>
            </w:r>
            <w:r>
              <w:t xml:space="preserve"> dla pracowników </w:t>
            </w:r>
            <w:r>
              <w:rPr>
                <w:b/>
                <w:i/>
              </w:rPr>
              <w:t>ESSU, aby</w:t>
            </w:r>
            <w:r>
              <w:t xml:space="preserve"> mogli </w:t>
            </w:r>
            <w:r>
              <w:rPr>
                <w:b/>
                <w:i/>
              </w:rPr>
              <w:t>oni</w:t>
            </w:r>
            <w:r>
              <w:t xml:space="preserve"> uzyskać udziały własnościowe w </w:t>
            </w:r>
            <w:r>
              <w:rPr>
                <w:b/>
                <w:i/>
              </w:rPr>
              <w:t>spółce</w:t>
            </w:r>
            <w:r>
              <w:t>;</w:t>
            </w:r>
          </w:p>
        </w:tc>
        <w:tc>
          <w:tcPr>
            <w:tcW w:w="4876" w:type="dxa"/>
            <w:tcBorders>
              <w:top w:val="nil"/>
              <w:left w:val="nil"/>
              <w:bottom w:val="nil"/>
              <w:right w:val="nil"/>
            </w:tcBorders>
          </w:tcPr>
          <w:p>
            <w:pPr>
              <w:pStyle w:val="Normal6a"/>
            </w:pPr>
            <w:r>
              <w:t>17.</w:t>
            </w:r>
            <w:r>
              <w:tab/>
            </w:r>
            <w:r>
              <w:t xml:space="preserve">podkreśla, że wzrost wydajności, innowacje i włączenie społeczne muszą współgrać; </w:t>
            </w:r>
            <w:r>
              <w:rPr>
                <w:b/>
                <w:i/>
              </w:rPr>
              <w:t>podkreśla, że SES</w:t>
            </w:r>
            <w:r>
              <w:t xml:space="preserve"> należy </w:t>
            </w:r>
            <w:r>
              <w:rPr>
                <w:b/>
                <w:i/>
              </w:rPr>
              <w:t>przyznać prawo do tworzenia planu opcji na akcje</w:t>
            </w:r>
            <w:r>
              <w:t xml:space="preserve"> dla pracowników</w:t>
            </w:r>
            <w:r>
              <w:rPr>
                <w:b/>
                <w:i/>
              </w:rPr>
              <w:t>, tak aby pracodawca mógł przyciągnąć zdolniejszych pracowników, a pracownicy</w:t>
            </w:r>
            <w:r>
              <w:t xml:space="preserve"> mogli uzyskać udziały własnościowe w </w:t>
            </w:r>
            <w:r>
              <w:rPr>
                <w:b/>
                <w:i/>
              </w:rPr>
              <w:t>przedsiębiorstwie</w:t>
            </w:r>
            <w:r>
              <w:t xml:space="preserve">; </w:t>
            </w:r>
            <w:r>
              <w:rPr>
                <w:b/>
                <w:i/>
              </w:rPr>
              <w:t>podkreśla, że system ten nie powinien być harmonizacją polityki fiskalnej, lecz raczej harmonizacją możliwości korzystania przez pracowników z progresywnego planu opcji na akcje, nie naruszając stawki podatkowej, której podlegają potencjalne świadczenia;</w:t>
            </w:r>
            <w:r>
              <w:t xml:space="preserve"> </w:t>
            </w:r>
            <w:r>
              <w:rPr>
                <w:b/>
                <w:i/>
              </w:rPr>
              <w:t>zaleca, aby opcje na akcje były uznawane za zyski kapitałowe;</w:t>
            </w:r>
            <w:r>
              <w:t xml:space="preserve"> </w:t>
            </w:r>
            <w:r>
              <w:rPr>
                <w:b/>
                <w:i/>
              </w:rPr>
              <w:t>zwraca się do Komisji o podjęcie prac nad ustanowieniem bezpiecznej przystani wyceny na szczeblu Unii;</w:t>
            </w:r>
            <w:r>
              <w:t xml:space="preserve"> </w:t>
            </w:r>
            <w:r>
              <w:rPr>
                <w:b/>
                <w:i/>
              </w:rPr>
              <w:t>podkreśla, że takiego instrumentu domagają się w pierwszej kolejności przedsiębiorcy, którzy mają trudności z przyznaniem takich samych korzyści swoim pracownikom na całym jednolitym rynku;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podkreśla, że wzrost wydajności, innowacje i włączenie społeczne muszą współgrać</w:t>
            </w:r>
            <w:r>
              <w:rPr>
                <w:b/>
                <w:i/>
              </w:rPr>
              <w:t>;</w:t>
            </w:r>
            <w:r>
              <w:t xml:space="preserve"> </w:t>
            </w:r>
            <w:r>
              <w:rPr>
                <w:b/>
                <w:i/>
              </w:rPr>
              <w:t>uważa, że należy rozważyć utworzenie</w:t>
            </w:r>
            <w:r>
              <w:t xml:space="preserve"> programów akcjonariatu pracowniczego dla pracowników ESSU, aby mogli oni uzyskać udziały własnościowe w spółce;</w:t>
            </w:r>
          </w:p>
        </w:tc>
        <w:tc>
          <w:tcPr>
            <w:tcW w:w="4876" w:type="dxa"/>
            <w:tcBorders>
              <w:top w:val="nil"/>
              <w:left w:val="nil"/>
              <w:bottom w:val="nil"/>
              <w:right w:val="nil"/>
            </w:tcBorders>
          </w:tcPr>
          <w:p>
            <w:pPr>
              <w:pStyle w:val="Normal6a"/>
            </w:pPr>
            <w:r>
              <w:t>17.</w:t>
            </w:r>
            <w:r>
              <w:tab/>
            </w:r>
            <w:r>
              <w:t>podkreśla, że wzrost wydajności, innowacje i włączenie społeczne muszą współgrać</w:t>
            </w:r>
            <w:r>
              <w:rPr>
                <w:b/>
                <w:i/>
              </w:rPr>
              <w:t>, i wzywa do stworzenia dodatkowych środków wspierających sektor innowacji;</w:t>
            </w:r>
            <w:r>
              <w:t xml:space="preserve"> </w:t>
            </w:r>
            <w:r>
              <w:rPr>
                <w:b/>
                <w:i/>
              </w:rPr>
              <w:t>w tym celu wzywa Komisję do jak najszybszego przedstawienia wniosku w sprawie wspólnego europejskiego systemu ułatwionego zarządzania podatkowego dla ESSU oraz</w:t>
            </w:r>
            <w:r>
              <w:t xml:space="preserve"> programów akcjonariatu pracowniczego dla pracowników ESSU, aby mogli oni uzyskać udziały własnościowe w spółce; </w:t>
            </w:r>
            <w:r>
              <w:rPr>
                <w:b/>
                <w:i/>
              </w:rPr>
              <w:t>w tym kontekście opcje na akcje i wpływy z form udziału pracowników w spółce powinny być uznawane za zyski kapitałowe i jako takie chronione na szczeblu UE;</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podkreśla, że wzrost wydajności, innowacje i włączenie społeczne muszą współgrać; uważa, że należy rozważyć utworzenie programów akcjonariatu pracowniczego dla pracowników ESSU, aby mogli oni uzyskać udziały własnościowe w spółce;</w:t>
            </w:r>
          </w:p>
        </w:tc>
        <w:tc>
          <w:tcPr>
            <w:tcW w:w="4876" w:type="dxa"/>
            <w:tcBorders>
              <w:top w:val="nil"/>
              <w:left w:val="nil"/>
              <w:bottom w:val="nil"/>
              <w:right w:val="nil"/>
            </w:tcBorders>
          </w:tcPr>
          <w:p>
            <w:pPr>
              <w:pStyle w:val="Normal6a"/>
            </w:pPr>
            <w:r>
              <w:t>17.</w:t>
            </w:r>
            <w:r>
              <w:tab/>
            </w:r>
            <w:r>
              <w:t xml:space="preserve">podkreśla, że wzrost wydajności, innowacje i włączenie społeczne muszą współgrać; uważa, że należy rozważyć utworzenie programów akcjonariatu pracowniczego dla pracowników ESSU, </w:t>
            </w:r>
            <w:r>
              <w:rPr>
                <w:b/>
                <w:i/>
              </w:rPr>
              <w:t>tak</w:t>
            </w:r>
            <w:r>
              <w:t xml:space="preserve"> aby mogli oni uzyskać udziały własnościowe w spółce</w:t>
            </w:r>
            <w:r>
              <w:rPr>
                <w:b/>
                <w:i/>
              </w:rPr>
              <w:t>, zapewniając jednocześnie, aby przyczyniało się to do bardziej demokratycznego środowiska pracy, było niedyskryminacyjne, nie zastępowało rokowań zbiorowych w odniesieniu do wynagrodzeń i miało niski próg dostępu pracowników do takiego planu własności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17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podkreśla, że ramy ESSU powinny ułatwiać partnerstwa z uniwersytetami, instytutami badawczymi i biurami transferu technologii, aby przyspieszyć proces wprowadzania nowo opracowanych rozwiązań na rynek, zapewnić dostęp do infrastruktury badawczej i wiedzy fachowej oraz wspierać komercjalizację wyników badań;</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17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wzywa ponadto do propagowania modeli biznesowych opartych na współpracy w 28. systemie prawnym jako cennej opcji bardziej demokratycznego udziału własnościowego w przedsiębiorstwie;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17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17b.</w:t>
            </w:r>
            <w:r>
              <w:tab/>
            </w:r>
            <w:r>
              <w:rPr>
                <w:b/>
                <w:i/>
              </w:rPr>
              <w:t>wzywa do przyznania we wniosku ustawodawczym dodatkowych świadczeń przedsiębiorstwom społecznym i przedsiębiorstwom założonym przez młodych lub przez przedsiębiorców, którzy dopiero rozpoczynają działalność, i rejestrują się jako ESSU, takich jak priorytetowy dostęp do odpowiednich unijnych i krajowych instrumentów finansowania, dostosowane do potrzeb programy mentorskie i szkoleniowe, fakultatywne gwarancje misji społecznej;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17 c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17c.</w:t>
            </w:r>
            <w:r>
              <w:tab/>
            </w:r>
            <w:r>
              <w:rPr>
                <w:b/>
                <w:i/>
              </w:rPr>
              <w:t>apeluje, aby platforma cyfrowa ESSU zawierała narzędzia służące zapewnieniu zgodności oparte na sztucznej inteligencji, zapewniających przedsiębiorstwom ostrzeżenia w czasie rzeczywistym o odpowiednich unijnych i krajowych zmianach regulacyjnych, zautomatyzowanej pomocy w zakresie obowiązków sprawozdawczych oraz wytycznych mających na celu zmniejszenie obciążeń administracyjnych i zwiększenie pewności prawa;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17 d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17d.</w:t>
            </w:r>
            <w:r>
              <w:tab/>
            </w:r>
            <w:r>
              <w:rPr>
                <w:b/>
                <w:i/>
              </w:rPr>
              <w:t>zaleca ustanowienie piaskownicy regulacyjnej na szczeblu Unii w ramach ESSU, aby umożliwić przedsiębiorstwom pilotowanie innowacyjnych produktów, usług lub modeli biznesowych w kontrolowanym środowisku, z tymczasową elastycznością regulacyjną, proporcjonalnymi zabezpieczeniami i zaangażowaniem właściwych organów;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Śródtytuł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Zabezpieczenia</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Śródtytuł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Zabezpieczenia</w:t>
            </w:r>
          </w:p>
        </w:tc>
        <w:tc>
          <w:tcPr>
            <w:tcW w:w="4876" w:type="dxa"/>
            <w:tcBorders>
              <w:top w:val="nil"/>
              <w:left w:val="nil"/>
              <w:bottom w:val="nil"/>
              <w:right w:val="nil"/>
            </w:tcBorders>
          </w:tcPr>
          <w:p>
            <w:pPr>
              <w:pStyle w:val="Normal6a"/>
            </w:pPr>
            <w:r>
              <w:rPr>
                <w:b/>
                <w:i/>
              </w:rPr>
              <w:t>Opcjonalne formy własności zarządczej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18.</w:t>
            </w:r>
            <w:r>
              <w:tab/>
            </w:r>
            <w:r>
              <w:rPr>
                <w:b/>
                <w:i/>
              </w:rPr>
              <w:t>podkreśla potrzebę ochrony europejskich innowacyjnych przedsiębiorstw przed „zabójczymi przejęciami” oraz zapobiegania przenoszeniu innowacji, często wspieranych z europejskich publicznych funduszy badawczych, poza Unię; uważa, że rozporządzenie w sprawie kontroli łączenia przedsiębiorstw jest niewystarczające, aby rozwiązać problem „zabójczych przejęć”;</w:t>
            </w:r>
            <w:r>
              <w:t xml:space="preserve"> </w:t>
            </w:r>
            <w:r>
              <w:rPr>
                <w:b/>
                <w:i/>
              </w:rPr>
              <w:t>apeluje o włączenie do wniosku ustawodawczego opcjonalnych form własności zarządczej, blokad aktywów i różnych rodzajów akcji, zwłaszcza akcji dwuklasowych, w tym akcji weto;</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18.</w:t>
            </w:r>
            <w:r>
              <w:tab/>
            </w:r>
            <w:r>
              <w:rPr>
                <w:b/>
                <w:i/>
              </w:rPr>
              <w:t>podkreśla potrzebę ochrony europejskich innowacyjnych przedsiębiorstw przed „zabójczymi przejęciami” oraz zapobiegania przenoszeniu innowacji, często wspieranych z europejskich publicznych funduszy badawczych, poza Unię; uważa, że rozporządzenie w sprawie kontroli łączenia przedsiębiorstw jest niewystarczające, aby rozwiązać problem „zabójczych przejęć”;</w:t>
            </w:r>
            <w:r>
              <w:t xml:space="preserve"> </w:t>
            </w:r>
            <w:r>
              <w:rPr>
                <w:b/>
                <w:i/>
              </w:rPr>
              <w:t>apeluje o włączenie do wniosku ustawodawczego opcjonalnych form własności zarządczej, blokad aktywów i różnych rodzajów akcji, zwłaszcza akcji dwuklasowych, w tym akcji weto;</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18.</w:t>
            </w:r>
            <w:r>
              <w:tab/>
            </w:r>
            <w:r>
              <w:rPr>
                <w:b/>
                <w:i/>
              </w:rPr>
              <w:t>podkreśla potrzebę ochrony europejskich innowacyjnych przedsiębiorstw przed „zabójczymi przejęciami” oraz zapobiegania przenoszeniu innowacji, często wspieranych z europejskich publicznych funduszy badawczych, poza Unię; uważa, że rozporządzenie w sprawie kontroli łączenia przedsiębiorstw jest niewystarczające, aby rozwiązać problem „zabójczych przejęć”;</w:t>
            </w:r>
            <w:r>
              <w:t xml:space="preserve"> </w:t>
            </w:r>
            <w:r>
              <w:rPr>
                <w:b/>
                <w:i/>
              </w:rPr>
              <w:t>apeluje o włączenie do wniosku ustawodawczego opcjonalnych form własności zarządczej, blokad aktywów i różnych rodzajów akcji, zwłaszcza akcji dwuklasowych, w tym akcji weto;</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rPr>
                <w:b/>
                <w:i/>
              </w:rPr>
              <w:t>podkreśla potrzebę ochrony europejskich innowacyjnych przedsiębiorstw przed „zabójczymi przejęciami” oraz zapobiegania przenoszeniu innowacji, często wspieranych z europejskich publicznych funduszy badawczych, poza Unię; uważa, że rozporządzenie w sprawie kontroli łączenia przedsiębiorstw jest niewystarczające, aby rozwiązać problem „zabójczych przejęć”;</w:t>
            </w:r>
            <w:r>
              <w:t xml:space="preserve"> apeluje o </w:t>
            </w:r>
            <w:r>
              <w:rPr>
                <w:b/>
                <w:i/>
              </w:rPr>
              <w:t>włączenie do</w:t>
            </w:r>
            <w:r>
              <w:t xml:space="preserve"> wniosku </w:t>
            </w:r>
            <w:r>
              <w:rPr>
                <w:b/>
                <w:i/>
              </w:rPr>
              <w:t>ustawodawczego</w:t>
            </w:r>
            <w:r>
              <w:t xml:space="preserve"> opcjonalnych form własności zarządczej, blokad aktywów i różnych rodzajów akcji, zwłaszcza akcji dwuklasowych, w tym akcji weto;</w:t>
            </w:r>
          </w:p>
        </w:tc>
        <w:tc>
          <w:tcPr>
            <w:tcW w:w="4876" w:type="dxa"/>
            <w:tcBorders>
              <w:top w:val="nil"/>
              <w:left w:val="nil"/>
              <w:bottom w:val="nil"/>
              <w:right w:val="nil"/>
            </w:tcBorders>
          </w:tcPr>
          <w:p>
            <w:pPr>
              <w:pStyle w:val="Normal6a"/>
            </w:pPr>
            <w:r>
              <w:t>18.</w:t>
            </w:r>
            <w:r>
              <w:tab/>
            </w:r>
            <w:r>
              <w:t xml:space="preserve">apeluje o </w:t>
            </w:r>
            <w:r>
              <w:rPr>
                <w:b/>
                <w:i/>
              </w:rPr>
              <w:t>uwzględnienie we</w:t>
            </w:r>
            <w:r>
              <w:t xml:space="preserve"> wniosku </w:t>
            </w:r>
            <w:r>
              <w:rPr>
                <w:b/>
                <w:i/>
              </w:rPr>
              <w:t>ustawodawczym</w:t>
            </w:r>
            <w:r>
              <w:t xml:space="preserve"> opcjonalnych form własności zarządczej, blokad aktywów i różnych rodzajów akcji, zwłaszcza akcji dwuklasowych, w tym akcji weto</w:t>
            </w:r>
            <w:r>
              <w:rPr>
                <w:b/>
                <w:i/>
              </w:rPr>
              <w:t>, aby chronić zainteresowane europejskie przedsiębiorstwa przed „zabójczymi przejęciami” i relokacją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podkreśla potrzebę ochrony europejskich </w:t>
            </w:r>
            <w:r>
              <w:rPr>
                <w:b/>
                <w:i/>
              </w:rPr>
              <w:t>innowacyjnych</w:t>
            </w:r>
            <w:r>
              <w:t xml:space="preserve"> przedsiębiorstw przed „zabójczymi przejęciami” oraz zapobiegania przenoszeniu innowacji, często wspieranych z europejskich publicznych funduszy badawczych, poza Unię; uważa, że rozporządzenie w sprawie kontroli łączenia przedsiębiorstw jest niewystarczające, aby rozwiązać problem „zabójczych przejęć”; apeluje o </w:t>
            </w:r>
            <w:r>
              <w:rPr>
                <w:b/>
                <w:i/>
              </w:rPr>
              <w:t>włączenie do</w:t>
            </w:r>
            <w:r>
              <w:t xml:space="preserve"> wniosku </w:t>
            </w:r>
            <w:r>
              <w:rPr>
                <w:b/>
                <w:i/>
              </w:rPr>
              <w:t>ustawodawczego</w:t>
            </w:r>
            <w:r>
              <w:t xml:space="preserve"> opcjonalnych form własności zarządczej, blokad aktywów i różnych rodzajów akcji, zwłaszcza akcji dwuklasowych, w tym akcji weto;</w:t>
            </w:r>
          </w:p>
        </w:tc>
        <w:tc>
          <w:tcPr>
            <w:tcW w:w="4876" w:type="dxa"/>
            <w:tcBorders>
              <w:top w:val="nil"/>
              <w:left w:val="nil"/>
              <w:bottom w:val="nil"/>
              <w:right w:val="nil"/>
            </w:tcBorders>
          </w:tcPr>
          <w:p>
            <w:pPr>
              <w:pStyle w:val="Normal6a"/>
            </w:pPr>
            <w:r>
              <w:t>18.</w:t>
            </w:r>
            <w:r>
              <w:tab/>
            </w:r>
            <w:r>
              <w:t xml:space="preserve">podkreśla potrzebę ochrony europejskich </w:t>
            </w:r>
            <w:r>
              <w:rPr>
                <w:b/>
                <w:i/>
              </w:rPr>
              <w:t>przedsiębiorstw, w szczególności MŚP i</w:t>
            </w:r>
            <w:r>
              <w:t xml:space="preserve"> przedsiębiorstw </w:t>
            </w:r>
            <w:r>
              <w:rPr>
                <w:b/>
                <w:i/>
              </w:rPr>
              <w:t>typu start-up,</w:t>
            </w:r>
            <w:r>
              <w:t xml:space="preserve"> przed „zabójczymi przejęciami” oraz </w:t>
            </w:r>
            <w:r>
              <w:rPr>
                <w:b/>
                <w:i/>
              </w:rPr>
              <w:t>potrzebę</w:t>
            </w:r>
            <w:r>
              <w:t xml:space="preserve"> zapobiegania przenoszeniu innowacji, często wspieranych z europejskich publicznych funduszy badawczych, poza Unię; uważa, że rozporządzenie w sprawie kontroli łączenia przedsiębiorstw jest niewystarczające, aby rozwiązać problem „zabójczych przejęć”; apeluje o </w:t>
            </w:r>
            <w:r>
              <w:rPr>
                <w:b/>
                <w:i/>
              </w:rPr>
              <w:t>uwzględnienie we</w:t>
            </w:r>
            <w:r>
              <w:t xml:space="preserve"> wniosku </w:t>
            </w:r>
            <w:r>
              <w:rPr>
                <w:b/>
                <w:i/>
              </w:rPr>
              <w:t>ustawodawczym</w:t>
            </w:r>
            <w:r>
              <w:t xml:space="preserve"> opcjonalnych form własności zarządczej, blokad aktywów</w:t>
            </w:r>
            <w:r>
              <w:rPr>
                <w:b/>
                <w:i/>
              </w:rPr>
              <w:t>, przenoszenia własności przedsiębiorstw na pracowników w formie spółdzielni (wykupy pracownicze)</w:t>
            </w:r>
            <w:r>
              <w:t xml:space="preserve"> i różnych rodzajów akcji, zwłaszcza akcji </w:t>
            </w:r>
            <w:r>
              <w:rPr>
                <w:b/>
                <w:i/>
              </w:rPr>
              <w:t>lojalnościowych i akcji</w:t>
            </w:r>
            <w:r>
              <w:t xml:space="preserve"> dwuklasowych, w tym akcji weto;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18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zwraca się do Komisji o rozważenie, w ramach inicjatyw uzupełniających 28. system prawny, dodatkowych przepisów dotyczących łączenia się ESSU z przedsiębiorstwami z państw trzecich;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19.</w:t>
            </w:r>
            <w:r>
              <w:tab/>
            </w:r>
            <w:r>
              <w:rPr>
                <w:b/>
                <w:i/>
              </w:rPr>
              <w:t>jest zaniepokojony ryzykiem podważenia istniejących standardów ochrony słabszej strony w krajowych porządkach prawnych państw członkowskich;</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19.</w:t>
            </w:r>
            <w:r>
              <w:tab/>
            </w:r>
            <w:r>
              <w:rPr>
                <w:b/>
                <w:i/>
              </w:rPr>
              <w:t>jest zaniepokojony ryzykiem podważenia istniejących standardów ochrony słabszej strony w krajowych porządkach prawnych państw członkowskich;</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Arash Saeidi</w:t>
      </w:r>
      <w:r>
        <w:rPr>
          <w:rStyle w:val="HideTWBExt"/>
          <w:b w:val="0"/>
        </w:rPr>
        <w:t>&lt;/Members&gt;</w:t>
      </w:r>
    </w:p>
    <w:p>
      <w:r>
        <w:rPr>
          <w:rStyle w:val="HideTWBExt"/>
          <w:b w:val="0"/>
        </w:rPr>
        <w:t>&lt;AuNomDe&gt;</w:t>
      </w:r>
      <w:r>
        <w:rPr>
          <w:rStyle w:val="HideTWBInt"/>
        </w:rPr>
        <w:t>{The Left}</w:t>
      </w:r>
      <w:r>
        <w:t>w imieniu grupy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jest zaniepokojony ryzykiem podważenia istniejących standardów ochrony słabszej strony w krajowych porządkach prawnych państw członkowskich;</w:t>
            </w:r>
          </w:p>
        </w:tc>
        <w:tc>
          <w:tcPr>
            <w:tcW w:w="4876" w:type="dxa"/>
            <w:tcBorders>
              <w:top w:val="nil"/>
              <w:left w:val="nil"/>
              <w:bottom w:val="nil"/>
              <w:right w:val="nil"/>
            </w:tcBorders>
          </w:tcPr>
          <w:p>
            <w:pPr>
              <w:pStyle w:val="Normal6a"/>
            </w:pPr>
            <w:r>
              <w:t>19.</w:t>
            </w:r>
            <w:r>
              <w:tab/>
            </w:r>
            <w:r>
              <w:t xml:space="preserve">jest zaniepokojony ryzykiem podważenia istniejących standardów ochrony słabszej strony w krajowych porządkach prawnych państw członkowskich; </w:t>
            </w:r>
            <w:r>
              <w:rPr>
                <w:b/>
                <w:i/>
              </w:rPr>
              <w:t>podkreśla, że należy zdecydowanie zapobiegać wszelkiemu pogorszeniu poziomu ochrony oraz zadbać o to, by standardy ochrony nie mogły być obchodzone, osłabiane ani wykorzystywane do celów konkurencji;</w:t>
            </w:r>
            <w:r>
              <w:t xml:space="preserve"> </w:t>
            </w:r>
            <w:r>
              <w:rPr>
                <w:b/>
                <w:i/>
              </w:rPr>
              <w:t>nalega na ustanowienie skutecznych mechanizmów kontroli i odstraszających sankcji w celu zapewnienia ścisłego przestrzegania tych standardów;</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jest zaniepokojony ryzykiem podważenia istniejących standardów ochrony słabszej strony w krajowych porządkach prawnych państw członkowskich;</w:t>
            </w:r>
          </w:p>
        </w:tc>
        <w:tc>
          <w:tcPr>
            <w:tcW w:w="4876" w:type="dxa"/>
            <w:tcBorders>
              <w:top w:val="nil"/>
              <w:left w:val="nil"/>
              <w:bottom w:val="nil"/>
              <w:right w:val="nil"/>
            </w:tcBorders>
          </w:tcPr>
          <w:p>
            <w:pPr>
              <w:pStyle w:val="Normal6a"/>
            </w:pPr>
            <w:r>
              <w:t>19.</w:t>
            </w:r>
            <w:r>
              <w:tab/>
            </w:r>
            <w:r>
              <w:t xml:space="preserve">jest zaniepokojony ryzykiem podważenia istniejących standardów </w:t>
            </w:r>
            <w:r>
              <w:rPr>
                <w:b/>
                <w:i/>
              </w:rPr>
              <w:t>ochrony na szczeblu krajowym lub europejskim, zwiększenia pewności prawa oraz ochrony interesu publicznego, np. zapobiegania praniu pieniędzy, przestrzegania unijnych systemów sankcji oraz</w:t>
            </w:r>
            <w:r>
              <w:t xml:space="preserve"> ochrony słabszej strony w krajowych porządkach prawnych państw członkowskich;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jest zaniepokojony ryzykiem podważenia istniejących standardów ochrony słabszej strony w krajowych porządkach prawnych państw członkowskich;</w:t>
            </w:r>
          </w:p>
        </w:tc>
        <w:tc>
          <w:tcPr>
            <w:tcW w:w="4876" w:type="dxa"/>
            <w:tcBorders>
              <w:top w:val="nil"/>
              <w:left w:val="nil"/>
              <w:bottom w:val="nil"/>
              <w:right w:val="nil"/>
            </w:tcBorders>
          </w:tcPr>
          <w:p>
            <w:pPr>
              <w:pStyle w:val="Normal6a"/>
            </w:pPr>
            <w:r>
              <w:t>19.</w:t>
            </w:r>
            <w:r>
              <w:tab/>
            </w:r>
            <w:r>
              <w:t xml:space="preserve">jest zaniepokojony ryzykiem podważenia istniejących standardów ochrony słabszej strony w krajowych porządkach prawnych państw członkowskich; </w:t>
            </w:r>
            <w:r>
              <w:rPr>
                <w:b/>
                <w:i/>
              </w:rPr>
              <w:t>przypomina, że każda ESSU musi spełniać wymogi określone w krajowym i unijnym prawie pracy;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rPr>
                <w:b/>
                <w:i/>
              </w:rPr>
              <w:t>jest zaniepokojony ryzykiem podważenia</w:t>
            </w:r>
            <w:r>
              <w:t xml:space="preserve"> istniejących standardów ochrony słabszej strony w krajowych porządkach prawnych państw członkowskich;</w:t>
            </w:r>
          </w:p>
        </w:tc>
        <w:tc>
          <w:tcPr>
            <w:tcW w:w="4876" w:type="dxa"/>
            <w:tcBorders>
              <w:top w:val="nil"/>
              <w:left w:val="nil"/>
              <w:bottom w:val="nil"/>
              <w:right w:val="nil"/>
            </w:tcBorders>
          </w:tcPr>
          <w:p>
            <w:pPr>
              <w:pStyle w:val="Normal6a"/>
            </w:pPr>
            <w:r>
              <w:t>19.</w:t>
            </w:r>
            <w:r>
              <w:tab/>
            </w:r>
            <w:r>
              <w:rPr>
                <w:b/>
                <w:i/>
              </w:rPr>
              <w:t>podkreśla, że nie można podważać</w:t>
            </w:r>
            <w:r>
              <w:t xml:space="preserve"> istniejących standardów ochrony słabszej strony w krajowych porządkach prawnych państw członkowskich;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20.</w:t>
            </w:r>
            <w:r>
              <w:tab/>
            </w:r>
            <w:r>
              <w:rPr>
                <w:b/>
                <w:i/>
              </w:rPr>
              <w:t>uważa, że stosowanie norm kolizyjnych jest bardziej odpowiednim sposobem uwzględnienia kwestii ochrony słabszej strony niż stosowanie przepisów materialnych w nowym wniosku ustawodawczym;</w:t>
            </w:r>
            <w:r>
              <w:t xml:space="preserve"> </w:t>
            </w:r>
            <w:r>
              <w:rPr>
                <w:b/>
                <w:i/>
              </w:rPr>
              <w:t>domaga się, aby kwestie dotyczące prawa pracowników do współzarządzania były określane przez prawo rzeczywistej siedziby spółki, która jest miejscem głównego zarządu spółki;</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20.</w:t>
            </w:r>
            <w:r>
              <w:tab/>
            </w:r>
            <w:r>
              <w:rPr>
                <w:b/>
                <w:i/>
              </w:rPr>
              <w:t>uważa, że stosowanie norm kolizyjnych jest bardziej odpowiednim sposobem uwzględnienia kwestii ochrony słabszej strony niż stosowanie przepisów materialnych w nowym wniosku ustawodawczym;</w:t>
            </w:r>
            <w:r>
              <w:t xml:space="preserve"> </w:t>
            </w:r>
            <w:r>
              <w:rPr>
                <w:b/>
                <w:i/>
              </w:rPr>
              <w:t>domaga się, aby kwestie dotyczące prawa pracowników do współzarządzania były określane przez prawo rzeczywistej siedziby spółki, która jest miejscem głównego zarządu spółki;</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uważa, że stosowanie norm kolizyjnych jest bardziej odpowiednim sposobem uwzględnienia kwestii ochrony słabszej strony niż stosowanie przepisów materialnych w nowym wniosku ustawodawczym; domaga się, aby kwestie dotyczące prawa pracowników do współzarządzania były określane </w:t>
            </w:r>
            <w:r>
              <w:rPr>
                <w:b/>
                <w:i/>
              </w:rPr>
              <w:t>przez prawo rzeczywistej siedziby spółki, która jest miejscem głównego zarządu</w:t>
            </w:r>
            <w:r>
              <w:t xml:space="preserve"> spółki;</w:t>
            </w:r>
          </w:p>
        </w:tc>
        <w:tc>
          <w:tcPr>
            <w:tcW w:w="4876" w:type="dxa"/>
            <w:tcBorders>
              <w:top w:val="nil"/>
              <w:left w:val="nil"/>
              <w:bottom w:val="nil"/>
              <w:right w:val="nil"/>
            </w:tcBorders>
          </w:tcPr>
          <w:p>
            <w:pPr>
              <w:pStyle w:val="Normal6a"/>
            </w:pPr>
            <w:r>
              <w:t>20.</w:t>
            </w:r>
            <w:r>
              <w:tab/>
            </w:r>
            <w:r>
              <w:t xml:space="preserve">uważa, że stosowanie norm kolizyjnych jest bardziej odpowiednim sposobem uwzględnienia kwestii ochrony słabszej strony niż stosowanie przepisów materialnych w nowym wniosku ustawodawczym; domaga się, aby kwestie dotyczące prawa pracowników do współzarządzania były określane </w:t>
            </w:r>
            <w:r>
              <w:rPr>
                <w:b/>
                <w:i/>
              </w:rPr>
              <w:t>w prawie krajowym właściwym dla miejsca zatrudnienia pracowników przedsiębiorstwa;</w:t>
            </w:r>
            <w:r>
              <w:t xml:space="preserve"> </w:t>
            </w:r>
            <w:r>
              <w:rPr>
                <w:b/>
                <w:i/>
              </w:rPr>
              <w:t>jeżeli przedsiębiorstwo zatrudnia pracowników w wielu państwach członkowskich, prawem właściwym jest miejsce zatrudnienia największej liczby pracowników;</w:t>
            </w:r>
            <w:r>
              <w:t xml:space="preserve"> </w:t>
            </w:r>
            <w:r>
              <w:rPr>
                <w:b/>
                <w:i/>
              </w:rPr>
              <w:t>jeżeli liczba pracowników</w:t>
            </w:r>
            <w:r>
              <w:t xml:space="preserve"> spółki </w:t>
            </w:r>
            <w:r>
              <w:rPr>
                <w:b/>
                <w:i/>
              </w:rPr>
              <w:t>przekroczy 500 osób w państwie członkowskim innym niż państwo członkowskie, w którym spółka była pierwotnie zarejestrowana, statutowa siedziba spółki zostaje przeniesiona do państwa członkowskiego zatrudnienia tych pracowników</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Arash Saeidi</w:t>
      </w:r>
      <w:r>
        <w:rPr>
          <w:rStyle w:val="HideTWBExt"/>
          <w:b w:val="0"/>
        </w:rPr>
        <w:t>&lt;/Members&gt;</w:t>
      </w:r>
    </w:p>
    <w:p>
      <w:r>
        <w:rPr>
          <w:rStyle w:val="HideTWBExt"/>
          <w:b w:val="0"/>
        </w:rPr>
        <w:t>&lt;AuNomDe&gt;</w:t>
      </w:r>
      <w:r>
        <w:rPr>
          <w:rStyle w:val="HideTWBInt"/>
        </w:rPr>
        <w:t>{The Left}</w:t>
      </w:r>
      <w:r>
        <w:t>w imieniu grupy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uważa, że stosowanie norm kolizyjnych jest bardziej odpowiednim sposobem uwzględnienia kwestii ochrony słabszej strony niż stosowanie przepisów materialnych w nowym wniosku ustawodawczym; domaga się, aby kwestie dotyczące prawa pracowników do współzarządzania były określane przez prawo rzeczywistej siedziby spółki, która jest miejscem głównego zarządu spółki;</w:t>
            </w:r>
          </w:p>
        </w:tc>
        <w:tc>
          <w:tcPr>
            <w:tcW w:w="4876" w:type="dxa"/>
            <w:tcBorders>
              <w:top w:val="nil"/>
              <w:left w:val="nil"/>
              <w:bottom w:val="nil"/>
              <w:right w:val="nil"/>
            </w:tcBorders>
          </w:tcPr>
          <w:p>
            <w:pPr>
              <w:pStyle w:val="Normal6a"/>
            </w:pPr>
            <w:r>
              <w:t>20.</w:t>
            </w:r>
            <w:r>
              <w:tab/>
            </w:r>
            <w:r>
              <w:t xml:space="preserve">uważa, że stosowanie norm kolizyjnych jest bardziej odpowiednim sposobem uwzględnienia kwestii ochrony słabszej strony niż stosowanie przepisów materialnych w nowym wniosku ustawodawczym; </w:t>
            </w:r>
            <w:r>
              <w:rPr>
                <w:b/>
                <w:i/>
              </w:rPr>
              <w:t>podkreśla jednak, że takie normy muszą zapewniać poziom ochrony równoważny z najwyższymi standardami krajowymi;</w:t>
            </w:r>
            <w:r>
              <w:t xml:space="preserve"> domaga się, aby kwestie dotyczące prawa pracowników do współzarządzania były określane przez prawo rzeczywistej siedziby spółki, która jest miejscem głównego zarządu spółki; </w:t>
            </w:r>
            <w:r>
              <w:rPr>
                <w:b/>
                <w:i/>
              </w:rPr>
              <w:t>nalega, aby zasada ta była stosowana ściśle i bez możliwości sztucznego obchodzenia przepisów prawnych lub podatkowych;</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uważa, że stosowanie norm kolizyjnych jest bardziej odpowiednim sposobem uwzględnienia kwestii ochrony słabszej strony niż stosowanie przepisów materialnych w nowym wniosku ustawodawczym; domaga się, aby kwestie dotyczące prawa pracowników do współzarządzania były określane przez prawo rzeczywistej siedziby spółki, która jest miejscem głównego zarządu spółki;</w:t>
            </w:r>
          </w:p>
        </w:tc>
        <w:tc>
          <w:tcPr>
            <w:tcW w:w="4876" w:type="dxa"/>
            <w:tcBorders>
              <w:top w:val="nil"/>
              <w:left w:val="nil"/>
              <w:bottom w:val="nil"/>
              <w:right w:val="nil"/>
            </w:tcBorders>
          </w:tcPr>
          <w:p>
            <w:pPr>
              <w:pStyle w:val="Normal6a"/>
            </w:pPr>
            <w:r>
              <w:t>20.</w:t>
            </w:r>
            <w:r>
              <w:tab/>
            </w:r>
            <w:r>
              <w:t xml:space="preserve">uważa, że stosowanie norm kolizyjnych jest bardziej odpowiednim sposobem uwzględnienia kwestii ochrony słabszej strony niż stosowanie przepisów materialnych w nowym wniosku ustawodawczym; domaga się, aby kwestie dotyczące prawa pracowników do współzarządzania </w:t>
            </w:r>
            <w:r>
              <w:rPr>
                <w:b/>
                <w:i/>
              </w:rPr>
              <w:t>i wymogi dotyczące formy prawnej</w:t>
            </w:r>
            <w:r>
              <w:t xml:space="preserve"> były określane przez prawo rzeczywistej siedziby spółki, która jest miejscem </w:t>
            </w:r>
            <w:r>
              <w:rPr>
                <w:b/>
                <w:i/>
              </w:rPr>
              <w:t>pracy</w:t>
            </w:r>
            <w:r>
              <w:t xml:space="preserve"> głównego zarządu spółki;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uważa, że stosowanie norm kolizyjnych jest bardziej odpowiednim sposobem uwzględnienia </w:t>
            </w:r>
            <w:r>
              <w:rPr>
                <w:b/>
                <w:i/>
              </w:rPr>
              <w:t>kwestii</w:t>
            </w:r>
            <w:r>
              <w:t xml:space="preserve"> ochrony </w:t>
            </w:r>
            <w:r>
              <w:rPr>
                <w:b/>
                <w:i/>
              </w:rPr>
              <w:t>słabszej strony</w:t>
            </w:r>
            <w:r>
              <w:t xml:space="preserve"> niż stosowanie przepisów materialnych w nowym wniosku ustawodawczym; domaga się, aby kwestie dotyczące prawa pracowników do współzarządzania były określane przez prawo rzeczywistej siedziby spółki, która jest miejscem głównego zarządu spółki;</w:t>
            </w:r>
          </w:p>
        </w:tc>
        <w:tc>
          <w:tcPr>
            <w:tcW w:w="4876" w:type="dxa"/>
            <w:tcBorders>
              <w:top w:val="nil"/>
              <w:left w:val="nil"/>
              <w:bottom w:val="nil"/>
              <w:right w:val="nil"/>
            </w:tcBorders>
          </w:tcPr>
          <w:p>
            <w:pPr>
              <w:pStyle w:val="Normal6a"/>
            </w:pPr>
            <w:r>
              <w:t>20.</w:t>
            </w:r>
            <w:r>
              <w:tab/>
            </w:r>
            <w:r>
              <w:t xml:space="preserve">uważa, że stosowanie norm kolizyjnych jest bardziej odpowiednim sposobem uwzględnienia ochrony </w:t>
            </w:r>
            <w:r>
              <w:rPr>
                <w:b/>
                <w:i/>
              </w:rPr>
              <w:t>indywidualnych praw pracowników</w:t>
            </w:r>
            <w:r>
              <w:t xml:space="preserve"> niż stosowanie przepisów materialnych w nowym wniosku ustawodawczym; domaga się, aby kwestie dotyczące prawa pracowników do współzarządzania były określane przez prawo rzeczywistej siedziby spółki, która jest miejscem głównego zarządu spółki;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Arash Saeidi</w:t>
      </w:r>
      <w:r>
        <w:rPr>
          <w:rStyle w:val="HideTWBExt"/>
          <w:b w:val="0"/>
        </w:rPr>
        <w:t>&lt;/Members&gt;</w:t>
      </w:r>
    </w:p>
    <w:p>
      <w:r>
        <w:rPr>
          <w:rStyle w:val="HideTWBExt"/>
          <w:b w:val="0"/>
        </w:rPr>
        <w:t>&lt;AuNomDe&gt;</w:t>
      </w:r>
      <w:r>
        <w:rPr>
          <w:rStyle w:val="HideTWBInt"/>
        </w:rPr>
        <w:t>{The Left}</w:t>
      </w:r>
      <w:r>
        <w:t>w imieniu grupy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20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wzywa Komisję, aby równocześnie z wszelkimi nowymi wnioskami ustawodawczymi dotyczącymi 28. systemu prawnego przeprowadzała i publikowała kompleksową i przejrzystą ocenę skutków obejmującą w szczególności skutki społeczne, podatkowe i prawne, a także ryzyko obchodzenia lub obniżenia krajowych standardów ochrony;</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20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podkreśla, że 28. system prawny nie powinien prowadzić do tworzenia ESSU typu „słup” ani do zwiększenia liczby przedsiębiorstw fasadowych;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20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20b.</w:t>
            </w:r>
            <w:r>
              <w:tab/>
            </w:r>
            <w:r>
              <w:rPr>
                <w:b/>
                <w:i/>
              </w:rPr>
              <w:t>uważa, że przedsiębiorstwo, wobec którego toczy się postępowanie administracyjne lub sądowe w sprawie zarzucanych oszustw podatkowych, uchylania się od płacenia podatków lub zabezpieczenia społecznego lub zrównoważonego rozwoju przedsiębiorstw, lub przedsiębiorstwo, w przypadku którego oficjalnie stwierdzono naruszenie takich przepisów, nie powinno mieć prawa ubiegania się o status ESSU;</w:t>
            </w:r>
            <w:r>
              <w:t xml:space="preserve"> </w:t>
            </w:r>
            <w:r>
              <w:rPr>
                <w:b/>
                <w:i/>
              </w:rPr>
              <w:t>przedsiębiorstwa te powinny mieć taką możliwość dopiero po zakończeniu postępowania, o ile nie stwierdzono naruszenia, lub po zaradzeniu w pełni stwierdzonym naruszeniom;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Arash Saeidi</w:t>
      </w:r>
      <w:r>
        <w:rPr>
          <w:rStyle w:val="HideTWBExt"/>
          <w:b w:val="0"/>
        </w:rPr>
        <w:t>&lt;/Members&gt;</w:t>
      </w:r>
    </w:p>
    <w:p>
      <w:r>
        <w:rPr>
          <w:rStyle w:val="HideTWBExt"/>
          <w:b w:val="0"/>
        </w:rPr>
        <w:t>&lt;AuNomDe&gt;</w:t>
      </w:r>
      <w:r>
        <w:rPr>
          <w:rStyle w:val="HideTWBInt"/>
        </w:rPr>
        <w:t>{The Left}</w:t>
      </w:r>
      <w:r>
        <w:t>w imieniu grupy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20 c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20c.</w:t>
            </w:r>
            <w:r>
              <w:tab/>
            </w:r>
            <w:r>
              <w:rPr>
                <w:b/>
                <w:i/>
              </w:rPr>
              <w:t>wzywa Komisję, aby regularnie, co najmniej raz na dwa lata, przeprowadzała ocenę wdrożenia i skutków 28. systemu prawnego;</w:t>
            </w:r>
            <w:r>
              <w:t xml:space="preserve"> </w:t>
            </w:r>
            <w:r>
              <w:rPr>
                <w:b/>
                <w:i/>
              </w:rPr>
              <w:t>podkreśla, że ocena ta powinna dotyczyć w szczególności skutków społecznych, podatkowych i prawnych, a także zgodności z krajowymi standardami ochrony pracowników;</w:t>
            </w:r>
            <w:r>
              <w:t xml:space="preserve"> </w:t>
            </w:r>
            <w:r>
              <w:rPr>
                <w:b/>
                <w:i/>
              </w:rPr>
              <w:t>nalega, aby wyniki tych ocen były publikowane w przejrzysty sposób i omawiane w Parlamencie Europejskim w celu zapewnienia stałego demokratycznego nadzoru;</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20 c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20c.</w:t>
            </w:r>
            <w:r>
              <w:tab/>
            </w:r>
            <w:r>
              <w:rPr>
                <w:b/>
                <w:i/>
              </w:rPr>
              <w:t>wzywa Komisję do ustanowienia ogólnounijnego systemu nadzoru i egzekwowania w ramach Komisji lub wyznaczonego niezależnego organu nadzoru nad wdrażaniem 28. systemu prawnego i odpowiednich przepisów UE, z jasno określonymi funkcjami zgodnie z prawem do dobrej administracji;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Arash Saeidi</w:t>
      </w:r>
      <w:r>
        <w:rPr>
          <w:rStyle w:val="HideTWBExt"/>
          <w:b w:val="0"/>
        </w:rPr>
        <w:t>&lt;/Members&gt;</w:t>
      </w:r>
    </w:p>
    <w:p>
      <w:r>
        <w:rPr>
          <w:rStyle w:val="HideTWBExt"/>
          <w:b w:val="0"/>
        </w:rPr>
        <w:t>&lt;AuNomDe&gt;</w:t>
      </w:r>
      <w:r>
        <w:rPr>
          <w:rStyle w:val="HideTWBInt"/>
        </w:rPr>
        <w:t>{The Left}</w:t>
      </w:r>
      <w:r>
        <w:t>w imieniu grupy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20 d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20d.</w:t>
            </w:r>
            <w:r>
              <w:tab/>
            </w:r>
            <w:r>
              <w:rPr>
                <w:b/>
                <w:i/>
              </w:rPr>
              <w:t>apeluje do Komisji, aby rozważyła potrzebę ustanowienia ujednoliconego progu obowiązkowego uczestnictwa pracowników w organach administracyjnych lub nadzorczych ESSU;</w:t>
            </w:r>
            <w:r>
              <w:t xml:space="preserve"> </w:t>
            </w:r>
            <w:r>
              <w:rPr>
                <w:b/>
                <w:i/>
              </w:rPr>
              <w:t>w związku z tym wzywa do wprowadzenia mechanizmów kontroli oraz skutecznych, proporcjonalnych i odstraszających kar za nieprzestrzeganie przepisów, w tym odmowy rejestracji odpowiednich zmian w statucie do czasu zapewnienia zgodności;</w:t>
            </w:r>
            <w:r>
              <w:t xml:space="preserve"> </w:t>
            </w:r>
            <w:r>
              <w:rPr>
                <w:b/>
                <w:i/>
              </w:rPr>
              <w:t>ustanawia próg 250 pracowników (w ekwiwalentach pełnego czasu pracy), powyżej którego reprezentacja pracowników odpowiada co najmniej jednej trzeciej miejsc, z zastrzeżeniem korzystniejszych progów lub proporcji przewidzianych w prawie krajowym;</w:t>
            </w:r>
            <w:r>
              <w:t xml:space="preserve"> </w:t>
            </w:r>
            <w:r>
              <w:rPr>
                <w:b/>
                <w:i/>
              </w:rPr>
              <w:t>zwraca uwagę, że w przypadku grup i struktur transnarodowych liczba pracowników jest oceniana w sposób skonsolidowany na poziomie UE;</w:t>
            </w:r>
            <w:r>
              <w:t xml:space="preserve"> </w:t>
            </w:r>
            <w:r>
              <w:rPr>
                <w:b/>
                <w:i/>
              </w:rPr>
              <w:t>domaga się przejrzystych, niedyskryminacyjnych i świadomych procedur wyboru lub mianowania, a także niezbędnych szkoleń, czasu oddelegowania i dostępu do informacji;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Arash Saeidi</w:t>
      </w:r>
      <w:r>
        <w:rPr>
          <w:rStyle w:val="HideTWBExt"/>
          <w:b w:val="0"/>
        </w:rPr>
        <w:t>&lt;/Members&gt;</w:t>
      </w:r>
    </w:p>
    <w:p>
      <w:r>
        <w:rPr>
          <w:rStyle w:val="HideTWBExt"/>
          <w:b w:val="0"/>
        </w:rPr>
        <w:t>&lt;AuNomDe&gt;</w:t>
      </w:r>
      <w:r>
        <w:rPr>
          <w:rStyle w:val="HideTWBInt"/>
        </w:rPr>
        <w:t>{The Left}</w:t>
      </w:r>
      <w:r>
        <w:t>w imieniu grupy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20 e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20e.</w:t>
            </w:r>
            <w:r>
              <w:tab/>
            </w:r>
            <w:r>
              <w:rPr>
                <w:b/>
                <w:i/>
              </w:rPr>
              <w:t>uważa, że wnioskowi w sprawie 28. systemu prawnego powinny towarzyszyć zalecenia dotyczące ustanowienia karty zawierającej minimalny zestaw praw socjalnych mających zastosowanie do wszystkich ESSU, w szczególności w celu zapewnienia skutecznego przestrzegania krajowych i europejskich przepisów dotyczących ochrony i praw pracowników;</w:t>
            </w:r>
            <w:r>
              <w:t xml:space="preserve"> </w:t>
            </w:r>
            <w:r>
              <w:rPr>
                <w:b/>
                <w:i/>
              </w:rPr>
              <w:t>podkreśla, że należy rozważyć wprowadzenie mechanizmów kontroli i skutecznych kar w przypadku naruszeń oraz że prawa te nie mogą być w żadnym wypadku obchodzone ani ograniczane poprzez odwołanie się do 28. systemu prawnego;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Arash Saeidi</w:t>
      </w:r>
      <w:r>
        <w:rPr>
          <w:rStyle w:val="HideTWBExt"/>
          <w:b w:val="0"/>
        </w:rPr>
        <w:t>&lt;/Members&gt;</w:t>
      </w:r>
    </w:p>
    <w:p>
      <w:r>
        <w:rPr>
          <w:rStyle w:val="HideTWBExt"/>
          <w:b w:val="0"/>
        </w:rPr>
        <w:t>&lt;AuNomDe&gt;</w:t>
      </w:r>
      <w:r>
        <w:rPr>
          <w:rStyle w:val="HideTWBInt"/>
        </w:rPr>
        <w:t>{The Left}</w:t>
      </w:r>
      <w:r>
        <w:t>w imieniu grupy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20 f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20f.</w:t>
            </w:r>
            <w:r>
              <w:tab/>
            </w:r>
            <w:r>
              <w:rPr>
                <w:b/>
                <w:i/>
              </w:rPr>
              <w:t>uważa, że wnioskowi dotyczącemu 28. systemu prawnego powinny towarzyszyć dodatkowe środki, takie jak klauzula o nieobniżaniu poziomu ochrony socjalnej, aby zapobiec obchodzeniu lub osłabieniu surowszych przepisów socjalnych obowiązujących w rodzimym państwie członkowskim;</w:t>
            </w:r>
            <w:r>
              <w:t xml:space="preserve"> </w:t>
            </w:r>
            <w:r>
              <w:rPr>
                <w:b/>
                <w:i/>
              </w:rPr>
              <w:t>zaznacza, że do każdego wniosku o rejestrację jako ESSU musi być dołączone zaświadczenie potwierdzające zgodność z najbardziej rygorystycznymi krajowymi przepisami socjalnymi;</w:t>
            </w:r>
            <w:r>
              <w:t xml:space="preserve"> </w:t>
            </w:r>
            <w:r>
              <w:rPr>
                <w:b/>
                <w:i/>
              </w:rPr>
              <w:t>domaga się, aby właściwe organy systematycznie sprawdzały tę zgodność przed wydaniem zezwolenia na rejestrację;</w:t>
            </w:r>
            <w:r>
              <w:t xml:space="preserve"> </w:t>
            </w:r>
            <w:r>
              <w:rPr>
                <w:b/>
                <w:i/>
              </w:rPr>
              <w:t>podkreśla, że wszelkie stwierdzone naruszenia muszą skutkować nieważnością rejestracji lub prowadzić do wykreślenia z rejestru w połączeniu z proporcjonalnymi i odstraszającymi karami;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Arash Saeidi</w:t>
      </w:r>
      <w:r>
        <w:rPr>
          <w:rStyle w:val="HideTWBExt"/>
          <w:b w:val="0"/>
        </w:rPr>
        <w:t>&lt;/Members&gt;</w:t>
      </w:r>
    </w:p>
    <w:p>
      <w:r>
        <w:rPr>
          <w:rStyle w:val="HideTWBExt"/>
          <w:b w:val="0"/>
        </w:rPr>
        <w:t>&lt;AuNomDe&gt;</w:t>
      </w:r>
      <w:r>
        <w:rPr>
          <w:rStyle w:val="HideTWBInt"/>
        </w:rPr>
        <w:t>{The Left}</w:t>
      </w:r>
      <w:r>
        <w:t>w imieniu grupy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20 g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20g.</w:t>
            </w:r>
            <w:r>
              <w:tab/>
            </w:r>
            <w:r>
              <w:rPr>
                <w:b/>
                <w:i/>
              </w:rPr>
              <w:t>podkreśla w tym kontekście, że należy zbadać, czy wnioskowi dotyczącemu 28. systemu prawnego powinny towarzyszyć wytyczne opracowane przez Komisję w celu zapewnienia sprawiedliwego podziału wzrostu pod względem wydajności i innowacji, który powinien przynosić korzyści wszystkim pracownikom, a nie ograniczać się do planów akcjonariatu pracowniczego (koncepcja ESOP);</w:t>
            </w:r>
            <w:r>
              <w:t xml:space="preserve"> </w:t>
            </w:r>
            <w:r>
              <w:rPr>
                <w:b/>
                <w:i/>
              </w:rPr>
              <w:t>wzywa do wprowadzenia mechanizmu indeksacji wynagrodzeń, uzupełniającego istniejące wynagrodzenia podstawowe i prawa socjalne, a nie zastępującego je;</w:t>
            </w:r>
            <w:r>
              <w:t xml:space="preserve"> </w:t>
            </w:r>
            <w:r>
              <w:rPr>
                <w:b/>
                <w:i/>
              </w:rPr>
              <w:t>wzywa Komisję, aby we współpracy z partnerami społecznymi opracowała zharmonizowane wytyczne w celu zapewnienia spójnego i możliwego do kontrolowania wdrożenia tego mechanizmu;</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Arash Saeidi</w:t>
      </w:r>
      <w:r>
        <w:rPr>
          <w:rStyle w:val="HideTWBExt"/>
          <w:b w:val="0"/>
        </w:rPr>
        <w:t>&lt;/Members&gt;</w:t>
      </w:r>
    </w:p>
    <w:p>
      <w:r>
        <w:rPr>
          <w:rStyle w:val="HideTWBExt"/>
          <w:b w:val="0"/>
        </w:rPr>
        <w:t>&lt;AuNomDe&gt;</w:t>
      </w:r>
      <w:r>
        <w:rPr>
          <w:rStyle w:val="HideTWBInt"/>
        </w:rPr>
        <w:t>{The Left}</w:t>
      </w:r>
      <w:r>
        <w:t>w imieniu grupy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20 h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20h.</w:t>
            </w:r>
            <w:r>
              <w:tab/>
            </w:r>
            <w:r>
              <w:rPr>
                <w:b/>
                <w:i/>
              </w:rPr>
              <w:t>przewiduje automatyczne utworzenie europejskiej rady zakładowej w każdej ESSU zatrudniającej ponad 50 pracowników w Unii;</w:t>
            </w:r>
            <w:r>
              <w:t xml:space="preserve"> </w:t>
            </w:r>
            <w:r>
              <w:rPr>
                <w:b/>
                <w:i/>
              </w:rPr>
              <w:t>podkreśla, że europejskie rady zakładowe muszą mieć skuteczne prawo do informacji, konsultacji i komunikacji wewnętrznej;</w:t>
            </w:r>
            <w:r>
              <w:t xml:space="preserve"> </w:t>
            </w:r>
            <w:r>
              <w:rPr>
                <w:b/>
                <w:i/>
              </w:rPr>
              <w:t>podkreśla, że przepisy te nie powinny ograniczać korzystniejszych praw wynikających z prawa krajowego i powinny być uznawane za minimalną podstawę mającą zastosowanie do wszystkich ESSU;</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Arash Saeidi</w:t>
      </w:r>
      <w:r>
        <w:rPr>
          <w:rStyle w:val="HideTWBExt"/>
          <w:b w:val="0"/>
        </w:rPr>
        <w:t>&lt;/Members&gt;</w:t>
      </w:r>
    </w:p>
    <w:p>
      <w:r>
        <w:rPr>
          <w:rStyle w:val="HideTWBExt"/>
          <w:b w:val="0"/>
        </w:rPr>
        <w:t>&lt;AuNomDe&gt;</w:t>
      </w:r>
      <w:r>
        <w:rPr>
          <w:rStyle w:val="HideTWBInt"/>
        </w:rPr>
        <w:t>{The Left}</w:t>
      </w:r>
      <w:r>
        <w:t>w imieniu grupy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20 i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20i.</w:t>
            </w:r>
            <w:r>
              <w:tab/>
            </w:r>
            <w:r>
              <w:rPr>
                <w:b/>
                <w:i/>
              </w:rPr>
              <w:t>nakłada na wszystkie ESSU obowiązek corocznego publikowania, w publicznie dostępny sposób i nieodpłatnie, sprawozdania w podziale na kraje, wskazującego co najmniej:</w:t>
            </w:r>
            <w:r>
              <w:t xml:space="preserve"> </w:t>
            </w:r>
            <w:r>
              <w:rPr>
                <w:b/>
                <w:i/>
              </w:rPr>
              <w:t>osiągnięte zyski, faktycznie zapłacone podatki i składki na ubezpieczenia społeczne, otrzymane dotacje publiczne lub wsparcie publiczne oraz liczbę pracowników w przeliczeniu na pełne etaty;</w:t>
            </w:r>
            <w:r>
              <w:t xml:space="preserve"> </w:t>
            </w:r>
            <w:r>
              <w:rPr>
                <w:b/>
                <w:i/>
              </w:rPr>
              <w:t>podkreśla, że informacje te muszą być weryfikowane przez niezależnego audytora, rejestrowane w unijnym rejestrze cyfrowym i porównywalne między państwami członkowskimi;</w:t>
            </w:r>
            <w:r>
              <w:t xml:space="preserve"> </w:t>
            </w:r>
            <w:r>
              <w:rPr>
                <w:b/>
                <w:i/>
              </w:rPr>
              <w:t>podkreśla, że każde pominięcie lub fałszywe oświadczenie musi prowadzić do nałożenia odstraszających kar i ewentualnego zawieszenia statusu ESSU;</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Arash Saeidi</w:t>
      </w:r>
      <w:r>
        <w:rPr>
          <w:rStyle w:val="HideTWBExt"/>
          <w:b w:val="0"/>
        </w:rPr>
        <w:t>&lt;/Members&gt;</w:t>
      </w:r>
    </w:p>
    <w:p>
      <w:r>
        <w:rPr>
          <w:rStyle w:val="HideTWBExt"/>
          <w:b w:val="0"/>
        </w:rPr>
        <w:t>&lt;AuNomDe&gt;</w:t>
      </w:r>
      <w:r>
        <w:rPr>
          <w:rStyle w:val="HideTWBInt"/>
        </w:rPr>
        <w:t>{The Left}</w:t>
      </w:r>
      <w:r>
        <w:t>w imieniu grupy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20 j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20j.</w:t>
            </w:r>
            <w:r>
              <w:tab/>
            </w:r>
            <w:r>
              <w:rPr>
                <w:b/>
                <w:i/>
              </w:rPr>
              <w:t>zakazuje rejestracji jako ESSU wszelkich przedsiębiorstw, które bezpośrednio lub pośrednio są właścicielami jednostek zależnych, oddziałów lub podmiotów powiązanych mających siedzibę w jurysdykcjach niechętnych współpracy podatkowej wymienionych w unijnym wykazie;</w:t>
            </w:r>
            <w:r>
              <w:t xml:space="preserve"> </w:t>
            </w:r>
            <w:r>
              <w:rPr>
                <w:b/>
                <w:i/>
              </w:rPr>
              <w:t>zauważa, że rejestracja lub utrzymanie statusu ESSU jest uzależnione od poświadczonej corocznej deklaracji wykazującej brak takich struktur;</w:t>
            </w:r>
            <w:r>
              <w:t xml:space="preserve"> </w:t>
            </w:r>
            <w:r>
              <w:rPr>
                <w:b/>
                <w:i/>
              </w:rPr>
              <w:t>wzywa do wprowadzenia systematycznych kontroli przez właściwe organy i automatycznego usunięcia z rejestru w przypadku niezgodności;</w:t>
            </w:r>
            <w:r>
              <w:t xml:space="preserve"> </w:t>
            </w:r>
            <w:r>
              <w:rPr>
                <w:b/>
                <w:i/>
              </w:rPr>
              <w:t>podkreśla, że zakaz ten jest niezbędny do zapewnienia wiarygodności i integralności 28. systemu prawnego;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21.</w:t>
            </w:r>
            <w:r>
              <w:tab/>
            </w:r>
            <w:r>
              <w:rPr>
                <w:b/>
                <w:i/>
              </w:rPr>
              <w:t>apeluje, aby opracować wzory dokumentów, które miałyby być stosowane w całej Unii w odniesieniu do umów akcjonariuszy i umów spółki;</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apeluje, aby opracować wzory dokumentów, które miałyby być stosowane w całej Unii w odniesieniu do umów akcjonariuszy </w:t>
            </w:r>
            <w:r>
              <w:rPr>
                <w:b/>
                <w:i/>
              </w:rPr>
              <w:t>i</w:t>
            </w:r>
            <w:r>
              <w:t xml:space="preserve"> umów spółki;</w:t>
            </w:r>
          </w:p>
        </w:tc>
        <w:tc>
          <w:tcPr>
            <w:tcW w:w="4876" w:type="dxa"/>
            <w:tcBorders>
              <w:top w:val="nil"/>
              <w:left w:val="nil"/>
              <w:bottom w:val="nil"/>
              <w:right w:val="nil"/>
            </w:tcBorders>
          </w:tcPr>
          <w:p>
            <w:pPr>
              <w:pStyle w:val="Normal6a"/>
            </w:pPr>
            <w:r>
              <w:t>21.</w:t>
            </w:r>
            <w:r>
              <w:tab/>
            </w:r>
            <w:r>
              <w:t>apeluje, aby opracować wzory dokumentów, które miałyby być stosowane w całej Unii w odniesieniu do umów akcjonariuszy</w:t>
            </w:r>
            <w:r>
              <w:rPr>
                <w:b/>
                <w:i/>
              </w:rPr>
              <w:t>,</w:t>
            </w:r>
            <w:r>
              <w:t xml:space="preserve"> umów spółki </w:t>
            </w:r>
            <w:r>
              <w:rPr>
                <w:b/>
                <w:i/>
              </w:rPr>
              <w:t>i innych podstawowych i operacyjnych wzorów specjalnie dostosowanych do ESSU, aby zapewnić jasność prawa, ułatwić ich wykorzystanie transgraniczne i umożliwić inwestorom zapoznanie się z nimi</w:t>
            </w:r>
            <w:r>
              <w:t xml:space="preserve">; </w:t>
            </w:r>
            <w:r>
              <w:rPr>
                <w:b/>
                <w:i/>
              </w:rPr>
              <w:t>zaleca, aby te wzory dokumentów służyły jako wzory domyślne w procesie rejestracji ESSU;</w:t>
            </w:r>
            <w:r>
              <w:t xml:space="preserve"> </w:t>
            </w:r>
            <w:r>
              <w:rPr>
                <w:b/>
                <w:i/>
              </w:rPr>
              <w:t>zaleca, aby możliwe było dostosowanie wzoru dokumentów do szczególnych wymogów biznesowych;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apeluje</w:t>
            </w:r>
            <w:r>
              <w:rPr>
                <w:b/>
                <w:i/>
              </w:rPr>
              <w:t>, aby opracować wzory</w:t>
            </w:r>
            <w:r>
              <w:t xml:space="preserve"> dokumentów, które miałyby być stosowane w całej Unii w odniesieniu do umów akcjonariuszy </w:t>
            </w:r>
            <w:r>
              <w:rPr>
                <w:b/>
                <w:i/>
              </w:rPr>
              <w:t>i umów spółki</w:t>
            </w:r>
            <w:r>
              <w:t>;</w:t>
            </w:r>
          </w:p>
        </w:tc>
        <w:tc>
          <w:tcPr>
            <w:tcW w:w="4876" w:type="dxa"/>
            <w:tcBorders>
              <w:top w:val="nil"/>
              <w:left w:val="nil"/>
              <w:bottom w:val="nil"/>
              <w:right w:val="nil"/>
            </w:tcBorders>
          </w:tcPr>
          <w:p>
            <w:pPr>
              <w:pStyle w:val="Normal6a"/>
            </w:pPr>
            <w:r>
              <w:t>21.</w:t>
            </w:r>
            <w:r>
              <w:tab/>
            </w:r>
            <w:r>
              <w:t xml:space="preserve">apeluje </w:t>
            </w:r>
            <w:r>
              <w:rPr>
                <w:b/>
                <w:i/>
              </w:rPr>
              <w:t>o zredagowanie i przyjęcie wzorów</w:t>
            </w:r>
            <w:r>
              <w:t xml:space="preserve"> dokumentów, które miałyby być stosowane w całej Unii w odniesieniu do umów akcjonariuszy</w:t>
            </w:r>
            <w:r>
              <w:rPr>
                <w:b/>
                <w:i/>
              </w:rPr>
              <w:t>, statutów i dokumentacji przedsiębiorstwa</w:t>
            </w:r>
            <w:r>
              <w:t xml:space="preserve">; </w:t>
            </w:r>
            <w:r>
              <w:rPr>
                <w:b/>
                <w:i/>
              </w:rPr>
              <w:t>apeluje o to, by wzory zostały opracowane specjalnie dla ESSU, aby zapewnić pewność prawa, ułatwić korzystanie w kontekście transgranicznym i orientację inwestorów w tej dziedzinie; zaleca, aby te standardowe dokumenty służyły jako wstępnie zdefiniowane wzory w ramach procesu rejestracji ESSU;</w:t>
            </w:r>
            <w:r>
              <w:t xml:space="preserve"> </w:t>
            </w:r>
            <w:r>
              <w:rPr>
                <w:b/>
                <w:i/>
              </w:rPr>
              <w:t>zaleca, aby te standardowe dokumenty służyły jako uprzednio określone wzory w ramach procesu rejestracji w ESSU;</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apeluje, aby opracować wzory dokumentów, które miałyby być stosowane w całej Unii w odniesieniu do umów akcjonariuszy i umów spółki;</w:t>
            </w:r>
          </w:p>
        </w:tc>
        <w:tc>
          <w:tcPr>
            <w:tcW w:w="4876" w:type="dxa"/>
            <w:tcBorders>
              <w:top w:val="nil"/>
              <w:left w:val="nil"/>
              <w:bottom w:val="nil"/>
              <w:right w:val="nil"/>
            </w:tcBorders>
          </w:tcPr>
          <w:p>
            <w:pPr>
              <w:pStyle w:val="Normal6a"/>
            </w:pPr>
            <w:r>
              <w:t>21.</w:t>
            </w:r>
            <w:r>
              <w:tab/>
            </w:r>
            <w:r>
              <w:t>apeluje, aby opracować wzory dokumentów, które miałyby być stosowane w całej Unii w odniesieniu do umów akcjonariuszy i umów spółki</w:t>
            </w:r>
            <w:r>
              <w:rPr>
                <w:b/>
                <w:i/>
              </w:rPr>
              <w:t>, oraz wzywa do udostępnienia tych wzorów w interoperacyjnym formacie cyfrowym, przy wykorzystaniu zaawansowanego podpisu elektronicznego i automatycznego przetwarzania w systemach ewidencji przedsiębiorstw</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apeluje, aby opracować wzory dokumentów, które miałyby być stosowane w całej Unii w odniesieniu do umów akcjonariuszy i umów spółki;</w:t>
            </w:r>
          </w:p>
        </w:tc>
        <w:tc>
          <w:tcPr>
            <w:tcW w:w="4876" w:type="dxa"/>
            <w:tcBorders>
              <w:top w:val="nil"/>
              <w:left w:val="nil"/>
              <w:bottom w:val="nil"/>
              <w:right w:val="nil"/>
            </w:tcBorders>
          </w:tcPr>
          <w:p>
            <w:pPr>
              <w:pStyle w:val="Normal6a"/>
            </w:pPr>
            <w:r>
              <w:t>21.</w:t>
            </w:r>
            <w:r>
              <w:tab/>
            </w:r>
            <w:r>
              <w:t>apeluje, aby opracować wzory dokumentów, które miałyby być stosowane w całej Unii w odniesieniu do umów akcjonariuszy i umów spółki</w:t>
            </w:r>
            <w:r>
              <w:rPr>
                <w:b/>
                <w:i/>
              </w:rPr>
              <w:t>, aby zapewnić jasność prawa i ułatwić działania transgraniczne w celu przyciągnięcia inwestorów</w:t>
            </w:r>
            <w:r>
              <w:t xml:space="preserve">; </w:t>
            </w:r>
            <w:r>
              <w:rPr>
                <w:b/>
                <w:i/>
              </w:rPr>
              <w:t>zaleca, aby wzory dokumentów były domyślnie dostępne jako wzór podczas rejestracji 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apeluje, aby opracować wzory dokumentów, które miałyby być stosowane w całej Unii w odniesieniu do umów akcjonariuszy i umów spółki;</w:t>
            </w:r>
          </w:p>
        </w:tc>
        <w:tc>
          <w:tcPr>
            <w:tcW w:w="4876" w:type="dxa"/>
            <w:tcBorders>
              <w:top w:val="nil"/>
              <w:left w:val="nil"/>
              <w:bottom w:val="nil"/>
              <w:right w:val="nil"/>
            </w:tcBorders>
          </w:tcPr>
          <w:p>
            <w:pPr>
              <w:pStyle w:val="Normal6a"/>
            </w:pPr>
            <w:r>
              <w:t>21.</w:t>
            </w:r>
            <w:r>
              <w:tab/>
            </w:r>
            <w:r>
              <w:t>apeluje, aby opracować wzory dokumentów, które miałyby być stosowane w całej Unii w odniesieniu do umów akcjonariuszy i umów spółki</w:t>
            </w:r>
            <w:r>
              <w:rPr>
                <w:b/>
                <w:i/>
              </w:rPr>
              <w:t>, sporządzanych w języku urzędowym państwa członkowskiego, w którym przedsiębiorstwo prowadzi działalność</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apeluje, aby opracować wzory dokumentów, które miałyby być stosowane w całej Unii w odniesieniu do umów akcjonariuszy i umów spółki;</w:t>
            </w:r>
          </w:p>
        </w:tc>
        <w:tc>
          <w:tcPr>
            <w:tcW w:w="4876" w:type="dxa"/>
            <w:tcBorders>
              <w:top w:val="nil"/>
              <w:left w:val="nil"/>
              <w:bottom w:val="nil"/>
              <w:right w:val="nil"/>
            </w:tcBorders>
          </w:tcPr>
          <w:p>
            <w:pPr>
              <w:pStyle w:val="Normal6a"/>
            </w:pPr>
            <w:r>
              <w:t>21.</w:t>
            </w:r>
            <w:r>
              <w:tab/>
            </w:r>
            <w:r>
              <w:t>apeluje, aby opracować wzory dokumentów, które miałyby być stosowane w całej Unii w odniesieniu do umów akcjonariuszy i umów spółki</w:t>
            </w:r>
            <w:r>
              <w:rPr>
                <w:b/>
                <w:i/>
              </w:rPr>
              <w:t>, oraz aby monitorować ich stosowanie i przestrzeganie przez rejestr spółek na szczeblu Unii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apeluje, aby opracować wzory dokumentów, które miałyby być stosowane w całej Unii w odniesieniu do umów akcjonariuszy i umów spółki;</w:t>
            </w:r>
          </w:p>
        </w:tc>
        <w:tc>
          <w:tcPr>
            <w:tcW w:w="4876" w:type="dxa"/>
            <w:tcBorders>
              <w:top w:val="nil"/>
              <w:left w:val="nil"/>
              <w:bottom w:val="nil"/>
              <w:right w:val="nil"/>
            </w:tcBorders>
          </w:tcPr>
          <w:p>
            <w:pPr>
              <w:pStyle w:val="Normal6a"/>
            </w:pPr>
            <w:r>
              <w:t>21.</w:t>
            </w:r>
            <w:r>
              <w:tab/>
            </w:r>
            <w:r>
              <w:t xml:space="preserve">apeluje, aby opracować </w:t>
            </w:r>
            <w:r>
              <w:rPr>
                <w:b/>
                <w:i/>
              </w:rPr>
              <w:t>ujednolicone wielojęzyczne</w:t>
            </w:r>
            <w:r>
              <w:t xml:space="preserve"> wzory dokumentów, które miałyby być stosowane </w:t>
            </w:r>
            <w:r>
              <w:rPr>
                <w:b/>
                <w:i/>
              </w:rPr>
              <w:t>przez ESSU</w:t>
            </w:r>
            <w:r>
              <w:t xml:space="preserve"> w całej Unii w odniesieniu do umów akcjonariuszy i umów spółki;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uważa, że nowy wniosek ustawodawczy powinien zawierać zharmonizowane przepisy dotyczące instrumentów dłużnych </w:t>
            </w:r>
            <w:r>
              <w:rPr>
                <w:b/>
                <w:i/>
              </w:rPr>
              <w:t>podobnych do akcji</w:t>
            </w:r>
            <w:r>
              <w:t>, dzięki którym inwestorzy będą mogli inwestować w przedsiębiorstwa bez nabywania praw do kontroli nad nimi;</w:t>
            </w:r>
          </w:p>
        </w:tc>
        <w:tc>
          <w:tcPr>
            <w:tcW w:w="4876" w:type="dxa"/>
            <w:tcBorders>
              <w:top w:val="nil"/>
              <w:left w:val="nil"/>
              <w:bottom w:val="nil"/>
              <w:right w:val="nil"/>
            </w:tcBorders>
          </w:tcPr>
          <w:p>
            <w:pPr>
              <w:pStyle w:val="Normal6a"/>
            </w:pPr>
            <w:r>
              <w:t>22.</w:t>
            </w:r>
            <w:r>
              <w:tab/>
            </w:r>
            <w:r>
              <w:t>uważa, że nowy wniosek ustawodawczy powinien zawierać zharmonizowane przepisy dotyczące instrumentów dłużnych</w:t>
            </w:r>
            <w:r>
              <w:rPr>
                <w:b/>
                <w:i/>
              </w:rPr>
              <w:t>, w tym przepisy dotyczące niewypłacalności związane z tymi instrumentami</w:t>
            </w:r>
            <w:r>
              <w:t>, dzięki którym inwestorzy będą mogli inwestować w przedsiębiorstwa bez nabywania praw do kontroli nad nimi;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22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podkreśla, że potrzebne są alternatywne ścieżki dostępu do kapitału;</w:t>
            </w:r>
            <w:r>
              <w:t xml:space="preserve"> </w:t>
            </w:r>
            <w:r>
              <w:rPr>
                <w:b/>
                <w:i/>
              </w:rPr>
              <w:t>zwraca uwagę na potrzebę ustanowienia alternatywnych modeli finansowania, aby przyciągnąć talenty na wczesnych etapach działalności przedsiębiorstwa;</w:t>
            </w:r>
            <w:r>
              <w:t xml:space="preserve"> </w:t>
            </w:r>
            <w:r>
              <w:rPr>
                <w:b/>
                <w:i/>
              </w:rPr>
              <w:t>apeluje o włączenie do wniosku ustawodawczego opcjonalnych form własności zarządczej, blokad aktywów i różnych rodzajów akcji, w tym akcji dwuklasowych, akcji z prawem weta i akcji uprzywilejowanych;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22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przypomina, że dostęp do finansowania nie powinien ograniczać się do kapitału wysokiego ryzyka, lecz powinien obejmować również inne rodzaje inwestycji, w tym inwestycje kapitałowe i inwestycje o wpływie społecznym, programy emerytalne i publiczne fundusze inwestycyjne, aby zapewnić niezbędny dostęp do kapitału i uwzględnić cechy różnych form przedsiębiorstw.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22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zwraca uwagę Komisji, że przy okazji inicjatyw podejmowanych w ramach 28. systemu prawnego należy oceniać wykonalność wprowadzenia ogólnounijnego skoordynowanego opodatkowania dla ESSU, w tym odroczenia podatku od osób prawnych od zysków reinwestowanych w działalność badawczo-rozwojową, innowacyjną i rozszerzanie działalności, aby uniknąć podwójnego opodatkowania i zapewnić neutralność podatkową we wszystkich państwach członkowskich;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22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podkreśla, że wniosek powinien ogólnie zapewnić europejskim i zagranicznym inwestorom jasność w zakresie inwestycji transgranicznych za pomocą zharmonizowanych przepisów;</w:t>
            </w:r>
            <w:r>
              <w:t xml:space="preserve"> </w:t>
            </w:r>
            <w:r>
              <w:rPr>
                <w:b/>
                <w:i/>
              </w:rPr>
              <w:t>wzywa do oceny atrakcyjności kapitałowej przedsiębiorstw SES jako miary sukcesu tych form przedsiębiorczości;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Axel Voss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22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22b.</w:t>
            </w:r>
            <w:r>
              <w:tab/>
            </w:r>
            <w:r>
              <w:rPr>
                <w:b/>
                <w:i/>
              </w:rPr>
              <w:t>uważa, że należy wprowadzić przepisy ułatwiające współpracę przedsiębiorstw typu start-up i przedsiębiorstw scale-up z instytucjami badawczymi w celu wspierania przedsiębiorstw typu spin-off i transferu wiedzy;</w:t>
            </w:r>
            <w:r>
              <w:t xml:space="preserve"> </w:t>
            </w:r>
            <w:r>
              <w:rPr>
                <w:b/>
                <w:i/>
              </w:rPr>
              <w:t>w tym celu utworzenie ESSU powinno być w pełni zintegrowane z inicjatywami UE, aby poprawić dostęp do danych w kontekście badań;</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Śródtytuł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Rozstrzyganie sporów</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Śródtytuł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Rozstrzyganie sporów</w:t>
            </w:r>
          </w:p>
        </w:tc>
        <w:tc>
          <w:tcPr>
            <w:tcW w:w="4876" w:type="dxa"/>
            <w:tcBorders>
              <w:top w:val="nil"/>
              <w:left w:val="nil"/>
              <w:bottom w:val="nil"/>
              <w:right w:val="nil"/>
            </w:tcBorders>
          </w:tcPr>
          <w:p>
            <w:pPr>
              <w:pStyle w:val="Normal6a"/>
            </w:pPr>
            <w:r>
              <w:rPr>
                <w:b/>
                <w:i/>
              </w:rPr>
              <w:t>Przyciąganie talentów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23.</w:t>
            </w:r>
            <w:r>
              <w:tab/>
            </w:r>
            <w:r>
              <w:rPr>
                <w:b/>
                <w:i/>
              </w:rPr>
              <w:t>uważa, że należy ustanowić alternatywny mechanizm rozstrzygania sporów dotyczących ESSU, aby zapewnić szybkie i fachowe rozstrzyganie sporów;</w:t>
            </w:r>
            <w:r>
              <w:t xml:space="preserve"> </w:t>
            </w:r>
            <w:r>
              <w:rPr>
                <w:b/>
                <w:i/>
              </w:rPr>
              <w:t>uważa ponadto, że państwa członkowskie powinny rozważyć utworzenie w swoich sądach krajowych specjalnego zespołu ds. sporów między przedsiębiorstwami dotyczących ESSU oraz że takie specjalne zespoły powinny mieć możliwość rozstrzygania sporów w języku angielskim;</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Axel Voss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23.</w:t>
            </w:r>
            <w:r>
              <w:tab/>
            </w:r>
            <w:r>
              <w:rPr>
                <w:b/>
                <w:i/>
              </w:rPr>
              <w:t>uważa, że należy ustanowić alternatywny mechanizm rozstrzygania sporów dotyczących ESSU, aby zapewnić szybkie i fachowe rozstrzyganie sporów;</w:t>
            </w:r>
            <w:r>
              <w:t xml:space="preserve"> </w:t>
            </w:r>
            <w:r>
              <w:rPr>
                <w:b/>
                <w:i/>
              </w:rPr>
              <w:t>uważa ponadto, że państwa członkowskie powinny rozważyć utworzenie w swoich sądach krajowych specjalnego zespołu ds. sporów między przedsiębiorstwami dotyczących ESSU oraz że takie specjalne zespoły powinny mieć możliwość rozstrzygania sporów w języku angielskim;</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uważa, że należy ustanowić alternatywny mechanizm rozstrzygania sporów dotyczących ESSU, aby zapewnić szybkie i fachowe rozstrzyganie sporów; uważa ponadto, że państwa członkowskie powinny rozważyć utworzenie w swoich sądach krajowych specjalnego zespołu ds. sporów między przedsiębiorstwami dotyczących ESSU oraz że takie specjalne zespoły powinny mieć możliwość rozstrzygania sporów w języku angielskim;</w:t>
            </w:r>
          </w:p>
        </w:tc>
        <w:tc>
          <w:tcPr>
            <w:tcW w:w="4876" w:type="dxa"/>
            <w:tcBorders>
              <w:top w:val="nil"/>
              <w:left w:val="nil"/>
              <w:bottom w:val="nil"/>
              <w:right w:val="nil"/>
            </w:tcBorders>
          </w:tcPr>
          <w:p>
            <w:pPr>
              <w:pStyle w:val="Normal6a"/>
            </w:pPr>
            <w:r>
              <w:t>23.</w:t>
            </w:r>
            <w:r>
              <w:tab/>
            </w:r>
            <w:r>
              <w:t xml:space="preserve">uważa, że należy ustanowić alternatywny mechanizm rozstrzygania sporów dotyczących ESSU, aby zapewnić szybkie i fachowe rozstrzyganie sporów; uważa ponadto, że państwa członkowskie powinny rozważyć utworzenie w swoich sądach krajowych specjalnego zespołu ds. sporów między przedsiębiorstwami dotyczących ESSU oraz że takie specjalne zespoły powinny mieć możliwość rozstrzygania sporów w języku angielskim; </w:t>
            </w:r>
            <w:r>
              <w:rPr>
                <w:b/>
                <w:i/>
              </w:rPr>
              <w:t>apeluje, aby ten alternatywny mechanizm obejmował również możliwość mediacji cyfrowej i arbitrażu, możliwość przeprowadzania przesłuchań online i wykorzystanie sztucznej inteligencji do wstępnej oceny spraw, co przyspieszyłoby rozstrzyganie i zmniejszyło koszty ponoszone przez MŚP;</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uważa, że </w:t>
            </w:r>
            <w:r>
              <w:rPr>
                <w:b/>
                <w:i/>
              </w:rPr>
              <w:t>należy</w:t>
            </w:r>
            <w:r>
              <w:t xml:space="preserve"> ustanowić alternatywny mechanizm rozstrzygania sporów dotyczących ESSU, aby zapewnić szybkie i fachowe rozstrzyganie sporów; </w:t>
            </w:r>
            <w:r>
              <w:rPr>
                <w:b/>
                <w:i/>
              </w:rPr>
              <w:t>uważa ponadto, że państwa członkowskie powinny rozważyć utworzenie w swoich sądach krajowych specjalnego zespołu ds. sporów między przedsiębiorstwami dotyczących ESSU oraz że takie specjalne zespoły powinny mieć możliwość rozstrzygania sporów w języku angielskim;</w:t>
            </w:r>
          </w:p>
        </w:tc>
        <w:tc>
          <w:tcPr>
            <w:tcW w:w="4876" w:type="dxa"/>
            <w:tcBorders>
              <w:top w:val="nil"/>
              <w:left w:val="nil"/>
              <w:bottom w:val="nil"/>
              <w:right w:val="nil"/>
            </w:tcBorders>
          </w:tcPr>
          <w:p>
            <w:pPr>
              <w:pStyle w:val="Normal6a"/>
            </w:pPr>
            <w:r>
              <w:t>23.</w:t>
            </w:r>
            <w:r>
              <w:tab/>
            </w:r>
            <w:r>
              <w:t xml:space="preserve">uważa, że </w:t>
            </w:r>
            <w:r>
              <w:rPr>
                <w:b/>
                <w:i/>
              </w:rPr>
              <w:t>można</w:t>
            </w:r>
            <w:r>
              <w:t xml:space="preserve"> ustanowić alternatywny mechanizm rozstrzygania sporów dotyczących ESSU, aby zapewnić szybkie i fachowe rozstrzyganie sporów;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uważa, że należy ustanowić alternatywny mechanizm rozstrzygania sporów dotyczących ESSU, aby zapewnić szybkie i fachowe rozstrzyganie sporów; </w:t>
            </w:r>
            <w:r>
              <w:rPr>
                <w:b/>
                <w:i/>
              </w:rPr>
              <w:t>uważa ponadto, że państwa członkowskie powinny rozważyć utworzenie w swoich sądach krajowych specjalnego zespołu ds. sporów między przedsiębiorstwami dotyczących ESSU oraz że takie specjalne zespoły powinny mieć możliwość rozstrzygania sporów w języku angielskim;</w:t>
            </w:r>
          </w:p>
        </w:tc>
        <w:tc>
          <w:tcPr>
            <w:tcW w:w="4876" w:type="dxa"/>
            <w:tcBorders>
              <w:top w:val="nil"/>
              <w:left w:val="nil"/>
              <w:bottom w:val="nil"/>
              <w:right w:val="nil"/>
            </w:tcBorders>
          </w:tcPr>
          <w:p>
            <w:pPr>
              <w:pStyle w:val="Normal6a"/>
            </w:pPr>
            <w:r>
              <w:t>23.</w:t>
            </w:r>
            <w:r>
              <w:tab/>
            </w:r>
            <w:r>
              <w:t>uważa, że należy ustanowić alternatywny mechanizm rozstrzygania sporów dotyczących ESSU, aby zapewnić szybkie i fachowe rozstrzyganie sporów;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uważa, że należy </w:t>
            </w:r>
            <w:r>
              <w:rPr>
                <w:b/>
                <w:i/>
              </w:rPr>
              <w:t>ustanowić alternatywny mechanizm</w:t>
            </w:r>
            <w:r>
              <w:t xml:space="preserve"> rozstrzygania sporów dotyczących ESSU, aby zapewnić szybkie i fachowe rozstrzyganie sporów; </w:t>
            </w:r>
            <w:r>
              <w:rPr>
                <w:b/>
                <w:i/>
              </w:rPr>
              <w:t>uważa ponadto, że państwa członkowskie powinny rozważyć utworzenie w swoich sądach krajowych specjalnego zespołu ds. sporów między przedsiębiorstwami dotyczących ESSU oraz że takie specjalne zespoły powinny mieć możliwość rozstrzygania sporów w języku angielskim;</w:t>
            </w:r>
          </w:p>
        </w:tc>
        <w:tc>
          <w:tcPr>
            <w:tcW w:w="4876" w:type="dxa"/>
            <w:tcBorders>
              <w:top w:val="nil"/>
              <w:left w:val="nil"/>
              <w:bottom w:val="nil"/>
              <w:right w:val="nil"/>
            </w:tcBorders>
          </w:tcPr>
          <w:p>
            <w:pPr>
              <w:pStyle w:val="Normal6a"/>
            </w:pPr>
            <w:r>
              <w:t>23.</w:t>
            </w:r>
            <w:r>
              <w:tab/>
            </w:r>
            <w:r>
              <w:t xml:space="preserve">uważa, że należy </w:t>
            </w:r>
            <w:r>
              <w:rPr>
                <w:b/>
                <w:i/>
              </w:rPr>
              <w:t>wprowadzić korzystanie z instrumentów zapobiegania sporom oraz alternatywnych mechanizmów</w:t>
            </w:r>
            <w:r>
              <w:t xml:space="preserve"> rozstrzygania sporów dotyczących </w:t>
            </w:r>
            <w:r>
              <w:rPr>
                <w:b/>
                <w:i/>
              </w:rPr>
              <w:t>udziałowców</w:t>
            </w:r>
            <w:r>
              <w:t xml:space="preserve"> ESSU, aby zapewnić szybkie i fachowe rozstrzyganie sporów;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uważa, że należy ustanowić alternatywny mechanizm rozstrzygania sporów dotyczących ESSU, aby zapewnić szybkie i fachowe rozstrzyganie sporów; uważa ponadto, że państwa członkowskie powinny rozważyć utworzenie w swoich sądach krajowych specjalnego zespołu ds. sporów między przedsiębiorstwami dotyczących ESSU oraz że takie specjalne zespoły powinny mieć możliwość rozstrzygania sporów w języku angielskim;</w:t>
            </w:r>
          </w:p>
        </w:tc>
        <w:tc>
          <w:tcPr>
            <w:tcW w:w="4876" w:type="dxa"/>
            <w:tcBorders>
              <w:top w:val="nil"/>
              <w:left w:val="nil"/>
              <w:bottom w:val="nil"/>
              <w:right w:val="nil"/>
            </w:tcBorders>
          </w:tcPr>
          <w:p>
            <w:pPr>
              <w:pStyle w:val="Normal6a"/>
            </w:pPr>
            <w:r>
              <w:t>23.</w:t>
            </w:r>
            <w:r>
              <w:tab/>
            </w:r>
            <w:r>
              <w:t xml:space="preserve">uważa, że należy ustanowić alternatywny mechanizm rozstrzygania sporów dotyczących ESSU, aby zapewnić szybkie i fachowe rozstrzyganie sporów; uważa ponadto, że państwa członkowskie powinny rozważyć utworzenie w swoich sądach krajowych specjalnego zespołu ds. sporów między przedsiębiorstwami dotyczących ESSU oraz że </w:t>
            </w:r>
            <w:r>
              <w:rPr>
                <w:b/>
                <w:i/>
              </w:rPr>
              <w:t>zespół taki powinien być w stanie podejmować szybko i skutecznie decyzje;</w:t>
            </w:r>
            <w:r>
              <w:t xml:space="preserve"> takie specjalne zespoły powinny mieć możliwość rozstrzygania sporów </w:t>
            </w:r>
            <w:r>
              <w:rPr>
                <w:b/>
                <w:i/>
              </w:rPr>
              <w:t>także</w:t>
            </w:r>
            <w:r>
              <w:t xml:space="preserve"> w języku angielskim</w:t>
            </w:r>
            <w:r>
              <w:rPr>
                <w:b/>
                <w:i/>
              </w:rPr>
              <w:t>, jeśli wystąpi o to co najmniej jedna ze stron</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23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podkreśla, że przyciąganie największych talentów ma zasadnicze znaczenie dla wzrostu i innowacji oraz że przedsiębiorstwa często napotykają trudności w zapewnianiu odpowiednich zachęt finansowych swoim pracownikom;</w:t>
            </w:r>
            <w:r>
              <w:t xml:space="preserve"> </w:t>
            </w:r>
            <w:r>
              <w:rPr>
                <w:b/>
                <w:i/>
              </w:rPr>
              <w:t>podkreśla, że ESSU powinny zapewnić opcjonalne zharmonizowane przepisy w całej Unii dotyczące planów opcji na akcje dla pracowników, wspierane przez specjalnego pośrednika;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23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23b.</w:t>
            </w:r>
            <w:r>
              <w:tab/>
            </w:r>
            <w:r>
              <w:rPr>
                <w:b/>
                <w:i/>
              </w:rPr>
              <w:t>podkreśla, że wprowadzenie formy przedsiębiorstwa ESSU powinno umożliwić przedsiębiorstwom bezpośrednie zatrudnianie talentów i zarządzanie nimi w różnych państwach członkowskich bez konieczności korzystania z usług zarejestrowanych pracodawców lub podobnych pośredników;</w:t>
            </w:r>
            <w:r>
              <w:t xml:space="preserve"> </w:t>
            </w:r>
            <w:r>
              <w:rPr>
                <w:b/>
                <w:i/>
              </w:rPr>
              <w:t>podkreśla, że ta udoskonalona zdolność do transgranicznego zatrudnienia zmniejszy obciążenia administracyjne i ułatwi swobodny przepływ pracowników i usług w Unii, przy pełnym poszanowaniu obowiązujących krajowych przepisów prawa pracy i przepisów dotyczących zabezpieczenia społecznego;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zwraca się do Komisji o przedłożenie do pierwszego kwartału 2026 r., na podstawie art. 50 i art. 114 TFUE, wniosku dotyczącego dyrektywy zgodnie z zaleceniami zawartymi w załączniku do niniejszej rezolucji;</w:t>
            </w:r>
          </w:p>
        </w:tc>
        <w:tc>
          <w:tcPr>
            <w:tcW w:w="4876" w:type="dxa"/>
            <w:tcBorders>
              <w:top w:val="nil"/>
              <w:left w:val="nil"/>
              <w:bottom w:val="nil"/>
              <w:right w:val="nil"/>
            </w:tcBorders>
          </w:tcPr>
          <w:p>
            <w:pPr>
              <w:pStyle w:val="Normal6a"/>
            </w:pPr>
            <w:r>
              <w:t>24.</w:t>
            </w:r>
            <w:r>
              <w:tab/>
            </w:r>
            <w:r>
              <w:t xml:space="preserve">zwraca się do Komisji o przedłożenie do pierwszego kwartału 2026 r., na podstawie art. 50 i art. 114 TFUE, wniosku dotyczącego dyrektywy zgodnie z zaleceniami zawartymi w załączniku do niniejszej rezolucji </w:t>
            </w:r>
            <w:r>
              <w:rPr>
                <w:b/>
                <w:i/>
              </w:rPr>
              <w:t>i zaleca, aby Komisja wraz z wnioskiem przedstawiła również podzielony na etapy plan wdrażania obejmujący wsparcie dla państw członkowskich o ograniczonych zasobach i regularne środki oceny skutków</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zwraca się do Komisji o przedłożenie do pierwszego kwartału 2026 r., na podstawie art. </w:t>
            </w:r>
            <w:r>
              <w:rPr>
                <w:b/>
                <w:i/>
              </w:rPr>
              <w:t>50 i art. 114</w:t>
            </w:r>
            <w:r>
              <w:t xml:space="preserve"> TFUE, wniosku dotyczącego </w:t>
            </w:r>
            <w:r>
              <w:rPr>
                <w:b/>
                <w:i/>
              </w:rPr>
              <w:t>dyrektywy</w:t>
            </w:r>
            <w:r>
              <w:t xml:space="preserve"> zgodnie z zaleceniami zawartymi w załączniku </w:t>
            </w:r>
            <w:r>
              <w:rPr>
                <w:b/>
                <w:i/>
              </w:rPr>
              <w:t>do niniejszej rezolucji;</w:t>
            </w:r>
          </w:p>
        </w:tc>
        <w:tc>
          <w:tcPr>
            <w:tcW w:w="4876" w:type="dxa"/>
            <w:tcBorders>
              <w:top w:val="nil"/>
              <w:left w:val="nil"/>
              <w:bottom w:val="nil"/>
              <w:right w:val="nil"/>
            </w:tcBorders>
          </w:tcPr>
          <w:p>
            <w:pPr>
              <w:pStyle w:val="Normal6a"/>
            </w:pPr>
            <w:r>
              <w:t>24.</w:t>
            </w:r>
            <w:r>
              <w:tab/>
            </w:r>
            <w:r>
              <w:t xml:space="preserve">zwraca się do Komisji o przedłożenie do pierwszego kwartału 2026 r., na podstawie art. </w:t>
            </w:r>
            <w:r>
              <w:rPr>
                <w:b/>
                <w:i/>
              </w:rPr>
              <w:t>352 ust. 1</w:t>
            </w:r>
            <w:r>
              <w:t xml:space="preserve"> TFUE, wniosku dotyczącego </w:t>
            </w:r>
            <w:r>
              <w:rPr>
                <w:b/>
                <w:i/>
              </w:rPr>
              <w:t>rozporządzenia</w:t>
            </w:r>
            <w:r>
              <w:t xml:space="preserve"> zgodnie z zaleceniami zawartymi w załączniku</w:t>
            </w:r>
            <w:r>
              <w:rPr>
                <w:b/>
                <w:i/>
              </w:rP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zwraca się do Komisji o przedłożenie do pierwszego kwartału 2026 r.</w:t>
            </w:r>
            <w:r>
              <w:rPr>
                <w:b/>
                <w:i/>
              </w:rPr>
              <w:t>, na podstawie art. 50 i art. 114 TFUE,</w:t>
            </w:r>
            <w:r>
              <w:t xml:space="preserve"> wniosku dotyczącego </w:t>
            </w:r>
            <w:r>
              <w:rPr>
                <w:b/>
                <w:i/>
              </w:rPr>
              <w:t>dyrektywy</w:t>
            </w:r>
            <w:r>
              <w:t xml:space="preserve"> zgodnie z zaleceniami zawartymi w załączniku do niniejszej rezolucji;</w:t>
            </w:r>
          </w:p>
        </w:tc>
        <w:tc>
          <w:tcPr>
            <w:tcW w:w="4876" w:type="dxa"/>
            <w:tcBorders>
              <w:top w:val="nil"/>
              <w:left w:val="nil"/>
              <w:bottom w:val="nil"/>
              <w:right w:val="nil"/>
            </w:tcBorders>
          </w:tcPr>
          <w:p>
            <w:pPr>
              <w:pStyle w:val="Normal6a"/>
            </w:pPr>
            <w:r>
              <w:t>24.</w:t>
            </w:r>
            <w:r>
              <w:tab/>
            </w:r>
            <w:r>
              <w:t xml:space="preserve">zwraca się do Komisji o przedłożenie do pierwszego kwartału 2026 r. wniosku dotyczącego </w:t>
            </w:r>
            <w:r>
              <w:rPr>
                <w:b/>
                <w:i/>
              </w:rPr>
              <w:t>rozporządzenia</w:t>
            </w:r>
            <w:r>
              <w:t xml:space="preserve"> zgodnie z zaleceniami zawartymi w załączniku do niniejszej rezolucji;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zwraca się do Komisji o przedłożenie do pierwszego kwartału 2026 r.</w:t>
            </w:r>
            <w:r>
              <w:rPr>
                <w:b/>
                <w:i/>
              </w:rPr>
              <w:t>, na podstawie art. 50 i art. 114 TFUE,</w:t>
            </w:r>
            <w:r>
              <w:t xml:space="preserve"> wniosku dotyczącego </w:t>
            </w:r>
            <w:r>
              <w:rPr>
                <w:b/>
                <w:i/>
              </w:rPr>
              <w:t>dyrektywy</w:t>
            </w:r>
            <w:r>
              <w:t xml:space="preserve"> zgodnie z zaleceniami zawartymi w załączniku do niniejszej rezolucji;</w:t>
            </w:r>
          </w:p>
        </w:tc>
        <w:tc>
          <w:tcPr>
            <w:tcW w:w="4876" w:type="dxa"/>
            <w:tcBorders>
              <w:top w:val="nil"/>
              <w:left w:val="nil"/>
              <w:bottom w:val="nil"/>
              <w:right w:val="nil"/>
            </w:tcBorders>
          </w:tcPr>
          <w:p>
            <w:pPr>
              <w:pStyle w:val="Normal6a"/>
            </w:pPr>
            <w:r>
              <w:t>24.</w:t>
            </w:r>
            <w:r>
              <w:tab/>
            </w:r>
            <w:r>
              <w:t xml:space="preserve">zwraca się do Komisji o przedłożenie do pierwszego kwartału 2026 r. wniosku dotyczącego </w:t>
            </w:r>
            <w:r>
              <w:rPr>
                <w:b/>
                <w:i/>
              </w:rPr>
              <w:t>rozporządzenia</w:t>
            </w:r>
            <w:r>
              <w:t xml:space="preserve"> zgodnie z zaleceniami zawartymi w załączniku do niniejszej rezolucji</w:t>
            </w:r>
            <w:r>
              <w:rPr>
                <w:b/>
                <w:i/>
              </w:rPr>
              <w:t>, w myśl zasad lepszego stanowienia prawa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zwraca się do Komisji o przedłożenie do pierwszego kwartału 2026 r., na podstawie art. 50 </w:t>
            </w:r>
            <w:r>
              <w:rPr>
                <w:b/>
                <w:i/>
              </w:rPr>
              <w:t>i art. 114</w:t>
            </w:r>
            <w:r>
              <w:t xml:space="preserve"> TFUE, wniosku dotyczącego dyrektywy zgodnie z zaleceniami zawartymi w załączniku do niniejszej rezolucji;</w:t>
            </w:r>
          </w:p>
        </w:tc>
        <w:tc>
          <w:tcPr>
            <w:tcW w:w="4876" w:type="dxa"/>
            <w:tcBorders>
              <w:top w:val="nil"/>
              <w:left w:val="nil"/>
              <w:bottom w:val="nil"/>
              <w:right w:val="nil"/>
            </w:tcBorders>
          </w:tcPr>
          <w:p>
            <w:pPr>
              <w:pStyle w:val="Normal6a"/>
            </w:pPr>
            <w:r>
              <w:t>24.</w:t>
            </w:r>
            <w:r>
              <w:tab/>
            </w:r>
            <w:r>
              <w:t>zwraca się do Komisji o przedłożenie do pierwszego kwartału 2026 r., na podstawie art. 50 TFUE, wniosku dotyczącego dyrektywy zgodnie z zaleceniami zawartymi w załączniku do niniejszej rezolucji;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1 – akapit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Parlament proponuje, aby formę korporacyjną objętą 28. systemem prawnym nazwać „europejską spółką start-up i scale-up” (ESSU). ESSU nie powinna być niezależną ogólnoeuropejską formą korporacyjną, lecz krajową formą korporacyjną istniejącą we wszystkich państwach członkowskich, zawierającą określone elementy zharmonizowane prawem Unii. Skrót „ESSU” należy dodać do istniejących krajowych skrótów form korporacyjnych.</w:t>
            </w:r>
          </w:p>
        </w:tc>
        <w:tc>
          <w:tcPr>
            <w:tcW w:w="4876" w:type="dxa"/>
            <w:tcBorders>
              <w:top w:val="nil"/>
              <w:left w:val="nil"/>
              <w:bottom w:val="nil"/>
              <w:right w:val="nil"/>
            </w:tcBorders>
          </w:tcPr>
          <w:p>
            <w:pPr>
              <w:pStyle w:val="Normal6a"/>
            </w:pPr>
            <w:r>
              <w:t xml:space="preserve">Parlament proponuje, aby formę korporacyjną objętą 28. systemem prawnym nazwać „europejską spółką start-up i scale-up” (ESSU). </w:t>
            </w:r>
            <w:r>
              <w:rPr>
                <w:b/>
                <w:i/>
              </w:rPr>
              <w:t>Aby osiągnąć ambitne założenia, Parlament nalega na przyjęcie ESSU w oparciu o podstawę prawną, która przewiduje zwykłą procedurę ustawodawczą z głosowaniem większością kwalifikowaną w Radzie.</w:t>
            </w:r>
            <w:r>
              <w:t xml:space="preserve"> </w:t>
            </w:r>
            <w:r>
              <w:rPr>
                <w:b/>
                <w:i/>
              </w:rPr>
              <w:t>W związku z tym może zaistnieć konieczność przyjęcia ESSU w drodze zestawu aktów prawnych zamiast jednego kompleksowego aktu prawnego.</w:t>
            </w:r>
            <w:r>
              <w:t xml:space="preserve"> </w:t>
            </w:r>
            <w:r>
              <w:rPr>
                <w:b/>
                <w:i/>
              </w:rPr>
              <w:t>Aspekty odnoszące się do prawa spółek będą musiały zostać przyjęte na mocy art. 50 i art. 114 ust. 1 TFUE, które umożliwiają jedynie przyjmowanie dyrektyw.</w:t>
            </w:r>
            <w:r>
              <w:t xml:space="preserve"> </w:t>
            </w:r>
            <w:r>
              <w:rPr>
                <w:b/>
                <w:i/>
              </w:rPr>
              <w:t>W związku z powyższym</w:t>
            </w:r>
            <w:r>
              <w:t xml:space="preserve"> ESSU nie powinna być niezależną ogólnoeuropejską formą korporacyjną, lecz krajową formą korporacyjną istniejącą we wszystkich państwach członkowskich, zawierającą określone elementy zharmonizowane prawem Unii. Skrót „ESSU” należy dodać do istniejących krajowych skrótów form korporacyjnych.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1 – akapit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Parlament proponuje, aby formę korporacyjną objętą 28. systemem prawnym nazwać „europejską spółką start-up i scale-up” (ESSU). </w:t>
            </w:r>
            <w:r>
              <w:rPr>
                <w:b/>
                <w:i/>
              </w:rPr>
              <w:t>ESSU nie powinna być niezależną ogólnoeuropejską formą korporacyjną, lecz krajową formą korporacyjną istniejącą we wszystkich państwach członkowskich, zawierającą określone elementy zharmonizowane prawem Unii. Skrót „ESSU” należy dodać do istniejących krajowych skrótów form korporacyjnych.</w:t>
            </w:r>
          </w:p>
        </w:tc>
        <w:tc>
          <w:tcPr>
            <w:tcW w:w="4876" w:type="dxa"/>
            <w:tcBorders>
              <w:top w:val="nil"/>
              <w:left w:val="nil"/>
              <w:bottom w:val="nil"/>
              <w:right w:val="nil"/>
            </w:tcBorders>
          </w:tcPr>
          <w:p>
            <w:pPr>
              <w:pStyle w:val="Normal6a"/>
            </w:pPr>
            <w:r>
              <w:t>Parlament proponuje, aby formę korporacyjną objętą 28. systemem prawnym nazwać „europejską spółką start-up i scale-up” (ESSU).</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1 – akapit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Parlament proponuje, aby formę korporacyjną objętą 28. systemem prawnym nazwać „europejską spółką start-up i scale-up” (ESSU). </w:t>
            </w:r>
            <w:r>
              <w:rPr>
                <w:b/>
                <w:i/>
              </w:rPr>
              <w:t>ESSU nie powinna być niezależną ogólnoeuropejską formą korporacyjną, lecz krajową formą korporacyjną istniejącą we wszystkich państwach członkowskich, zawierającą określone elementy zharmonizowane prawem Unii. Skrót „ESSU” należy dodać do istniejących krajowych skrótów form korporacyjnych.</w:t>
            </w:r>
          </w:p>
        </w:tc>
        <w:tc>
          <w:tcPr>
            <w:tcW w:w="4876" w:type="dxa"/>
            <w:tcBorders>
              <w:top w:val="nil"/>
              <w:left w:val="nil"/>
              <w:bottom w:val="nil"/>
              <w:right w:val="nil"/>
            </w:tcBorders>
          </w:tcPr>
          <w:p>
            <w:pPr>
              <w:pStyle w:val="Normal6a"/>
            </w:pPr>
            <w:r>
              <w:t>Parlament proponuje, aby formę korporacyjną objętą 28. systemem prawnym nazwać „europejską spółką start-up i scale-up” (ESSU).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1 – akapit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Parlament proponuje, aby formę korporacyjną objętą 28. systemem prawnym nazwać </w:t>
            </w:r>
            <w:r>
              <w:rPr>
                <w:b/>
                <w:i/>
              </w:rPr>
              <w:t>„europejską</w:t>
            </w:r>
            <w:r>
              <w:t xml:space="preserve"> spółką </w:t>
            </w:r>
            <w:r>
              <w:rPr>
                <w:b/>
                <w:i/>
              </w:rPr>
              <w:t>start-up i scale-up” (ESSU</w:t>
            </w:r>
            <w:r>
              <w:t xml:space="preserve">). </w:t>
            </w:r>
            <w:r>
              <w:rPr>
                <w:b/>
                <w:i/>
              </w:rPr>
              <w:t>ESSU</w:t>
            </w:r>
            <w:r>
              <w:t xml:space="preserve"> nie powinna być niezależną ogólnoeuropejską formą korporacyjną, lecz krajową formą korporacyjną istniejącą we wszystkich państwach członkowskich, </w:t>
            </w:r>
            <w:r>
              <w:rPr>
                <w:b/>
                <w:i/>
              </w:rPr>
              <w:t>zawierającą określone elementy zharmonizowane</w:t>
            </w:r>
            <w:r>
              <w:t xml:space="preserve"> prawem Unii. Skrót „</w:t>
            </w:r>
            <w:r>
              <w:rPr>
                <w:b/>
                <w:i/>
              </w:rPr>
              <w:t>ESSU</w:t>
            </w:r>
            <w:r>
              <w:t>” należy dodać do istniejących krajowych skrótów form korporacyjnych.</w:t>
            </w:r>
          </w:p>
        </w:tc>
        <w:tc>
          <w:tcPr>
            <w:tcW w:w="4876" w:type="dxa"/>
            <w:tcBorders>
              <w:top w:val="nil"/>
              <w:left w:val="nil"/>
              <w:bottom w:val="nil"/>
              <w:right w:val="nil"/>
            </w:tcBorders>
          </w:tcPr>
          <w:p>
            <w:pPr>
              <w:pStyle w:val="Normal6a"/>
            </w:pPr>
            <w:r>
              <w:t xml:space="preserve">Parlament proponuje, aby formę korporacyjną objętą 28. systemem prawnym nazwać spółką </w:t>
            </w:r>
            <w:r>
              <w:rPr>
                <w:b/>
                <w:i/>
              </w:rPr>
              <w:t>o „uproszczonym statusie europejskim” (SES</w:t>
            </w:r>
            <w:r>
              <w:t xml:space="preserve">). </w:t>
            </w:r>
            <w:r>
              <w:rPr>
                <w:b/>
                <w:i/>
              </w:rPr>
              <w:t>SES</w:t>
            </w:r>
            <w:r>
              <w:t xml:space="preserve"> nie powinna być niezależną ogólnoeuropejską formą korporacyjną, lecz krajową formą korporacyjną istniejącą we wszystkich państwach członkowskich, </w:t>
            </w:r>
            <w:r>
              <w:rPr>
                <w:b/>
                <w:i/>
              </w:rPr>
              <w:t>która musi zawierać większość elementów zharmonizowanych</w:t>
            </w:r>
            <w:r>
              <w:t xml:space="preserve"> prawem Unii</w:t>
            </w:r>
            <w:r>
              <w:rPr>
                <w:b/>
                <w:i/>
              </w:rPr>
              <w:t>, aby uniknąć nadmiernie rygorystycznego wdrażania i SES zróżnicowanych w poszczególnych krajach, co byłoby sprzeczne z celem 28. systemu prawnego</w:t>
            </w:r>
            <w:r>
              <w:t>. Skrót „</w:t>
            </w:r>
            <w:r>
              <w:rPr>
                <w:b/>
                <w:i/>
              </w:rPr>
              <w:t>SES</w:t>
            </w:r>
            <w:r>
              <w:t>” należy dodać do istniejących krajowych skrótów form korporacyjnych.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1 – akapit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ESSU</w:t>
            </w:r>
            <w:r>
              <w:t xml:space="preserve"> powinna </w:t>
            </w:r>
            <w:r>
              <w:rPr>
                <w:b/>
                <w:i/>
              </w:rPr>
              <w:t>opierać się na formach korporacyjnych ustanowionych na mocy prawa krajowego.</w:t>
            </w:r>
            <w:r>
              <w:t xml:space="preserve"> </w:t>
            </w:r>
            <w:r>
              <w:rPr>
                <w:b/>
                <w:i/>
              </w:rPr>
              <w:t>Państwa członkowskie powinny mieć wybór, czy zezwolić istniejącym krajowym formom korporacyjnym na przekształcenie się w ESSU, czy też stworzyć nową krajową formę korporacyjną</w:t>
            </w:r>
            <w:r>
              <w:t>. Założyciele lub właściciele krajowych form korporacyjnych powinni mieć możliwość dobrowolnego przystąpienia do nowego systemu</w:t>
            </w:r>
            <w:r>
              <w:rPr>
                <w:b/>
                <w:i/>
              </w:rPr>
              <w:t>, który pozwoliłby na</w:t>
            </w:r>
            <w:r>
              <w:t xml:space="preserve"> korzystanie z oznaczenia przedsiębiorstwa jako „ESSU”.</w:t>
            </w:r>
          </w:p>
        </w:tc>
        <w:tc>
          <w:tcPr>
            <w:tcW w:w="4876" w:type="dxa"/>
            <w:tcBorders>
              <w:top w:val="nil"/>
              <w:left w:val="nil"/>
              <w:bottom w:val="nil"/>
              <w:right w:val="nil"/>
            </w:tcBorders>
          </w:tcPr>
          <w:p>
            <w:pPr>
              <w:pStyle w:val="Normal6a"/>
            </w:pPr>
            <w:r>
              <w:rPr>
                <w:b/>
                <w:i/>
              </w:rPr>
              <w:t>Wraz z ESSU wprowadzony zostanie nowy i autonomiczny europejski system regulacyjny i</w:t>
            </w:r>
            <w:r>
              <w:t xml:space="preserve"> powinna </w:t>
            </w:r>
            <w:r>
              <w:rPr>
                <w:b/>
                <w:i/>
              </w:rPr>
              <w:t>zostać określona nowa forma organizacyjno-prawna przedsiębiorstwa, zgodnie z prawem Unii i art. 352 ust. 1 TFUE, za pomocą instrumentu regulacyjnego, jakim jest rozporządzenie, bez konieczności transpozycji do krajowych przepisów dotyczących form organizacyjno-prawnych przedsiębiorstwa.</w:t>
            </w:r>
            <w:r>
              <w:t xml:space="preserve"> </w:t>
            </w:r>
            <w:r>
              <w:rPr>
                <w:b/>
                <w:i/>
              </w:rPr>
              <w:t>Utworzenie odbędzie się za pośrednictwem jednego rejestru na szczeblu UE i będzie miało skutki prawne w całej Unii</w:t>
            </w:r>
            <w:r>
              <w:t xml:space="preserve">. Założyciele lub właściciele krajowych form korporacyjnych powinni mieć możliwość dobrowolnego przystąpienia do nowego systemu </w:t>
            </w:r>
            <w:r>
              <w:rPr>
                <w:b/>
                <w:i/>
              </w:rPr>
              <w:t>w drodze ustrukturyzowanej transformacji zgodnie z mającymi zastosowanie wymogami prawnymi, które umożliwiłyby</w:t>
            </w:r>
            <w:r>
              <w:t xml:space="preserve"> korzystanie z oznaczenia przedsiębiorstwa jako „ESSU”.</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1 – akapit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ESSU powinna opierać się na formach </w:t>
            </w:r>
            <w:r>
              <w:rPr>
                <w:b/>
                <w:i/>
              </w:rPr>
              <w:t>korporacyjnych</w:t>
            </w:r>
            <w:r>
              <w:t xml:space="preserve"> ustanowionych na mocy prawa krajowego. Państwa członkowskie powinny mieć wybór, czy zezwolić </w:t>
            </w:r>
            <w:r>
              <w:rPr>
                <w:b/>
                <w:i/>
              </w:rPr>
              <w:t>istniejącym krajowym formom korporacyjnym</w:t>
            </w:r>
            <w:r>
              <w:t xml:space="preserve"> na przekształcenie </w:t>
            </w:r>
            <w:r>
              <w:rPr>
                <w:b/>
                <w:i/>
              </w:rPr>
              <w:t>się</w:t>
            </w:r>
            <w:r>
              <w:t xml:space="preserve"> w ESSU, czy też stworzyć nową </w:t>
            </w:r>
            <w:r>
              <w:rPr>
                <w:b/>
                <w:i/>
              </w:rPr>
              <w:t>krajową</w:t>
            </w:r>
            <w:r>
              <w:t xml:space="preserve"> formę </w:t>
            </w:r>
            <w:r>
              <w:rPr>
                <w:b/>
                <w:i/>
              </w:rPr>
              <w:t>korporacyjną.</w:t>
            </w:r>
            <w:r>
              <w:t xml:space="preserve"> </w:t>
            </w:r>
            <w:r>
              <w:rPr>
                <w:b/>
                <w:i/>
              </w:rPr>
              <w:t>Założyciele lub właściciele krajowych form korporacyjnych powinni mieć możliwość dobrowolnego przystąpienia do nowego systemu, który pozwoliłby na korzystanie z oznaczenia przedsiębiorstwa jako „ESSU”</w:t>
            </w:r>
            <w:r>
              <w:t>.</w:t>
            </w:r>
          </w:p>
        </w:tc>
        <w:tc>
          <w:tcPr>
            <w:tcW w:w="4876" w:type="dxa"/>
            <w:tcBorders>
              <w:top w:val="nil"/>
              <w:left w:val="nil"/>
              <w:bottom w:val="nil"/>
              <w:right w:val="nil"/>
            </w:tcBorders>
          </w:tcPr>
          <w:p>
            <w:pPr>
              <w:pStyle w:val="Normal6a"/>
            </w:pPr>
            <w:r>
              <w:t xml:space="preserve">ESSU powinna opierać się na formach </w:t>
            </w:r>
            <w:r>
              <w:rPr>
                <w:b/>
                <w:i/>
              </w:rPr>
              <w:t>spółki z ograniczoną odpowiedzialnością już</w:t>
            </w:r>
            <w:r>
              <w:t xml:space="preserve"> ustanowionych na mocy prawa krajowego </w:t>
            </w:r>
            <w:r>
              <w:rPr>
                <w:b/>
                <w:i/>
              </w:rPr>
              <w:t>i zgodnie z dyrektywą (UE) 2017/1132, dyrektywą 2009/102/WE i dyrektywą 2013/34/UE</w:t>
            </w:r>
            <w:r>
              <w:t xml:space="preserve">. Państwa członkowskie powinny mieć wybór, czy </w:t>
            </w:r>
            <w:r>
              <w:rPr>
                <w:b/>
                <w:i/>
              </w:rPr>
              <w:t>chcą</w:t>
            </w:r>
            <w:r>
              <w:t xml:space="preserve"> zezwolić na </w:t>
            </w:r>
            <w:r>
              <w:rPr>
                <w:b/>
                <w:i/>
              </w:rPr>
              <w:t>przemianowanie istniejących krajowych form spółek z ograniczoną odpowiedzialnością lub</w:t>
            </w:r>
            <w:r>
              <w:t xml:space="preserve"> przekształcenie </w:t>
            </w:r>
            <w:r>
              <w:rPr>
                <w:b/>
                <w:i/>
              </w:rPr>
              <w:t>ich</w:t>
            </w:r>
            <w:r>
              <w:t xml:space="preserve"> w ESSU, czy też stworzyć nową formę </w:t>
            </w:r>
            <w:r>
              <w:rPr>
                <w:b/>
                <w:i/>
              </w:rPr>
              <w:t>spółki z ograniczoną odpowiedzialnością na mocy prawa krajowego, która nadal podlega bezpośrednio dorobkowi prawnemu mającemu zastosowanie do spółek z ograniczoną odpowiedzialnością, a w szczególności dyrektywie (UE) 2017/1132, dyrektywie 2009/102/WE i dyrektywie 2013/34/UE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1 – akapit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ESSU powinna opierać się na formach korporacyjnych ustanowionych na mocy prawa krajowego.</w:t>
            </w:r>
            <w:r>
              <w:t xml:space="preserve"> Państwa członkowskie powinny </w:t>
            </w:r>
            <w:r>
              <w:rPr>
                <w:b/>
                <w:i/>
              </w:rPr>
              <w:t>mieć wybór, czy zezwolić istniejącym krajowym formom korporacyjnym na przekształcenie się w ESSU, czy też</w:t>
            </w:r>
            <w:r>
              <w:t xml:space="preserve"> stworzyć nową krajową formę korporacyjną. Założyciele lub właściciele krajowych form korporacyjnych powinni mieć możliwość dobrowolnego przystąpienia do nowego systemu, który pozwoliłby na korzystanie z oznaczenia przedsiębiorstwa jako „ESSU”.</w:t>
            </w:r>
          </w:p>
        </w:tc>
        <w:tc>
          <w:tcPr>
            <w:tcW w:w="4876" w:type="dxa"/>
            <w:tcBorders>
              <w:top w:val="nil"/>
              <w:left w:val="nil"/>
              <w:bottom w:val="nil"/>
              <w:right w:val="nil"/>
            </w:tcBorders>
          </w:tcPr>
          <w:p>
            <w:pPr>
              <w:pStyle w:val="Normal6a"/>
            </w:pPr>
            <w:r>
              <w:t xml:space="preserve">Państwa członkowskie powinny stworzyć nową krajową formę korporacyjną </w:t>
            </w:r>
            <w:r>
              <w:rPr>
                <w:b/>
                <w:i/>
              </w:rPr>
              <w:t>– ESSU</w:t>
            </w:r>
            <w:r>
              <w:t>. Założyciele lub właściciele krajowych form korporacyjnych powinni mieć możliwość dobrowolnego przystąpienia do nowego systemu, który pozwoliłby na korzystanie z oznaczenia przedsiębiorstwa jako „ESSU”.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1 – akapit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ESSU powinna opierać się na formach korporacyjnych ustanowionych na mocy prawa krajowego.</w:t>
            </w:r>
            <w:r>
              <w:t xml:space="preserve"> Państwa członkowskie powinny </w:t>
            </w:r>
            <w:r>
              <w:rPr>
                <w:b/>
                <w:i/>
              </w:rPr>
              <w:t>mieć wybór, czy zezwolić istniejącym krajowym formom korporacyjnym na przekształcenie się w ESSU, czy też stworzyć</w:t>
            </w:r>
            <w:r>
              <w:t xml:space="preserve"> nową krajową formę korporacyjną. Założyciele lub właściciele krajowych form korporacyjnych powinni mieć możliwość dobrowolnego przystąpienia do nowego systemu, który pozwoliłby na korzystanie z oznaczenia przedsiębiorstwa jako „ESSU”.</w:t>
            </w:r>
          </w:p>
        </w:tc>
        <w:tc>
          <w:tcPr>
            <w:tcW w:w="4876" w:type="dxa"/>
            <w:tcBorders>
              <w:top w:val="nil"/>
              <w:left w:val="nil"/>
              <w:bottom w:val="nil"/>
              <w:right w:val="nil"/>
            </w:tcBorders>
          </w:tcPr>
          <w:p>
            <w:pPr>
              <w:pStyle w:val="Normal6a"/>
            </w:pPr>
            <w:r>
              <w:t xml:space="preserve">Państwa członkowskie powinny </w:t>
            </w:r>
            <w:r>
              <w:rPr>
                <w:b/>
                <w:i/>
              </w:rPr>
              <w:t>utworzyć ESSU jako</w:t>
            </w:r>
            <w:r>
              <w:t xml:space="preserve"> nową krajową formę korporacyjną. Założyciele lub właściciele krajowych form korporacyjnych powinni mieć możliwość dobrowolnego przystąpienia do nowego systemu, który pozwoliłby na korzystanie z oznaczenia przedsiębiorstwa jako „ESSU”.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1 – akapit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ESSU powinna opierać się na formach </w:t>
            </w:r>
            <w:r>
              <w:rPr>
                <w:b/>
                <w:i/>
              </w:rPr>
              <w:t>korporacyjnych</w:t>
            </w:r>
            <w:r>
              <w:t xml:space="preserve"> ustanowionych na mocy prawa krajowego</w:t>
            </w:r>
            <w:r>
              <w:rPr>
                <w:b/>
                <w:i/>
              </w:rPr>
              <w:t>.</w:t>
            </w:r>
            <w:r>
              <w:t xml:space="preserve"> Państwa członkowskie powinny mieć </w:t>
            </w:r>
            <w:r>
              <w:rPr>
                <w:b/>
                <w:i/>
              </w:rPr>
              <w:t>wybór</w:t>
            </w:r>
            <w:r>
              <w:t xml:space="preserve">, czy zezwolić </w:t>
            </w:r>
            <w:r>
              <w:rPr>
                <w:b/>
                <w:i/>
              </w:rPr>
              <w:t>istniejącym krajowym formom korporacyjnym</w:t>
            </w:r>
            <w:r>
              <w:t xml:space="preserve"> na przekształcenie </w:t>
            </w:r>
            <w:r>
              <w:rPr>
                <w:b/>
                <w:i/>
              </w:rPr>
              <w:t>się</w:t>
            </w:r>
            <w:r>
              <w:t xml:space="preserve"> w ESSU, czy też </w:t>
            </w:r>
            <w:r>
              <w:rPr>
                <w:b/>
                <w:i/>
              </w:rPr>
              <w:t>stworzyć nową krajową formę korporacyjną.</w:t>
            </w:r>
            <w:r>
              <w:t xml:space="preserve"> </w:t>
            </w:r>
            <w:r>
              <w:rPr>
                <w:b/>
                <w:i/>
              </w:rPr>
              <w:t>Założyciele lub właściciele krajowych form korporacyjnych powinni mieć możliwość dobrowolnego przystąpienia do nowego systemu, który pozwoliłby na korzystanie z oznaczenia przedsiębiorstwa jako „ESSU”</w:t>
            </w:r>
            <w:r>
              <w:t>.</w:t>
            </w:r>
          </w:p>
        </w:tc>
        <w:tc>
          <w:tcPr>
            <w:tcW w:w="4876" w:type="dxa"/>
            <w:tcBorders>
              <w:top w:val="nil"/>
              <w:left w:val="nil"/>
              <w:bottom w:val="nil"/>
              <w:right w:val="nil"/>
            </w:tcBorders>
          </w:tcPr>
          <w:p>
            <w:pPr>
              <w:pStyle w:val="Normal6a"/>
            </w:pPr>
            <w:r>
              <w:t xml:space="preserve">ESSU powinna opierać się na formach </w:t>
            </w:r>
            <w:r>
              <w:rPr>
                <w:b/>
                <w:i/>
              </w:rPr>
              <w:t>spółek z ograniczoną odpowiedzialnością</w:t>
            </w:r>
            <w:r>
              <w:t> ustanowionych na mocy prawa krajowego</w:t>
            </w:r>
            <w:r>
              <w:rPr>
                <w:b/>
                <w:i/>
              </w:rPr>
              <w:t>, wymienionych w załącznikach do dyrektywy (UE) 2017/1132, dyrektywy 2009/102/WE i dyrektywy 2013/34/UE. </w:t>
            </w:r>
            <w:r>
              <w:t xml:space="preserve"> Państwa członkowskie powinny mieć </w:t>
            </w:r>
            <w:r>
              <w:rPr>
                <w:b/>
                <w:i/>
              </w:rPr>
              <w:t>swobodę decydowania</w:t>
            </w:r>
            <w:r>
              <w:t xml:space="preserve">, czy zezwolić na </w:t>
            </w:r>
            <w:r>
              <w:rPr>
                <w:b/>
                <w:i/>
              </w:rPr>
              <w:t>oznaczenie istniejących krajowych form spółek z ograniczoną odpowiedzialnością jako ESSU lub ich</w:t>
            </w:r>
            <w:r>
              <w:t xml:space="preserve"> przekształcenie w ESSU, czy też </w:t>
            </w:r>
            <w:r>
              <w:rPr>
                <w:b/>
                <w:i/>
              </w:rPr>
              <w:t>na utworzenie nowej krajowej formy spółki z ograniczoną odpowiedzialnością, która podlega dorobkowi prawnemu mającemu zastosowanie do spółek z ograniczoną odpowiedzialnością, w szczególności dyrektywie (UE) 2017/1132, dyrektywie 2009/102/WE i dyrektywie 2013/34/UE</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1 – akapit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ESSU</w:t>
            </w:r>
            <w:r>
              <w:t xml:space="preserve"> powinna opierać się na formach korporacyjnych ustanowionych na mocy prawa krajowego. Państwa członkowskie powinny mieć wybór, czy zezwolić istniejącym krajowym formom korporacyjnym na przekształcenie się w </w:t>
            </w:r>
            <w:r>
              <w:rPr>
                <w:b/>
                <w:i/>
              </w:rPr>
              <w:t>ESSU</w:t>
            </w:r>
            <w:r>
              <w:t>, czy też stworzyć nową krajową formę korporacyjną. Założyciele lub właściciele krajowych form korporacyjnych powinni mieć możliwość dobrowolnego przystąpienia do nowego systemu, który pozwoliłby na korzystanie z oznaczenia przedsiębiorstwa jako „</w:t>
            </w:r>
            <w:r>
              <w:rPr>
                <w:b/>
                <w:i/>
              </w:rPr>
              <w:t>ESSU</w:t>
            </w:r>
            <w:r>
              <w:t>”.</w:t>
            </w:r>
          </w:p>
        </w:tc>
        <w:tc>
          <w:tcPr>
            <w:tcW w:w="4876" w:type="dxa"/>
            <w:tcBorders>
              <w:top w:val="nil"/>
              <w:left w:val="nil"/>
              <w:bottom w:val="nil"/>
              <w:right w:val="nil"/>
            </w:tcBorders>
          </w:tcPr>
          <w:p>
            <w:pPr>
              <w:pStyle w:val="Normal6a"/>
            </w:pPr>
            <w:r>
              <w:rPr>
                <w:b/>
                <w:i/>
              </w:rPr>
              <w:t>SES</w:t>
            </w:r>
            <w:r>
              <w:t xml:space="preserve"> powinna opierać się na formach korporacyjnych ustanowionych na mocy prawa krajowego. Państwa członkowskie powinny mieć wybór, czy zezwolić istniejącym krajowym formom korporacyjnym na przekształcenie się w </w:t>
            </w:r>
            <w:r>
              <w:rPr>
                <w:b/>
                <w:i/>
              </w:rPr>
              <w:t>SES</w:t>
            </w:r>
            <w:r>
              <w:t>, czy też stworzyć nową krajową formę korporacyjną. Założyciele lub właściciele krajowych form korporacyjnych powinni mieć możliwość</w:t>
            </w:r>
            <w:r>
              <w:rPr>
                <w:b/>
                <w:i/>
              </w:rPr>
              <w:t>, w odniesieniu do ich istniejących lub nowych spółek,</w:t>
            </w:r>
            <w:r>
              <w:t xml:space="preserve"> dobrowolnego przystąpienia do nowego systemu, który pozwoliłby na korzystanie z oznaczenia przedsiębiorstwa jako „</w:t>
            </w:r>
            <w:r>
              <w:rPr>
                <w:b/>
                <w:i/>
              </w:rPr>
              <w:t>SES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1 – akapit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ESSU powinna być automatycznie uznawana przez krajowe porządki prawne wszystkich państw członkowskich </w:t>
            </w:r>
            <w:r>
              <w:rPr>
                <w:b/>
                <w:i/>
              </w:rPr>
              <w:t>za spółkę z ograniczoną odpowiedzialnością</w:t>
            </w:r>
            <w:r>
              <w:t>.</w:t>
            </w:r>
          </w:p>
        </w:tc>
        <w:tc>
          <w:tcPr>
            <w:tcW w:w="4876" w:type="dxa"/>
            <w:tcBorders>
              <w:top w:val="nil"/>
              <w:left w:val="nil"/>
              <w:bottom w:val="nil"/>
              <w:right w:val="nil"/>
            </w:tcBorders>
          </w:tcPr>
          <w:p>
            <w:pPr>
              <w:pStyle w:val="Normal6a"/>
            </w:pPr>
            <w:r>
              <w:t xml:space="preserve">ESSU powinna być automatycznie uznawana przez krajowe porządki prawne wszystkich państw członkowskich </w:t>
            </w:r>
            <w:r>
              <w:rPr>
                <w:b/>
                <w:i/>
              </w:rPr>
              <w:t>w oparciu o wpis w rejestrze Unii</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1 – akapit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ESSU</w:t>
            </w:r>
            <w:r>
              <w:t xml:space="preserve"> powinna być automatycznie uznawana przez krajowe porządki prawne wszystkich państw członkowskich za spółkę z ograniczoną odpowiedzialnością.</w:t>
            </w:r>
          </w:p>
        </w:tc>
        <w:tc>
          <w:tcPr>
            <w:tcW w:w="4876" w:type="dxa"/>
            <w:tcBorders>
              <w:top w:val="nil"/>
              <w:left w:val="nil"/>
              <w:bottom w:val="nil"/>
              <w:right w:val="nil"/>
            </w:tcBorders>
          </w:tcPr>
          <w:p>
            <w:pPr>
              <w:pStyle w:val="Normal6a"/>
            </w:pPr>
            <w:r>
              <w:rPr>
                <w:b/>
                <w:i/>
              </w:rPr>
              <w:t>SES</w:t>
            </w:r>
            <w:r>
              <w:t xml:space="preserve"> powinna być automatycznie uznawana przez krajowe porządki prawne wszystkich państw członkowskich za spółkę z ograniczoną odpowiedzialnością.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1 – akapit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Prawem właściwym dla utworzenia ESSU powinno być prawo państwa członkowskiego, w którym dane przedsiębiorstwo jest zarejestrowane.</w:t>
            </w:r>
            <w:r>
              <w:t xml:space="preserve"> </w:t>
            </w:r>
            <w:r>
              <w:rPr>
                <w:b/>
                <w:i/>
              </w:rPr>
              <w:t>Na zasadzie odstępstwa od tej zasady i w celu ochrony wcześniej określonych interesów publicznych powinna istnieć możliwość określenia prawa właściwego za pomocą nadrzędnego łącznika, a nie miejsca założenia spółki.</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1 – akapit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Prawem właściwym dla utworzenia </w:t>
            </w:r>
            <w:r>
              <w:rPr>
                <w:b/>
                <w:i/>
              </w:rPr>
              <w:t>ESSU</w:t>
            </w:r>
            <w:r>
              <w:t xml:space="preserve"> powinno być prawo państwa członkowskiego, w którym dane przedsiębiorstwo jest zarejestrowane. Na zasadzie odstępstwa od tej zasady i w celu ochrony wcześniej określonych interesów publicznych powinna istnieć możliwość określenia prawa właściwego za pomocą nadrzędnego łącznika, a nie miejsca założenia spółki.</w:t>
            </w:r>
          </w:p>
        </w:tc>
        <w:tc>
          <w:tcPr>
            <w:tcW w:w="4876" w:type="dxa"/>
            <w:tcBorders>
              <w:top w:val="nil"/>
              <w:left w:val="nil"/>
              <w:bottom w:val="nil"/>
              <w:right w:val="nil"/>
            </w:tcBorders>
          </w:tcPr>
          <w:p>
            <w:pPr>
              <w:pStyle w:val="Normal6a"/>
            </w:pPr>
            <w:r>
              <w:t xml:space="preserve">Prawem właściwym dla utworzenia </w:t>
            </w:r>
            <w:r>
              <w:rPr>
                <w:b/>
                <w:i/>
              </w:rPr>
              <w:t>SES</w:t>
            </w:r>
            <w:r>
              <w:t xml:space="preserve"> powinno być prawo państwa członkowskiego, w którym dane przedsiębiorstwo jest zarejestrowane. Na zasadzie odstępstwa od tej zasady i w celu ochrony wcześniej określonych interesów publicznych powinna istnieć możliwość określenia prawa właściwego za pomocą nadrzędnego łącznika, a nie miejsca założenia spółki.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1 – akapit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Prawem właściwym </w:t>
            </w:r>
            <w:r>
              <w:rPr>
                <w:b/>
                <w:i/>
              </w:rPr>
              <w:t>dla utworzenia</w:t>
            </w:r>
            <w:r>
              <w:t xml:space="preserve"> ESSU powinno być prawo państwa członkowskiego, w którym dane przedsiębiorstwo jest zarejestrowane. Na zasadzie odstępstwa od tej zasady i w celu ochrony wcześniej określonych interesów publicznych powinna istnieć możliwość określenia prawa właściwego za pomocą nadrzędnego łącznika, a nie miejsca założenia spółki.</w:t>
            </w:r>
          </w:p>
        </w:tc>
        <w:tc>
          <w:tcPr>
            <w:tcW w:w="4876" w:type="dxa"/>
            <w:tcBorders>
              <w:top w:val="nil"/>
              <w:left w:val="nil"/>
              <w:bottom w:val="nil"/>
              <w:right w:val="nil"/>
            </w:tcBorders>
          </w:tcPr>
          <w:p>
            <w:pPr>
              <w:pStyle w:val="Normal6a"/>
            </w:pPr>
            <w:r>
              <w:t xml:space="preserve">Prawem właściwym </w:t>
            </w:r>
            <w:r>
              <w:rPr>
                <w:b/>
                <w:i/>
              </w:rPr>
              <w:t>w przypadku</w:t>
            </w:r>
            <w:r>
              <w:t xml:space="preserve"> ESSU powinno być prawo państwa członkowskiego, w którym dane przedsiębiorstwo jest zarejestrowane. Na zasadzie odstępstwa od tej zasady i w celu ochrony wcześniej określonych interesów publicznych powinna istnieć możliwość określenia prawa właściwego za pomocą nadrzędnego łącznika, a nie miejsca założenia spółki.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1 – akapit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Podstawę prawną dla ESSU powinny stanowić art. 50 i art. 114 ust. 1 TFUE.</w:t>
            </w:r>
            <w:r>
              <w:t xml:space="preserve"> </w:t>
            </w:r>
            <w:r>
              <w:rPr>
                <w:b/>
                <w:i/>
              </w:rPr>
              <w:t>Aby osiągnąć pewność prawa w odniesieniu do konstytutywnych elementów ESSU, dyrektywa przyjęta na podstawie art. 50 i art. 114 ust. 1 TFUE musi być aktem służącym maksymalnej harmonizacji.</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1 – akapit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Podstawę prawną dla ESSU powinny stanowić art. 50 i art. 114 ust. 1 TFUE.</w:t>
            </w:r>
            <w:r>
              <w:t xml:space="preserve"> </w:t>
            </w:r>
            <w:r>
              <w:rPr>
                <w:b/>
                <w:i/>
              </w:rPr>
              <w:t>Aby osiągnąć pewność prawa w odniesieniu do konstytutywnych elementów ESSU, dyrektywa przyjęta na podstawie art. 50 i art. 114 ust. 1 TFUE musi być aktem służącym maksymalnej harmonizacji.</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1 – akapit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Podstawę prawną dla ESSU powinny stanowić art. 50 i art. 114 ust. 1 TFUE.</w:t>
            </w:r>
            <w:r>
              <w:t xml:space="preserve"> </w:t>
            </w:r>
            <w:r>
              <w:rPr>
                <w:b/>
                <w:i/>
              </w:rPr>
              <w:t>Aby osiągnąć pewność prawa w odniesieniu do konstytutywnych elementów ESSU, dyrektywa przyjęta na podstawie art. 50 i art. 114 ust. 1 TFUE musi być aktem służącym maksymalnej harmonizacji.</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1 – akapit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Podstawę prawną dla </w:t>
            </w:r>
            <w:r>
              <w:rPr>
                <w:b/>
                <w:i/>
              </w:rPr>
              <w:t>ESSU</w:t>
            </w:r>
            <w:r>
              <w:t xml:space="preserve"> powinny stanowić art. 50 i art. 114 ust. 1 TFUE. Aby osiągnąć pewność prawa w odniesieniu do konstytutywnych elementów ESSU, dyrektywa przyjęta na podstawie art. 50 i art. 114 ust. 1 TFUE musi być aktem służącym maksymalnej harmonizacji.</w:t>
            </w:r>
          </w:p>
        </w:tc>
        <w:tc>
          <w:tcPr>
            <w:tcW w:w="4876" w:type="dxa"/>
            <w:tcBorders>
              <w:top w:val="nil"/>
              <w:left w:val="nil"/>
              <w:bottom w:val="nil"/>
              <w:right w:val="nil"/>
            </w:tcBorders>
          </w:tcPr>
          <w:p>
            <w:pPr>
              <w:pStyle w:val="Normal6a"/>
            </w:pPr>
            <w:r>
              <w:t xml:space="preserve">Podstawę prawną dla </w:t>
            </w:r>
            <w:r>
              <w:rPr>
                <w:b/>
                <w:i/>
              </w:rPr>
              <w:t>SES</w:t>
            </w:r>
            <w:r>
              <w:t xml:space="preserve"> powinny stanowić art. 50 i art. 114 ust. 1 TFUE. Aby osiągnąć pewność prawa w odniesieniu do konstytutywnych elementów ESSU, dyrektywa przyjęta na podstawie art. 50 i art. 114 ust. 1 TFUE musi być aktem służącym maksymalnej harmonizacji. </w:t>
            </w:r>
            <w:r>
              <w:rPr>
                <w:b/>
                <w:i/>
              </w:rPr>
              <w:t>Aby zapewnić rzeczywisty wpływ, Parlament zachęca Komisję do jak największego ograniczenia obszarów pozostawionych uregulowaniu na mocy prawa krajowego, tak aby inwestorzy i przedsiębiorcy mieli pewność co do tego, czym jest SES we wszystkich państwach członkowskich.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1 – akapit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Podstawę prawną dla ESSU </w:t>
            </w:r>
            <w:r>
              <w:rPr>
                <w:b/>
                <w:i/>
              </w:rPr>
              <w:t>powinny</w:t>
            </w:r>
            <w:r>
              <w:t xml:space="preserve"> stanowić art. 50 </w:t>
            </w:r>
            <w:r>
              <w:rPr>
                <w:b/>
                <w:i/>
              </w:rPr>
              <w:t>i art. 114 ust. 1</w:t>
            </w:r>
            <w:r>
              <w:t xml:space="preserve"> TFUE. Aby osiągnąć pewność prawa w odniesieniu do konstytutywnych elementów ESSU, dyrektywa przyjęta na podstawie art. 50 </w:t>
            </w:r>
            <w:r>
              <w:rPr>
                <w:b/>
                <w:i/>
              </w:rPr>
              <w:t>i art. 114 ust. 1 TFUE</w:t>
            </w:r>
            <w:r>
              <w:t xml:space="preserve"> musi być aktem służącym maksymalnej harmonizacji.</w:t>
            </w:r>
          </w:p>
        </w:tc>
        <w:tc>
          <w:tcPr>
            <w:tcW w:w="4876" w:type="dxa"/>
            <w:tcBorders>
              <w:top w:val="nil"/>
              <w:left w:val="nil"/>
              <w:bottom w:val="nil"/>
              <w:right w:val="nil"/>
            </w:tcBorders>
          </w:tcPr>
          <w:p>
            <w:pPr>
              <w:pStyle w:val="Normal6a"/>
            </w:pPr>
            <w:r>
              <w:t xml:space="preserve">Podstawę prawną dla ESSU </w:t>
            </w:r>
            <w:r>
              <w:rPr>
                <w:b/>
                <w:i/>
              </w:rPr>
              <w:t>powinien</w:t>
            </w:r>
            <w:r>
              <w:t xml:space="preserve"> stanowić art. 50 TFUE. Aby osiągnąć pewność prawa w odniesieniu do konstytutywnych elementów ESSU, dyrektywa przyjęta na podstawie art. 50 musi być aktem służącym maksymalnej harmonizacji.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1 – akapit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Podstawę prawną dla ESSU powinny stanowić art. 50 i art. 114 ust. 1 TFUE.</w:t>
            </w:r>
            <w:r>
              <w:t xml:space="preserve"> Aby osiągnąć pewność prawa w odniesieniu do konstytutywnych elementów ESSU, dyrektywa przyjęta na podstawie art. 50 i art. 114 ust. 1 TFUE musi być aktem służącym maksymalnej harmonizacji.</w:t>
            </w:r>
          </w:p>
        </w:tc>
        <w:tc>
          <w:tcPr>
            <w:tcW w:w="4876" w:type="dxa"/>
            <w:tcBorders>
              <w:top w:val="nil"/>
              <w:left w:val="nil"/>
              <w:bottom w:val="nil"/>
              <w:right w:val="nil"/>
            </w:tcBorders>
          </w:tcPr>
          <w:p>
            <w:pPr>
              <w:pStyle w:val="Normal6a"/>
            </w:pPr>
            <w:r>
              <w:t>Aby osiągnąć pewność prawa w odniesieniu do konstytutywnych elementów ESSU, dyrektywa przyjęta na podstawie art. 50 i art. 114 ust. 1 TFUE musi być aktem służącym maksymalnej harmonizacji.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1 – akapit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Parlament jest świadomy ryzyka, że automatyczne uznawanie ESSU może prowadzić do obchodzenia obowiązkowych przepisów krajowych, które chronią słabsze strony.</w:t>
            </w:r>
            <w:r>
              <w:t xml:space="preserve"> </w:t>
            </w:r>
            <w:r>
              <w:rPr>
                <w:b/>
                <w:i/>
              </w:rPr>
              <w:t>Reguły korporacyjne ESSU powinny zatem pozostawać bez uszczerbku dla przepisów unijnych i krajowych w dziedzinie indywidualnego i zbiorowego prawa pracy, w tym prawa pracowników do współzarządzania, oraz powinny zawierać zabezpieczenia, które skutecznie zapobiegną nadużywaniu ESSU.</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1 – akapit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Parlament jest świadomy ryzyka, że automatyczne uznawanie ESSU może prowadzić do obchodzenia obowiązkowych przepisów krajowych, które chronią słabsze strony. Reguły korporacyjne ESSU powinny zatem pozostawać bez uszczerbku dla przepisów unijnych i krajowych w dziedzinie indywidualnego i zbiorowego prawa pracy, w tym prawa pracowników do współzarządzania, oraz powinny zawierać zabezpieczenia, które skutecznie zapobiegną nadużywaniu ESSU.</w:t>
            </w:r>
          </w:p>
        </w:tc>
        <w:tc>
          <w:tcPr>
            <w:tcW w:w="4876" w:type="dxa"/>
            <w:tcBorders>
              <w:top w:val="nil"/>
              <w:left w:val="nil"/>
              <w:bottom w:val="nil"/>
              <w:right w:val="nil"/>
            </w:tcBorders>
          </w:tcPr>
          <w:p>
            <w:pPr>
              <w:pStyle w:val="Normal6a"/>
            </w:pPr>
            <w:r>
              <w:t xml:space="preserve">Parlament jest świadomy ryzyka, że automatyczne uznawanie ESSU może prowadzić do obchodzenia obowiązkowych przepisów krajowych, które chronią słabsze strony </w:t>
            </w:r>
            <w:r>
              <w:rPr>
                <w:b/>
                <w:i/>
              </w:rPr>
              <w:t>lub inne interesy publiczne</w:t>
            </w:r>
            <w:r>
              <w:t xml:space="preserve">. Reguły korporacyjne ESSU powinny zatem pozostawać bez uszczerbku dla przepisów unijnych i krajowych w dziedzinie indywidualnego i zbiorowego prawa pracy, w tym prawa pracowników do współzarządzania, </w:t>
            </w:r>
            <w:r>
              <w:rPr>
                <w:b/>
                <w:i/>
              </w:rPr>
              <w:t>lub dla formalnych wymogów utworzenia takiego przedsiębiorstwa lub przeniesienia udziałów,</w:t>
            </w:r>
            <w:r>
              <w:t xml:space="preserve"> oraz powinny zawierać zabezpieczenia, które skutecznie zapobiegną nadużywaniu ESSU.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1 – akapit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Parlament jest świadomy ryzyka, że automatyczne uznawanie </w:t>
            </w:r>
            <w:r>
              <w:rPr>
                <w:b/>
                <w:i/>
              </w:rPr>
              <w:t>ESSU</w:t>
            </w:r>
            <w:r>
              <w:t xml:space="preserve"> może prowadzić do obchodzenia obowiązkowych przepisów krajowych, które chronią słabsze strony. Reguły korporacyjne </w:t>
            </w:r>
            <w:r>
              <w:rPr>
                <w:b/>
                <w:i/>
              </w:rPr>
              <w:t>ESSU</w:t>
            </w:r>
            <w:r>
              <w:t xml:space="preserve"> powinny zatem pozostawać bez uszczerbku dla przepisów unijnych i krajowych w dziedzinie indywidualnego i zbiorowego prawa pracy, w tym prawa pracowników do współzarządzania, oraz powinny zawierać zabezpieczenia, które skutecznie zapobiegną nadużywaniu </w:t>
            </w:r>
            <w:r>
              <w:rPr>
                <w:b/>
                <w:i/>
              </w:rPr>
              <w:t>ESSU</w:t>
            </w:r>
            <w:r>
              <w:t>.</w:t>
            </w:r>
          </w:p>
        </w:tc>
        <w:tc>
          <w:tcPr>
            <w:tcW w:w="4876" w:type="dxa"/>
            <w:tcBorders>
              <w:top w:val="nil"/>
              <w:left w:val="nil"/>
              <w:bottom w:val="nil"/>
              <w:right w:val="nil"/>
            </w:tcBorders>
          </w:tcPr>
          <w:p>
            <w:pPr>
              <w:pStyle w:val="Normal6a"/>
            </w:pPr>
            <w:r>
              <w:t xml:space="preserve">Parlament jest świadomy ryzyka, że automatyczne uznawanie </w:t>
            </w:r>
            <w:r>
              <w:rPr>
                <w:b/>
                <w:i/>
              </w:rPr>
              <w:t>SES</w:t>
            </w:r>
            <w:r>
              <w:t xml:space="preserve"> może prowadzić do obchodzenia obowiązkowych przepisów krajowych, które chronią słabsze strony. Reguły korporacyjne </w:t>
            </w:r>
            <w:r>
              <w:rPr>
                <w:b/>
                <w:i/>
              </w:rPr>
              <w:t>SES</w:t>
            </w:r>
            <w:r>
              <w:t xml:space="preserve"> powinny zatem pozostawać bez uszczerbku dla przepisów unijnych i krajowych w dziedzinie indywidualnego i zbiorowego prawa pracy, w tym prawa pracowników do współzarządzania, oraz powinny zawierać zabezpieczenia, które skutecznie zapobiegną nadużywaniu </w:t>
            </w:r>
            <w:r>
              <w:rPr>
                <w:b/>
                <w:i/>
              </w:rPr>
              <w:t>SES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1 – akapit 7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Mając na uwadze znaczenie monitorowania skuteczności 28. systemu prawnego w promowaniu innowacji, gwarantowaniu pewności prawa i zapobieganiu obchodzeniu przepisów,</w:t>
            </w:r>
            <w:r>
              <w:t xml:space="preserve"> </w:t>
            </w:r>
            <w:r>
              <w:rPr>
                <w:b/>
                <w:i/>
              </w:rPr>
              <w:t>w ciągu trzech lat od wejścia w życie 28. systemu prawnego Komisja powinna przeprowadzić kompleksowy przegląd jego wdrożenia i wpływu na MŚP, przedsiębiorstwa typu start-up i przedsiębiorstwa scale-up w całej Unii.</w:t>
            </w:r>
            <w:r>
              <w:t xml:space="preserve"> </w:t>
            </w:r>
            <w:r>
              <w:rPr>
                <w:b/>
                <w:i/>
              </w:rPr>
              <w:t>W ramach tego przeglądu należy ocenić, czy cele uproszczenia, transgranicznego uznawania i konkurencyjności zostały osiągnięte, a w stosownych przypadkach powinny mu towarzyszyć wnioski ustawodawcze dotyczące przeglądu.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2 – akapit 2 – wprowadzenie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Państwa członkowskie powinny przewidzieć w swoich krajowych porządkach prawnych zbiór przepisów, których przestrzeganie umożliwi krajowym formom korporacyjnym umieszczanie w nazwie skrótu „ESSU”.</w:t>
            </w:r>
            <w:r>
              <w:t xml:space="preserve"> Aby kwalifikować się do rejestracji jako ESSU, krajowa forma korporacyjna powinna spełniać następujące wymogi:</w:t>
            </w:r>
          </w:p>
        </w:tc>
        <w:tc>
          <w:tcPr>
            <w:tcW w:w="4876" w:type="dxa"/>
            <w:tcBorders>
              <w:top w:val="nil"/>
              <w:left w:val="nil"/>
              <w:bottom w:val="nil"/>
              <w:right w:val="nil"/>
            </w:tcBorders>
          </w:tcPr>
          <w:p>
            <w:pPr>
              <w:pStyle w:val="Normal6a"/>
            </w:pPr>
            <w:r>
              <w:t>Aby kwalifikować się do rejestracji jako ESSU, krajowa forma korporacyjna powinna spełniać następujące wymogi:</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2 – akapit 2 – wprowadzenie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Państwa członkowskie powinny przewidzieć w swoich krajowych porządkach prawnych zbiór przepisów, których przestrzeganie umożliwi krajowym formom korporacyjnym umieszczanie w nazwie skrótu „</w:t>
            </w:r>
            <w:r>
              <w:rPr>
                <w:b/>
                <w:i/>
              </w:rPr>
              <w:t>ESSU</w:t>
            </w:r>
            <w:r>
              <w:t xml:space="preserve">”. Aby kwalifikować się do rejestracji jako </w:t>
            </w:r>
            <w:r>
              <w:rPr>
                <w:b/>
                <w:i/>
              </w:rPr>
              <w:t>ESSU</w:t>
            </w:r>
            <w:r>
              <w:t>, krajowa forma korporacyjna powinna spełniać następujące wymogi:</w:t>
            </w:r>
          </w:p>
        </w:tc>
        <w:tc>
          <w:tcPr>
            <w:tcW w:w="4876" w:type="dxa"/>
            <w:tcBorders>
              <w:top w:val="nil"/>
              <w:left w:val="nil"/>
              <w:bottom w:val="nil"/>
              <w:right w:val="nil"/>
            </w:tcBorders>
          </w:tcPr>
          <w:p>
            <w:pPr>
              <w:pStyle w:val="Normal6a"/>
            </w:pPr>
            <w:r>
              <w:t>Państwa członkowskie powinny przewidzieć w swoich krajowych porządkach prawnych zbiór przepisów, których przestrzeganie umożliwi krajowym formom korporacyjnym umieszczanie w nazwie skrótu „</w:t>
            </w:r>
            <w:r>
              <w:rPr>
                <w:b/>
                <w:i/>
              </w:rPr>
              <w:t>SES</w:t>
            </w:r>
            <w:r>
              <w:t xml:space="preserve">”. Aby kwalifikować się do rejestracji jako </w:t>
            </w:r>
            <w:r>
              <w:rPr>
                <w:b/>
                <w:i/>
              </w:rPr>
              <w:t>SES</w:t>
            </w:r>
            <w:r>
              <w:t>, krajowa forma korporacyjna powinna spełniać następujące wymogi: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2 – akapit 2 – tiret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musi być podmiotem prawnym posiadającym zdolność prawną, który jest automatycznie uznawany we wszystkich państwach członkowskich w dniu jego rejestracji;</w:t>
            </w:r>
          </w:p>
        </w:tc>
        <w:tc>
          <w:tcPr>
            <w:tcW w:w="4876" w:type="dxa"/>
            <w:tcBorders>
              <w:top w:val="nil"/>
              <w:left w:val="nil"/>
              <w:bottom w:val="nil"/>
              <w:right w:val="nil"/>
            </w:tcBorders>
          </w:tcPr>
          <w:p>
            <w:pPr>
              <w:pStyle w:val="Normal6a"/>
            </w:pPr>
            <w:r>
              <w:rPr>
                <w:b/>
                <w:i/>
              </w:rPr>
              <w:t>–</w:t>
            </w:r>
            <w:r>
              <w:tab/>
            </w:r>
            <w:r>
              <w:t>musi być podmiotem prawnym</w:t>
            </w:r>
            <w:r>
              <w:rPr>
                <w:b/>
                <w:i/>
              </w:rPr>
              <w:t>, również notowanym,</w:t>
            </w:r>
            <w:r>
              <w:t xml:space="preserve"> posiadającym zdolność prawną, który jest automatycznie uznawany we wszystkich państwach członkowskich w dniu jego rejestracji;</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2 – akapit 2 – tiret 1 a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musi być podmiotem prawnym działającym w sektorze cyfrowym;</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2 – akapit 2 – tiret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musi być spółką z ograniczoną odpowiedzialnością, w której odpowiedzialność właścicieli za długi spółki jest ograniczona do wysokości ich wkładów;</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2 – akapit 2 – tiret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nie może być spółką giełdową;</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2 – akapit 2 – tiret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musi być założona przez co najmniej jedną osobę fizyczną lub prawną mającą miejsce zamieszkania lub siedzibę w państwie członkowskim;</w:t>
            </w:r>
          </w:p>
        </w:tc>
        <w:tc>
          <w:tcPr>
            <w:tcW w:w="4876" w:type="dxa"/>
            <w:tcBorders>
              <w:top w:val="nil"/>
              <w:left w:val="nil"/>
              <w:bottom w:val="nil"/>
              <w:right w:val="nil"/>
            </w:tcBorders>
          </w:tcPr>
          <w:p>
            <w:pPr>
              <w:pStyle w:val="Normal6a"/>
            </w:pPr>
            <w:r>
              <w:rPr>
                <w:b/>
                <w:i/>
              </w:rPr>
              <w:t>–</w:t>
            </w:r>
            <w:r>
              <w:tab/>
            </w:r>
            <w:r>
              <w:t xml:space="preserve">musi być założona przez co najmniej jedną osobę fizyczną lub prawną mającą miejsce zamieszkania lub siedzibę w państwie członkowskim; </w:t>
            </w:r>
            <w:r>
              <w:rPr>
                <w:b/>
                <w:i/>
              </w:rPr>
              <w:t>oraz musi być uprawniona do przeniesienia swojej statutowej siedziby do innego państwa członkowskiego w Unii bez konieczności rozwiązania lub ponownego założenia, zgodnie ze zharmonizowanymi procedurami zapewniającymi ciągłość osobowości prawnej;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2 – akapit 2 – tiret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musi być założona przez co najmniej jedną osobę fizyczną lub prawną </w:t>
            </w:r>
            <w:r>
              <w:rPr>
                <w:b/>
                <w:i/>
              </w:rPr>
              <w:t>mającą</w:t>
            </w:r>
            <w:r>
              <w:t xml:space="preserve"> miejsce zamieszkania lub </w:t>
            </w:r>
            <w:r>
              <w:rPr>
                <w:b/>
                <w:i/>
              </w:rPr>
              <w:t>siedzibę</w:t>
            </w:r>
            <w:r>
              <w:t xml:space="preserve"> w państwie członkowskim;</w:t>
            </w:r>
          </w:p>
        </w:tc>
        <w:tc>
          <w:tcPr>
            <w:tcW w:w="4876" w:type="dxa"/>
            <w:tcBorders>
              <w:top w:val="nil"/>
              <w:left w:val="nil"/>
              <w:bottom w:val="nil"/>
              <w:right w:val="nil"/>
            </w:tcBorders>
          </w:tcPr>
          <w:p>
            <w:pPr>
              <w:pStyle w:val="Normal6a"/>
            </w:pPr>
            <w:r>
              <w:rPr>
                <w:b/>
                <w:i/>
              </w:rPr>
              <w:t>–</w:t>
            </w:r>
            <w:r>
              <w:tab/>
            </w:r>
            <w:r>
              <w:t>musi być założona przez co najmniej jedną osobę fizyczną lub prawną</w:t>
            </w:r>
            <w:r>
              <w:rPr>
                <w:b/>
                <w:i/>
              </w:rPr>
              <w:t>, przy czym nie jest wymagane, by</w:t>
            </w:r>
            <w:r>
              <w:t xml:space="preserve"> miejsce zamieszkania lub </w:t>
            </w:r>
            <w:r>
              <w:rPr>
                <w:b/>
                <w:i/>
              </w:rPr>
              <w:t>siedziba znajdowały się</w:t>
            </w:r>
            <w:r>
              <w:t xml:space="preserve"> w państwie członkowskim;</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2 – akapit 2 – tiret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musi móc działać jako samodzielna spółka jednoosobowa lub jako spółka zależna spółki dominującej ESSU;</w:t>
            </w:r>
          </w:p>
        </w:tc>
        <w:tc>
          <w:tcPr>
            <w:tcW w:w="4876" w:type="dxa"/>
            <w:tcBorders>
              <w:top w:val="nil"/>
              <w:left w:val="nil"/>
              <w:bottom w:val="nil"/>
              <w:right w:val="nil"/>
            </w:tcBorders>
          </w:tcPr>
          <w:p>
            <w:pPr>
              <w:pStyle w:val="Normal6a"/>
            </w:pPr>
            <w:r>
              <w:rPr>
                <w:b/>
                <w:i/>
              </w:rPr>
              <w:t>–</w:t>
            </w:r>
            <w:r>
              <w:tab/>
            </w:r>
            <w:r>
              <w:t>musi móc działać jako samodzielna spółka jednoosobowa</w:t>
            </w:r>
            <w:r>
              <w:rPr>
                <w:b/>
                <w:i/>
              </w:rPr>
              <w:t>, spółka zależna od spółki dominującej,</w:t>
            </w:r>
            <w:r>
              <w:t xml:space="preserve"> lub jako spółka zależna spółki dominującej ESSU;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2 – akapit 2 – tiret 5 a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w kontekście różnic regionalnych państwa członkowskie mogą ustanowić systemy wsparcia i ułatwienia dla przedsiębiorstw zarejestrowanych jako ESSU na obszarach o niższym poziomie rozwoju gospodarczego w celu zmniejszenia luk w dziedzinie innowacji.</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2 – akapit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Jeżeli krajowe prawo spółek przewiduje minimalny kapitał wpłacony na założenie spółki kwalifikującej się do rejestracji jako ESSU,</w:t>
            </w:r>
            <w:r>
              <w:t xml:space="preserve"> niezwłocznie wpłacony kapitał musi, do celów rejestracji tej spółki, wynosić 1 EUR</w:t>
            </w:r>
            <w:r>
              <w:rPr>
                <w:b/>
                <w:i/>
              </w:rPr>
              <w:t>, a spółka powinna być zobowiązana do przeznaczania co najmniej 25 % swoich rocznych zysków na ustawowy kapitał rezerwowy, dopóki kapitał ten – wraz z jakimkolwiek początkowo wpłaconym kapitałem – nie osiągnie minimalnego kapitału wymaganego na mocy danego prawa krajowego</w:t>
            </w:r>
            <w:r>
              <w:t>.</w:t>
            </w:r>
          </w:p>
        </w:tc>
        <w:tc>
          <w:tcPr>
            <w:tcW w:w="4876" w:type="dxa"/>
            <w:tcBorders>
              <w:top w:val="nil"/>
              <w:left w:val="nil"/>
              <w:bottom w:val="nil"/>
              <w:right w:val="nil"/>
            </w:tcBorders>
          </w:tcPr>
          <w:p>
            <w:pPr>
              <w:pStyle w:val="Normal6a"/>
            </w:pPr>
            <w:r>
              <w:t xml:space="preserve">Niezwłocznie wpłacony kapitał </w:t>
            </w:r>
            <w:r>
              <w:rPr>
                <w:b/>
                <w:i/>
              </w:rPr>
              <w:t>minimalny</w:t>
            </w:r>
            <w:r>
              <w:t xml:space="preserve"> musi, do celów rejestracji tej spółki, wynosić 1 EUR.</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2 – akapit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Jeżeli krajowe prawo spółek przewiduje minimalny kapitał wpłacony na założenie spółki kwalifikującej się do rejestracji jako ESSU,</w:t>
            </w:r>
            <w:r>
              <w:t xml:space="preserve"> niezwłocznie wpłacony kapitał musi, do celów rejestracji tej spółki, wynosić 1 EUR</w:t>
            </w:r>
            <w:r>
              <w:rPr>
                <w:b/>
                <w:i/>
              </w:rPr>
              <w:t>, a spółka powinna być zobowiązana do przeznaczania co najmniej 25 % swoich rocznych zysków na ustawowy kapitał rezerwowy, dopóki kapitał ten – wraz z jakimkolwiek początkowo wpłaconym kapitałem – nie osiągnie minimalnego kapitału wymaganego na mocy danego prawa krajowego</w:t>
            </w:r>
            <w:r>
              <w:t>.</w:t>
            </w:r>
          </w:p>
        </w:tc>
        <w:tc>
          <w:tcPr>
            <w:tcW w:w="4876" w:type="dxa"/>
            <w:tcBorders>
              <w:top w:val="nil"/>
              <w:left w:val="nil"/>
              <w:bottom w:val="nil"/>
              <w:right w:val="nil"/>
            </w:tcBorders>
          </w:tcPr>
          <w:p>
            <w:pPr>
              <w:pStyle w:val="Normal6a"/>
            </w:pPr>
            <w:r>
              <w:t> Niezwłocznie wpłacony kapitał musi, do celów rejestracji tej spółki, wynosić 1 EUR.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2 – akapit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Jeżeli krajowe prawo spółek przewiduje minimalny kapitał wpłacony na założenie spółki kwalifikującej się do rejestracji jako ESSU,</w:t>
            </w:r>
            <w:r>
              <w:t xml:space="preserve"> niezwłocznie wpłacony kapitał musi, do celów rejestracji tej spółki, wynosić 1 EUR</w:t>
            </w:r>
            <w:r>
              <w:rPr>
                <w:b/>
                <w:i/>
              </w:rPr>
              <w:t>, a spółka powinna być zobowiązana do przeznaczania co najmniej 25 % swoich rocznych zysków na ustawowy kapitał rezerwowy, dopóki kapitał ten – wraz z jakimkolwiek początkowo wpłaconym kapitałem – nie osiągnie minimalnego kapitału wymaganego na mocy danego prawa krajowego</w:t>
            </w:r>
            <w:r>
              <w:t>.</w:t>
            </w:r>
          </w:p>
        </w:tc>
        <w:tc>
          <w:tcPr>
            <w:tcW w:w="4876" w:type="dxa"/>
            <w:tcBorders>
              <w:top w:val="nil"/>
              <w:left w:val="nil"/>
              <w:bottom w:val="nil"/>
              <w:right w:val="nil"/>
            </w:tcBorders>
          </w:tcPr>
          <w:p>
            <w:pPr>
              <w:pStyle w:val="Normal6a"/>
            </w:pPr>
            <w:r>
              <w:t> Niezwłocznie wpłacony kapitał musi, do celów rejestracji tej spółki, wynosić 1 EUR.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2 – akapit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Jeżeli krajowe prawo spółek przewiduje minimalny kapitał wpłacony na założenie spółki kwalifikującej się do rejestracji jako </w:t>
            </w:r>
            <w:r>
              <w:rPr>
                <w:b/>
                <w:i/>
              </w:rPr>
              <w:t>ESSU</w:t>
            </w:r>
            <w:r>
              <w:t>, niezwłocznie wpłacony kapitał musi, do celów rejestracji tej spółki, wynosić 1 EUR, a spółka powinna być zobowiązana do przeznaczania co najmniej 25 % swoich rocznych zysków na ustawowy kapitał rezerwowy, dopóki kapitał ten – wraz z jakimkolwiek początkowo wpłaconym kapitałem – nie osiągnie minimalnego kapitału wymaganego na mocy danego prawa krajowego.</w:t>
            </w:r>
          </w:p>
        </w:tc>
        <w:tc>
          <w:tcPr>
            <w:tcW w:w="4876" w:type="dxa"/>
            <w:tcBorders>
              <w:top w:val="nil"/>
              <w:left w:val="nil"/>
              <w:bottom w:val="nil"/>
              <w:right w:val="nil"/>
            </w:tcBorders>
          </w:tcPr>
          <w:p>
            <w:pPr>
              <w:pStyle w:val="Normal6a"/>
            </w:pPr>
            <w:r>
              <w:t xml:space="preserve">Jeżeli krajowe prawo spółek przewiduje minimalny kapitał wpłacony na założenie spółki kwalifikującej się do rejestracji jako </w:t>
            </w:r>
            <w:r>
              <w:rPr>
                <w:b/>
                <w:i/>
              </w:rPr>
              <w:t>SES</w:t>
            </w:r>
            <w:r>
              <w:t>, niezwłocznie wpłacony kapitał musi, do celów rejestracji tej spółki, wynosić 1 EUR, a spółka powinna być zobowiązana do przeznaczania co najmniej 25 % swoich rocznych zysków</w:t>
            </w:r>
            <w:r>
              <w:rPr>
                <w:b/>
                <w:i/>
              </w:rPr>
              <w:t>, gdy zaczyna przynosić zyski,</w:t>
            </w:r>
            <w:r>
              <w:t xml:space="preserve"> na ustawowy kapitał rezerwowy, dopóki kapitał ten – wraz z jakimkolwiek początkowo wpłaconym kapitałem – nie osiągnie minimalnego kapitału wymaganego na mocy danego prawa krajowego. </w:t>
            </w:r>
            <w:r>
              <w:rPr>
                <w:b/>
                <w:i/>
              </w:rPr>
              <w:t>Aby uniknąć wszelkiej krajowej dyskryminacji SES, minimalny wymagany wpłacony kapitał nie powinien przekraczać minimalnego wpłaconego kapitału istniejącego w państwie członkowskim dla spółek z ograniczoną odpowiedzialnością.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2 – akapit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Jeżeli krajowe prawo spółek przewiduje minimalny kapitał wpłacony na założenie spółki kwalifikującej się do rejestracji jako ESSU, niezwłocznie wpłacony kapitał musi, do celów rejestracji tej spółki, wynosić </w:t>
            </w:r>
            <w:r>
              <w:rPr>
                <w:b/>
                <w:i/>
              </w:rPr>
              <w:t>1</w:t>
            </w:r>
            <w:r>
              <w:t xml:space="preserve"> EUR, a spółka powinna być zobowiązana do przeznaczania co najmniej 25 % swoich rocznych zysków na ustawowy kapitał rezerwowy, dopóki kapitał ten – wraz z jakimkolwiek początkowo wpłaconym kapitałem – nie osiągnie minimalnego kapitału wymaganego na mocy danego prawa krajowego.</w:t>
            </w:r>
          </w:p>
        </w:tc>
        <w:tc>
          <w:tcPr>
            <w:tcW w:w="4876" w:type="dxa"/>
            <w:tcBorders>
              <w:top w:val="nil"/>
              <w:left w:val="nil"/>
              <w:bottom w:val="nil"/>
              <w:right w:val="nil"/>
            </w:tcBorders>
          </w:tcPr>
          <w:p>
            <w:pPr>
              <w:pStyle w:val="Normal6a"/>
            </w:pPr>
            <w:r>
              <w:t xml:space="preserve">Jeżeli krajowe prawo spółek przewiduje minimalny kapitał wpłacony na założenie spółki kwalifikującej się do rejestracji jako ESSU, niezwłocznie wpłacony kapitał musi, do celów rejestracji tej spółki, wynosić </w:t>
            </w:r>
            <w:r>
              <w:rPr>
                <w:b/>
                <w:i/>
              </w:rPr>
              <w:t>100</w:t>
            </w:r>
            <w:r>
              <w:t xml:space="preserve"> EUR, a spółka powinna być zobowiązana do przeznaczania co najmniej 25 % swoich rocznych zysków na ustawowy kapitał rezerwowy, dopóki kapitał ten – wraz z jakimkolwiek początkowo wpłaconym kapitałem – nie osiągnie minimalnego kapitału wymaganego na mocy danego prawa krajowego.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2 – akapit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 celu uproszczenia możliwość rejestracji jako ESSU nie powinna być zawężona do nowej kategorii „innowacyjnych przedsiębiorstw” ani do innych kryteriów ograniczających, ponieważ stworzyłoby to dodatkową biurokrację i niepotrzebne obciążenie biurokratyczne.</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2 – akapit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W celu uproszczenia możliwość rejestracji jako </w:t>
            </w:r>
            <w:r>
              <w:rPr>
                <w:b/>
                <w:i/>
              </w:rPr>
              <w:t>ESSU</w:t>
            </w:r>
            <w:r>
              <w:t xml:space="preserve"> nie powinna być zawężona do nowej kategorii „innowacyjnych przedsiębiorstw” ani do innych kryteriów ograniczających, ponieważ stworzyłoby to dodatkową biurokrację i niepotrzebne obciążenie biurokratyczne.</w:t>
            </w:r>
          </w:p>
        </w:tc>
        <w:tc>
          <w:tcPr>
            <w:tcW w:w="4876" w:type="dxa"/>
            <w:tcBorders>
              <w:top w:val="nil"/>
              <w:left w:val="nil"/>
              <w:bottom w:val="nil"/>
              <w:right w:val="nil"/>
            </w:tcBorders>
          </w:tcPr>
          <w:p>
            <w:pPr>
              <w:pStyle w:val="Normal6a"/>
            </w:pPr>
            <w:r>
              <w:t xml:space="preserve">W celu uproszczenia możliwość rejestracji jako </w:t>
            </w:r>
            <w:r>
              <w:rPr>
                <w:b/>
                <w:i/>
              </w:rPr>
              <w:t>SES</w:t>
            </w:r>
            <w:r>
              <w:t xml:space="preserve"> nie powinna być zawężona do nowej kategorii „innowacyjnych przedsiębiorstw” ani do innych kryteriów ograniczających, ponieważ stworzyłoby to dodatkową biurokrację i niepotrzebne obciążenie biurokratyczne.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2 – akapit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Jeżeli ESSU zamierza wejść na giełdę, powinna być zobowiązana do przekształcenia się w spółkę akcyjną na mocy prawa krajowego lub unijnego zgodnie z krajowymi i unijnymi przepisami dotyczącymi przekształcenia.</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2 – akapit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Jeżeli </w:t>
            </w:r>
            <w:r>
              <w:rPr>
                <w:b/>
                <w:i/>
              </w:rPr>
              <w:t>ESSU</w:t>
            </w:r>
            <w:r>
              <w:t xml:space="preserve"> zamierza wejść na giełdę, powinna być zobowiązana do przekształcenia się w spółkę akcyjną na mocy prawa krajowego lub unijnego zgodnie z krajowymi i unijnymi przepisami dotyczącymi przekształcenia.</w:t>
            </w:r>
          </w:p>
        </w:tc>
        <w:tc>
          <w:tcPr>
            <w:tcW w:w="4876" w:type="dxa"/>
            <w:tcBorders>
              <w:top w:val="nil"/>
              <w:left w:val="nil"/>
              <w:bottom w:val="nil"/>
              <w:right w:val="nil"/>
            </w:tcBorders>
          </w:tcPr>
          <w:p>
            <w:pPr>
              <w:pStyle w:val="Normal6a"/>
            </w:pPr>
            <w:r>
              <w:t xml:space="preserve">Jeżeli </w:t>
            </w:r>
            <w:r>
              <w:rPr>
                <w:b/>
                <w:i/>
              </w:rPr>
              <w:t>SES</w:t>
            </w:r>
            <w:r>
              <w:t xml:space="preserve"> zamierza wejść na giełdę, powinna być zobowiązana do przekształcenia się w spółkę akcyjną na mocy prawa krajowego lub unijnego zgodnie z krajowymi i unijnymi przepisami dotyczącymi przekształcenia.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3 – akapit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Tworzenie i rejestracja </w:t>
            </w:r>
            <w:r>
              <w:rPr>
                <w:b/>
                <w:i/>
              </w:rPr>
              <w:t>ESSU</w:t>
            </w:r>
            <w:r>
              <w:t xml:space="preserve"> powinny być w pełni cyfrowe i zgodne z zasadą jednorazowości. Tworzenie </w:t>
            </w:r>
            <w:r>
              <w:rPr>
                <w:b/>
                <w:i/>
              </w:rPr>
              <w:t>ESSU</w:t>
            </w:r>
            <w:r>
              <w:t xml:space="preserve"> nie powinno trwać dłużej niż 48 godzin.</w:t>
            </w:r>
          </w:p>
        </w:tc>
        <w:tc>
          <w:tcPr>
            <w:tcW w:w="4876" w:type="dxa"/>
            <w:tcBorders>
              <w:top w:val="nil"/>
              <w:left w:val="nil"/>
              <w:bottom w:val="nil"/>
              <w:right w:val="nil"/>
            </w:tcBorders>
          </w:tcPr>
          <w:p>
            <w:pPr>
              <w:pStyle w:val="Normal6a"/>
            </w:pPr>
            <w:r>
              <w:t xml:space="preserve">Tworzenie i rejestracja </w:t>
            </w:r>
            <w:r>
              <w:rPr>
                <w:b/>
                <w:i/>
              </w:rPr>
              <w:t>SES</w:t>
            </w:r>
            <w:r>
              <w:t xml:space="preserve"> powinny być w pełni cyfrowe i zgodne z zasadą jednorazowości</w:t>
            </w:r>
            <w:r>
              <w:rPr>
                <w:b/>
                <w:i/>
              </w:rPr>
              <w:t>, w myśl której przedsiębiorstwa składające dokument w jednym państwie członkowskim nie powinny być zobowiązane do składania dokumentów w innym państwie członkowskim, w którym prowadzą działalność</w:t>
            </w:r>
            <w:r>
              <w:t xml:space="preserve">. Tworzenie </w:t>
            </w:r>
            <w:r>
              <w:rPr>
                <w:b/>
                <w:i/>
              </w:rPr>
              <w:t>SES</w:t>
            </w:r>
            <w:r>
              <w:t xml:space="preserve"> nie powinno trwać dłużej niż 48 godzin.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3 – akapit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Tworzenie i rejestracja ESSU powinny być w pełni cyfrowe i zgodne z zasadą jednorazowości. Tworzenie ESSU nie powinno trwać dłużej niż </w:t>
            </w:r>
            <w:r>
              <w:rPr>
                <w:b/>
                <w:i/>
              </w:rPr>
              <w:t>48</w:t>
            </w:r>
            <w:r>
              <w:t xml:space="preserve"> godzin.</w:t>
            </w:r>
          </w:p>
        </w:tc>
        <w:tc>
          <w:tcPr>
            <w:tcW w:w="4876" w:type="dxa"/>
            <w:tcBorders>
              <w:top w:val="nil"/>
              <w:left w:val="nil"/>
              <w:bottom w:val="nil"/>
              <w:right w:val="nil"/>
            </w:tcBorders>
          </w:tcPr>
          <w:p>
            <w:pPr>
              <w:pStyle w:val="Normal6a"/>
            </w:pPr>
            <w:r>
              <w:t xml:space="preserve">Tworzenie i rejestracja ESSU powinny być </w:t>
            </w:r>
            <w:r>
              <w:rPr>
                <w:b/>
                <w:i/>
              </w:rPr>
              <w:t>realizowane za pośrednictwem centralnej platformy UE; powinny także być</w:t>
            </w:r>
            <w:r>
              <w:t xml:space="preserve"> w pełni cyfrowe</w:t>
            </w:r>
            <w:r>
              <w:rPr>
                <w:b/>
                <w:i/>
              </w:rPr>
              <w:t>, możliwe dopełnienia we wszystkich językach urzędowych UE</w:t>
            </w:r>
            <w:r>
              <w:t xml:space="preserve"> i zgodne z zasadą jednorazowości. Tworzenie ESSU nie powinno trwać dłużej niż </w:t>
            </w:r>
            <w:r>
              <w:rPr>
                <w:b/>
                <w:i/>
              </w:rPr>
              <w:t>24</w:t>
            </w:r>
            <w:r>
              <w:t xml:space="preserve"> godzin.</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3 – akapit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Tworzenie i rejestracja ESSU powinny być w pełni cyfrowe i zgodne z zasadą jednorazowości. Tworzenie ESSU nie powinno trwać dłużej niż 48 godzin.</w:t>
            </w:r>
          </w:p>
        </w:tc>
        <w:tc>
          <w:tcPr>
            <w:tcW w:w="4876" w:type="dxa"/>
            <w:tcBorders>
              <w:top w:val="nil"/>
              <w:left w:val="nil"/>
              <w:bottom w:val="nil"/>
              <w:right w:val="nil"/>
            </w:tcBorders>
          </w:tcPr>
          <w:p>
            <w:pPr>
              <w:pStyle w:val="Normal6a"/>
            </w:pPr>
            <w:r>
              <w:rPr>
                <w:b/>
                <w:i/>
              </w:rPr>
              <w:t>Mając na uwadze dyrektywę (UE) 2025/25,</w:t>
            </w:r>
            <w:r>
              <w:t xml:space="preserve"> tworzenie i rejestracja ESSU powinny być w pełni cyfrowe i zgodne z zasadą jednorazowości. Tworzenie ESSU nie powinno trwać dłużej niż 48 godzin.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3 – akapit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Tworzenie i rejestracja ESSU </w:t>
            </w:r>
            <w:r>
              <w:rPr>
                <w:b/>
                <w:i/>
              </w:rPr>
              <w:t>powinny</w:t>
            </w:r>
            <w:r>
              <w:t xml:space="preserve"> być w pełni cyfrowe i zgodne z zasadą jednorazowości. Tworzenie ESSU nie powinno trwać dłużej niż 48 godzin.</w:t>
            </w:r>
          </w:p>
        </w:tc>
        <w:tc>
          <w:tcPr>
            <w:tcW w:w="4876" w:type="dxa"/>
            <w:tcBorders>
              <w:top w:val="nil"/>
              <w:left w:val="nil"/>
              <w:bottom w:val="nil"/>
              <w:right w:val="nil"/>
            </w:tcBorders>
          </w:tcPr>
          <w:p>
            <w:pPr>
              <w:pStyle w:val="Normal6a"/>
            </w:pPr>
            <w:r>
              <w:t xml:space="preserve">Tworzenie i rejestracja ESSU </w:t>
            </w:r>
            <w:r>
              <w:rPr>
                <w:b/>
                <w:i/>
              </w:rPr>
              <w:t>mają</w:t>
            </w:r>
            <w:r>
              <w:t xml:space="preserve"> być w pełni cyfrowe i zgodne z zasadą jednorazowości. Tworzenie ESSU nie powinno trwać dłużej niż 48 godzin.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3 – akapit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Tworzenie i rejestracja ESSU </w:t>
            </w:r>
            <w:r>
              <w:rPr>
                <w:b/>
                <w:i/>
              </w:rPr>
              <w:t>powinny być</w:t>
            </w:r>
            <w:r>
              <w:t xml:space="preserve"> w pełni cyfrowe i zgodne z zasadą jednorazowości. Tworzenie ESSU nie powinno trwać dłużej niż </w:t>
            </w:r>
            <w:r>
              <w:rPr>
                <w:b/>
                <w:i/>
              </w:rPr>
              <w:t>48 godzin</w:t>
            </w:r>
            <w:r>
              <w:t>.</w:t>
            </w:r>
          </w:p>
        </w:tc>
        <w:tc>
          <w:tcPr>
            <w:tcW w:w="4876" w:type="dxa"/>
            <w:tcBorders>
              <w:top w:val="nil"/>
              <w:left w:val="nil"/>
              <w:bottom w:val="nil"/>
              <w:right w:val="nil"/>
            </w:tcBorders>
          </w:tcPr>
          <w:p>
            <w:pPr>
              <w:pStyle w:val="Normal6a"/>
            </w:pPr>
            <w:r>
              <w:t xml:space="preserve">Tworzenie i rejestracja ESSU </w:t>
            </w:r>
            <w:r>
              <w:rPr>
                <w:b/>
                <w:i/>
              </w:rPr>
              <w:t>są</w:t>
            </w:r>
            <w:r>
              <w:t xml:space="preserve"> w pełni cyfrowe i zgodne z zasadą jednorazowości. Tworzenie ESSU nie powinno trwać dłużej niż </w:t>
            </w:r>
            <w:r>
              <w:rPr>
                <w:b/>
                <w:i/>
              </w:rPr>
              <w:t>24 godziny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3 – akapit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Po utworzeniu ESSU powinna otrzymać jednolity identyfikator przedsiębiorstwa, aby usprawnić rejestrację, zwiększyć przejrzystość i zaufanie, ułatwić weryfikację tożsamości przedsiębiorstwa oraz zwalczać oszustwa i uchylanie się od opodatkowania.</w:t>
            </w:r>
          </w:p>
        </w:tc>
        <w:tc>
          <w:tcPr>
            <w:tcW w:w="4876" w:type="dxa"/>
            <w:tcBorders>
              <w:top w:val="nil"/>
              <w:left w:val="nil"/>
              <w:bottom w:val="nil"/>
              <w:right w:val="nil"/>
            </w:tcBorders>
          </w:tcPr>
          <w:p>
            <w:pPr>
              <w:pStyle w:val="Normal6a"/>
            </w:pPr>
            <w:r>
              <w:t>Po utworzeniu ESSU powinna otrzymać jednolity identyfikator przedsiębiorstwa, aby usprawnić rejestrację, zwiększyć przejrzystość i zaufanie, ułatwić weryfikację tożsamości przedsiębiorstwa oraz zwalczać oszustwa</w:t>
            </w:r>
            <w:r>
              <w:rPr>
                <w:b/>
                <w:i/>
              </w:rPr>
              <w:t>, pranie pieniędzy</w:t>
            </w:r>
            <w:r>
              <w:t xml:space="preserve"> i uchylanie się od opodatkowania.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3 – akapit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Po utworzeniu </w:t>
            </w:r>
            <w:r>
              <w:rPr>
                <w:b/>
                <w:i/>
              </w:rPr>
              <w:t>ESSU</w:t>
            </w:r>
            <w:r>
              <w:t xml:space="preserve"> powinna otrzymać jednolity identyfikator przedsiębiorstwa, aby usprawnić rejestrację, zwiększyć przejrzystość i zaufanie, ułatwić weryfikację tożsamości przedsiębiorstwa oraz zwalczać oszustwa i uchylanie się od opodatkowania.</w:t>
            </w:r>
          </w:p>
        </w:tc>
        <w:tc>
          <w:tcPr>
            <w:tcW w:w="4876" w:type="dxa"/>
            <w:tcBorders>
              <w:top w:val="nil"/>
              <w:left w:val="nil"/>
              <w:bottom w:val="nil"/>
              <w:right w:val="nil"/>
            </w:tcBorders>
          </w:tcPr>
          <w:p>
            <w:pPr>
              <w:pStyle w:val="Normal6a"/>
            </w:pPr>
            <w:r>
              <w:t xml:space="preserve">Po utworzeniu </w:t>
            </w:r>
            <w:r>
              <w:rPr>
                <w:b/>
                <w:i/>
              </w:rPr>
              <w:t>SES</w:t>
            </w:r>
            <w:r>
              <w:t xml:space="preserve"> powinna otrzymać jednolity identyfikator przedsiębiorstwa, aby usprawnić rejestrację, zwiększyć przejrzystość i zaufanie, ułatwić weryfikację tożsamości przedsiębiorstwa oraz zwalczać oszustwa i uchylanie się od opodatkowania.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3 – akapit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Aby ułatwić osiągnięcie tych celów, Komisja powinna utworzyć jednolity cyfrowy rejestr przedsiębiorstw dla ESSU na poziomie Unii i zarządzać nim. Taki rejestr stanowiłby uzupełnienie i rozszerzenie istniejącego systemu integracji rejestrów przedsiębiorstw (BRIS). Jednolity cyfrowy rejestr spółek na poziomie Unii nie powinien </w:t>
            </w:r>
            <w:r>
              <w:rPr>
                <w:b/>
                <w:i/>
              </w:rPr>
              <w:t>jednak</w:t>
            </w:r>
            <w:r>
              <w:t xml:space="preserve"> zastąpić istniejących krajowych przepisów dotyczących zakładania spółek, </w:t>
            </w:r>
            <w:r>
              <w:rPr>
                <w:b/>
                <w:i/>
              </w:rPr>
              <w:t>ale raczej</w:t>
            </w:r>
            <w:r>
              <w:t xml:space="preserve"> służyć jako wspólny portal. Rejestrując się w unijnym cyfrowym rejestrze spółek, spółka musi wybrać państwo członkowskie, w którym zostanie zarejestrowana, a tym samym prawo krajowe mające zastosowanie do jej rejestracji.</w:t>
            </w:r>
          </w:p>
        </w:tc>
        <w:tc>
          <w:tcPr>
            <w:tcW w:w="4876" w:type="dxa"/>
            <w:tcBorders>
              <w:top w:val="nil"/>
              <w:left w:val="nil"/>
              <w:bottom w:val="nil"/>
              <w:right w:val="nil"/>
            </w:tcBorders>
          </w:tcPr>
          <w:p>
            <w:pPr>
              <w:pStyle w:val="Normal6a"/>
            </w:pPr>
            <w:r>
              <w:t>Aby ułatwić osiągnięcie tych celów, Komisja powinna utworzyć jednolity cyfrowy rejestr przedsiębiorstw dla ESSU na poziomie Unii i zarządzać nim. Taki rejestr stanowiłby uzupełnienie i rozszerzenie istniejącego systemu integracji rejestrów przedsiębiorstw (BRIS)</w:t>
            </w:r>
            <w:r>
              <w:rPr>
                <w:b/>
                <w:i/>
              </w:rPr>
              <w:t>, który obecnie nie jest praktyczny ani wystarczająco znany</w:t>
            </w:r>
            <w:r>
              <w:t xml:space="preserve">. Jednolity cyfrowy rejestr spółek na poziomie Unii nie powinien zastąpić istniejących krajowych przepisów dotyczących zakładania spółek, </w:t>
            </w:r>
            <w:r>
              <w:rPr>
                <w:b/>
                <w:i/>
              </w:rPr>
              <w:t>lecz</w:t>
            </w:r>
            <w:r>
              <w:t xml:space="preserve"> służyć jako wspólny portal</w:t>
            </w:r>
            <w:r>
              <w:rPr>
                <w:b/>
                <w:i/>
              </w:rPr>
              <w:t>, na którym gromadzone byłyby wszystkie informacje niezbędne dla inwestorów.</w:t>
            </w:r>
            <w:r>
              <w:t xml:space="preserve"> </w:t>
            </w:r>
            <w:r>
              <w:rPr>
                <w:b/>
                <w:i/>
              </w:rPr>
              <w:t>Państwa członkowskie powinny zatem automatycznie przekazywać dokumenty do rejestru unijnego, zapewniając uznawanie i niezakłócony dostęp dla zainteresowanych stron.</w:t>
            </w:r>
            <w:r>
              <w:t xml:space="preserve"> </w:t>
            </w:r>
            <w:r>
              <w:rPr>
                <w:b/>
                <w:i/>
              </w:rPr>
              <w:t>Platforma powinna również dostarczać informacji na temat krajowych procedur i zasobów, a także wzorów dokumentów inwestorów dotyczących SES</w:t>
            </w:r>
            <w:r>
              <w:t>. Rejestrując się w unijnym cyfrowym rejestrze spółek, spółka musi wybrać państwo członkowskie, w którym zostanie zarejestrowana, a tym samym prawo krajowe mające zastosowanie do jej rejestracji.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3 – akapit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Aby ułatwić osiągnięcie tych celów, Komisja powinna utworzyć </w:t>
            </w:r>
            <w:r>
              <w:rPr>
                <w:b/>
                <w:i/>
              </w:rPr>
              <w:t>jednolity cyfrowy rejestr przedsiębiorstw dla ESSU na poziomie Unii i zarządzać nim. Taki rejestr</w:t>
            </w:r>
            <w:r>
              <w:t xml:space="preserve"> stanowiłby uzupełnienie i rozszerzenie </w:t>
            </w:r>
            <w:r>
              <w:rPr>
                <w:b/>
                <w:i/>
              </w:rPr>
              <w:t>istniejącego</w:t>
            </w:r>
            <w:r>
              <w:t xml:space="preserve"> systemu integracji rejestrów przedsiębiorstw (BRIS). </w:t>
            </w:r>
            <w:r>
              <w:rPr>
                <w:b/>
                <w:i/>
              </w:rPr>
              <w:t>Jednolity cyfrowy rejestr spółek</w:t>
            </w:r>
            <w:r>
              <w:t xml:space="preserve"> na poziomie Unii nie powinien </w:t>
            </w:r>
            <w:r>
              <w:rPr>
                <w:b/>
                <w:i/>
              </w:rPr>
              <w:t>jednak zastąpić istniejących</w:t>
            </w:r>
            <w:r>
              <w:t xml:space="preserve"> krajowych </w:t>
            </w:r>
            <w:r>
              <w:rPr>
                <w:b/>
                <w:i/>
              </w:rPr>
              <w:t>przepisów</w:t>
            </w:r>
            <w:r>
              <w:t xml:space="preserve"> dotyczących zakładania spółek, </w:t>
            </w:r>
            <w:r>
              <w:rPr>
                <w:b/>
                <w:i/>
              </w:rPr>
              <w:t>ale raczej służyć</w:t>
            </w:r>
            <w:r>
              <w:t xml:space="preserve"> jako wspólny portal. </w:t>
            </w:r>
            <w:r>
              <w:rPr>
                <w:b/>
                <w:i/>
              </w:rPr>
              <w:t>Rejestrując się w unijnym cyfrowym rejestrze spółek</w:t>
            </w:r>
            <w:r>
              <w:t xml:space="preserve">, spółka musi wybrać państwo członkowskie, w którym zostanie </w:t>
            </w:r>
            <w:r>
              <w:rPr>
                <w:b/>
                <w:i/>
              </w:rPr>
              <w:t>zarejestrowana</w:t>
            </w:r>
            <w:r>
              <w:t xml:space="preserve">, a tym samym prawo krajowe mające zastosowanie do jej </w:t>
            </w:r>
            <w:r>
              <w:rPr>
                <w:b/>
                <w:i/>
              </w:rPr>
              <w:t>rejestracji</w:t>
            </w:r>
            <w:r>
              <w:t>.</w:t>
            </w:r>
          </w:p>
        </w:tc>
        <w:tc>
          <w:tcPr>
            <w:tcW w:w="4876" w:type="dxa"/>
            <w:tcBorders>
              <w:top w:val="nil"/>
              <w:left w:val="nil"/>
              <w:bottom w:val="nil"/>
              <w:right w:val="nil"/>
            </w:tcBorders>
          </w:tcPr>
          <w:p>
            <w:pPr>
              <w:pStyle w:val="Normal6a"/>
            </w:pPr>
            <w:r>
              <w:t xml:space="preserve">Aby ułatwić osiągnięcie tych celów, Komisja powinna utworzyć </w:t>
            </w:r>
            <w:r>
              <w:rPr>
                <w:b/>
                <w:i/>
              </w:rPr>
              <w:t>i obsługiwać na europejskim portalu „e-Sprawiedliwość” punkt dostępu do celów rejestracji ESSU.</w:t>
            </w:r>
            <w:r>
              <w:t xml:space="preserve"> </w:t>
            </w:r>
            <w:r>
              <w:rPr>
                <w:b/>
                <w:i/>
              </w:rPr>
              <w:t>Taki punkt dostępu</w:t>
            </w:r>
            <w:r>
              <w:t xml:space="preserve"> stanowiłby uzupełnienie i rozszerzenie systemu integracji rejestrów przedsiębiorstw (BRIS). </w:t>
            </w:r>
            <w:r>
              <w:rPr>
                <w:b/>
                <w:i/>
              </w:rPr>
              <w:t>Punkt dostępu</w:t>
            </w:r>
            <w:r>
              <w:t xml:space="preserve"> na poziomie Unii nie powinien </w:t>
            </w:r>
            <w:r>
              <w:rPr>
                <w:b/>
                <w:i/>
              </w:rPr>
              <w:t>zastępować</w:t>
            </w:r>
            <w:r>
              <w:t xml:space="preserve"> krajowych </w:t>
            </w:r>
            <w:r>
              <w:rPr>
                <w:b/>
                <w:i/>
              </w:rPr>
              <w:t>zasad</w:t>
            </w:r>
            <w:r>
              <w:t xml:space="preserve"> dotyczących zakładania spółek, </w:t>
            </w:r>
            <w:r>
              <w:rPr>
                <w:b/>
                <w:i/>
              </w:rPr>
              <w:t>lecz funkcjonować</w:t>
            </w:r>
            <w:r>
              <w:t xml:space="preserve"> jako wspólny portal. </w:t>
            </w:r>
            <w:r>
              <w:rPr>
                <w:b/>
                <w:i/>
              </w:rPr>
              <w:t>Korzystając z tego punktu dostępu</w:t>
            </w:r>
            <w:r>
              <w:t xml:space="preserve">, spółka musi wybrać państwo członkowskie, w którym zostanie </w:t>
            </w:r>
            <w:r>
              <w:rPr>
                <w:b/>
                <w:i/>
              </w:rPr>
              <w:t>założona</w:t>
            </w:r>
            <w:r>
              <w:t xml:space="preserve">, a tym samym prawo krajowe mające zastosowanie do jej </w:t>
            </w:r>
            <w:r>
              <w:rPr>
                <w:b/>
                <w:i/>
              </w:rPr>
              <w:t>założenia</w:t>
            </w:r>
            <w:r>
              <w:t xml:space="preserve">. </w:t>
            </w:r>
            <w:r>
              <w:rPr>
                <w:b/>
                <w:i/>
              </w:rPr>
              <w:t>Punkt dostępu funkcjonowałby jako bezpośredni dostęp do krajowych pojedynczych punktów kontaktowych dla przedsiębiorstw, które byłyby zarejestrowane jako ESSU.</w:t>
            </w:r>
            <w:r>
              <w:t xml:space="preserve"> </w:t>
            </w:r>
            <w:r>
              <w:rPr>
                <w:b/>
                <w:i/>
              </w:rPr>
              <w:t>Założenie spółki, wnioski i aktualizacje powinny być zarządzane zgodnie z prawem krajowym za pośrednictwem pojedynczych punktów kontaktowych dostępnych za pośrednictwem punktu dostępu, w oparciu o wielojęzyczny interfejs i standardy identyfikacji przewidziane w rozporządzeniu eIDAS.</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3 – akapit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Aby ułatwić osiągnięcie tych celów, Komisja powinna utworzyć </w:t>
            </w:r>
            <w:r>
              <w:rPr>
                <w:b/>
                <w:i/>
              </w:rPr>
              <w:t>jednolity cyfrowy rejestr przedsiębiorstw dla ESSU na poziomie Unii</w:t>
            </w:r>
            <w:r>
              <w:t xml:space="preserve"> i zarządzać nim. Taki </w:t>
            </w:r>
            <w:r>
              <w:rPr>
                <w:b/>
                <w:i/>
              </w:rPr>
              <w:t>rejestr</w:t>
            </w:r>
            <w:r>
              <w:t xml:space="preserve"> stanowiłby uzupełnienie i rozszerzenie istniejącego systemu integracji rejestrów przedsiębiorstw (BRIS). </w:t>
            </w:r>
            <w:r>
              <w:rPr>
                <w:b/>
                <w:i/>
              </w:rPr>
              <w:t>Jednolity cyfrowy rejestr spółek</w:t>
            </w:r>
            <w:r>
              <w:t xml:space="preserve"> na poziomie Unii nie powinien jednak zastąpić istniejących krajowych przepisów dotyczących zakładania spółek, ale raczej służyć jako wspólny portal. </w:t>
            </w:r>
            <w:r>
              <w:rPr>
                <w:b/>
                <w:i/>
              </w:rPr>
              <w:t>Rejestrując się w unijnym cyfrowym rejestrze spółek, spółka musi wybrać państwo członkowskie, w którym zostanie zarejestrowana, a tym samym prawo krajowe mające zastosowanie do jej rejestracji.</w:t>
            </w:r>
          </w:p>
        </w:tc>
        <w:tc>
          <w:tcPr>
            <w:tcW w:w="4876" w:type="dxa"/>
            <w:tcBorders>
              <w:top w:val="nil"/>
              <w:left w:val="nil"/>
              <w:bottom w:val="nil"/>
              <w:right w:val="nil"/>
            </w:tcBorders>
          </w:tcPr>
          <w:p>
            <w:pPr>
              <w:pStyle w:val="Normal6a"/>
            </w:pPr>
            <w:r>
              <w:t xml:space="preserve">Aby ułatwić osiągnięcie tych celów, Komisja powinna utworzyć </w:t>
            </w:r>
            <w:r>
              <w:rPr>
                <w:b/>
                <w:i/>
              </w:rPr>
              <w:t>punkt dostępu na europejskim portalu „e-Sprawiedliwość”</w:t>
            </w:r>
            <w:r>
              <w:t xml:space="preserve"> i zarządzać nim. Taki </w:t>
            </w:r>
            <w:r>
              <w:rPr>
                <w:b/>
                <w:i/>
              </w:rPr>
              <w:t>punkt dostępu</w:t>
            </w:r>
            <w:r>
              <w:t xml:space="preserve"> stanowiłby uzupełnienie i rozszerzenie istniejącego systemu integracji rejestrów przedsiębiorstw (BRIS). </w:t>
            </w:r>
            <w:r>
              <w:rPr>
                <w:b/>
                <w:i/>
              </w:rPr>
              <w:t>Punkt dostępu</w:t>
            </w:r>
            <w:r>
              <w:t xml:space="preserve"> na poziomie Unii nie powinien jednak zastąpić istniejących krajowych przepisów dotyczących zakładania spółek, ale raczej służyć jako wspólny portal.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3 – akapit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Aby ułatwić osiągnięcie tych celów, Komisja powinna utworzyć jednolity </w:t>
            </w:r>
            <w:r>
              <w:rPr>
                <w:b/>
                <w:i/>
              </w:rPr>
              <w:t>cyfrowy rejestr przedsiębiorstw</w:t>
            </w:r>
            <w:r>
              <w:t xml:space="preserve"> dla ESSU na poziomie Unii i zarządzać nim. </w:t>
            </w:r>
            <w:r>
              <w:rPr>
                <w:b/>
                <w:i/>
              </w:rPr>
              <w:t>Taki rejestr</w:t>
            </w:r>
            <w:r>
              <w:t xml:space="preserve"> stanowiłby uzupełnienie i rozszerzenie istniejącego systemu integracji rejestrów przedsiębiorstw (BRIS)</w:t>
            </w:r>
            <w:r>
              <w:rPr>
                <w:b/>
                <w:i/>
              </w:rPr>
              <w:t>.</w:t>
            </w:r>
            <w:r>
              <w:t xml:space="preserve"> </w:t>
            </w:r>
            <w:r>
              <w:rPr>
                <w:b/>
                <w:i/>
              </w:rPr>
              <w:t>Jednolity</w:t>
            </w:r>
            <w:r>
              <w:t xml:space="preserve"> cyfrowy </w:t>
            </w:r>
            <w:r>
              <w:rPr>
                <w:b/>
                <w:i/>
              </w:rPr>
              <w:t>rejestr spółek</w:t>
            </w:r>
            <w:r>
              <w:t xml:space="preserve"> na poziomie Unii nie powinien jednak zastąpić istniejących krajowych przepisów dotyczących zakładania spółek, ale raczej służyć jako wspólny portal. Rejestrując </w:t>
            </w:r>
            <w:r>
              <w:rPr>
                <w:b/>
                <w:i/>
              </w:rPr>
              <w:t>się w unijnym cyfrowym rejestrze spółek, spółka</w:t>
            </w:r>
            <w:r>
              <w:t xml:space="preserve"> musi wybrać państwo członkowskie, w którym zostanie zarejestrowana, a tym samym prawo krajowe mające zastosowanie do jej rejestracji.</w:t>
            </w:r>
          </w:p>
        </w:tc>
        <w:tc>
          <w:tcPr>
            <w:tcW w:w="4876" w:type="dxa"/>
            <w:tcBorders>
              <w:top w:val="nil"/>
              <w:left w:val="nil"/>
              <w:bottom w:val="nil"/>
              <w:right w:val="nil"/>
            </w:tcBorders>
          </w:tcPr>
          <w:p>
            <w:pPr>
              <w:pStyle w:val="Normal6a"/>
            </w:pPr>
            <w:r>
              <w:t xml:space="preserve">Aby ułatwić osiągnięcie tych celów, Komisja powinna utworzyć jednolity </w:t>
            </w:r>
            <w:r>
              <w:rPr>
                <w:b/>
                <w:i/>
              </w:rPr>
              <w:t>bezpośredni punkt dostępu</w:t>
            </w:r>
            <w:r>
              <w:t xml:space="preserve"> dla ESSU na poziomie Unii i zarządzać nim. </w:t>
            </w:r>
            <w:r>
              <w:rPr>
                <w:b/>
                <w:i/>
              </w:rPr>
              <w:t>Ten punkt dostępu</w:t>
            </w:r>
            <w:r>
              <w:t xml:space="preserve"> stanowiłby uzupełnienie i rozszerzenie istniejącego systemu integracji rejestrów przedsiębiorstw (BRIS) </w:t>
            </w:r>
            <w:r>
              <w:rPr>
                <w:b/>
                <w:i/>
              </w:rPr>
              <w:t>poprzez zapewnienie zharmonizowanego interfejsu jednolitego dostępu do użytku transgranicznego, bez tworzenia odrębnego lub równoległego rejestru.</w:t>
            </w:r>
            <w:r>
              <w:t xml:space="preserve"> Cyfrowy </w:t>
            </w:r>
            <w:r>
              <w:rPr>
                <w:b/>
                <w:i/>
              </w:rPr>
              <w:t>punkt bezpośredniego dostępu</w:t>
            </w:r>
            <w:r>
              <w:t xml:space="preserve"> na poziomie Unii nie powinien jednak zastąpić istniejących krajowych przepisów dotyczących zakładania spółek, ale raczej służyć </w:t>
            </w:r>
            <w:r>
              <w:rPr>
                <w:b/>
                <w:i/>
              </w:rPr>
              <w:t>im</w:t>
            </w:r>
            <w:r>
              <w:t xml:space="preserve"> jako wspólny portal. Rejestrując </w:t>
            </w:r>
            <w:r>
              <w:rPr>
                <w:b/>
                <w:i/>
              </w:rPr>
              <w:t>ESSU przy wykorzystaniu punktu dostępu, wnioskodawca</w:t>
            </w:r>
            <w:r>
              <w:t xml:space="preserve"> musi wybrać państwo członkowskie, w którym </w:t>
            </w:r>
            <w:r>
              <w:rPr>
                <w:b/>
                <w:i/>
              </w:rPr>
              <w:t>ESSU</w:t>
            </w:r>
            <w:r>
              <w:t xml:space="preserve"> zostanie zarejestrowana, a tym samym prawo krajowe mające zastosowanie do jej rejestracji.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3 – akapit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Aby ułatwić osiągnięcie tych celów, Komisja powinna utworzyć jednolity cyfrowy rejestr przedsiębiorstw dla </w:t>
            </w:r>
            <w:r>
              <w:rPr>
                <w:b/>
                <w:i/>
              </w:rPr>
              <w:t>ESSU</w:t>
            </w:r>
            <w:r>
              <w:t xml:space="preserve"> na poziomie Unii i zarządzać nim. Taki rejestr stanowiłby uzupełnienie i rozszerzenie istniejącego systemu integracji rejestrów przedsiębiorstw (BRIS). Jednolity cyfrowy rejestr spółek na poziomie Unii nie powinien jednak zastąpić istniejących krajowych przepisów dotyczących zakładania spółek, ale raczej służyć jako wspólny portal. Rejestrując się w unijnym cyfrowym rejestrze spółek, spółka musi wybrać państwo członkowskie, w którym zostanie zarejestrowana, a tym samym prawo krajowe mające zastosowanie do jej rejestracji.</w:t>
            </w:r>
          </w:p>
        </w:tc>
        <w:tc>
          <w:tcPr>
            <w:tcW w:w="4876" w:type="dxa"/>
            <w:tcBorders>
              <w:top w:val="nil"/>
              <w:left w:val="nil"/>
              <w:bottom w:val="nil"/>
              <w:right w:val="nil"/>
            </w:tcBorders>
          </w:tcPr>
          <w:p>
            <w:pPr>
              <w:pStyle w:val="Normal6a"/>
            </w:pPr>
            <w:r>
              <w:t xml:space="preserve">Aby ułatwić osiągnięcie tych celów, Komisja powinna utworzyć jednolity cyfrowy rejestr przedsiębiorstw dla </w:t>
            </w:r>
            <w:r>
              <w:rPr>
                <w:b/>
                <w:i/>
              </w:rPr>
              <w:t>SES</w:t>
            </w:r>
            <w:r>
              <w:t xml:space="preserve"> na poziomie Unii i zarządzać nim. Taki rejestr stanowiłby uzupełnienie i rozszerzenie istniejącego systemu integracji rejestrów przedsiębiorstw (BRIS). Jednolity cyfrowy rejestr spółek na poziomie Unii nie powinien jednak zastąpić istniejących krajowych przepisów dotyczących zakładania spółek, ale raczej służyć jako wspólny portal. Rejestrując się w unijnym cyfrowym rejestrze spółek, spółka musi wybrać państwo członkowskie, w którym zostanie zarejestrowana, a tym samym prawo krajowe mające zastosowanie do jej rejestracji.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3 – akapit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Jednolity cyfrowy rejestr spółek na szczeblu Unii byłby bezpośrednim punktem</w:t>
            </w:r>
            <w:r>
              <w:t xml:space="preserve"> dostępu </w:t>
            </w:r>
            <w:r>
              <w:rPr>
                <w:b/>
                <w:i/>
              </w:rPr>
              <w:t>dla</w:t>
            </w:r>
            <w:r>
              <w:t xml:space="preserve"> przedsiębiorstw </w:t>
            </w:r>
            <w:r>
              <w:rPr>
                <w:b/>
                <w:i/>
              </w:rPr>
              <w:t>chcących zarejestrować się</w:t>
            </w:r>
            <w:r>
              <w:t xml:space="preserve"> jako ESSU. Rejestracji, uzupełnienia i aktualizacji w tym rejestrze należy dokonać </w:t>
            </w:r>
            <w:r>
              <w:rPr>
                <w:b/>
                <w:i/>
              </w:rPr>
              <w:t>tylko raz, a informacje powinny być dostępne we wszystkich państwach członkowskich dzięki wielojęzycznemu interfejsowi i zharmonizowanym normom identyfikacji</w:t>
            </w:r>
            <w:r>
              <w:t xml:space="preserve"> zgodnie z </w:t>
            </w:r>
            <w:r>
              <w:rPr>
                <w:b/>
                <w:i/>
              </w:rPr>
              <w:t>rozporządzeniem eIDAS</w:t>
            </w:r>
            <w:r>
              <w:rPr>
                <w:b/>
                <w:i/>
                <w:vertAlign w:val="superscript"/>
              </w:rPr>
              <w:t>1</w:t>
            </w:r>
            <w:r>
              <w:rPr>
                <w:b/>
                <w:i/>
              </w:rPr>
              <w:t>.</w:t>
            </w:r>
            <w:r>
              <w:t xml:space="preserve"> </w:t>
            </w:r>
            <w:r>
              <w:rPr>
                <w:b/>
                <w:i/>
              </w:rPr>
              <w:t>Rejestr mógłby korzystać z sieci rozproszonego rejestru (DLT</w:t>
            </w:r>
            <w:r>
              <w:t xml:space="preserve">) </w:t>
            </w:r>
            <w:r>
              <w:rPr>
                <w:b/>
                <w:i/>
              </w:rPr>
              <w:t>do rejestrowania kluczowych zdarzeń korporacyjnych, takich jak rejestracje lub transfery udziałów, przy użyciu niezmiennych znaczników czasu</w:t>
            </w:r>
            <w:r>
              <w:t>.</w:t>
            </w:r>
          </w:p>
        </w:tc>
        <w:tc>
          <w:tcPr>
            <w:tcW w:w="4876" w:type="dxa"/>
            <w:tcBorders>
              <w:top w:val="nil"/>
              <w:left w:val="nil"/>
              <w:bottom w:val="nil"/>
              <w:right w:val="nil"/>
            </w:tcBorders>
          </w:tcPr>
          <w:p>
            <w:pPr>
              <w:pStyle w:val="Normal6a"/>
            </w:pPr>
            <w:r>
              <w:rPr>
                <w:b/>
                <w:i/>
              </w:rPr>
              <w:t>Punkt dostępu służyłby jako bezpośredni punkt</w:t>
            </w:r>
            <w:r>
              <w:t xml:space="preserve"> dostępu </w:t>
            </w:r>
            <w:r>
              <w:rPr>
                <w:b/>
                <w:i/>
              </w:rPr>
              <w:t>do wyszukiwania</w:t>
            </w:r>
            <w:r>
              <w:t xml:space="preserve"> przedsiębiorstw </w:t>
            </w:r>
            <w:r>
              <w:rPr>
                <w:b/>
                <w:i/>
              </w:rPr>
              <w:t>zarejestrowanych</w:t>
            </w:r>
            <w:r>
              <w:t xml:space="preserve"> jako ESSU. Rejestracji, uzupełnienia i aktualizacji w tym rejestrze należy dokonać zgodnie z </w:t>
            </w:r>
            <w:r>
              <w:rPr>
                <w:b/>
                <w:i/>
              </w:rPr>
              <w:t>dyrektywą (UE</w:t>
            </w:r>
            <w:r>
              <w:t xml:space="preserve">) </w:t>
            </w:r>
            <w:r>
              <w:rPr>
                <w:b/>
                <w:i/>
              </w:rPr>
              <w:t>2025/25</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w:t>
            </w:r>
            <w:r>
              <w:t xml:space="preserve"> </w:t>
            </w:r>
            <w:r>
              <w:rPr>
                <w:b/>
                <w:i/>
              </w:rPr>
              <w:t>Rozporządzenie Parlamentu Europejskiego i Rady (UE) nr 910/2014 z dnia 23 lipca 2014 r. w sprawie identyfikacji elektronicznej i usług zaufania w odniesieniu do transakcji elektronicznych na rynku wewnętrznym oraz uchylające dyrektywę 1999/93/WE (Dz.U.</w:t>
            </w:r>
            <w:r>
              <w:t xml:space="preserve"> </w:t>
            </w:r>
            <w:r>
              <w:rPr>
                <w:b/>
                <w:i/>
              </w:rPr>
              <w:t>L 257 z 28.8.2014, s.</w:t>
            </w:r>
            <w:r>
              <w:t xml:space="preserve"> </w:t>
            </w:r>
            <w:r>
              <w:rPr>
                <w:b/>
                <w:i/>
              </w:rPr>
              <w:t>73, ELI: http://data.europa.eu/eli/reg/2014/910/oj).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3 – akapit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Jednolity </w:t>
            </w:r>
            <w:r>
              <w:rPr>
                <w:b/>
                <w:i/>
              </w:rPr>
              <w:t>cyfrowy rejestr spółek</w:t>
            </w:r>
            <w:r>
              <w:t xml:space="preserve"> na szczeblu Unii </w:t>
            </w:r>
            <w:r>
              <w:rPr>
                <w:b/>
                <w:i/>
              </w:rPr>
              <w:t>byłby bezpośrednim punktem</w:t>
            </w:r>
            <w:r>
              <w:t xml:space="preserve"> dostępu dla przedsiębiorstw </w:t>
            </w:r>
            <w:r>
              <w:rPr>
                <w:b/>
                <w:i/>
              </w:rPr>
              <w:t>chcących zarejestrować się jako ESSU.</w:t>
            </w:r>
            <w:r>
              <w:t xml:space="preserve"> Rejestracji</w:t>
            </w:r>
            <w:r>
              <w:rPr>
                <w:b/>
                <w:i/>
              </w:rPr>
              <w:t>, uzupełnienia i aktualizacji w tym rejestrze należy dokonać</w:t>
            </w:r>
            <w:r>
              <w:t xml:space="preserve"> tylko raz</w:t>
            </w:r>
            <w:r>
              <w:rPr>
                <w:b/>
                <w:i/>
              </w:rPr>
              <w:t>, a informacje powinny być dostępne</w:t>
            </w:r>
            <w:r>
              <w:t xml:space="preserve"> we wszystkich państwach członkowskich dzięki wielojęzycznemu interfejsowi i zharmonizowanym normom identyfikacji zgodnie z rozporządzeniem eIDAS</w:t>
            </w:r>
            <w:r>
              <w:rPr>
                <w:vertAlign w:val="superscript"/>
              </w:rPr>
              <w:t>1</w:t>
            </w:r>
            <w:r>
              <w:t>. Rejestr mógłby korzystać z sieci rozproszonego rejestru (DLT) do rejestrowania kluczowych zdarzeń korporacyjnych, takich jak rejestracje lub transfery udziałów, przy użyciu niezmiennych znaczników czasu.</w:t>
            </w:r>
          </w:p>
        </w:tc>
        <w:tc>
          <w:tcPr>
            <w:tcW w:w="4876" w:type="dxa"/>
            <w:tcBorders>
              <w:top w:val="nil"/>
              <w:left w:val="nil"/>
              <w:bottom w:val="nil"/>
              <w:right w:val="nil"/>
            </w:tcBorders>
          </w:tcPr>
          <w:p>
            <w:pPr>
              <w:pStyle w:val="Normal6a"/>
            </w:pPr>
            <w:r>
              <w:t xml:space="preserve">Jednolity na szczeblu Unii </w:t>
            </w:r>
            <w:r>
              <w:rPr>
                <w:b/>
                <w:i/>
              </w:rPr>
              <w:t>cyfrowy bezpośredni punkt</w:t>
            </w:r>
            <w:r>
              <w:t xml:space="preserve"> dostępu dla przedsiębiorstw </w:t>
            </w:r>
            <w:r>
              <w:rPr>
                <w:b/>
                <w:i/>
              </w:rPr>
              <w:t>do</w:t>
            </w:r>
            <w:r>
              <w:t xml:space="preserve"> rejestracji </w:t>
            </w:r>
            <w:r>
              <w:rPr>
                <w:b/>
                <w:i/>
              </w:rPr>
              <w:t>jako ESSU powinien zarządzać rejestracją, uzupełnianiem i aktualizacją</w:t>
            </w:r>
            <w:r>
              <w:t xml:space="preserve"> tylko raz </w:t>
            </w:r>
            <w:r>
              <w:rPr>
                <w:b/>
                <w:i/>
              </w:rPr>
              <w:t>i powinien być dostępny</w:t>
            </w:r>
            <w:r>
              <w:t xml:space="preserve"> we wszystkich państwach członkowskich dzięki wielojęzycznemu interfejsowi i zharmonizowanym normom identyfikacji zgodnie z rozporządzeniem eIDAS</w:t>
            </w:r>
            <w:r>
              <w:rPr>
                <w:vertAlign w:val="superscript"/>
              </w:rPr>
              <w:t>1</w:t>
            </w:r>
            <w:r>
              <w:t>. Rejestr mógłby korzystać z sieci rozproszonego rejestru (DLT) do rejestrowania kluczowych zdarzeń korporacyjnych, takich jak rejestracje lub transfery udziałów, przy użyciu niezmiennych znaczników czasu.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Rozporządzenie Parlamentu Europejskiego i Rady (UE) nr 910/2014 z dnia 23 lipca 2014 r. w sprawie identyfikacji elektronicznej i usług zaufania w odniesieniu do transakcji elektronicznych na rynku wewnętrznym oraz uchylające dyrektywę 1999/93/WE (Dz.U. L 257 z 28.8.2014, s. 73, ELI: http://data.europa.eu/eli/reg/2014/910/oj).</w:t>
            </w:r>
          </w:p>
        </w:tc>
        <w:tc>
          <w:tcPr>
            <w:tcW w:w="4876" w:type="dxa"/>
            <w:tcBorders>
              <w:top w:val="nil"/>
              <w:left w:val="nil"/>
              <w:bottom w:val="nil"/>
              <w:right w:val="nil"/>
            </w:tcBorders>
          </w:tcPr>
          <w:p>
            <w:pPr>
              <w:pStyle w:val="Normal6a"/>
            </w:pPr>
            <w:r>
              <w:rPr>
                <w:vertAlign w:val="superscript"/>
              </w:rPr>
              <w:t>1</w:t>
            </w:r>
            <w:r>
              <w:t xml:space="preserve"> </w:t>
            </w:r>
            <w:r>
              <w:t>Rozporządzenie Parlamentu Europejskiego i Rady (UE) nr 910/2014 z dnia 23 lipca 2014 r. w sprawie identyfikacji elektronicznej i usług zaufania w odniesieniu do transakcji elektronicznych na rynku wewnętrznym oraz uchylające dyrektywę 1999/93/WE (Dz.U. L 257 z 28.8.2014, s. 73, ELI: http://data.europa.eu/eli/reg/2014/910/oj).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3 – akapit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Jednolity cyfrowy rejestr spółek na szczeblu Unii byłby bezpośrednim punktem dostępu dla przedsiębiorstw chcących zarejestrować się jako </w:t>
            </w:r>
            <w:r>
              <w:rPr>
                <w:b/>
                <w:i/>
              </w:rPr>
              <w:t>ESSU</w:t>
            </w:r>
            <w:r>
              <w:t>. Rejestracji, uzupełnienia i aktualizacji w tym rejestrze należy dokonać tylko raz, a informacje powinny być dostępne we wszystkich państwach członkowskich dzięki wielojęzycznemu interfejsowi i zharmonizowanym normom identyfikacji zgodnie z rozporządzeniem eIDAS</w:t>
            </w:r>
            <w:r>
              <w:rPr>
                <w:vertAlign w:val="superscript"/>
              </w:rPr>
              <w:t>1</w:t>
            </w:r>
            <w:r>
              <w:t>. Rejestr mógłby korzystać z sieci rozproszonego rejestru (DLT) do rejestrowania kluczowych zdarzeń korporacyjnych, takich jak rejestracje lub transfery udziałów, przy użyciu niezmiennych znaczników czasu.</w:t>
            </w:r>
          </w:p>
        </w:tc>
        <w:tc>
          <w:tcPr>
            <w:tcW w:w="4876" w:type="dxa"/>
            <w:tcBorders>
              <w:top w:val="nil"/>
              <w:left w:val="nil"/>
              <w:bottom w:val="nil"/>
              <w:right w:val="nil"/>
            </w:tcBorders>
          </w:tcPr>
          <w:p>
            <w:pPr>
              <w:pStyle w:val="Normal6a"/>
            </w:pPr>
            <w:r>
              <w:t xml:space="preserve">Jednolity cyfrowy rejestr spółek na szczeblu Unii byłby bezpośrednim punktem dostępu dla przedsiębiorstw chcących zarejestrować się jako </w:t>
            </w:r>
            <w:r>
              <w:rPr>
                <w:b/>
                <w:i/>
              </w:rPr>
              <w:t>SES</w:t>
            </w:r>
            <w:r>
              <w:t>. Rejestracji, uzupełnienia i aktualizacji w tym rejestrze należy dokonać tylko raz, a informacje powinny być dostępne we wszystkich państwach członkowskich dzięki wielojęzycznemu interfejsowi i zharmonizowanym normom identyfikacji zgodnie z rozporządzeniem eIDAS</w:t>
            </w:r>
            <w:r>
              <w:rPr>
                <w:vertAlign w:val="superscript"/>
              </w:rPr>
              <w:t>1</w:t>
            </w:r>
            <w:r>
              <w:t>. Rejestr mógłby korzystać z sieci rozproszonego rejestru (DLT) do rejestrowania kluczowych zdarzeń korporacyjnych, takich jak rejestracje lub transfery udziałów, przy użyciu niezmiennych znaczników czasu.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Rozporządzenie Parlamentu Europejskiego i Rady (UE) nr 910/2014 z dnia 23 lipca 2014 r. w sprawie identyfikacji elektronicznej i usług zaufania w odniesieniu do transakcji elektronicznych na rynku wewnętrznym oraz uchylające dyrektywę 1999/93/WE (Dz.U. L 257 z 28.8.2014, s. 73, ELI: http://data.europa.eu/eli/reg/2014/910/oj).</w:t>
            </w:r>
          </w:p>
        </w:tc>
        <w:tc>
          <w:tcPr>
            <w:tcW w:w="4876" w:type="dxa"/>
            <w:tcBorders>
              <w:top w:val="nil"/>
              <w:left w:val="nil"/>
              <w:bottom w:val="nil"/>
              <w:right w:val="nil"/>
            </w:tcBorders>
          </w:tcPr>
          <w:p>
            <w:pPr>
              <w:pStyle w:val="Normal6a"/>
            </w:pPr>
            <w:r>
              <w:rPr>
                <w:vertAlign w:val="superscript"/>
              </w:rPr>
              <w:t>1</w:t>
            </w:r>
            <w:r>
              <w:t xml:space="preserve"> </w:t>
            </w:r>
            <w:r>
              <w:t>Rozporządzenie Parlamentu Europejskiego i Rady (UE) nr 910/2014 z dnia 23 lipca 2014 r. w sprawie identyfikacji elektronicznej i usług zaufania w odniesieniu do transakcji elektronicznych na rynku wewnętrznym oraz uchylające dyrektywę 1999/93/WE (Dz.U. L 257 z 28.8.2014, s. 73, ELI: http://data.europa.eu/eli/reg/2014/910/oj).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3 – akapit 5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Cyfrowy rejestr przedsiębiorstw powinien również obejmować systemy walidacji napędzane AI i cyfrowe mechanizmy weryfikacji, aby jeszcze bardziej przyspieszyć rejestrację i zminimalizować błędy.</w:t>
            </w:r>
            <w:r>
              <w:t xml:space="preserve"> </w:t>
            </w:r>
            <w:r>
              <w:rPr>
                <w:b/>
                <w:i/>
              </w:rPr>
              <w:t>Systemy te powinny być w stanie automatycznie sprawdzać dokumenty założycielskie, tożsamości elektroniczne (e-ID) oraz poświadczenia notarialne pod kątem kompletności i zgodności z prawem, sygnalizując niespójności w czasie rzeczywistym.</w:t>
            </w:r>
            <w:r>
              <w:t xml:space="preserve"> </w:t>
            </w:r>
            <w:r>
              <w:rPr>
                <w:b/>
                <w:i/>
              </w:rPr>
              <w:t>Ponadto powinny one być zintegrowane z istniejącymi bazami danych portalu „e-Sprawiedliwość” i krajowymi rejestrami działalności gospodarczej, a także z listami ostrzegawczymi „znaj swojego klienta”/ do przeciwdziałania praniu pieniędzy (AML), aby weryfikować dane w czasie rzeczywistym z listami ostrzegawczymi na szczeblu krajowym i unijnym (takimi jak lista beneficjentów rzeczywistych lub lista dotycząca sankcji).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3 – akapit 5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Ponadto należy ustanowić wewnętrzną internetową platformę dla przedsiębiorstw, aby ułatwić bezpieczne cyfrowe podpisywanie dokumentów, w tym przez notariuszy, sprzedaż i przyznawanie akcji, tworzenie i przyjmowanie uchwał zarządów oraz świadczenie usług fakturowania elektronicznego.</w:t>
            </w:r>
            <w:r>
              <w:t xml:space="preserve"> </w:t>
            </w:r>
            <w:r>
              <w:rPr>
                <w:b/>
                <w:i/>
              </w:rPr>
              <w:t>Platforma ta powinna również umożliwiać uznawanie i wykorzystywanie w całej Unii certyfikatów, licencji i zezwoleń wydanych w jednym państwie członkowskim, zgodnie z mającym zastosowanie prawem unijnym i krajowym.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3 – akapit 5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Należy wprowadzić uproszczoną procedurę tworzenia ESSU, w przypadku gdy wszyscy potencjalni członkowie lub udziałowcy są obywatelami Unii zdolnymi do uwierzytelnienia za pomocą eiDAS, lub ESSU, w odniesieniu do których taka sytuacja ma miejsce i które wykorzystują wzór statutu opracowany przez Komisję Europejską.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3 – akapit 5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Należy zapewnić, aby wszelkie wkłady pieniężne, które są prawnie wymagane do założenia spółki, mogły być przekazywane publicznej agencji powierniczej na okres poprzedzający finalizację otwarcia rachunku bankowego.</w:t>
            </w:r>
            <w:r>
              <w:t xml:space="preserve"> </w:t>
            </w:r>
            <w:r>
              <w:rPr>
                <w:b/>
                <w:i/>
              </w:rPr>
              <w:t>Po otwarciu rachunku bankowego agencja powiernicza przekazuje składki pieniężne na ten rachunek bankowy.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4 – akapit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Zabezpieczenia</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4 – akapit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Przepisy dotyczące ESSU powinny pozostawać bez uszczerbku dla indywidualnego i zbiorowego prawa pracy oraz prawa pracowników do współzarządzania.</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4 – akapit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Przepisy dotyczące </w:t>
            </w:r>
            <w:r>
              <w:rPr>
                <w:b/>
                <w:i/>
              </w:rPr>
              <w:t>ESSU</w:t>
            </w:r>
            <w:r>
              <w:t xml:space="preserve"> powinny pozostawać bez uszczerbku dla indywidualnego i zbiorowego prawa pracy oraz prawa pracowników do współzarządzania.</w:t>
            </w:r>
          </w:p>
        </w:tc>
        <w:tc>
          <w:tcPr>
            <w:tcW w:w="4876" w:type="dxa"/>
            <w:tcBorders>
              <w:top w:val="nil"/>
              <w:left w:val="nil"/>
              <w:bottom w:val="nil"/>
              <w:right w:val="nil"/>
            </w:tcBorders>
          </w:tcPr>
          <w:p>
            <w:pPr>
              <w:pStyle w:val="Normal6a"/>
            </w:pPr>
            <w:r>
              <w:t xml:space="preserve">Przepisy dotyczące </w:t>
            </w:r>
            <w:r>
              <w:rPr>
                <w:b/>
                <w:i/>
              </w:rPr>
              <w:t>SES</w:t>
            </w:r>
            <w:r>
              <w:t xml:space="preserve"> powinny pozostawać bez uszczerbku dla indywidualnego i zbiorowego prawa pracy oraz prawa pracowników do współzarządzania.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4 – akapit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Przepisy dotyczące ESSU powinny pozostawać bez uszczerbku dla </w:t>
            </w:r>
            <w:r>
              <w:rPr>
                <w:b/>
                <w:i/>
              </w:rPr>
              <w:t>indywidualnego i zbiorowego</w:t>
            </w:r>
            <w:r>
              <w:t xml:space="preserve"> prawa pracy </w:t>
            </w:r>
            <w:r>
              <w:rPr>
                <w:b/>
                <w:i/>
              </w:rPr>
              <w:t>oraz</w:t>
            </w:r>
            <w:r>
              <w:t xml:space="preserve"> prawa pracowników do współzarządzania.</w:t>
            </w:r>
          </w:p>
        </w:tc>
        <w:tc>
          <w:tcPr>
            <w:tcW w:w="4876" w:type="dxa"/>
            <w:tcBorders>
              <w:top w:val="nil"/>
              <w:left w:val="nil"/>
              <w:bottom w:val="nil"/>
              <w:right w:val="nil"/>
            </w:tcBorders>
          </w:tcPr>
          <w:p>
            <w:pPr>
              <w:pStyle w:val="Normal6a"/>
            </w:pPr>
            <w:r>
              <w:t xml:space="preserve">Przepisy dotyczące ESSU powinny pozostawać bez uszczerbku dla </w:t>
            </w:r>
            <w:r>
              <w:rPr>
                <w:b/>
                <w:i/>
              </w:rPr>
              <w:t>unijnego i krajowego</w:t>
            </w:r>
            <w:r>
              <w:t xml:space="preserve"> prawa pracy</w:t>
            </w:r>
            <w:r>
              <w:rPr>
                <w:b/>
                <w:i/>
              </w:rPr>
              <w:t>, w tym</w:t>
            </w:r>
            <w:r>
              <w:t xml:space="preserve"> prawa pracowników do współzarządzania.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4 – akapit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Prawo właściwe dla indywidualnych umów o pracę powinno być określone wyłącznie w art. 8 rozporządzenia (WE) nr 593/2008.</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4 – akapit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Prawo właściwe dla indywidualnych umów o pracę powinno być określone wyłącznie w art. 8 rozporządzenia (WE) nr 593/2008.</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4 – akapit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Prawo właściwe dla indywidualnych umów o pracę </w:t>
            </w:r>
            <w:r>
              <w:rPr>
                <w:b/>
                <w:i/>
              </w:rPr>
              <w:t>powinno być</w:t>
            </w:r>
            <w:r>
              <w:t xml:space="preserve"> określone wyłącznie w art. 8 rozporządzenia (WE) nr 593/2008.</w:t>
            </w:r>
          </w:p>
        </w:tc>
        <w:tc>
          <w:tcPr>
            <w:tcW w:w="4876" w:type="dxa"/>
            <w:tcBorders>
              <w:top w:val="nil"/>
              <w:left w:val="nil"/>
              <w:bottom w:val="nil"/>
              <w:right w:val="nil"/>
            </w:tcBorders>
          </w:tcPr>
          <w:p>
            <w:pPr>
              <w:pStyle w:val="Normal6a"/>
            </w:pPr>
            <w:r>
              <w:t xml:space="preserve">Prawo właściwe dla indywidualnych umów o pracę </w:t>
            </w:r>
            <w:r>
              <w:rPr>
                <w:b/>
                <w:i/>
              </w:rPr>
              <w:t>pozostaje</w:t>
            </w:r>
            <w:r>
              <w:t xml:space="preserve"> określone wyłącznie w art. 8 rozporządzenia (WE) nr 593/2008.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4 – akapit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Jeśli chodzi o kwestie dotyczące prawa pracowników do współzarządzania, zastosowanie powinno mieć prawo obowiązujące w miejscu rzeczywistej siedziby spółki, czyli w miejscu głównego zarządu spółki.</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4 – akapit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Jeśli chodzi o kwestie dotyczące prawa pracowników do współzarządzania, zastosowanie powinno mieć prawo obowiązujące w miejscu rzeczywistej siedziby spółki, czyli w miejscu głównego zarządu spółki.</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4 – akapit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Jeśli chodzi o kwestie dotyczące prawa pracowników do współzarządzania, zastosowanie powinno mieć prawo obowiązujące w miejscu </w:t>
            </w:r>
            <w:r>
              <w:rPr>
                <w:b/>
                <w:i/>
              </w:rPr>
              <w:t>rzeczywistej siedziby spółki, czyli w miejscu głównego zarządu</w:t>
            </w:r>
            <w:r>
              <w:t xml:space="preserve"> spółki.</w:t>
            </w:r>
          </w:p>
        </w:tc>
        <w:tc>
          <w:tcPr>
            <w:tcW w:w="4876" w:type="dxa"/>
            <w:tcBorders>
              <w:top w:val="nil"/>
              <w:left w:val="nil"/>
              <w:bottom w:val="nil"/>
              <w:right w:val="nil"/>
            </w:tcBorders>
          </w:tcPr>
          <w:p>
            <w:pPr>
              <w:pStyle w:val="Normal6a"/>
            </w:pPr>
            <w:r>
              <w:t xml:space="preserve">Jeśli chodzi o kwestie dotyczące prawa pracowników do współzarządzania, zastosowanie powinno mieć prawo obowiązujące w miejscu </w:t>
            </w:r>
            <w:r>
              <w:rPr>
                <w:b/>
                <w:i/>
              </w:rPr>
              <w:t>zatrudnienia pracowników</w:t>
            </w:r>
            <w:r>
              <w:t xml:space="preserve"> spółki.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4 – akapit 4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Jeżeli przedsiębiorstwo zatrudnia pracowników w wielu państwach członkowskich, prawem właściwym jest miejsce zatrudnienia największej liczby pracowników.</w:t>
            </w:r>
            <w:r>
              <w:t xml:space="preserve"> </w:t>
            </w:r>
            <w:r>
              <w:rPr>
                <w:b/>
                <w:i/>
              </w:rPr>
              <w:t>Gdy liczba pracowników spółki przekroczy 500 osób w państwie członkowskim innym niż państwo członkowskie, w którym spółka była pierwotnie zarejestrowana, statutowa siedziba spółki zostaje przeniesiona do państwa członkowskiego zatrudnienia.</w:t>
            </w:r>
            <w:r>
              <w:t xml:space="preserve"> </w:t>
            </w:r>
            <w:r>
              <w:rPr>
                <w:b/>
                <w:i/>
              </w:rPr>
              <w:t>W przypadku gdy liczba pracowników przedsiębiorstwa nie przekracza 500, ale jest ono jednostką dominującą grupy przedsiębiorstw osiągających ten próg w jednym państwie członkowskim, wszyscy pracownicy grupy w tym państwie członkowskim są przypisani do tego przedsiębiorstwa.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4 – akapit 4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Biorąc pod uwagę potrzebę unikania uchylania się od opodatkowania, nadużyć i prania pieniędzy, a także obchodzenia sankcji, należy opracować zabezpieczenia.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4 – akapit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 przypadku sporu lub niepewności co do tego, które prawo krajowe reguluje kwestie związane z prawem pracowników do współzarządzania, zarząd ESSU, przedstawiciele pracowników lub związki zawodowe dysponujące prawem mianowania zgodnie z prawem krajowym, którego stosowanie jest przedmiotem sporu lub niepewności, powinny móc zwrócić się do sądu lub trybunału w państwie członkowskim, w którym spółka ma swoją siedzibę statutową, o wydanie decyzji w sprawie prawa właściwego.</w:t>
            </w:r>
            <w:r>
              <w:t xml:space="preserve"> </w:t>
            </w:r>
            <w:r>
              <w:rPr>
                <w:b/>
                <w:i/>
              </w:rPr>
              <w:t>Dany sąd lub trybunał powinien mieć jurysdykcję wyłączną w tej sprawie.</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4 – akapit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 przypadku sporu lub niepewności co do tego, które prawo krajowe reguluje kwestie związane z prawem pracowników do współzarządzania, zarząd ESSU, przedstawiciele pracowników lub związki zawodowe dysponujące prawem mianowania zgodnie z prawem krajowym, którego stosowanie jest przedmiotem sporu lub niepewności, powinny móc zwrócić się do sądu lub trybunału w państwie członkowskim, w którym spółka ma swoją siedzibę statutową, o wydanie decyzji w sprawie prawa właściwego.</w:t>
            </w:r>
            <w:r>
              <w:t xml:space="preserve"> </w:t>
            </w:r>
            <w:r>
              <w:rPr>
                <w:b/>
                <w:i/>
              </w:rPr>
              <w:t>Dany sąd lub trybunał powinien mieć jurysdykcję wyłączną w tej sprawie.</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4 – akapit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 przypadku sporu lub niepewności co do tego, które prawo krajowe reguluje kwestie związane z prawem pracowników do współzarządzania, zarząd ESSU, przedstawiciele pracowników lub związki zawodowe dysponujące prawem mianowania zgodnie z prawem krajowym, którego stosowanie jest przedmiotem sporu lub niepewności, powinny móc zwrócić się do sądu lub trybunału w państwie członkowskim, w którym spółka ma swoją siedzibę statutową, o wydanie decyzji w sprawie prawa właściwego. Dany sąd lub trybunał powinien mieć jurysdykcję wyłączną w tej sprawie.</w:t>
            </w:r>
          </w:p>
        </w:tc>
        <w:tc>
          <w:tcPr>
            <w:tcW w:w="4876" w:type="dxa"/>
            <w:tcBorders>
              <w:top w:val="nil"/>
              <w:left w:val="nil"/>
              <w:bottom w:val="nil"/>
              <w:right w:val="nil"/>
            </w:tcBorders>
          </w:tcPr>
          <w:p>
            <w:pPr>
              <w:pStyle w:val="Normal6a"/>
            </w:pPr>
            <w:r>
              <w:t xml:space="preserve">W przypadku sporu lub niepewności co do tego, które prawo krajowe reguluje kwestie związane z prawem pracowników do współzarządzania, zarząd ESSU, przedstawiciele pracowników lub związki zawodowe dysponujące prawem mianowania zgodnie z prawem krajowym, którego stosowanie jest przedmiotem sporu lub niepewności, powinny móc zwrócić się do sądu lub trybunału w państwie członkowskim, w którym spółka ma swoją siedzibę statutową, o wydanie decyzji w sprawie prawa właściwego </w:t>
            </w:r>
            <w:r>
              <w:rPr>
                <w:b/>
                <w:i/>
              </w:rPr>
              <w:t>oraz w sprawie obowiązkowego przeniesienia siedziby statutowej</w:t>
            </w:r>
            <w:r>
              <w:t>. Dany sąd lub trybunał powinien mieć jurysdykcję wyłączną w tej sprawie.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4 – akapit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W przypadku sporu lub niepewności co do tego, które prawo krajowe reguluje kwestie związane z prawem pracowników do współzarządzania, zarząd </w:t>
            </w:r>
            <w:r>
              <w:rPr>
                <w:b/>
                <w:i/>
              </w:rPr>
              <w:t>ESSU</w:t>
            </w:r>
            <w:r>
              <w:t>, przedstawiciele pracowników lub związki zawodowe dysponujące prawem mianowania zgodnie z prawem krajowym, którego stosowanie jest przedmiotem sporu lub niepewności, powinny móc zwrócić się do sądu lub trybunału w państwie członkowskim, w którym spółka ma swoją siedzibę statutową, o wydanie decyzji w sprawie prawa właściwego. Dany sąd lub trybunał powinien mieć jurysdykcję wyłączną w tej sprawie.</w:t>
            </w:r>
          </w:p>
        </w:tc>
        <w:tc>
          <w:tcPr>
            <w:tcW w:w="4876" w:type="dxa"/>
            <w:tcBorders>
              <w:top w:val="nil"/>
              <w:left w:val="nil"/>
              <w:bottom w:val="nil"/>
              <w:right w:val="nil"/>
            </w:tcBorders>
          </w:tcPr>
          <w:p>
            <w:pPr>
              <w:pStyle w:val="Normal6a"/>
            </w:pPr>
            <w:r>
              <w:t xml:space="preserve">W przypadku sporu lub niepewności co do tego, które prawo krajowe reguluje kwestie związane z prawem pracowników do współzarządzania, zarząd </w:t>
            </w:r>
            <w:r>
              <w:rPr>
                <w:b/>
                <w:i/>
              </w:rPr>
              <w:t>SES</w:t>
            </w:r>
            <w:r>
              <w:t>, przedstawiciele pracowników lub związki zawodowe dysponujące prawem mianowania zgodnie z prawem krajowym, którego stosowanie jest przedmiotem sporu lub niepewności, powinny móc zwrócić się do sądu lub trybunału w państwie członkowskim, w którym spółka ma swoją siedzibę statutową, o wydanie decyzji w sprawie prawa właściwego. Dany sąd lub trybunał powinien mieć jurysdykcję wyłączną w tej sprawie.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5 – akapit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Zachęcanie do opcjonalnego podejścia długoterminowego</w:t>
            </w:r>
          </w:p>
        </w:tc>
        <w:tc>
          <w:tcPr>
            <w:tcW w:w="4876" w:type="dxa"/>
            <w:tcBorders>
              <w:top w:val="nil"/>
              <w:left w:val="nil"/>
              <w:bottom w:val="nil"/>
              <w:right w:val="nil"/>
            </w:tcBorders>
          </w:tcPr>
          <w:p>
            <w:pPr>
              <w:pStyle w:val="Normal6a"/>
            </w:pPr>
            <w:r>
              <w:rPr>
                <w:b/>
                <w:i/>
              </w:rPr>
              <w:t>Opcjonalne podejście długoterminowe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5 – akapit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Aby chronić europejskie innowacyjne przedsiębiorstwa przed „zabójczymi przejęciami” oraz zapobiegać przenoszeniu innowacji, których tworzenie często wspierają europejskie publiczne fundusze badawcze, do krajów spoza Unii, państwa członkowskie powinny wprowadzić przepisy umożliwiające przedsiębiorstwom nieodwołalny wybór dodatkowych systemów ochrony prawnej, takich jak:</w:t>
            </w:r>
          </w:p>
        </w:tc>
        <w:tc>
          <w:tcPr>
            <w:tcW w:w="4876" w:type="dxa"/>
            <w:tcBorders>
              <w:top w:val="nil"/>
              <w:left w:val="nil"/>
              <w:bottom w:val="nil"/>
              <w:right w:val="nil"/>
            </w:tcBorders>
          </w:tcPr>
          <w:p>
            <w:pPr>
              <w:pStyle w:val="Normal6a"/>
            </w:pPr>
            <w:r>
              <w:rPr>
                <w:b/>
                <w:i/>
              </w:rPr>
              <w:t>skreśla się</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 rozdzielenie praw do głosowania i praw gospodarczych za pomocą różnych rodzajów akcji, w szczególności akcji dwuklasowych;</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 uznanie praw do głosowania za niezbywalne i niedziedziczne;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 podział zysków między inwestorów lub posiadaczy praw gospodarczych na podstawie umowy ograniczonej w czasie lub w wysokości, która może zostać rozwiązana przez którąkolwiek ze stron w dowolnym momencie;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 ograniczenie przekształcenia transgranicznego w przypadku podmiotów, które wybrały dodatkowy system ochrony prawnej, w szczególności w odniesieniu do blokad aktywów.</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5 – akapit 2 – wprowadzenie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Aby </w:t>
            </w:r>
            <w:r>
              <w:rPr>
                <w:b/>
                <w:i/>
              </w:rPr>
              <w:t>chronić</w:t>
            </w:r>
            <w:r>
              <w:t xml:space="preserve"> europejskie innowacyjne przedsiębiorstwa </w:t>
            </w:r>
            <w:r>
              <w:rPr>
                <w:b/>
                <w:i/>
              </w:rPr>
              <w:t>przed „zabójczymi przejęciami” oraz zapobiegać przenoszeniu innowacji, których tworzenie często wspierają europejskie publiczne fundusze badawcze, do krajów spoza Unii</w:t>
            </w:r>
            <w:r>
              <w:t>, państwa członkowskie powinny wprowadzić przepisy umożliwiające przedsiębiorstwom nieodwołalny wybór dodatkowych systemów ochrony prawnej, takich jak:</w:t>
            </w:r>
          </w:p>
        </w:tc>
        <w:tc>
          <w:tcPr>
            <w:tcW w:w="4876" w:type="dxa"/>
            <w:tcBorders>
              <w:top w:val="nil"/>
              <w:left w:val="nil"/>
              <w:bottom w:val="nil"/>
              <w:right w:val="nil"/>
            </w:tcBorders>
          </w:tcPr>
          <w:p>
            <w:pPr>
              <w:pStyle w:val="Normal6a"/>
            </w:pPr>
            <w:r>
              <w:t xml:space="preserve">Aby </w:t>
            </w:r>
            <w:r>
              <w:rPr>
                <w:b/>
                <w:i/>
              </w:rPr>
              <w:t>stymulować</w:t>
            </w:r>
            <w:r>
              <w:t xml:space="preserve"> europejskie innowacyjne przedsiębiorstwa, państwa członkowskie powinny wprowadzić przepisy umożliwiające przedsiębiorstwom nieodwołalny wybór dodatkowych systemów ochrony prawnej, takich jak: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5 – akapit 2 – wprowadzenie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Aby </w:t>
            </w:r>
            <w:r>
              <w:rPr>
                <w:b/>
                <w:i/>
              </w:rPr>
              <w:t>chronić</w:t>
            </w:r>
            <w:r>
              <w:t xml:space="preserve"> europejskie innowacyjne przedsiębiorstwa </w:t>
            </w:r>
            <w:r>
              <w:rPr>
                <w:b/>
                <w:i/>
              </w:rPr>
              <w:t>przed „zabójczymi przejęciami” oraz zapobiegać</w:t>
            </w:r>
            <w:r>
              <w:t xml:space="preserve"> przenoszeniu innowacji, </w:t>
            </w:r>
            <w:r>
              <w:rPr>
                <w:b/>
                <w:i/>
              </w:rPr>
              <w:t>których tworzenie często wspierają europejskie publiczne fundusze badawcze, do krajów spoza Unii, państwa członkowskie powinny</w:t>
            </w:r>
            <w:r>
              <w:t xml:space="preserve"> wprowadzić przepisy umożliwiające przedsiębiorstwom nieodwołalny wybór dodatkowych systemów ochrony prawnej, takich jak:</w:t>
            </w:r>
          </w:p>
        </w:tc>
        <w:tc>
          <w:tcPr>
            <w:tcW w:w="4876" w:type="dxa"/>
            <w:tcBorders>
              <w:top w:val="nil"/>
              <w:left w:val="nil"/>
              <w:bottom w:val="nil"/>
              <w:right w:val="nil"/>
            </w:tcBorders>
          </w:tcPr>
          <w:p>
            <w:pPr>
              <w:pStyle w:val="Normal6a"/>
            </w:pPr>
            <w:r>
              <w:t xml:space="preserve">Aby </w:t>
            </w:r>
            <w:r>
              <w:rPr>
                <w:b/>
                <w:i/>
              </w:rPr>
              <w:t>wspierać</w:t>
            </w:r>
            <w:r>
              <w:t xml:space="preserve"> europejskie innowacyjne przedsiębiorstwa </w:t>
            </w:r>
            <w:r>
              <w:rPr>
                <w:b/>
                <w:i/>
              </w:rPr>
              <w:t>w dostępie do kapitału, przyciąganiu talentów i zapobieganiu</w:t>
            </w:r>
            <w:r>
              <w:t xml:space="preserve"> przenoszeniu innowacji, </w:t>
            </w:r>
            <w:r>
              <w:rPr>
                <w:b/>
                <w:i/>
              </w:rPr>
              <w:t>w rozporządzeniu należy</w:t>
            </w:r>
            <w:r>
              <w:t xml:space="preserve"> wprowadzić przepisy umożliwiające przedsiębiorstwom nieodwołalny wybór dodatkowych systemów ochrony prawnej, takich jak: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5 – akapit 2 – wprowadzenie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Aby chronić europejskie innowacyjne przedsiębiorstwa przed „zabójczymi przejęciami” oraz zapobiegać przenoszeniu innowacji, których tworzenie często wspierają europejskie publiczne fundusze badawcze, do krajów spoza Unii,</w:t>
            </w:r>
            <w:r>
              <w:t xml:space="preserve"> państwa członkowskie powinny wprowadzić przepisy umożliwiające przedsiębiorstwom nieodwołalny wybór dodatkowych systemów ochrony prawnej</w:t>
            </w:r>
            <w:r>
              <w:rPr>
                <w:b/>
                <w:i/>
              </w:rPr>
              <w:t>, takich jak</w:t>
            </w:r>
            <w:r>
              <w:t>:</w:t>
            </w:r>
          </w:p>
        </w:tc>
        <w:tc>
          <w:tcPr>
            <w:tcW w:w="4876" w:type="dxa"/>
            <w:tcBorders>
              <w:top w:val="nil"/>
              <w:left w:val="nil"/>
              <w:bottom w:val="nil"/>
              <w:right w:val="nil"/>
            </w:tcBorders>
          </w:tcPr>
          <w:p>
            <w:pPr>
              <w:pStyle w:val="Normal6a"/>
            </w:pPr>
            <w:r>
              <w:t xml:space="preserve">Państwa członkowskie powinny wprowadzić przepisy umożliwiające przedsiębiorstwom </w:t>
            </w:r>
            <w:r>
              <w:rPr>
                <w:b/>
                <w:i/>
              </w:rPr>
              <w:t>dobrowolny i</w:t>
            </w:r>
            <w:r>
              <w:t xml:space="preserve"> nieodwołalny wybór dodatkowych systemów ochrony prawnej</w:t>
            </w:r>
            <w:r>
              <w:rPr>
                <w:b/>
                <w:i/>
              </w:rPr>
              <w:t>.</w:t>
            </w:r>
            <w:r>
              <w:t xml:space="preserve"> </w:t>
            </w:r>
            <w:r>
              <w:rPr>
                <w:b/>
                <w:i/>
              </w:rPr>
              <w:t>Systemy te chroniłyby europejskie przedsiębiorstwa, które chcą kontynuować swoją dotychczasową działalność, przed „zabójczym przejęciem” i przenoszeniem własności.</w:t>
            </w:r>
            <w:r>
              <w:t xml:space="preserve"> </w:t>
            </w:r>
            <w:r>
              <w:rPr>
                <w:b/>
                <w:i/>
              </w:rPr>
              <w:t>Systemy te mogą obejmować</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5 – akapit 2 – wprowadzenie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Aby chronić europejskie innowacyjne przedsiębiorstwa przed „zabójczymi przejęciami” oraz zapobiegać przenoszeniu innowacji, których tworzenie często wspierają europejskie publiczne fundusze badawcze, do krajów spoza Unii, </w:t>
            </w:r>
            <w:r>
              <w:rPr>
                <w:b/>
                <w:i/>
              </w:rPr>
              <w:t>państwa członkowskie powinny</w:t>
            </w:r>
            <w:r>
              <w:t xml:space="preserve"> wprowadzić </w:t>
            </w:r>
            <w:r>
              <w:rPr>
                <w:b/>
                <w:i/>
              </w:rPr>
              <w:t>przepisy</w:t>
            </w:r>
            <w:r>
              <w:t xml:space="preserve"> umożliwiające przedsiębiorstwom nieodwołalny wybór dodatkowych systemów ochrony prawnej, takich jak:</w:t>
            </w:r>
          </w:p>
        </w:tc>
        <w:tc>
          <w:tcPr>
            <w:tcW w:w="4876" w:type="dxa"/>
            <w:tcBorders>
              <w:top w:val="nil"/>
              <w:left w:val="nil"/>
              <w:bottom w:val="nil"/>
              <w:right w:val="nil"/>
            </w:tcBorders>
          </w:tcPr>
          <w:p>
            <w:pPr>
              <w:pStyle w:val="Normal6a"/>
            </w:pPr>
            <w:r>
              <w:t xml:space="preserve">Aby chronić europejskie innowacyjne przedsiębiorstwa przed „zabójczymi przejęciami” oraz zapobiegać przenoszeniu innowacji, których tworzenie często wspierają europejskie publiczne fundusze badawcze, do krajów spoza Unii, </w:t>
            </w:r>
            <w:r>
              <w:rPr>
                <w:b/>
                <w:i/>
              </w:rPr>
              <w:t>wraz z przepisami w sprawie 28. systemu prawnego należy</w:t>
            </w:r>
            <w:r>
              <w:t xml:space="preserve"> wprowadzić </w:t>
            </w:r>
            <w:r>
              <w:rPr>
                <w:b/>
                <w:i/>
              </w:rPr>
              <w:t>zasady</w:t>
            </w:r>
            <w:r>
              <w:t xml:space="preserve"> umożliwiające przedsiębiorstwom nieodwołalny wybór dodatkowych systemów ochrony prawnej, takich jak:</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5 – akapit 2 – tiret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rozdzielenie praw do głosowania i praw gospodarczych za pomocą różnych rodzajów akcji, w </w:t>
            </w:r>
            <w:r>
              <w:rPr>
                <w:b/>
                <w:i/>
              </w:rPr>
              <w:t>szczególności</w:t>
            </w:r>
            <w:r>
              <w:t xml:space="preserve"> akcji dwuklasowych;</w:t>
            </w:r>
          </w:p>
        </w:tc>
        <w:tc>
          <w:tcPr>
            <w:tcW w:w="4876" w:type="dxa"/>
            <w:tcBorders>
              <w:top w:val="nil"/>
              <w:left w:val="nil"/>
              <w:bottom w:val="nil"/>
              <w:right w:val="nil"/>
            </w:tcBorders>
          </w:tcPr>
          <w:p>
            <w:pPr>
              <w:pStyle w:val="Normal6a"/>
            </w:pPr>
            <w:r>
              <w:rPr>
                <w:b/>
                <w:i/>
              </w:rPr>
              <w:t>–</w:t>
            </w:r>
            <w:r>
              <w:tab/>
            </w:r>
            <w:r>
              <w:t xml:space="preserve">rozdzielenie praw do głosowania i praw gospodarczych za pomocą różnych rodzajów akcji, w </w:t>
            </w:r>
            <w:r>
              <w:rPr>
                <w:b/>
                <w:i/>
              </w:rPr>
              <w:t>tym</w:t>
            </w:r>
            <w:r>
              <w:t xml:space="preserve"> akcji dwuklasowych</w:t>
            </w:r>
            <w:r>
              <w:rPr>
                <w:b/>
                <w:i/>
              </w:rPr>
              <w:t>, akcji z prawem weta i akcji uprzywilejowanych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5 – akapit 2 – tiret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ograniczenie przekształcenia transgranicznego w przypadku podmiotów, które wybrały dodatkowy system ochrony prawnej, w szczególności w odniesieniu do blokad aktywów.</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5 – akapit 2 – tiret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ograniczenie przekształcenia transgranicznego w przypadku podmiotów, które wybrały dodatkowy system ochrony prawnej, w szczególności w odniesieniu do blokad aktywów.</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5 – akapit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Przedsiębiorstwa, które zdecydowały się na stosowanie takich dodatkowych systemów ochrony prawnej, powinny móc umieścić w swojej nazwie określenie „własność zarządcza”.</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5 – akapit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Przedsiębiorstwa, które zdecydowały się na stosowanie takich dodatkowych systemów ochrony prawnej, powinny móc umieścić w swojej nazwie określenie „własność zarządcza”.</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5 – akapit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Należy zmienić dyrektywę (UE) 2017/1132 w odniesieniu do przekształceń transgranicznych, połączeń i podziałów spółek, aby umożliwić państwom członkowskim, które zdecydowały się na wprowadzenie własnej krajowej formy korporacyjnej typu „własność zarządcza”, ograniczenie transgranicznego przekształcania takiej krajowej formy korporacyjnej do form korporacyjnych innych państw członkowskich przewidujących podobne formy własności zarządczej.</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5 – akapit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Należy zmienić dyrektywę (UE) 2017/1132 w odniesieniu do przekształceń transgranicznych, połączeń i podziałów spółek, aby umożliwić państwom członkowskim, które zdecydowały się na wprowadzenie własnej krajowej formy korporacyjnej typu „własność zarządcza”, ograniczenie transgranicznego przekształcania takiej krajowej formy korporacyjnej do form korporacyjnych innych państw członkowskich przewidujących podobne formy własności zarządczej.</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5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Dalsze środki wspierające innowacje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Jak określiła Komisja, 28. system prawny dotyczący innowacyjnych przedsiębiorstw będzie składał się z pakietu uzupełniających się wniosków i zostanie zintegrowany za pomocą środków modułowych obejmujących wiele polityk i szereg obszarów regulacyjnych.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Aby zwiększyć konkurencyjność UE, 28. europejski system dla innowacyjnych przedsiębiorstw musi uwzględniać w swoich aktualizacjach legislacyjnych i kolejnych wnioskach przedstawianych przez Komisję wyzwanie, jakim jest zwiększenie atrakcyjności zarządzania podatkowego w odniesieniu do europejskiego sektora innowacji, przedsiębiorstw typu start-up i przedsiębiorstw scale-up oraz promować korzystne formy partycypacyjnego udziału pracowników w kapitale zakładowym przedsiębiorstwa, a w tym celu dostosować europejskie przepisy dotyczące innowacji do najlepszych światowych standardów.</w:t>
            </w:r>
            <w:r>
              <w:rPr>
                <w:b/>
                <w:i/>
              </w:rPr>
              <w:t>Dane ekonomiczne pokazują, że jurysdykcje, które dokonały wyraźnie korzystnych wyborów w zakresie zarządzania, z powodzeniem przyciągnęły i zatrzymały kapitał, inwestycje i talenty.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Takie podejście nie tylko umożliwiłoby konkurowanie we wszystkich dziedzinach z jurysdykcjami państw trzecich osiągającymi najlepsze wyniki, ale również stanowiłoby potężną siłę napędową wzrostu europejskiej konkurencyjności i powstawania nowych miejsc pracy o wysokiej wartości dodanej w UE, a jednocześnie wzmocniłoby suwerenność, niezależność technologiczną i wiodącą pozycję Europy w globalnym kontekście innowacji.</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6 – akapit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Przyciąganie talentów</w:t>
            </w:r>
          </w:p>
        </w:tc>
        <w:tc>
          <w:tcPr>
            <w:tcW w:w="4876" w:type="dxa"/>
            <w:tcBorders>
              <w:top w:val="nil"/>
              <w:left w:val="nil"/>
              <w:bottom w:val="nil"/>
              <w:right w:val="nil"/>
            </w:tcBorders>
          </w:tcPr>
          <w:p>
            <w:pPr>
              <w:pStyle w:val="Normal6a"/>
            </w:pPr>
            <w:r>
              <w:t xml:space="preserve">Przyciąganie </w:t>
            </w:r>
            <w:r>
              <w:rPr>
                <w:b/>
                <w:i/>
              </w:rPr>
              <w:t>i wspieranie</w:t>
            </w:r>
            <w:r>
              <w:t xml:space="preserve"> talentów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6 – akapit 2 – wprowadzenie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Wzrost wydajności, innowacje i włączenie społeczne muszą współgrać. W ramach </w:t>
            </w:r>
            <w:r>
              <w:rPr>
                <w:b/>
                <w:i/>
              </w:rPr>
              <w:t>ESSU</w:t>
            </w:r>
            <w:r>
              <w:t xml:space="preserve"> należy przewidzieć opcjonalne zharmonizowane przepisy w całej Unii dotyczące struktury </w:t>
            </w:r>
            <w:r>
              <w:rPr>
                <w:b/>
                <w:i/>
              </w:rPr>
              <w:t>programów akcjonariatu pracowniczego</w:t>
            </w:r>
            <w:r>
              <w:t xml:space="preserve"> (koncepcja ESOP)</w:t>
            </w:r>
            <w:r>
              <w:rPr>
                <w:b/>
                <w:i/>
              </w:rPr>
              <w:t>, wspomagane przez odrębnego pośrednika</w:t>
            </w:r>
            <w:r>
              <w:t xml:space="preserve">. Umożliwi to nie tylko MŚP, przedsiębiorstwom typu start-up i przedsiębiorstwom scale-up przyciąganie talentów i zachęcanie do długoterminowego zaangażowania, ale również zapewni pełne i sprawiedliwe uczestnictwo pracowników w wartości, jaką pomagają osiągnąć dzięki swojemu kapitałowi pracowniczemu i intelektualnemu. Przy opracowywaniu zharmonizowanych przepisów w ramach </w:t>
            </w:r>
            <w:r>
              <w:rPr>
                <w:b/>
                <w:i/>
              </w:rPr>
              <w:t>ESSU</w:t>
            </w:r>
            <w:r>
              <w:t xml:space="preserve"> należy uwzględnić następujące zasady:</w:t>
            </w:r>
          </w:p>
        </w:tc>
        <w:tc>
          <w:tcPr>
            <w:tcW w:w="4876" w:type="dxa"/>
            <w:tcBorders>
              <w:top w:val="nil"/>
              <w:left w:val="nil"/>
              <w:bottom w:val="nil"/>
              <w:right w:val="nil"/>
            </w:tcBorders>
          </w:tcPr>
          <w:p>
            <w:pPr>
              <w:pStyle w:val="Normal6a"/>
            </w:pPr>
            <w:r>
              <w:t xml:space="preserve">Wzrost wydajności, innowacje i włączenie społeczne muszą współgrać. W ramach </w:t>
            </w:r>
            <w:r>
              <w:rPr>
                <w:b/>
                <w:i/>
              </w:rPr>
              <w:t>SES</w:t>
            </w:r>
            <w:r>
              <w:t xml:space="preserve"> należy przewidzieć opcjonalne zharmonizowane przepisy w całej Unii dotyczące struktury </w:t>
            </w:r>
            <w:r>
              <w:rPr>
                <w:b/>
                <w:i/>
              </w:rPr>
              <w:t>planów opcji na akcje dla pracowników</w:t>
            </w:r>
            <w:r>
              <w:t xml:space="preserve"> (koncepcja ESOP). Umożliwi to nie tylko MŚP, przedsiębiorstwom typu start-up i przedsiębiorstwom scale-up przyciąganie talentów i zachęcanie do długoterminowego zaangażowania</w:t>
            </w:r>
            <w:r>
              <w:rPr>
                <w:b/>
                <w:i/>
              </w:rPr>
              <w:t>, a także ułatwi ich działalność na różnych rynkach krajowych ze względu na istniejące odrębne ramy</w:t>
            </w:r>
            <w:r>
              <w:t xml:space="preserve">, ale również zapewni pełne i sprawiedliwe uczestnictwo pracowników w wartości, jaką pomagają osiągnąć dzięki swojemu kapitałowi pracowniczemu i intelektualnemu. </w:t>
            </w:r>
            <w:r>
              <w:rPr>
                <w:b/>
                <w:i/>
              </w:rPr>
              <w:t>ESOP powinny koncentrować się na harmonizacji elementów planów akcjonariatu pracowniczego, bez naruszania suwerenności fiskalnej państw członkowskich.</w:t>
            </w:r>
            <w:r>
              <w:t xml:space="preserve"> </w:t>
            </w:r>
            <w:r>
              <w:rPr>
                <w:b/>
                <w:i/>
              </w:rPr>
              <w:t>Z tego powodu stawka podatkowa w odniesieniu do posiadanych akcji pozostanie w gestii państw członkowskich.</w:t>
            </w:r>
            <w:r>
              <w:t xml:space="preserve"> </w:t>
            </w:r>
            <w:r>
              <w:rPr>
                <w:b/>
                <w:i/>
              </w:rPr>
              <w:t>ESOP powinny dotyczyć głównie harmonogramu opodatkowania w momencie sprzedaży akcji, obliczania zysków kapitałowych w celu zapewnienia harmonizacji i ram takiego systemu, takich jak klif fiskalny i okresy nabywania uprawnień, w ramach których pracownicy mogą uruchamiać nabycie opcji na akcje.</w:t>
            </w:r>
            <w:r>
              <w:t xml:space="preserve"> Przy opracowywaniu zharmonizowanych przepisów w ramach </w:t>
            </w:r>
            <w:r>
              <w:rPr>
                <w:b/>
                <w:i/>
              </w:rPr>
              <w:t>SES</w:t>
            </w:r>
            <w:r>
              <w:t xml:space="preserve"> należy uwzględnić następujące zasady: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6 – akapit 2 – wprowadzenie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Wzrost wydajności, innowacje i włączenie społeczne muszą współgrać. W ramach ESSU należy przewidzieć opcjonalne zharmonizowane przepisy w całej Unii dotyczące struktury </w:t>
            </w:r>
            <w:r>
              <w:rPr>
                <w:b/>
                <w:i/>
              </w:rPr>
              <w:t>programów akcjonariatu pracowniczego</w:t>
            </w:r>
            <w:r>
              <w:t xml:space="preserve"> (koncepcja ESOP)</w:t>
            </w:r>
            <w:r>
              <w:rPr>
                <w:b/>
                <w:i/>
              </w:rPr>
              <w:t>, wspomagane przez odrębnego pośrednika</w:t>
            </w:r>
            <w:r>
              <w:t>. Umożliwi to nie tylko MŚP, przedsiębiorstwom typu start-up i przedsiębiorstwom scale-up przyciąganie talentów i zachęcanie do długoterminowego zaangażowania, ale również zapewni pełne i sprawiedliwe uczestnictwo pracowników w wartości, jaką pomagają osiągnąć dzięki swojemu kapitałowi pracowniczemu i intelektualnemu. Przy opracowywaniu zharmonizowanych przepisów w ramach ESSU należy uwzględnić następujące zasady:</w:t>
            </w:r>
          </w:p>
        </w:tc>
        <w:tc>
          <w:tcPr>
            <w:tcW w:w="4876" w:type="dxa"/>
            <w:tcBorders>
              <w:top w:val="nil"/>
              <w:left w:val="nil"/>
              <w:bottom w:val="nil"/>
              <w:right w:val="nil"/>
            </w:tcBorders>
          </w:tcPr>
          <w:p>
            <w:pPr>
              <w:pStyle w:val="Normal6a"/>
            </w:pPr>
            <w:r>
              <w:rPr>
                <w:b/>
                <w:i/>
              </w:rPr>
              <w:t>Przyciąganie wykwalifikowanych i innowacyjnych talentów ma kluczowe znaczenie dla pobudzania wzrostu gospodarczego, wspierania innowacji i utrzymania konkurencyjności na szybko zmieniającym się rynku światowym.</w:t>
            </w:r>
            <w:r>
              <w:t xml:space="preserve"> Wzrost wydajności, innowacje i włączenie społeczne muszą współgrać. W ramach ESSU należy przewidzieć opcjonalne zharmonizowane przepisy w całej Unii dotyczące struktury </w:t>
            </w:r>
            <w:r>
              <w:rPr>
                <w:b/>
                <w:i/>
              </w:rPr>
              <w:t>planów opcji na akcje dla pracowników</w:t>
            </w:r>
            <w:r>
              <w:t xml:space="preserve"> (koncepcja ESOP). Umożliwi to nie tylko MŚP, przedsiębiorstwom typu start-up i przedsiębiorstwom scale-up przyciąganie talentów i zachęcanie do długoterminowego zaangażowania, ale również zapewni pełne i sprawiedliwe uczestnictwo pracowników w wartości, jaką pomagają osiągnąć dzięki swojemu kapitałowi pracowniczemu i intelektualnemu. Przy opracowywaniu zharmonizowanych przepisów w ramach ESSU należy uwzględnić następujące zasady: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6 – akapit 2 – wprowadzenie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Wzrost wydajności, innowacje i włączenie społeczne muszą współgrać. W ramach ESSU należy przewidzieć opcjonalne zharmonizowane przepisy w całej Unii dotyczące struktury programów akcjonariatu pracowniczego (koncepcja ESOP)</w:t>
            </w:r>
            <w:r>
              <w:rPr>
                <w:b/>
                <w:i/>
              </w:rPr>
              <w:t>, wspomagane przez odrębnego pośrednika</w:t>
            </w:r>
            <w:r>
              <w:t>. Umożliwi to nie tylko MŚP, przedsiębiorstwom typu start-up i przedsiębiorstwom scale-up przyciąganie talentów i zachęcanie do długoterminowego zaangażowania, ale również zapewni pełne i sprawiedliwe uczestnictwo pracowników w wartości, jaką pomagają osiągnąć dzięki swojemu kapitałowi pracowniczemu i intelektualnemu. Przy opracowywaniu zharmonizowanych przepisów w ramach ESSU należy uwzględnić następujące zasady:</w:t>
            </w:r>
          </w:p>
        </w:tc>
        <w:tc>
          <w:tcPr>
            <w:tcW w:w="4876" w:type="dxa"/>
            <w:tcBorders>
              <w:top w:val="nil"/>
              <w:left w:val="nil"/>
              <w:bottom w:val="nil"/>
              <w:right w:val="nil"/>
            </w:tcBorders>
          </w:tcPr>
          <w:p>
            <w:pPr>
              <w:pStyle w:val="Normal6a"/>
            </w:pPr>
            <w:r>
              <w:t>Wzrost wydajności, innowacje i włączenie społeczne muszą współgrać. W ramach ESSU należy przewidzieć opcjonalne zharmonizowane przepisy w całej Unii dotyczące struktury programów akcjonariatu pracowniczego (koncepcja ESOP). Umożliwi to nie tylko MŚP, przedsiębiorstwom typu start-up i przedsiębiorstwom scale-up przyciąganie talentów i zachęcanie do długoterminowego zaangażowania, ale również zapewni pełne i sprawiedliwe uczestnictwo pracowników w wartości, jaką pomagają osiągnąć dzięki swojemu kapitałowi pracowniczemu i intelektualnemu. Przy opracowywaniu zharmonizowanych przepisów w ramach ESSU należy uwzględnić następujące zasady:</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6 – akapit 2 – wprowadzenie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Wzrost wydajności, innowacje i włączenie społeczne muszą współgrać. W ramach ESSU należy przewidzieć opcjonalne zharmonizowane przepisy w całej Unii dotyczące struktury programów akcjonariatu pracowniczego (koncepcja ESOP), wspomagane przez </w:t>
            </w:r>
            <w:r>
              <w:rPr>
                <w:b/>
                <w:i/>
              </w:rPr>
              <w:t>odrębnego pośrednika</w:t>
            </w:r>
            <w:r>
              <w:t>. Umożliwi to nie tylko MŚP, przedsiębiorstwom typu start-up i przedsiębiorstwom scale-up przyciąganie talentów i zachęcanie do długoterminowego zaangażowania, ale również zapewni pełne i sprawiedliwe uczestnictwo pracowników w wartości, jaką pomagają osiągnąć dzięki swojemu kapitałowi pracowniczemu i intelektualnemu. Przy opracowywaniu zharmonizowanych przepisów w ramach ESSU należy uwzględnić następujące zasady:</w:t>
            </w:r>
          </w:p>
        </w:tc>
        <w:tc>
          <w:tcPr>
            <w:tcW w:w="4876" w:type="dxa"/>
            <w:tcBorders>
              <w:top w:val="nil"/>
              <w:left w:val="nil"/>
              <w:bottom w:val="nil"/>
              <w:right w:val="nil"/>
            </w:tcBorders>
          </w:tcPr>
          <w:p>
            <w:pPr>
              <w:pStyle w:val="Normal6a"/>
            </w:pPr>
            <w:r>
              <w:t xml:space="preserve">Wzrost wydajności, innowacje i włączenie społeczne muszą współgrać. W ramach ESSU należy przewidzieć opcjonalne zharmonizowane przepisy w całej Unii dotyczące struktury programów akcjonariatu pracowniczego (koncepcja ESOP), wspomagane przez </w:t>
            </w:r>
            <w:r>
              <w:rPr>
                <w:b/>
                <w:i/>
              </w:rPr>
              <w:t>odrębny podmiot prawny</w:t>
            </w:r>
            <w:r>
              <w:t>. Umożliwi to nie tylko MŚP, przedsiębiorstwom typu start-up i przedsiębiorstwom scale-up przyciąganie talentów i zachęcanie do długoterminowego zaangażowania, ale również zapewni pełne i sprawiedliwe uczestnictwo pracowników w wartości, jaką pomagają osiągnąć dzięki swojemu kapitałowi pracowniczemu i intelektualnemu. Przy opracowywaniu zharmonizowanych przepisów w ramach ESSU należy uwzględnić następujące zasady: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6 – akapit 2 – tiret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jako warunek wstępny systemy takie nie powinny w żadnym wypadku zastępować ani zmniejszać zwykłego wynagrodzenia podstawowego ani jakiejkolwiek innej formy składki, takiej jak składki na ubezpieczenie społeczne, lecz powinny stanowić świadczenie uzupełniające wszystkie prawa socjalne i umowne;</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6 – akapit 2 – tiret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jako warunek wstępny systemy takie nie powinny w żadnym wypadku zastępować ani zmniejszać zwykłego wynagrodzenia podstawowego ani jakiejkolwiek innej formy składki, takiej jak składki na ubezpieczenie społeczne, lecz powinny stanowić świadczenie uzupełniające wszystkie prawa socjalne i umowne;</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6 – akapit 2 – tiret 1 a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pracownicy ESSU, którzy otrzymują opcje na akcje, nie powinni podlegać opodatkowaniu liniowemu;</w:t>
            </w:r>
            <w:r>
              <w:t xml:space="preserve"> </w:t>
            </w:r>
            <w:r>
              <w:rPr>
                <w:b/>
                <w:i/>
              </w:rPr>
              <w:t>świadczenia otrzymywane przez pracowników z tytułu ich znaczącego udziału w działalności gospodarczej i rozwoju przedsiębiorstwa powinny być uznawane w całej Unii za zyski kapitałowe;</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295</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6 – akapit 2 – tiret 1 b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takie systemy powinny być zaprojektowane w taki sposób, aby zachować zdolność innowacyjnych przedsiębiorstw, przedsiębiorstw typu start-up i przedsiębiorstw scale-up do podejmowania zręcznych decyzji i szybkiego reagowania na potrzeby operacyjne i produkcyjne;</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296</w:t>
      </w:r>
      <w:r>
        <w:rPr>
          <w:rStyle w:val="HideTWBExt"/>
        </w:rPr>
        <w:t>&lt;/NumAm&gt;</w:t>
      </w:r>
    </w:p>
    <w:p>
      <w:pPr>
        <w:pStyle w:val="NormalBold"/>
      </w:pPr>
      <w:r>
        <w:rPr>
          <w:rStyle w:val="HideTWBExt"/>
          <w:b w:val="0"/>
        </w:rPr>
        <w:t>&lt;RepeatBlock-By&gt;</w:t>
      </w:r>
      <w:r>
        <w:rPr>
          <w:rStyle w:val="HideTWBExt"/>
          <w:b w:val="0"/>
        </w:rPr>
        <w:t>&lt;Members&gt;</w:t>
      </w:r>
      <w:r>
        <w:t>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6 – akapit 2 – tiret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przejrzystość </w:t>
            </w:r>
            <w:r>
              <w:rPr>
                <w:b/>
                <w:i/>
              </w:rPr>
              <w:t>musi być kluczową zasadą</w:t>
            </w:r>
            <w:r>
              <w:t xml:space="preserve"> podczas opracowywania i wdrażania takich systemów;</w:t>
            </w:r>
          </w:p>
        </w:tc>
        <w:tc>
          <w:tcPr>
            <w:tcW w:w="4876" w:type="dxa"/>
            <w:tcBorders>
              <w:top w:val="nil"/>
              <w:left w:val="nil"/>
              <w:bottom w:val="nil"/>
              <w:right w:val="nil"/>
            </w:tcBorders>
          </w:tcPr>
          <w:p>
            <w:pPr>
              <w:pStyle w:val="Normal6a"/>
            </w:pPr>
            <w:r>
              <w:rPr>
                <w:b/>
                <w:i/>
              </w:rPr>
              <w:t>–</w:t>
            </w:r>
            <w:r>
              <w:tab/>
            </w:r>
            <w:r>
              <w:t xml:space="preserve">przejrzystość </w:t>
            </w:r>
            <w:r>
              <w:rPr>
                <w:b/>
                <w:i/>
              </w:rPr>
              <w:t>i demokratyczne zarządzanie muszą być kluczowymi zasadami</w:t>
            </w:r>
            <w:r>
              <w:t xml:space="preserve"> podczas opracowywania i wdrażania takich systemów;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297</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6 – akapit 2 – tiret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uczestnictwo w takich systemach musi być niedyskryminacyjne i otwarte dla wszystkich pracowników;</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298</w:t>
      </w:r>
      <w:r>
        <w:rPr>
          <w:rStyle w:val="HideTWBExt"/>
        </w:rPr>
        <w:t>&lt;/NumAm&gt;</w:t>
      </w:r>
    </w:p>
    <w:p>
      <w:pPr>
        <w:pStyle w:val="NormalBold"/>
      </w:pPr>
      <w:r>
        <w:rPr>
          <w:rStyle w:val="HideTWBExt"/>
          <w:b w:val="0"/>
        </w:rPr>
        <w:t>&lt;RepeatBlock-By&gt;</w:t>
      </w:r>
      <w:r>
        <w:rPr>
          <w:rStyle w:val="HideTWBExt"/>
          <w:b w:val="0"/>
        </w:rPr>
        <w:t>&lt;Members&gt;</w:t>
      </w:r>
      <w:r>
        <w:t>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6 – akapit 2 – tiret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uczestnictwo w takich systemach musi być niedyskryminacyjne </w:t>
            </w:r>
            <w:r>
              <w:rPr>
                <w:b/>
                <w:i/>
              </w:rPr>
              <w:t>i</w:t>
            </w:r>
            <w:r>
              <w:t xml:space="preserve"> otwarte dla wszystkich pracowników;</w:t>
            </w:r>
          </w:p>
        </w:tc>
        <w:tc>
          <w:tcPr>
            <w:tcW w:w="4876" w:type="dxa"/>
            <w:tcBorders>
              <w:top w:val="nil"/>
              <w:left w:val="nil"/>
              <w:bottom w:val="nil"/>
              <w:right w:val="nil"/>
            </w:tcBorders>
          </w:tcPr>
          <w:p>
            <w:pPr>
              <w:pStyle w:val="Normal6a"/>
            </w:pPr>
            <w:r>
              <w:rPr>
                <w:b/>
                <w:i/>
              </w:rPr>
              <w:t>–</w:t>
            </w:r>
            <w:r>
              <w:tab/>
            </w:r>
            <w:r>
              <w:t>uczestnictwo w takich systemach musi być niedyskryminacyjne</w:t>
            </w:r>
            <w:r>
              <w:rPr>
                <w:b/>
                <w:i/>
              </w:rPr>
              <w:t>,</w:t>
            </w:r>
            <w:r>
              <w:t xml:space="preserve"> otwarte </w:t>
            </w:r>
            <w:r>
              <w:rPr>
                <w:b/>
                <w:i/>
              </w:rPr>
              <w:t>i zarezerwowane wyłącznie</w:t>
            </w:r>
            <w:r>
              <w:t xml:space="preserve"> dla wszystkich pracowników;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299</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6 – akapit 2 – tiret 3 a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wszelkie korzyści otrzymywane przez pracowników SES w ramach tych opcji na akcje należy uznać za zyski kapitałowe w całej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300</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6 – akapit 2 – tiret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uczestnictwo </w:t>
            </w:r>
            <w:r>
              <w:rPr>
                <w:b/>
                <w:i/>
              </w:rPr>
              <w:t>pracowników</w:t>
            </w:r>
            <w:r>
              <w:t xml:space="preserve"> w takich systemach musi pozostać dobrowolne;</w:t>
            </w:r>
          </w:p>
        </w:tc>
        <w:tc>
          <w:tcPr>
            <w:tcW w:w="4876" w:type="dxa"/>
            <w:tcBorders>
              <w:top w:val="nil"/>
              <w:left w:val="nil"/>
              <w:bottom w:val="nil"/>
              <w:right w:val="nil"/>
            </w:tcBorders>
          </w:tcPr>
          <w:p>
            <w:pPr>
              <w:pStyle w:val="Normal6a"/>
            </w:pPr>
            <w:r>
              <w:rPr>
                <w:b/>
                <w:i/>
              </w:rPr>
              <w:t>–</w:t>
            </w:r>
            <w:r>
              <w:tab/>
            </w:r>
            <w:r>
              <w:t>uczestnictwo w takich systemach musi pozostać dobrowolne;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6 – akapit 2 – tiret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uczestnictwo </w:t>
            </w:r>
            <w:r>
              <w:rPr>
                <w:b/>
                <w:i/>
              </w:rPr>
              <w:t>pracowników</w:t>
            </w:r>
            <w:r>
              <w:t xml:space="preserve"> w takich systemach musi pozostać dobrowolne;</w:t>
            </w:r>
          </w:p>
        </w:tc>
        <w:tc>
          <w:tcPr>
            <w:tcW w:w="4876" w:type="dxa"/>
            <w:tcBorders>
              <w:top w:val="nil"/>
              <w:left w:val="nil"/>
              <w:bottom w:val="nil"/>
              <w:right w:val="nil"/>
            </w:tcBorders>
          </w:tcPr>
          <w:p>
            <w:pPr>
              <w:pStyle w:val="Normal6a"/>
            </w:pPr>
            <w:r>
              <w:rPr>
                <w:b/>
                <w:i/>
              </w:rPr>
              <w:t>–</w:t>
            </w:r>
            <w:r>
              <w:tab/>
            </w:r>
            <w:r>
              <w:t>uczestnictwo w takich systemach musi pozostać dobrowolne;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6 – akapit 2 – tiret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takim systemom muszą towarzyszyć mechanizmy ochrony pracowników przed nadmiernym ryzykiem finansowym.</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6 – akapit 2 – tiret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takim systemom muszą towarzyszyć mechanizmy ochrony pracowników przed nadmiernym ryzykiem finansowym.</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6 – akapit 2 – tiret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takim systemom muszą towarzyszyć mechanizmy ochrony pracowników przed nadmiernym ryzykiem finansowym.</w:t>
            </w:r>
          </w:p>
        </w:tc>
        <w:tc>
          <w:tcPr>
            <w:tcW w:w="4876" w:type="dxa"/>
            <w:tcBorders>
              <w:top w:val="nil"/>
              <w:left w:val="nil"/>
              <w:bottom w:val="nil"/>
              <w:right w:val="nil"/>
            </w:tcBorders>
          </w:tcPr>
          <w:p>
            <w:pPr>
              <w:pStyle w:val="Normal6a"/>
            </w:pPr>
            <w:r>
              <w:rPr>
                <w:b/>
                <w:i/>
              </w:rPr>
              <w:t>–</w:t>
            </w:r>
            <w:r>
              <w:tab/>
            </w:r>
            <w:r>
              <w:t xml:space="preserve">takim systemom muszą towarzyszyć mechanizmy ochrony pracowników przed nadmiernym ryzykiem finansowym </w:t>
            </w:r>
            <w:r>
              <w:rPr>
                <w:b/>
                <w:i/>
              </w:rPr>
              <w:t>oraz europejska klauzula ochronna dotycząca wyceny pracowniczych instrumentów kapitałowych, tak aby zapewnić pewność prawa oraz zminimalizować obciążenia i koszty administracyjne</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6 – akapit 2 – tiret 5 a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takie systemy powinny przyczyniać się do spójności w całej Unii, zapewniając równe szanse pracownikom, niezależnie od tego, czy są zatrudnieni na obszarach wiejskich czy miejskich, czy też w państwach członkowskich o różnym poziomie rozwoju gospodarczego;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306</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6 – akapit 2 – tiret 5 a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wycena „bezpiecznej przystani” dla pracowniczych instrumentów kapitałowych oparta na zharmonizowanych kryteriach UE w celu zapewnienia pewności prawa i zminimalizowania obciążeń administracyjnych;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307</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6 – akapit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Komisja, w porozumieniu z partnerami społecznymi i w oparciu o przykłady najlepszych praktyk, powinna opracować proste i podstawowe wzory umów o udziale w zyskach oraz wytyczne dla ESSU, aby ułatwić wdrażanie, zwiększyć świadomość na temat koncepcji ESOP i zharmonizować systemy udziału finansowego we wszystkich państwach członkowskich.</w:t>
            </w:r>
            <w:r>
              <w:t xml:space="preserve"> </w:t>
            </w:r>
            <w:r>
              <w:rPr>
                <w:b/>
                <w:i/>
              </w:rPr>
              <w:t>Wzory umów i wytyczne powinny zawierać informacje na temat powiązanego ryzyka finansowego dla pracowników, określać opcje wykupu pracowników oraz uwzględniać wpływ na pracowników ze szczególnym uwzględnieniem równouprawnienia płci.</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308</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6 – akapit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Komisja, w porozumieniu z partnerami społecznymi i w oparciu o przykłady najlepszych praktyk, powinna opracować proste i podstawowe wzory umów o udziale w zyskach oraz wytyczne dla ESSU, aby ułatwić wdrażanie, zwiększyć świadomość na temat koncepcji ESOP i zharmonizować systemy udziału finansowego we wszystkich państwach członkowskich.</w:t>
            </w:r>
            <w:r>
              <w:t xml:space="preserve"> </w:t>
            </w:r>
            <w:r>
              <w:rPr>
                <w:b/>
                <w:i/>
              </w:rPr>
              <w:t>Wzory umów i wytyczne powinny zawierać informacje na temat powiązanego ryzyka finansowego dla pracowników, określać opcje wykupu pracowników oraz uwzględniać wpływ na pracowników ze szczególnym uwzględnieniem równouprawnienia płci.</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309</w:t>
      </w:r>
      <w:r>
        <w:rPr>
          <w:rStyle w:val="HideTWBExt"/>
        </w:rPr>
        <w:t>&lt;/NumAm&gt;</w:t>
      </w:r>
    </w:p>
    <w:p>
      <w:pPr>
        <w:pStyle w:val="NormalBold"/>
      </w:pPr>
      <w:r>
        <w:rPr>
          <w:rStyle w:val="HideTWBExt"/>
          <w:b w:val="0"/>
        </w:rPr>
        <w:t>&lt;RepeatBlock-By&gt;</w:t>
      </w:r>
      <w:r>
        <w:rPr>
          <w:rStyle w:val="HideTWBExt"/>
          <w:b w:val="0"/>
        </w:rPr>
        <w:t>&lt;Members&gt;</w:t>
      </w:r>
      <w:r>
        <w:t>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6 – akapit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Komisja, w porozumieniu z partnerami społecznymi i w oparciu o przykłady najlepszych praktyk, powinna opracować proste i podstawowe wzory umów o udziale w zyskach oraz wytyczne dla ESSU, aby ułatwić wdrażanie, zwiększyć świadomość na temat koncepcji ESOP i zharmonizować systemy udziału finansowego we wszystkich państwach członkowskich. Wzory umów i wytyczne powinny zawierać informacje na temat powiązanego ryzyka finansowego dla pracowników, określać opcje wykupu pracowników oraz uwzględniać wpływ na pracowników ze szczególnym uwzględnieniem równouprawnienia płci.</w:t>
            </w:r>
          </w:p>
        </w:tc>
        <w:tc>
          <w:tcPr>
            <w:tcW w:w="4876" w:type="dxa"/>
            <w:tcBorders>
              <w:top w:val="nil"/>
              <w:left w:val="nil"/>
              <w:bottom w:val="nil"/>
              <w:right w:val="nil"/>
            </w:tcBorders>
          </w:tcPr>
          <w:p>
            <w:pPr>
              <w:pStyle w:val="Normal6a"/>
            </w:pPr>
            <w:r>
              <w:t>Komisja, w porozumieniu z partnerami społecznymi i w oparciu o przykłady najlepszych praktyk, powinna opracować proste i podstawowe wzory umów o udziale w zyskach oraz wytyczne dla ESSU, aby ułatwić wdrażanie, zwiększyć świadomość na temat koncepcji ESOP i zharmonizować systemy udziału finansowego we wszystkich państwach członkowskich. Wzory umów i wytyczne powinny zawierać informacje na temat powiązanego ryzyka finansowego dla pracowników, określać opcje wykupu pracowników</w:t>
            </w:r>
            <w:r>
              <w:rPr>
                <w:b/>
                <w:i/>
              </w:rPr>
              <w:t>, demokratyczne rządy</w:t>
            </w:r>
            <w:r>
              <w:t xml:space="preserve"> oraz uwzględniać wpływ na pracowników ze szczególnym uwzględnieniem równouprawnienia płci.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310</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6 – akapit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Komisja, w porozumieniu z partnerami społecznymi i w oparciu o przykłady najlepszych praktyk, powinna opracować proste i podstawowe wzory umów o udziale w zyskach oraz wytyczne dla </w:t>
            </w:r>
            <w:r>
              <w:rPr>
                <w:b/>
                <w:i/>
              </w:rPr>
              <w:t>ESSU</w:t>
            </w:r>
            <w:r>
              <w:t>, aby ułatwić wdrażanie, zwiększyć świadomość na temat koncepcji ESOP i zharmonizować systemy udziału finansowego we wszystkich państwach członkowskich. Wzory umów i wytyczne powinny zawierać informacje na temat powiązanego ryzyka finansowego dla pracowników, określać opcje wykupu pracowników oraz uwzględniać wpływ na pracowników ze szczególnym uwzględnieniem równouprawnienia płci.</w:t>
            </w:r>
          </w:p>
        </w:tc>
        <w:tc>
          <w:tcPr>
            <w:tcW w:w="4876" w:type="dxa"/>
            <w:tcBorders>
              <w:top w:val="nil"/>
              <w:left w:val="nil"/>
              <w:bottom w:val="nil"/>
              <w:right w:val="nil"/>
            </w:tcBorders>
          </w:tcPr>
          <w:p>
            <w:pPr>
              <w:pStyle w:val="Normal6a"/>
            </w:pPr>
            <w:r>
              <w:t xml:space="preserve">Komisja, w porozumieniu z partnerami społecznymi i w oparciu o przykłady najlepszych praktyk, powinna opracować proste i podstawowe wzory umów o udziale w zyskach oraz wytyczne dla </w:t>
            </w:r>
            <w:r>
              <w:rPr>
                <w:b/>
                <w:i/>
              </w:rPr>
              <w:t>SES</w:t>
            </w:r>
            <w:r>
              <w:t>, aby ułatwić wdrażanie, zwiększyć świadomość na temat koncepcji ESOP i zharmonizować systemy udziału finansowego we wszystkich państwach członkowskich. Wzory umów i wytyczne powinny zawierać informacje na temat powiązanego ryzyka finansowego dla pracowników, określać opcje wykupu pracowników oraz uwzględniać wpływ na pracowników ze szczególnym uwzględnieniem równouprawnienia płci.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311</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6 – akapit 3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Aby wzmocnić zdolności innowacyjne ESSU i przyspieszyć komercjalizację wyników badań, ramy powinny promować i ułatwiać ustrukturyzowane partnerstwa między ESSU a uniwersytetami, instytutami badawczymi i biurami transferu technologii.</w:t>
            </w:r>
            <w:r>
              <w:rPr>
                <w:b/>
                <w:i/>
              </w:rPr>
              <w:t>Takie partnerstwa powinny mieć na celu: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przyspieszenie procesu wprowadzania produktów z laboratorium na rynek i wspieranie tworzenia firm typu spin-off;</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zapewnienie ESSU dostępu do wspólnej infrastruktury badawczej, laboratoriów i wiedzy technicznej;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ułatwianie mobilności naukowców i wykwalifikowanych absolwentów do ESSU poprzez specjalne programy staży;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promowanie wspólnego udziału w unijnych programach finansowania badań naukowych i innowacji;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ustanowienie bonów na innowacje lub podobnych mechanizmów wsparcia umożliwiających ESSU zakup usług badawczo-rozwojowych i innowacyjnych od partnerów akademickich.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Komisja powinna opracować wytyczne i wzory umów o współpracy dla takich partnerstw, dopilnowując, aby były one proste, przejrzyste i sprawiedliwe dla wszystkich zaangażowanych stron.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312</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6 – akapit 3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ESSU umożliwia przedsiębiorstwom bezpośrednią rekrutację i zatrudnianie pracowników w różnych państwach członkowskich bez konieczności angażowania zarejestrowanych pracodawców lub porównywalnych pośredników.</w:t>
            </w:r>
            <w:r>
              <w:t xml:space="preserve"> </w:t>
            </w:r>
            <w:r>
              <w:rPr>
                <w:b/>
                <w:i/>
              </w:rPr>
              <w:t>Przepis ten ma na celu zmniejszenie obciążeń administracyjnych i regulacyjnych związanych z zatrudnieniem transgranicznym, przy pełnym poszanowaniu obowiązujących krajowych przepisów dotyczących pracy, zabezpieczenia społecznego i zatrudnienia.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313</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7 – akapit 2 – wprowadzenie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Państwa członkowskie powinny</w:t>
            </w:r>
            <w:r>
              <w:t xml:space="preserve"> wprowadzić </w:t>
            </w:r>
            <w:r>
              <w:rPr>
                <w:b/>
                <w:i/>
              </w:rPr>
              <w:t>zharmonizowane</w:t>
            </w:r>
            <w:r>
              <w:t xml:space="preserve"> instrumenty dłużne podobne do akcji, które umożliwią inwestorom inwestowanie w spółki bez nabywania praw kontroli nad spółką (takich jak prawa do udziału w zyskach, ciche udziały lub pożyczki powiązane z zyskiem). Takie instrumenty dłużne podobne do akcji powinny:</w:t>
            </w:r>
          </w:p>
        </w:tc>
        <w:tc>
          <w:tcPr>
            <w:tcW w:w="4876" w:type="dxa"/>
            <w:tcBorders>
              <w:top w:val="nil"/>
              <w:left w:val="nil"/>
              <w:bottom w:val="nil"/>
              <w:right w:val="nil"/>
            </w:tcBorders>
          </w:tcPr>
          <w:p>
            <w:pPr>
              <w:pStyle w:val="Normal6a"/>
            </w:pPr>
            <w:r>
              <w:rPr>
                <w:b/>
                <w:i/>
              </w:rPr>
              <w:t>ESSU powinna</w:t>
            </w:r>
            <w:r>
              <w:t xml:space="preserve"> wprowadzić instrumenty dłużne podobne do akcji, które umożliwią inwestorom inwestowanie w spółki bez nabywania praw kontroli nad spółką (takich jak prawa do udziału w zyskach, ciche udziały lub pożyczki powiązane z zyskiem). Takie instrumenty dłużne podobne do akcji powinny:</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314</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7 – akapit 2 – wprowadzenie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Państwa członkowskie</w:t>
            </w:r>
            <w:r>
              <w:t xml:space="preserve"> powinny </w:t>
            </w:r>
            <w:r>
              <w:rPr>
                <w:b/>
                <w:i/>
              </w:rPr>
              <w:t>wprowadzić zharmonizowane</w:t>
            </w:r>
            <w:r>
              <w:t xml:space="preserve"> instrumenty dłużne podobne do akcji, </w:t>
            </w:r>
            <w:r>
              <w:rPr>
                <w:b/>
                <w:i/>
              </w:rPr>
              <w:t>które umożliwią inwestorom inwestowanie</w:t>
            </w:r>
            <w:r>
              <w:t xml:space="preserve"> w spółki bez nabywania praw kontroli nad spółką (takich jak prawa do udziału w zyskach, ciche udziały lub pożyczki powiązane z zyskiem). Takie instrumenty dłużne podobne do akcji powinny:</w:t>
            </w:r>
          </w:p>
        </w:tc>
        <w:tc>
          <w:tcPr>
            <w:tcW w:w="4876" w:type="dxa"/>
            <w:tcBorders>
              <w:top w:val="nil"/>
              <w:left w:val="nil"/>
              <w:bottom w:val="nil"/>
              <w:right w:val="nil"/>
            </w:tcBorders>
          </w:tcPr>
          <w:p>
            <w:pPr>
              <w:pStyle w:val="Normal6a"/>
            </w:pPr>
            <w:r>
              <w:rPr>
                <w:b/>
                <w:i/>
              </w:rPr>
              <w:t>ESSU</w:t>
            </w:r>
            <w:r>
              <w:t xml:space="preserve"> powinny </w:t>
            </w:r>
            <w:r>
              <w:rPr>
                <w:b/>
                <w:i/>
              </w:rPr>
              <w:t>obejmować</w:t>
            </w:r>
            <w:r>
              <w:t xml:space="preserve"> instrumenty dłużne podobne do akcji, </w:t>
            </w:r>
            <w:r>
              <w:rPr>
                <w:b/>
                <w:i/>
              </w:rPr>
              <w:t>aby inwestorzy mogli inwestować</w:t>
            </w:r>
            <w:r>
              <w:t xml:space="preserve"> w spółki bez nabywania praw kontroli nad spółką (takich jak prawa do udziału w zyskach, ciche udziały lub pożyczki powiązane z zyskiem). Takie instrumenty dłużne podobne do akcji powinny: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315</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7 – akapit 2 – tiret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być tworzone przez zawarcie umowy między spółką a inwestorem w sprawie wkładu kapitałowego; umowa </w:t>
            </w:r>
            <w:r>
              <w:rPr>
                <w:b/>
                <w:i/>
              </w:rPr>
              <w:t>taka musi</w:t>
            </w:r>
            <w:r>
              <w:t xml:space="preserve"> określać </w:t>
            </w:r>
            <w:r>
              <w:rPr>
                <w:b/>
                <w:i/>
              </w:rPr>
              <w:t>zainwestowaną</w:t>
            </w:r>
            <w:r>
              <w:t xml:space="preserve"> kwotę </w:t>
            </w:r>
            <w:r>
              <w:rPr>
                <w:b/>
                <w:i/>
              </w:rPr>
              <w:t>główną, zawierać określony termin spłaty i przewidywać rekompensatę, która może przyjąć formę stałych lub zmiennych odsetek lub</w:t>
            </w:r>
            <w:r>
              <w:t xml:space="preserve"> udziału w zyskach</w:t>
            </w:r>
            <w:r>
              <w:rPr>
                <w:b/>
                <w:i/>
              </w:rPr>
              <w:t>;</w:t>
            </w:r>
          </w:p>
        </w:tc>
        <w:tc>
          <w:tcPr>
            <w:tcW w:w="4876" w:type="dxa"/>
            <w:tcBorders>
              <w:top w:val="nil"/>
              <w:left w:val="nil"/>
              <w:bottom w:val="nil"/>
              <w:right w:val="nil"/>
            </w:tcBorders>
          </w:tcPr>
          <w:p>
            <w:pPr>
              <w:pStyle w:val="Normal6a"/>
            </w:pPr>
            <w:r>
              <w:rPr>
                <w:b/>
                <w:i/>
              </w:rPr>
              <w:t>–</w:t>
            </w:r>
            <w:r>
              <w:tab/>
            </w:r>
            <w:r>
              <w:t xml:space="preserve">być tworzone przez zawarcie umowy między spółką a inwestorem w sprawie wkładu kapitałowego; umowa </w:t>
            </w:r>
            <w:r>
              <w:rPr>
                <w:b/>
                <w:i/>
              </w:rPr>
              <w:t>ta powinna</w:t>
            </w:r>
            <w:r>
              <w:t xml:space="preserve"> określać kwotę </w:t>
            </w:r>
            <w:r>
              <w:rPr>
                <w:b/>
                <w:i/>
              </w:rPr>
              <w:t>zainwestowanego kapitału oraz warunki</w:t>
            </w:r>
            <w:r>
              <w:t xml:space="preserve"> udziału w zyskach</w:t>
            </w:r>
            <w:r>
              <w:rPr>
                <w:b/>
                <w:i/>
              </w:rP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316</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7 – akapit 2 – tiret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być tworzone przez zawarcie umowy między spółką a inwestorem w sprawie wkładu kapitałowego; umowa taka musi określać zainwestowaną kwotę główną</w:t>
            </w:r>
            <w:r>
              <w:rPr>
                <w:b/>
                <w:i/>
              </w:rPr>
              <w:t>, zawierać określony termin spłaty i przewidywać rekompensatę, która może przyjąć formę stałych lub zmiennych odsetek lub</w:t>
            </w:r>
            <w:r>
              <w:t xml:space="preserve"> udziału w zyskach;</w:t>
            </w:r>
          </w:p>
        </w:tc>
        <w:tc>
          <w:tcPr>
            <w:tcW w:w="4876" w:type="dxa"/>
            <w:tcBorders>
              <w:top w:val="nil"/>
              <w:left w:val="nil"/>
              <w:bottom w:val="nil"/>
              <w:right w:val="nil"/>
            </w:tcBorders>
          </w:tcPr>
          <w:p>
            <w:pPr>
              <w:pStyle w:val="Normal6a"/>
            </w:pPr>
            <w:r>
              <w:rPr>
                <w:b/>
                <w:i/>
              </w:rPr>
              <w:t>–</w:t>
            </w:r>
            <w:r>
              <w:tab/>
            </w:r>
            <w:r>
              <w:t xml:space="preserve">być tworzone przez zawarcie umowy między spółką a inwestorem w sprawie wkładu kapitałowego; umowa taka musi określać zainwestowaną kwotę główną </w:t>
            </w:r>
            <w:r>
              <w:rPr>
                <w:b/>
                <w:i/>
              </w:rPr>
              <w:t>lub warunki</w:t>
            </w:r>
            <w:r>
              <w:t xml:space="preserve"> udziału w zyskach;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317</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7 – akapit 2 – tiret 2 a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państwa członkowskie powinny zachęcać do rozwijania partnerstw strategicznych między ESSU a europejską infrastrukturą cyfrową, w tym publicznymi platformami chmury obliczeniowej i sieciami innowacji technologicznych, aby ułatwić szybkie zwiększanie skali i dostęp do zasobów krytycznych.</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318</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7 – akapit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Aby zwiększyć pewność prawa we wszystkich 27 jurysdykcjach państwowych rynku wewnętrznego oraz zredukować bariery wejścia na rynek dla inwestycji w ESSU, Komisja powinna ułatwić opracowywanie wzorów umów spółki, umów akcjonariuszy i wszystkich innych istotnych dokumentów dla ESSU oraz ustanowić platformę, na której te wzory dokumentów będą udostępniane we wszystkich językach urzędowych Unii.</w:t>
            </w:r>
            <w:r>
              <w:t xml:space="preserve"> </w:t>
            </w:r>
            <w:r>
              <w:rPr>
                <w:b/>
                <w:i/>
              </w:rPr>
              <w:t>.</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319</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7 – akapit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Aby zwiększyć pewność prawa we wszystkich 27 jurysdykcjach państwowych rynku wewnętrznego oraz zredukować bariery wejścia na rynek dla inwestycji w ESSU,</w:t>
            </w:r>
            <w:r>
              <w:t xml:space="preserve"> Komisja powinna ułatwić </w:t>
            </w:r>
            <w:r>
              <w:rPr>
                <w:b/>
                <w:i/>
              </w:rPr>
              <w:t>opracowywanie wzorów</w:t>
            </w:r>
            <w:r>
              <w:t xml:space="preserve"> umów spółki, umów akcjonariuszy i wszystkich innych istotnych dokumentów dla ESSU oraz ustanowić platformę, na której te wzory dokumentów będą udostępniane we wszystkich językach urzędowych Unii. .</w:t>
            </w:r>
          </w:p>
        </w:tc>
        <w:tc>
          <w:tcPr>
            <w:tcW w:w="4876" w:type="dxa"/>
            <w:tcBorders>
              <w:top w:val="nil"/>
              <w:left w:val="nil"/>
              <w:bottom w:val="nil"/>
              <w:right w:val="nil"/>
            </w:tcBorders>
          </w:tcPr>
          <w:p>
            <w:pPr>
              <w:pStyle w:val="Normal6a"/>
            </w:pPr>
            <w:r>
              <w:t xml:space="preserve">Komisja powinna ułatwić </w:t>
            </w:r>
            <w:r>
              <w:rPr>
                <w:b/>
                <w:i/>
              </w:rPr>
              <w:t>opracowanie standardowego wielojęzycznego wzoru</w:t>
            </w:r>
            <w:r>
              <w:t xml:space="preserve"> umów spółki, umów akcjonariuszy i wszystkich innych istotnych dokumentów dla ESSU oraz ustanowić platformę, na której te wzory dokumentów będą udostępniane we wszystkich językach urzędowych Unii.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320</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7 – akapit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Aby zwiększyć pewność prawa we wszystkich 27 jurysdykcjach państwowych rynku wewnętrznego oraz zredukować bariery wejścia na rynek dla inwestycji w ESSU,</w:t>
            </w:r>
            <w:r>
              <w:t xml:space="preserve"> Komisja powinna ułatwić opracowywanie wzorów umów spółki, umów akcjonariuszy i wszystkich innych istotnych dokumentów dla ESSU oraz ustanowić platformę, na której te wzory dokumentów będą udostępniane we wszystkich językach urzędowych Unii. .</w:t>
            </w:r>
          </w:p>
        </w:tc>
        <w:tc>
          <w:tcPr>
            <w:tcW w:w="4876" w:type="dxa"/>
            <w:tcBorders>
              <w:top w:val="nil"/>
              <w:left w:val="nil"/>
              <w:bottom w:val="nil"/>
              <w:right w:val="nil"/>
            </w:tcBorders>
          </w:tcPr>
          <w:p>
            <w:pPr>
              <w:pStyle w:val="Normal6a"/>
            </w:pPr>
            <w:r>
              <w:t xml:space="preserve">Komisja powinna ułatwić opracowywanie wzorów umów spółki, umów akcjonariuszy i wszystkich innych istotnych dokumentów dla ESSU oraz ustanowić platformę, na której te wzory dokumentów </w:t>
            </w:r>
            <w:r>
              <w:rPr>
                <w:b/>
                <w:i/>
              </w:rPr>
              <w:t>i praktyczne informacje</w:t>
            </w:r>
            <w:r>
              <w:t xml:space="preserve"> będą udostępniane we wszystkich językach urzędowych Unii.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321</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7 – akapit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Aby zwiększyć pewność</w:t>
            </w:r>
            <w:r>
              <w:t xml:space="preserve"> prawa we wszystkich 27 jurysdykcjach państwowych rynku wewnętrznego oraz </w:t>
            </w:r>
            <w:r>
              <w:rPr>
                <w:b/>
                <w:i/>
              </w:rPr>
              <w:t>zredukować bariery wejścia na rynek</w:t>
            </w:r>
            <w:r>
              <w:t xml:space="preserve"> dla inwestycji w ESSU</w:t>
            </w:r>
            <w:r>
              <w:rPr>
                <w:b/>
                <w:i/>
              </w:rPr>
              <w:t>, Komisja powinna ułatwić</w:t>
            </w:r>
            <w:r>
              <w:t xml:space="preserve"> opracowywanie wzorów umów spółki</w:t>
            </w:r>
            <w:r>
              <w:rPr>
                <w:b/>
                <w:i/>
              </w:rPr>
              <w:t>,</w:t>
            </w:r>
            <w:r>
              <w:t xml:space="preserve"> umów akcjonariuszy </w:t>
            </w:r>
            <w:r>
              <w:rPr>
                <w:b/>
                <w:i/>
              </w:rPr>
              <w:t>i wszystkich innych istotnych dokumentów</w:t>
            </w:r>
            <w:r>
              <w:t xml:space="preserve"> dla ESSU </w:t>
            </w:r>
            <w:r>
              <w:rPr>
                <w:b/>
                <w:i/>
              </w:rPr>
              <w:t>oraz ustanowić</w:t>
            </w:r>
            <w:r>
              <w:t xml:space="preserve"> platformę, na której te wzory dokumentów </w:t>
            </w:r>
            <w:r>
              <w:rPr>
                <w:b/>
                <w:i/>
              </w:rPr>
              <w:t>będą udostępniane we wszystkich językach urzędowych Unii</w:t>
            </w:r>
            <w:r>
              <w:t xml:space="preserve">. </w:t>
            </w:r>
            <w:r>
              <w:rPr>
                <w:b/>
                <w:i/>
              </w:rPr>
              <w:t>.</w:t>
            </w:r>
          </w:p>
        </w:tc>
        <w:tc>
          <w:tcPr>
            <w:tcW w:w="4876" w:type="dxa"/>
            <w:tcBorders>
              <w:top w:val="nil"/>
              <w:left w:val="nil"/>
              <w:bottom w:val="nil"/>
              <w:right w:val="nil"/>
            </w:tcBorders>
          </w:tcPr>
          <w:p>
            <w:pPr>
              <w:pStyle w:val="Normal6a"/>
            </w:pPr>
            <w:r>
              <w:rPr>
                <w:b/>
                <w:i/>
              </w:rPr>
              <w:t>W celu zwiększenia pewności</w:t>
            </w:r>
            <w:r>
              <w:t xml:space="preserve"> prawa we wszystkich 27 jurysdykcjach państwowych rynku wewnętrznego oraz </w:t>
            </w:r>
            <w:r>
              <w:rPr>
                <w:b/>
                <w:i/>
              </w:rPr>
              <w:t>zredukowania barier w dostępie do rynku</w:t>
            </w:r>
            <w:r>
              <w:t xml:space="preserve"> dla inwestycji w ESSU </w:t>
            </w:r>
            <w:r>
              <w:rPr>
                <w:b/>
                <w:i/>
              </w:rPr>
              <w:t>państwa członkowskie powinny wspierać</w:t>
            </w:r>
            <w:r>
              <w:t xml:space="preserve"> opracowywanie wzorów umów spółki </w:t>
            </w:r>
            <w:r>
              <w:rPr>
                <w:b/>
                <w:i/>
              </w:rPr>
              <w:t>i</w:t>
            </w:r>
            <w:r>
              <w:t xml:space="preserve"> umów akcjonariuszy dla ESSU</w:t>
            </w:r>
            <w:r>
              <w:rPr>
                <w:b/>
                <w:i/>
              </w:rPr>
              <w:t>, natomiast Komisja mogłaby stworzyć</w:t>
            </w:r>
            <w:r>
              <w:t xml:space="preserve"> platformę, na której </w:t>
            </w:r>
            <w:r>
              <w:rPr>
                <w:b/>
                <w:i/>
              </w:rPr>
              <w:t>udostępniane byłyby</w:t>
            </w:r>
            <w:r>
              <w:t xml:space="preserve"> te wzory dokumentów.</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322</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7 – akapit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Aby zwiększyć pewność prawa we wszystkich 27 jurysdykcjach państwowych rynku wewnętrznego oraz zredukować bariery wejścia na rynek dla inwestycji w </w:t>
            </w:r>
            <w:r>
              <w:rPr>
                <w:b/>
                <w:i/>
              </w:rPr>
              <w:t>ESSU</w:t>
            </w:r>
            <w:r>
              <w:t xml:space="preserve">, Komisja powinna ułatwić opracowywanie wzorów umów spółki, umów akcjonariuszy i wszystkich innych istotnych dokumentów dla </w:t>
            </w:r>
            <w:r>
              <w:rPr>
                <w:b/>
                <w:i/>
              </w:rPr>
              <w:t>ESSU</w:t>
            </w:r>
            <w:r>
              <w:t xml:space="preserve"> oraz ustanowić platformę, na której te wzory dokumentów będą udostępniane we wszystkich językach urzędowych Unii. .</w:t>
            </w:r>
          </w:p>
        </w:tc>
        <w:tc>
          <w:tcPr>
            <w:tcW w:w="4876" w:type="dxa"/>
            <w:tcBorders>
              <w:top w:val="nil"/>
              <w:left w:val="nil"/>
              <w:bottom w:val="nil"/>
              <w:right w:val="nil"/>
            </w:tcBorders>
          </w:tcPr>
          <w:p>
            <w:pPr>
              <w:pStyle w:val="Normal6a"/>
            </w:pPr>
            <w:r>
              <w:t xml:space="preserve">Aby zwiększyć pewność prawa we wszystkich 27 jurysdykcjach państwowych rynku wewnętrznego oraz zredukować bariery wejścia na rynek dla inwestycji w </w:t>
            </w:r>
            <w:r>
              <w:rPr>
                <w:b/>
                <w:i/>
              </w:rPr>
              <w:t>SES</w:t>
            </w:r>
            <w:r>
              <w:t xml:space="preserve">, Komisja powinna ułatwić opracowywanie wzorów umów spółki, umów akcjonariuszy i wszystkich innych istotnych dokumentów dla </w:t>
            </w:r>
            <w:r>
              <w:rPr>
                <w:b/>
                <w:i/>
              </w:rPr>
              <w:t>SES</w:t>
            </w:r>
            <w:r>
              <w:t xml:space="preserve"> oraz ustanowić platformę, na której te wzory dokumentów będą udostępniane we wszystkich językach urzędowych Unii.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323</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7 – akapit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Komisja powinna powołać grupę ekspertów, której zadaniem będzie opracowanie znormalizowanego wzoru umowy spółki wysokiej jakości, odpowiadającego zharmonizowanym wymogom dla ESSU.</w:t>
            </w:r>
            <w:r>
              <w:t xml:space="preserve"> </w:t>
            </w:r>
            <w:r>
              <w:rPr>
                <w:b/>
                <w:i/>
              </w:rPr>
              <w:t>Do tej grupy ekspertów powinni należeć między innymi założyciele, inwestorzy i związki zawodowe.</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324</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7 – akapit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Komisja powinna powołać</w:t>
            </w:r>
            <w:r>
              <w:t xml:space="preserve"> grupę ekspertów, której zadaniem będzie opracowanie </w:t>
            </w:r>
            <w:r>
              <w:rPr>
                <w:b/>
                <w:i/>
              </w:rPr>
              <w:t>znormalizowanego</w:t>
            </w:r>
            <w:r>
              <w:t xml:space="preserve"> wzoru umowy spółki wysokiej jakości, odpowiadającego zharmonizowanym wymogom dla ESSU. Do tej grupy ekspertów powinni należeć między innymi założyciele, inwestorzy </w:t>
            </w:r>
            <w:r>
              <w:rPr>
                <w:b/>
                <w:i/>
              </w:rPr>
              <w:t>i</w:t>
            </w:r>
            <w:r>
              <w:t xml:space="preserve"> związki zawodowe.</w:t>
            </w:r>
          </w:p>
        </w:tc>
        <w:tc>
          <w:tcPr>
            <w:tcW w:w="4876" w:type="dxa"/>
            <w:tcBorders>
              <w:top w:val="nil"/>
              <w:left w:val="nil"/>
              <w:bottom w:val="nil"/>
              <w:right w:val="nil"/>
            </w:tcBorders>
          </w:tcPr>
          <w:p>
            <w:pPr>
              <w:pStyle w:val="Normal6a"/>
            </w:pPr>
            <w:r>
              <w:rPr>
                <w:b/>
                <w:i/>
              </w:rPr>
              <w:t>Państwa członkowskie powinny wyznaczyć</w:t>
            </w:r>
            <w:r>
              <w:t xml:space="preserve"> grupę ekspertów, której zadaniem będzie opracowanie </w:t>
            </w:r>
            <w:r>
              <w:rPr>
                <w:b/>
                <w:i/>
              </w:rPr>
              <w:t>krajowego</w:t>
            </w:r>
            <w:r>
              <w:t xml:space="preserve"> wzoru umowy spółki wysokiej jakości, odpowiadającego zharmonizowanym wymogom dla ESSU. Do tej grupy ekspertów powinni należeć między innymi założyciele, inwestorzy</w:t>
            </w:r>
            <w:r>
              <w:rPr>
                <w:b/>
                <w:i/>
              </w:rPr>
              <w:t>,</w:t>
            </w:r>
            <w:r>
              <w:t xml:space="preserve"> związki zawodowe</w:t>
            </w:r>
            <w:r>
              <w:rPr>
                <w:b/>
                <w:i/>
              </w:rPr>
              <w:t>, notariusze i inne właściwe ograny</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325</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7 – akapit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Komisja powinna powołać grupę ekspertów, której zadaniem będzie opracowanie znormalizowanego wzoru umowy spółki wysokiej jakości, odpowiadającego zharmonizowanym wymogom dla </w:t>
            </w:r>
            <w:r>
              <w:rPr>
                <w:b/>
                <w:i/>
              </w:rPr>
              <w:t>ESSU</w:t>
            </w:r>
            <w:r>
              <w:t>. Do tej grupy ekspertów powinni należeć między innymi założyciele, inwestorzy i związki zawodowe.</w:t>
            </w:r>
          </w:p>
        </w:tc>
        <w:tc>
          <w:tcPr>
            <w:tcW w:w="4876" w:type="dxa"/>
            <w:tcBorders>
              <w:top w:val="nil"/>
              <w:left w:val="nil"/>
              <w:bottom w:val="nil"/>
              <w:right w:val="nil"/>
            </w:tcBorders>
          </w:tcPr>
          <w:p>
            <w:pPr>
              <w:pStyle w:val="Normal6a"/>
            </w:pPr>
            <w:r>
              <w:t xml:space="preserve">Komisja powinna powołać grupę ekspertów, której zadaniem będzie opracowanie znormalizowanego wzoru umowy spółki wysokiej jakości, odpowiadającego zharmonizowanym wymogom dla </w:t>
            </w:r>
            <w:r>
              <w:rPr>
                <w:b/>
                <w:i/>
              </w:rPr>
              <w:t>SES</w:t>
            </w:r>
            <w:r>
              <w:t>. Do tej grupy ekspertów powinni należeć między innymi założyciele, inwestorzy i związki zawodowe.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326</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7 – akapit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Komisja powinna powołać grupę ekspertów, której zadaniem będzie opracowanie znormalizowanego wzoru umowy spółki wysokiej jakości, odpowiadającego zharmonizowanym wymogom dla ESSU. Do tej grupy ekspertów powinni należeć między innymi założyciele</w:t>
            </w:r>
            <w:r>
              <w:rPr>
                <w:b/>
                <w:i/>
              </w:rPr>
              <w:t>,</w:t>
            </w:r>
            <w:r>
              <w:t xml:space="preserve"> inwestorzy </w:t>
            </w:r>
            <w:r>
              <w:rPr>
                <w:b/>
                <w:i/>
              </w:rPr>
              <w:t>i związki zawodowe</w:t>
            </w:r>
            <w:r>
              <w:t>.</w:t>
            </w:r>
          </w:p>
        </w:tc>
        <w:tc>
          <w:tcPr>
            <w:tcW w:w="4876" w:type="dxa"/>
            <w:tcBorders>
              <w:top w:val="nil"/>
              <w:left w:val="nil"/>
              <w:bottom w:val="nil"/>
              <w:right w:val="nil"/>
            </w:tcBorders>
          </w:tcPr>
          <w:p>
            <w:pPr>
              <w:pStyle w:val="Normal6a"/>
            </w:pPr>
            <w:r>
              <w:t xml:space="preserve">Komisja powinna powołać grupę ekspertów, której zadaniem będzie opracowanie znormalizowanego wzoru umowy spółki wysokiej jakości, odpowiadającego zharmonizowanym wymogom dla ESSU. Do tej grupy ekspertów powinni należeć między innymi założyciele </w:t>
            </w:r>
            <w:r>
              <w:rPr>
                <w:b/>
                <w:i/>
              </w:rPr>
              <w:t>i</w:t>
            </w:r>
            <w:r>
              <w:t xml:space="preserve"> inwestorzy.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327</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7 – akapit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Komisja powinna powołać kolejną grupę ekspertów, której zadaniem będzie opracowanie znormalizowanych i sprawiedliwych wzorów umów akcjonariuszy wysokiej jakości.</w:t>
            </w:r>
            <w:r>
              <w:t xml:space="preserve"> </w:t>
            </w:r>
            <w:r>
              <w:rPr>
                <w:b/>
                <w:i/>
              </w:rPr>
              <w:t>Takie wzory umów akcjonariuszy powinny zapewniać równowagę między interesami założycieli i inwestorów.</w:t>
            </w:r>
            <w:r>
              <w:t xml:space="preserve"> </w:t>
            </w:r>
            <w:r>
              <w:rPr>
                <w:b/>
                <w:i/>
              </w:rPr>
              <w:t>Do tej grupy ekspertów powinni należeć między innymi założyciele i inwestorzy kapitału wysokiego ryzyka.</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328</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7 – akapit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Komisja powinna powołać kolejną grupę ekspertów, której zadaniem będzie opracowanie znormalizowanych i sprawiedliwych wzorów umów akcjonariuszy wysokiej jakości.</w:t>
            </w:r>
            <w:r>
              <w:t xml:space="preserve"> </w:t>
            </w:r>
            <w:r>
              <w:rPr>
                <w:b/>
                <w:i/>
              </w:rPr>
              <w:t>Takie wzory umów akcjonariuszy powinny zapewniać równowagę między interesami założycieli i inwestorów.</w:t>
            </w:r>
            <w:r>
              <w:t xml:space="preserve"> </w:t>
            </w:r>
            <w:r>
              <w:rPr>
                <w:b/>
                <w:i/>
              </w:rPr>
              <w:t>Do tej grupy ekspertów powinni należeć między innymi założyciele i inwestorzy kapitału wysokiego ryzyka.</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329</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7 – akapit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Komisja powinna powołać kolejną</w:t>
            </w:r>
            <w:r>
              <w:t xml:space="preserve"> grupę ekspertów, której zadaniem będzie opracowanie </w:t>
            </w:r>
            <w:r>
              <w:rPr>
                <w:b/>
                <w:i/>
              </w:rPr>
              <w:t>znormalizowanych i</w:t>
            </w:r>
            <w:r>
              <w:t xml:space="preserve"> sprawiedliwych </w:t>
            </w:r>
            <w:r>
              <w:rPr>
                <w:b/>
                <w:i/>
              </w:rPr>
              <w:t>wzorów</w:t>
            </w:r>
            <w:r>
              <w:t xml:space="preserve"> umów akcjonariuszy </w:t>
            </w:r>
            <w:r>
              <w:rPr>
                <w:b/>
                <w:i/>
              </w:rPr>
              <w:t>wysokiej jakości</w:t>
            </w:r>
            <w:r>
              <w:t xml:space="preserve">. Takie wzory umów akcjonariuszy powinny zapewniać równowagę między interesami założycieli i inwestorów. Do tej grupy ekspertów powinni należeć między innymi założyciele </w:t>
            </w:r>
            <w:r>
              <w:rPr>
                <w:b/>
                <w:i/>
              </w:rPr>
              <w:t>i</w:t>
            </w:r>
            <w:r>
              <w:t xml:space="preserve"> inwestorzy kapitału wysokiego ryzyka.</w:t>
            </w:r>
          </w:p>
        </w:tc>
        <w:tc>
          <w:tcPr>
            <w:tcW w:w="4876" w:type="dxa"/>
            <w:tcBorders>
              <w:top w:val="nil"/>
              <w:left w:val="nil"/>
              <w:bottom w:val="nil"/>
              <w:right w:val="nil"/>
            </w:tcBorders>
          </w:tcPr>
          <w:p>
            <w:pPr>
              <w:pStyle w:val="Normal6a"/>
            </w:pPr>
            <w:r>
              <w:rPr>
                <w:b/>
                <w:i/>
              </w:rPr>
              <w:t>Państwa członkowskie powinny wyznaczyć inną</w:t>
            </w:r>
            <w:r>
              <w:t xml:space="preserve"> grupę ekspertów, której zadaniem będzie opracowanie </w:t>
            </w:r>
            <w:r>
              <w:rPr>
                <w:b/>
                <w:i/>
              </w:rPr>
              <w:t>krajowych wzorów</w:t>
            </w:r>
            <w:r>
              <w:t xml:space="preserve"> sprawiedliwych </w:t>
            </w:r>
            <w:r>
              <w:rPr>
                <w:b/>
                <w:i/>
              </w:rPr>
              <w:t>i wysokiej jakości</w:t>
            </w:r>
            <w:r>
              <w:t xml:space="preserve"> umów akcjonariuszy. Takie wzory umów akcjonariuszy powinny zapewniać równowagę między interesami założycieli i inwestorów. Do tej grupy ekspertów powinni należeć między innymi założyciele</w:t>
            </w:r>
            <w:r>
              <w:rPr>
                <w:b/>
                <w:i/>
              </w:rPr>
              <w:t>,</w:t>
            </w:r>
            <w:r>
              <w:t xml:space="preserve"> inwestorzy kapitału wysokiego ryzyka</w:t>
            </w:r>
            <w:r>
              <w:rPr>
                <w:b/>
                <w:i/>
              </w:rPr>
              <w:t>, notariusze i inne właściwe ograny</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330</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7 – akapit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Komisja powinna ustanowić Wspólne Centrum Badawcze ds. europejskiego i porównawczego prawa handlowego w celu ustanowienia powszechnie dostępnych i porównywalnych informacji na temat regulacji działalności gospodarczej w państwach członkowskich we wszystkich językach urzędowych Unii.</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331</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7 – akapit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Komisja powinna ustanowić Wspólne Centrum Badawcze ds. europejskiego i porównawczego prawa handlowego w celu ustanowienia powszechnie dostępnych i porównywalnych informacji na temat regulacji działalności gospodarczej w państwach członkowskich we wszystkich językach urzędowych Unii.</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332</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7 – akapit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Komisja powinna ustanowić Wspólne Centrum Badawcze ds. europejskiego i porównawczego prawa handlowego w celu ustanowienia powszechnie dostępnych i porównywalnych informacji na temat regulacji działalności gospodarczej w państwach członkowskich we wszystkich językach urzędowych Unii.</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333</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7 – akapit 6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Zgodnie z unijną strategią na rzecz szerszego uczestnictwa i rozpowszechniania doskonałości w ramach programu „Horyzont Europa” środki powinny zapewniać, aby innowacyjne przedsiębiorstwa mające siedzibę w państwach członkowskich o historycznie niższym poziomie dostępu do kapitału wysokiego ryzyka korzystały ze sprawiedliwych możliwości finansowania.</w:t>
            </w:r>
            <w:r>
              <w:t xml:space="preserve"> </w:t>
            </w:r>
            <w:r>
              <w:rPr>
                <w:b/>
                <w:i/>
              </w:rPr>
              <w:t>Podejście to zmniejszyłoby różnice strukturalne w całej Unii, wzmocniłoby spójność między państwami członkowskimi i umożliwiłoby ESSU zwiększenie skali działalności niezależnie od ich położenia geograficznego.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334</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7 – akapit 6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Zapewnienie jasności zarówno europejskim, jak i zagranicznym inwestorom dzięki zharmonizowanym przepisom jest kluczowym elementem przyjęcia przez przedsiębiorców 28. systemu prawnego.</w:t>
            </w:r>
            <w:r>
              <w:t xml:space="preserve"> </w:t>
            </w:r>
            <w:r>
              <w:rPr>
                <w:b/>
                <w:i/>
              </w:rPr>
              <w:t>Wpływ takiego systemu na kapitał inwestorów powinien być zatem obliczany i oceniany jako miara sukcesu tej formy spółki.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335</w:t>
      </w:r>
      <w:r>
        <w:rPr>
          <w:rStyle w:val="HideTWBExt"/>
        </w:rPr>
        <w:t>&lt;/NumAm&gt;</w:t>
      </w:r>
    </w:p>
    <w:p>
      <w:pPr>
        <w:pStyle w:val="NormalBold"/>
      </w:pPr>
      <w:r>
        <w:rPr>
          <w:rStyle w:val="HideTWBExt"/>
          <w:b w:val="0"/>
        </w:rPr>
        <w:t>&lt;RepeatBlock-By&gt;</w:t>
      </w:r>
      <w:r>
        <w:rPr>
          <w:rStyle w:val="HideTWBExt"/>
          <w:b w:val="0"/>
        </w:rPr>
        <w:t>&lt;Members&gt;</w:t>
      </w:r>
      <w:r>
        <w:t>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Specjalistyczne rozstrzyganie sporów</w:t>
            </w:r>
          </w:p>
        </w:tc>
        <w:tc>
          <w:tcPr>
            <w:tcW w:w="4876" w:type="dxa"/>
            <w:tcBorders>
              <w:top w:val="nil"/>
              <w:left w:val="nil"/>
              <w:bottom w:val="nil"/>
              <w:right w:val="nil"/>
            </w:tcBorders>
          </w:tcPr>
          <w:p>
            <w:pPr>
              <w:pStyle w:val="Normal6a"/>
            </w:pPr>
            <w:r>
              <w:rPr>
                <w:b/>
                <w:i/>
              </w:rPr>
              <w:t>skreśla się</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Aby przyspieszyć rozstrzyganie sporów dotyczących ESSU, należy ustanowić alternatywny specjalistyczny mechanizm rozstrzygania sporów.</w:t>
            </w:r>
            <w:r>
              <w:rPr>
                <w:b/>
                <w:i/>
              </w:rPr>
              <w:t xml:space="preserve"> </w:t>
            </w:r>
            <w:r>
              <w:rPr>
                <w:b/>
                <w:i/>
              </w:rPr>
              <w:t>Udział w tym mechanizmie powinien być uzależniony od zgody zaangażowanych stron.</w:t>
            </w:r>
            <w:r>
              <w:rPr>
                <w:b/>
                <w:i/>
              </w:rPr>
              <w:t xml:space="preserve"> </w:t>
            </w:r>
            <w:r>
              <w:rPr>
                <w:b/>
                <w:i/>
              </w:rPr>
              <w:t>Spory dotyczące indywidualnego i zbiorowego prawa pracy powinny być wyłączone z zakresu tego mechanizmu.</w:t>
            </w:r>
            <w:r>
              <w:rPr>
                <w:b/>
                <w:i/>
              </w:rPr>
              <w:t xml:space="preserve"> </w:t>
            </w:r>
            <w:r>
              <w:rPr>
                <w:b/>
                <w:i/>
              </w:rPr>
              <w:t>Jurysdykcję w takich przypadkach należy ustalić zgodnie z art. 20–23 rozporządzenia (UE) nr 1215/2012.</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Ponadto państwa członkowskie powinny ustanowić w swoich sądach krajowych specjalny zespół orzekający – jeden zespół orzekający w jednym konkretnym sądzie na szczeblu krajowym lub jeden zespół orzekający w jednym konkretnym sądzie w każdej jednostce federalnej, w zależności od krajowego systemu sądowego.</w:t>
            </w:r>
            <w:r>
              <w:rPr>
                <w:b/>
                <w:i/>
              </w:rPr>
              <w:t xml:space="preserve"> </w:t>
            </w:r>
            <w:r>
              <w:rPr>
                <w:b/>
                <w:i/>
              </w:rPr>
              <w:t>Takie zespoły powinny zajmować się rozstrzyganiem sporów cywilnoprawnych między spółkami dotyczących formy korporacyjnej ESSU, sporów wynikających z nabycia ESSU lub udziałów w ESSU lub związanych z takim nabyciem, a także sporów między ESSU a członkami zarządu lub rady nadzorczej ESSU.</w:t>
            </w:r>
            <w:r>
              <w:rPr>
                <w:b/>
                <w:i/>
              </w:rPr>
              <w:t xml:space="preserve"> </w:t>
            </w:r>
            <w:r>
              <w:rPr>
                <w:b/>
                <w:i/>
              </w:rPr>
              <w:t>Państwa członkowskie powinny dopilnować, aby postępowania przed takimi zespołami orzekającymi mogły być prowadzone w języku angielskim, pod warunkiem że zainteresowane strony wyrażą na to zgodę.</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336</w:t>
      </w:r>
      <w:r>
        <w:rPr>
          <w:rStyle w:val="HideTWBExt"/>
        </w:rPr>
        <w:t>&lt;/NumAm&gt;</w:t>
      </w:r>
    </w:p>
    <w:p>
      <w:pPr>
        <w:pStyle w:val="NormalBold"/>
      </w:pPr>
      <w:r>
        <w:rPr>
          <w:rStyle w:val="HideTWBExt"/>
          <w:b w:val="0"/>
        </w:rPr>
        <w:t>&lt;RepeatBlock-By&gt;</w:t>
      </w:r>
      <w:r>
        <w:rPr>
          <w:rStyle w:val="HideTWBExt"/>
          <w:b w:val="0"/>
        </w:rPr>
        <w:t>&lt;Members&gt;</w:t>
      </w:r>
      <w:r>
        <w:t>Axel Voss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8 – akapit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Specjalistyczne rozstrzyganie sporów</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337</w:t>
      </w:r>
      <w:r>
        <w:rPr>
          <w:rStyle w:val="HideTWBExt"/>
        </w:rPr>
        <w:t>&lt;/NumAm&gt;</w:t>
      </w:r>
    </w:p>
    <w:p>
      <w:pPr>
        <w:pStyle w:val="NormalBold"/>
      </w:pPr>
      <w:r>
        <w:rPr>
          <w:rStyle w:val="HideTWBExt"/>
          <w:b w:val="0"/>
        </w:rPr>
        <w:t>&lt;RepeatBlock-By&gt;</w:t>
      </w:r>
      <w:r>
        <w:rPr>
          <w:rStyle w:val="HideTWBExt"/>
          <w:b w:val="0"/>
        </w:rPr>
        <w:t>&lt;Members&gt;</w:t>
      </w:r>
      <w:r>
        <w:t>Axel Voss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8 – akapit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Aby przyspieszyć rozstrzyganie sporów dotyczących ESSU, należy ustanowić alternatywny specjalistyczny mechanizm rozstrzygania sporów.</w:t>
            </w:r>
            <w:r>
              <w:t xml:space="preserve"> </w:t>
            </w:r>
            <w:r>
              <w:rPr>
                <w:b/>
                <w:i/>
              </w:rPr>
              <w:t>Udział w tym mechanizmie powinien być uzależniony od zgody zaangażowanych stron.</w:t>
            </w:r>
            <w:r>
              <w:t xml:space="preserve"> </w:t>
            </w:r>
            <w:r>
              <w:rPr>
                <w:b/>
                <w:i/>
              </w:rPr>
              <w:t>Spory dotyczące indywidualnego i zbiorowego prawa pracy powinny być wyłączone z zakresu tego mechanizmu.</w:t>
            </w:r>
            <w:r>
              <w:t xml:space="preserve"> </w:t>
            </w:r>
            <w:r>
              <w:rPr>
                <w:b/>
                <w:i/>
              </w:rPr>
              <w:t>Jurysdykcję w takich przypadkach należy ustalić zgodnie z art. 20–23 rozporządzenia (UE) nr 1215/2012.</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338</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8 – akapit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Aby przyspieszyć rozstrzyganie sporów dotyczących ESSU, </w:t>
            </w:r>
            <w:r>
              <w:rPr>
                <w:b/>
                <w:i/>
              </w:rPr>
              <w:t>należy</w:t>
            </w:r>
            <w:r>
              <w:t xml:space="preserve"> ustanowić alternatywny specjalistyczny mechanizm rozstrzygania sporów. Udział w tym mechanizmie powinien być uzależniony od zgody zaangażowanych stron. </w:t>
            </w:r>
            <w:r>
              <w:rPr>
                <w:b/>
                <w:i/>
              </w:rPr>
              <w:t>Spory dotyczące indywidualnego i zbiorowego prawa pracy powinny być wyłączone z zakresu tego mechanizmu.</w:t>
            </w:r>
            <w:r>
              <w:t xml:space="preserve"> </w:t>
            </w:r>
            <w:r>
              <w:rPr>
                <w:b/>
                <w:i/>
              </w:rPr>
              <w:t>Jurysdykcję w takich przypadkach należy ustalić zgodnie z art. 20–23 rozporządzenia (UE) nr 1215/2012.</w:t>
            </w:r>
          </w:p>
        </w:tc>
        <w:tc>
          <w:tcPr>
            <w:tcW w:w="4876" w:type="dxa"/>
            <w:tcBorders>
              <w:top w:val="nil"/>
              <w:left w:val="nil"/>
              <w:bottom w:val="nil"/>
              <w:right w:val="nil"/>
            </w:tcBorders>
          </w:tcPr>
          <w:p>
            <w:pPr>
              <w:pStyle w:val="Normal6a"/>
            </w:pPr>
            <w:r>
              <w:t xml:space="preserve">Aby przyspieszyć rozstrzyganie sporów dotyczących ESSU, </w:t>
            </w:r>
            <w:r>
              <w:rPr>
                <w:b/>
                <w:i/>
              </w:rPr>
              <w:t>można</w:t>
            </w:r>
            <w:r>
              <w:t xml:space="preserve"> ustanowić alternatywny specjalistyczny mechanizm rozstrzygania sporów. Udział w tym mechanizmie powinien być uzależniony od zgody zaangażowanych stron.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339</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8 – akapit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Aby przyspieszyć rozstrzyganie sporów dotyczących </w:t>
            </w:r>
            <w:r>
              <w:rPr>
                <w:b/>
                <w:i/>
              </w:rPr>
              <w:t>ESSU</w:t>
            </w:r>
            <w:r>
              <w:t>, należy ustanowić alternatywny specjalistyczny mechanizm rozstrzygania sporów. Udział w tym mechanizmie powinien być uzależniony od zgody zaangażowanych stron. Spory dotyczące indywidualnego i zbiorowego prawa pracy powinny być wyłączone z zakresu tego mechanizmu. Jurysdykcję w takich przypadkach należy ustalić zgodnie z art. 20–23 rozporządzenia (UE) nr 1215/2012.</w:t>
            </w:r>
          </w:p>
        </w:tc>
        <w:tc>
          <w:tcPr>
            <w:tcW w:w="4876" w:type="dxa"/>
            <w:tcBorders>
              <w:top w:val="nil"/>
              <w:left w:val="nil"/>
              <w:bottom w:val="nil"/>
              <w:right w:val="nil"/>
            </w:tcBorders>
          </w:tcPr>
          <w:p>
            <w:pPr>
              <w:pStyle w:val="Normal6a"/>
            </w:pPr>
            <w:r>
              <w:t xml:space="preserve">Aby przyspieszyć rozstrzyganie sporów dotyczących </w:t>
            </w:r>
            <w:r>
              <w:rPr>
                <w:b/>
                <w:i/>
              </w:rPr>
              <w:t>SES</w:t>
            </w:r>
            <w:r>
              <w:t>, należy ustanowić alternatywny specjalistyczny mechanizm rozstrzygania sporów. Udział w tym mechanizmie powinien być uzależniony od zgody zaangażowanych stron. Spory dotyczące indywidualnego i zbiorowego prawa pracy powinny być wyłączone z zakresu tego mechanizmu. Jurysdykcję w takich przypadkach należy ustalić zgodnie z art. 20–23 rozporządzenia (UE) nr 1215/2012.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340</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8 – akapit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Ponadto państwa członkowskie powinny ustanowić w swoich sądach krajowych specjalny zespół orzekający – jeden zespół orzekający w jednym konkretnym sądzie na szczeblu krajowym lub jeden zespół orzekający w jednym konkretnym sądzie w każdej jednostce federalnej, w zależności od krajowego systemu sądowego.</w:t>
            </w:r>
            <w:r>
              <w:t xml:space="preserve"> </w:t>
            </w:r>
            <w:r>
              <w:rPr>
                <w:b/>
                <w:i/>
              </w:rPr>
              <w:t>Takie zespoły powinny zajmować się rozstrzyganiem sporów cywilnoprawnych między spółkami dotyczących formy korporacyjnej ESSU, sporów wynikających z nabycia ESSU lub udziałów w ESSU lub związanych z takim nabyciem, a także sporów między ESSU a członkami zarządu lub rady nadzorczej ESSU.</w:t>
            </w:r>
            <w:r>
              <w:t xml:space="preserve"> </w:t>
            </w:r>
            <w:r>
              <w:rPr>
                <w:b/>
                <w:i/>
              </w:rPr>
              <w:t>Państwa członkowskie powinny dopilnować, aby postępowania przed takimi zespołami orzekającymi mogły być prowadzone w języku angielskim, pod warunkiem że zainteresowane strony wyrażą na to zgodę.</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341</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8 – akapit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Ponadto państwa członkowskie powinny ustanowić w swoich sądach krajowych specjalny zespół orzekający – jeden zespół orzekający w jednym konkretnym sądzie na szczeblu krajowym lub jeden zespół orzekający w jednym konkretnym sądzie w każdej jednostce federalnej, w zależności od krajowego systemu sądowego.</w:t>
            </w:r>
            <w:r>
              <w:t xml:space="preserve"> </w:t>
            </w:r>
            <w:r>
              <w:rPr>
                <w:b/>
                <w:i/>
              </w:rPr>
              <w:t>Takie zespoły powinny zajmować się rozstrzyganiem sporów cywilnoprawnych między spółkami dotyczących formy korporacyjnej ESSU, sporów wynikających z nabycia ESSU lub udziałów w ESSU lub związanych z takim nabyciem, a także sporów między ESSU a członkami zarządu lub rady nadzorczej ESSU.</w:t>
            </w:r>
            <w:r>
              <w:t xml:space="preserve"> </w:t>
            </w:r>
            <w:r>
              <w:rPr>
                <w:b/>
                <w:i/>
              </w:rPr>
              <w:t>Państwa członkowskie powinny dopilnować, aby postępowania przed takimi zespołami orzekającymi mogły być prowadzone w języku angielskim, pod warunkiem że zainteresowane strony wyrażą na to zgodę.</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342</w:t>
      </w:r>
      <w:r>
        <w:rPr>
          <w:rStyle w:val="HideTWBExt"/>
        </w:rPr>
        <w:t>&lt;/NumAm&gt;</w:t>
      </w:r>
    </w:p>
    <w:p>
      <w:pPr>
        <w:pStyle w:val="NormalBold"/>
      </w:pPr>
      <w:r>
        <w:rPr>
          <w:rStyle w:val="HideTWBExt"/>
          <w:b w:val="0"/>
        </w:rPr>
        <w:t>&lt;RepeatBlock-By&gt;</w:t>
      </w:r>
      <w:r>
        <w:rPr>
          <w:rStyle w:val="HideTWBExt"/>
          <w:b w:val="0"/>
        </w:rPr>
        <w:t>&lt;Members&gt;</w:t>
      </w:r>
      <w:r>
        <w:t>Axel Voss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8 – akapit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Ponadto państwa członkowskie powinny ustanowić w swoich sądach krajowych specjalny zespół orzekający – jeden zespół orzekający w jednym konkretnym sądzie na szczeblu krajowym lub jeden zespół orzekający w jednym konkretnym sądzie w każdej jednostce federalnej, w zależności od krajowego systemu sądowego.</w:t>
            </w:r>
            <w:r>
              <w:t xml:space="preserve"> </w:t>
            </w:r>
            <w:r>
              <w:rPr>
                <w:b/>
                <w:i/>
              </w:rPr>
              <w:t>Takie zespoły powinny zajmować się rozstrzyganiem sporów cywilnoprawnych między spółkami dotyczących formy korporacyjnej ESSU, sporów wynikających z nabycia ESSU lub udziałów w ESSU lub związanych z takim nabyciem, a także sporów między ESSU a członkami zarządu lub rady nadzorczej ESSU.</w:t>
            </w:r>
            <w:r>
              <w:t xml:space="preserve"> </w:t>
            </w:r>
            <w:r>
              <w:rPr>
                <w:b/>
                <w:i/>
              </w:rPr>
              <w:t>Państwa członkowskie powinny dopilnować, aby postępowania przed takimi zespołami orzekającymi mogły być prowadzone w języku angielskim, pod warunkiem że zainteresowane strony wyrażą na to zgodę.</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343</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8 – akapit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Ponadto państwa członkowskie powinny ustanowić w swoich sądach krajowych specjalny zespół orzekający – jeden zespół orzekający w jednym konkretnym sądzie na szczeblu krajowym lub jeden zespół orzekający w jednym konkretnym sądzie w każdej jednostce federalnej, w zależności od krajowego systemu sądowego. Takie zespoły powinny </w:t>
            </w:r>
            <w:r>
              <w:rPr>
                <w:b/>
                <w:i/>
              </w:rPr>
              <w:t>zajmować się rozstrzyganiem sporów cywilnoprawnych</w:t>
            </w:r>
            <w:r>
              <w:t xml:space="preserve"> między spółkami </w:t>
            </w:r>
            <w:r>
              <w:rPr>
                <w:b/>
                <w:i/>
              </w:rPr>
              <w:t>dotyczących</w:t>
            </w:r>
            <w:r>
              <w:t xml:space="preserve"> formy korporacyjnej ESSU, </w:t>
            </w:r>
            <w:r>
              <w:rPr>
                <w:b/>
                <w:i/>
              </w:rPr>
              <w:t>sporów wynikających</w:t>
            </w:r>
            <w:r>
              <w:t xml:space="preserve"> z nabycia ESSU lub udziałów w ESSU lub </w:t>
            </w:r>
            <w:r>
              <w:rPr>
                <w:b/>
                <w:i/>
              </w:rPr>
              <w:t>związanych</w:t>
            </w:r>
            <w:r>
              <w:t xml:space="preserve"> z takim nabyciem, a także </w:t>
            </w:r>
            <w:r>
              <w:rPr>
                <w:b/>
                <w:i/>
              </w:rPr>
              <w:t>sporów</w:t>
            </w:r>
            <w:r>
              <w:t xml:space="preserve"> między ESSU a członkami zarządu lub rady nadzorczej ESSU. Państwa członkowskie powinny dopilnować, aby postępowania przed takimi zespołami orzekającymi mogły być prowadzone w języku angielskim, </w:t>
            </w:r>
            <w:r>
              <w:rPr>
                <w:b/>
                <w:i/>
              </w:rPr>
              <w:t>pod warunkiem że zainteresowane strony wyrażą na to zgodę</w:t>
            </w:r>
            <w:r>
              <w:t>.</w:t>
            </w:r>
          </w:p>
        </w:tc>
        <w:tc>
          <w:tcPr>
            <w:tcW w:w="4876" w:type="dxa"/>
            <w:tcBorders>
              <w:top w:val="nil"/>
              <w:left w:val="nil"/>
              <w:bottom w:val="nil"/>
              <w:right w:val="nil"/>
            </w:tcBorders>
          </w:tcPr>
          <w:p>
            <w:pPr>
              <w:pStyle w:val="Normal6a"/>
            </w:pPr>
            <w:r>
              <w:t xml:space="preserve">Ponadto państwa członkowskie powinny ustanowić w swoich sądach krajowych specjalny zespół orzekający – jeden zespół orzekający w jednym konkretnym sądzie na szczeblu krajowym lub jeden zespół orzekający w jednym konkretnym sądzie w każdej jednostce federalnej, w zależności od krajowego systemu sądowego. Takie zespoły powinny </w:t>
            </w:r>
            <w:r>
              <w:rPr>
                <w:b/>
                <w:i/>
              </w:rPr>
              <w:t>terminowo i skutecznie rozstrzygać spory cywilnoprawne</w:t>
            </w:r>
            <w:r>
              <w:t xml:space="preserve"> między spółkami </w:t>
            </w:r>
            <w:r>
              <w:rPr>
                <w:b/>
                <w:i/>
              </w:rPr>
              <w:t>dotyczące</w:t>
            </w:r>
            <w:r>
              <w:t xml:space="preserve"> formy korporacyjnej ESSU, </w:t>
            </w:r>
            <w:r>
              <w:rPr>
                <w:b/>
                <w:i/>
              </w:rPr>
              <w:t>spory wynikające</w:t>
            </w:r>
            <w:r>
              <w:t xml:space="preserve"> z nabycia ESSU lub udziałów w ESSU lub </w:t>
            </w:r>
            <w:r>
              <w:rPr>
                <w:b/>
                <w:i/>
              </w:rPr>
              <w:t>związane</w:t>
            </w:r>
            <w:r>
              <w:t xml:space="preserve"> z takim nabyciem, a także </w:t>
            </w:r>
            <w:r>
              <w:rPr>
                <w:b/>
                <w:i/>
              </w:rPr>
              <w:t>spory</w:t>
            </w:r>
            <w:r>
              <w:t xml:space="preserve"> między ESSU a członkami zarządu lub rady nadzorczej ESSU. Państwa członkowskie powinny dopilnować, aby postępowania przed takimi zespołami orzekającymi mogły być prowadzone </w:t>
            </w:r>
            <w:r>
              <w:rPr>
                <w:b/>
                <w:i/>
              </w:rPr>
              <w:t>także</w:t>
            </w:r>
            <w:r>
              <w:t xml:space="preserve"> w języku angielskim, </w:t>
            </w:r>
            <w:r>
              <w:rPr>
                <w:b/>
                <w:i/>
              </w:rPr>
              <w:t>jeżeli wystąpi o to jedna ze stron</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344</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Załącznik I – punkt 8 – akapit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Ponadto państwa członkowskie powinny ustanowić w swoich sądach krajowych specjalny zespół orzekający – jeden zespół orzekający w jednym konkretnym sądzie na szczeblu krajowym lub jeden zespół orzekający w jednym konkretnym sądzie w każdej jednostce federalnej, w zależności od krajowego systemu sądowego. Takie zespoły powinny zajmować się rozstrzyganiem sporów cywilnoprawnych między spółkami dotyczących formy korporacyjnej </w:t>
            </w:r>
            <w:r>
              <w:rPr>
                <w:b/>
                <w:i/>
              </w:rPr>
              <w:t>ESSU</w:t>
            </w:r>
            <w:r>
              <w:t xml:space="preserve">, sporów wynikających z nabycia </w:t>
            </w:r>
            <w:r>
              <w:rPr>
                <w:b/>
                <w:i/>
              </w:rPr>
              <w:t>ESSU</w:t>
            </w:r>
            <w:r>
              <w:t xml:space="preserve"> lub udziałów w </w:t>
            </w:r>
            <w:r>
              <w:rPr>
                <w:b/>
                <w:i/>
              </w:rPr>
              <w:t>ESSU</w:t>
            </w:r>
            <w:r>
              <w:t xml:space="preserve"> lub związanych z takim nabyciem, a także sporów między ESSU a członkami zarządu lub rady nadzorczej ESSU. Państwa członkowskie powinny dopilnować, aby postępowania przed takimi zespołami orzekającymi mogły być prowadzone w języku angielskim, pod warunkiem że zainteresowane strony wyrażą na to zgodę.</w:t>
            </w:r>
          </w:p>
        </w:tc>
        <w:tc>
          <w:tcPr>
            <w:tcW w:w="4876" w:type="dxa"/>
            <w:tcBorders>
              <w:top w:val="nil"/>
              <w:left w:val="nil"/>
              <w:bottom w:val="nil"/>
              <w:right w:val="nil"/>
            </w:tcBorders>
          </w:tcPr>
          <w:p>
            <w:pPr>
              <w:pStyle w:val="Normal6a"/>
            </w:pPr>
            <w:r>
              <w:t xml:space="preserve">Ponadto państwa członkowskie powinny ustanowić w swoich sądach krajowych specjalny zespół orzekający – jeden zespół orzekający w jednym konkretnym sądzie na szczeblu krajowym lub jeden zespół orzekający w jednym konkretnym sądzie w każdej jednostce federalnej, w zależności od krajowego systemu sądowego. Takie zespoły powinny zajmować się rozstrzyganiem sporów cywilnoprawnych między spółkami dotyczących formy korporacyjnej </w:t>
            </w:r>
            <w:r>
              <w:rPr>
                <w:b/>
                <w:i/>
              </w:rPr>
              <w:t>SES</w:t>
            </w:r>
            <w:r>
              <w:t xml:space="preserve">, sporów wynikających z nabycia </w:t>
            </w:r>
            <w:r>
              <w:rPr>
                <w:b/>
                <w:i/>
              </w:rPr>
              <w:t>SES</w:t>
            </w:r>
            <w:r>
              <w:t xml:space="preserve"> lub udziałów w </w:t>
            </w:r>
            <w:r>
              <w:rPr>
                <w:b/>
                <w:i/>
              </w:rPr>
              <w:t>SES</w:t>
            </w:r>
            <w:r>
              <w:t xml:space="preserve"> lub związanych z takim nabyciem, a także sporów między ESSU a członkami zarządu lub rady nadzorczej ESSU. Państwa członkowskie powinny dopilnować, aby postępowania przed takimi zespołami orzekającymi mogły być prowadzone w języku angielskim, pod warunkiem że zainteresowane strony wyrażą na to zgodę.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776.972</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170</w:t>
    </w:r>
    <w:r>
      <w:fldChar w:fldCharType="end"/>
    </w:r>
    <w:r>
      <w:t>/</w:t>
    </w:r>
    <w:r>
      <w:fldChar w:fldCharType="begin"/>
    </w:r>
    <w:r>
      <w:instrText xml:space="preserve"> NUMPAGES </w:instrText>
    </w:r>
    <w:r>
      <w:fldChar w:fldCharType="separate"/>
    </w:r>
    <w:r>
      <w:t>171</w:t>
    </w:r>
    <w:r>
      <w:fldChar w:fldCharType="end"/>
    </w:r>
    <w:r>
      <w:tab/>
    </w:r>
    <w:r>
      <w:rPr>
        <w:rStyle w:val="HideTWBExt"/>
      </w:rPr>
      <w:t>&lt;PathFdR&gt;</w:t>
    </w:r>
    <w:r>
      <w:t>AM\1327577PL.docx</w:t>
    </w:r>
    <w:r>
      <w:rPr>
        <w:rStyle w:val="HideTWBExt"/>
      </w:rPr>
      <w:t>&lt;/PathFdR&gt;</w:t>
    </w:r>
  </w:p>
  <w:p>
    <w:pPr>
      <w:pStyle w:val="EPFooter2"/>
    </w:pPr>
    <w:r>
      <w:t>PL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AM\1327577PL.docx</w:t>
    </w:r>
    <w:r>
      <w:rPr>
        <w:rStyle w:val="HideTWBExt"/>
      </w:rPr>
      <w:t>&lt;/PathFdR&gt;</w:t>
    </w:r>
    <w:r>
      <w:tab/>
    </w:r>
    <w:r>
      <w:fldChar w:fldCharType="begin"/>
    </w:r>
    <w:r>
      <w:instrText xml:space="preserve"> PAGE </w:instrText>
    </w:r>
    <w:r>
      <w:fldChar w:fldCharType="separate"/>
    </w:r>
    <w:r>
      <w:t>171</w:t>
    </w:r>
    <w:r>
      <w:fldChar w:fldCharType="end"/>
    </w:r>
    <w:r>
      <w:t>/</w:t>
    </w:r>
    <w:r>
      <w:fldChar w:fldCharType="begin"/>
    </w:r>
    <w:r>
      <w:instrText xml:space="preserve"> NUMPAGES </w:instrText>
    </w:r>
    <w:r>
      <w:fldChar w:fldCharType="separate"/>
    </w:r>
    <w:r>
      <w:t>171</w:t>
    </w:r>
    <w:r>
      <w:fldChar w:fldCharType="end"/>
    </w:r>
    <w:r>
      <w:tab/>
    </w:r>
    <w:r>
      <w:t>PE</w:t>
    </w:r>
    <w:r>
      <w:rPr>
        <w:rStyle w:val="HideTWBExt"/>
      </w:rPr>
      <w:t>&lt;NoPE&gt;</w:t>
    </w:r>
    <w:r>
      <w:t>776.972</w:t>
    </w:r>
    <w:r>
      <w:rPr>
        <w:rStyle w:val="HideTWBExt"/>
      </w:rPr>
      <w:t>&lt;/NoPE&gt;</w:t>
    </w:r>
    <w:r>
      <w:rPr>
        <w:rStyle w:val="HideTWBExt"/>
      </w:rPr>
      <w:t>&lt;Version&gt;</w:t>
    </w:r>
    <w:r>
      <w:t>v01-00</w:t>
    </w:r>
    <w:r>
      <w:rPr>
        <w:rStyle w:val="HideTWBExt"/>
      </w:rPr>
      <w:t>&lt;/Version&gt;</w:t>
    </w:r>
  </w:p>
  <w:p>
    <w:pPr>
      <w:pStyle w:val="EPFooter2"/>
    </w:pPr>
    <w:r>
      <w:tab/>
    </w:r>
    <w:r>
      <w:tab/>
    </w:r>
    <w:r>
      <w:t>PL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AM\1327577PL.docx</w:t>
    </w:r>
    <w:r>
      <w:rPr>
        <w:rStyle w:val="HideTWBExt"/>
      </w:rPr>
      <w:t>&lt;/PathFdR&gt;</w:t>
    </w:r>
    <w:r>
      <w:tab/>
    </w:r>
    <w:r>
      <w:tab/>
    </w:r>
    <w:r>
      <w:t>PE</w:t>
    </w:r>
    <w:r>
      <w:rPr>
        <w:rStyle w:val="HideTWBExt"/>
      </w:rPr>
      <w:t>&lt;NoPE&gt;</w:t>
    </w:r>
    <w:r>
      <w:t>776.972</w:t>
    </w:r>
    <w:r>
      <w:rPr>
        <w:rStyle w:val="HideTWBExt"/>
      </w:rPr>
      <w:t>&lt;/NoPE&gt;</w:t>
    </w:r>
    <w:r>
      <w:rPr>
        <w:rStyle w:val="HideTWBExt"/>
      </w:rPr>
      <w:t>&lt;Version&gt;</w:t>
    </w:r>
    <w:r>
      <w:t>v01-00</w:t>
    </w:r>
    <w:r>
      <w:rPr>
        <w:rStyle w:val="HideTWBExt"/>
      </w:rPr>
      <w:t>&lt;/Version&gt;</w:t>
    </w:r>
  </w:p>
  <w:p>
    <w:pPr>
      <w:pStyle w:val="EPFooter2"/>
    </w:pPr>
    <w:r>
      <w:t>PL</w:t>
    </w:r>
    <w:r>
      <w:tab/>
    </w:r>
    <w:r>
      <w:rPr>
        <w:rStyle w:val="EPFooter2Motto"/>
      </w:rPr>
      <w:t>Zjednoczona w różnorodności</w:t>
    </w:r>
    <w:r>
      <w:tab/>
    </w:r>
    <w:r>
      <w:t>PL</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paragraph" w:customStyle="1" w:styleId="EPFooter">
    <w:name w:val="EPFooter"/>
    <w:basedOn w:val="Normal"/>
    <w:pPr>
      <w:widowControl w:val="0"/>
      <w:tabs>
        <w:tab w:val="center" w:pos="4534"/>
        <w:tab w:val="right" w:pos="9070"/>
      </w:tabs>
      <w:spacing w:before="240" w:after="240"/>
    </w:pPr>
    <w:rPr>
      <w:sz w:val="2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 w:type="paragraph" w:customStyle="1" w:styleId="NormalBold12b">
    <w:name w:val="NormalBold12b"/>
    <w:basedOn w:val="Normal"/>
    <w:pPr>
      <w:widowControl w:val="0"/>
      <w:spacing w:before="240"/>
    </w:pPr>
    <w:rPr>
      <w:b/>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JustText">
    <w:name w:val="AmJustText"/>
    <w:basedOn w:val="Normal"/>
    <w:pPr>
      <w:widowControl w:val="0"/>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171</Pages>
  <Words>30264</Words>
  <Characters>199847</Characters>
  <Application>Microsoft Office Word</Application>
  <DocSecurity>0</DocSecurity>
  <Lines>1</Lines>
  <Paragraphs>3098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1327577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245724</vt:lpwstr>
  </property>
  <property fmtid="{D5CDD505-2E9C-101B-9397-08002B2CF9AE}" pid="7" name="dmxml.render.traceId">
    <vt:lpwstr>68d4f7444beac80dc043b91986694105</vt:lpwstr>
  </property>
  <property fmtid="{D5CDD505-2E9C-101B-9397-08002B2CF9AE}" pid="8" name="FooterPath">
    <vt:lpwstr>AM\1327577PL.docx</vt:lpwstr>
  </property>
  <property fmtid="{D5CDD505-2E9C-101B-9397-08002B2CF9AE}" pid="9" name="PE Number">
    <vt:lpwstr>776.972</vt:lpwstr>
  </property>
  <property fmtid="{D5CDD505-2E9C-101B-9397-08002B2CF9AE}" pid="10" name="UID">
    <vt:lpwstr>eu.europa.europarl-DIN1-2025-0000165770_02.00-pl-01.00_text-xml</vt:lpwstr>
  </property>
</Properties>
</file>