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Comisia pentru afaceri juridice</w:t>
      </w:r>
      <w:r>
        <w:rPr>
          <w:rStyle w:val="HideTWBExt"/>
        </w:rPr>
        <w:t>&lt;/Commission&gt;</w:t>
      </w:r>
    </w:p>
    <w:p>
      <w:pPr>
        <w:pStyle w:val="LineBottom"/>
      </w:pPr>
      <w:r>
        <w:t xml:space="preserve"> </w:t>
      </w:r>
    </w:p>
    <w:p>
      <w:pPr>
        <w:pStyle w:val="CoverReference"/>
      </w:pPr>
      <w:r>
        <w:rPr>
          <w:rStyle w:val="HideTWBExt"/>
        </w:rPr>
        <w:t>&lt;RefProc&gt;</w:t>
      </w:r>
      <w:r>
        <w:t>2025/2079</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{12/09/2025}</w:t>
      </w:r>
      <w:r>
        <w:t>12.9.2025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344</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René Repasi</w:t>
      </w:r>
      <w:r>
        <w:rPr>
          <w:rStyle w:val="HideTWBExt"/>
        </w:rPr>
        <w:t>&lt;/Rapporteur&gt;</w:t>
      </w:r>
    </w:p>
    <w:p>
      <w:pPr>
        <w:pStyle w:val="CoverNormal24a"/>
      </w:pPr>
      <w:r>
        <w:rPr>
          <w:rStyle w:val="HideTWBExt"/>
        </w:rPr>
        <w:t>&lt;DocRefPE&gt;</w:t>
      </w:r>
      <w:r>
        <w:t>(PE773.199v01-00)</w:t>
      </w:r>
      <w:r>
        <w:rPr>
          <w:rStyle w:val="HideTWBExt"/>
        </w:rPr>
        <w:t>&lt;/DocRefPE&gt;</w:t>
      </w:r>
    </w:p>
    <w:p>
      <w:pPr>
        <w:pStyle w:val="CoverNormal"/>
      </w:pPr>
      <w:r>
        <w:rPr>
          <w:rStyle w:val="HideTWBExt"/>
        </w:rPr>
        <w:t>&lt;Titre&gt;</w:t>
      </w:r>
      <w:r>
        <w:t>Al 28-lea regim – un nou cadru juridic pentru întreprinderile inovatoare</w:t>
      </w:r>
      <w:r>
        <w:rPr>
          <w:rStyle w:val="HideTWBExt"/>
        </w:rPr>
        <w:t>&lt;/Titre&gt;</w:t>
      </w:r>
    </w:p>
    <w:p>
      <w:pPr>
        <w:pStyle w:val="CoverNormal24a"/>
      </w:pPr>
      <w:r>
        <w:rPr>
          <w:rStyle w:val="HideTWBExt"/>
        </w:rPr>
        <w:t>&lt;DocRef&gt;</w:t>
      </w:r>
      <w:r>
        <w:t>(2025/2079(INL))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Rubrica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conținând recomandări adresate Comisiei privind al 28-lea regim: un nou cadru juridic pentru întreprinderile </w:t>
            </w:r>
            <w:r>
              <w:rPr>
                <w:b/>
                <w:i/>
              </w:rPr>
              <w:t>inovatoare</w:t>
            </w:r>
          </w:p>
        </w:tc>
        <w:tc>
          <w:tcPr>
            <w:tcW w:w="4876" w:type="dxa"/>
            <w:tcBorders>
              <w:top w:val="nil"/>
              <w:left w:val="nil"/>
              <w:bottom w:val="nil"/>
              <w:right w:val="nil"/>
            </w:tcBorders>
          </w:tcPr>
          <w:p>
            <w:pPr>
              <w:pStyle w:val="Normal6a"/>
            </w:pPr>
            <w:r>
              <w:t xml:space="preserve">conținând recomandări adresate Comisiei privind al 28-lea regim: un nou cadru juridic pentru </w:t>
            </w:r>
            <w:r>
              <w:rPr>
                <w:b/>
                <w:i/>
              </w:rPr>
              <w:t>start-upuri și</w:t>
            </w:r>
            <w:r>
              <w:t xml:space="preserve"> întreprinderile </w:t>
            </w:r>
            <w:r>
              <w:rPr>
                <w:b/>
                <w:i/>
              </w:rPr>
              <w:t>în fază de extindere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articolul 50 și articolul 114 alineatul (1) din Tratatul privind funcționarea Uniunii Europene,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având în vedere articolul 50 </w:t>
            </w:r>
            <w:r>
              <w:rPr>
                <w:b/>
                <w:i/>
              </w:rPr>
              <w:t>și articolul 114 alineatul (1)</w:t>
            </w:r>
            <w:r>
              <w:t xml:space="preserve"> din Tratatul privind funcționarea Uniunii Europene,</w:t>
            </w:r>
          </w:p>
        </w:tc>
        <w:tc>
          <w:tcPr>
            <w:tcW w:w="4876" w:type="dxa"/>
            <w:tcBorders>
              <w:top w:val="nil"/>
              <w:left w:val="nil"/>
              <w:bottom w:val="nil"/>
              <w:right w:val="nil"/>
            </w:tcBorders>
          </w:tcPr>
          <w:p>
            <w:pPr>
              <w:pStyle w:val="Normal6a"/>
            </w:pPr>
            <w:r>
              <w:rPr>
                <w:b/>
                <w:i/>
              </w:rPr>
              <w:t>–</w:t>
            </w:r>
            <w:r>
              <w:tab/>
            </w:r>
            <w:r>
              <w:t>având în vedere articolul 50 din Tratatul privind funcționarea Uniunii Europene,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articolul 352 alineatul (1) din Tratatul privind funcționarea Uniunii Europene,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Directiva (UE) 2019/1151 a Parlamentului European și a Consiliului din 20 iunie 2019 de modificare a Directivei (UE) 2017/1132 în ceea ce privește utilizarea instrumentelor și a proceselor digitale în contextul dreptului societăților comerciale,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Directiva (UE) 2025/25 a Parlamentului European și a Consiliului din 19 decembrie 2024 de modificare a Directivelor 2009/102/CE și (UE) 2017/1132 în ceea ce privește extinderea și îmbunătățirea suplimentară a utilizării instrumentelor și proceselor digitale în domeniul dreptului societăților,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Directiva (UE) 2025/25 a Parlamentului European și a Consiliului din 19 decembrie 2024 de modificare a Directivelor 2009/102/CE și (UE) 2017/1132 în ceea ce privește extinderea și îmbunătățirea suplimentară a utilizării instrumentelor și proceselor digitale în domeniul dreptului societăților,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Directiva (UE) 2025/25 a Parlamentului European și a Consiliului din 19 decembrie 2024 de modificare a Directivelor 2009/102/CE și (UE) 2017/1132 în ceea ce privește extinderea și îmbunătățirea suplimentară a utilizării instrumentelor și proceselor digitale în domeniul dreptului societăților,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Directiva (UE) 2019/2121 a Parlamentului European și a Consiliului din 27 noiembrie 2019 de modificare a Directivei (UE) 2017/1132 în ceea ce privește transformările, fuziunile și divizările transfrontaliere,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întreprinderile, în special </w:t>
            </w:r>
            <w:r>
              <w:rPr>
                <w:b/>
                <w:i/>
              </w:rPr>
              <w:t>întreprinderile mici și mijlocii (IMM-uri),</w:t>
            </w:r>
            <w:r>
              <w:t xml:space="preserve"> start-upurile și întreprinderile în fază de extindere, se confruntă </w:t>
            </w:r>
            <w:r>
              <w:rPr>
                <w:b/>
                <w:i/>
              </w:rPr>
              <w:t>cu norme</w:t>
            </w:r>
            <w:r>
              <w:t xml:space="preserve"> care diferă foarte mult de la un stat membru la altul; întrucât această diversitate în materie de reglementare și costurile aferente orientării în medii </w:t>
            </w:r>
            <w:r>
              <w:rPr>
                <w:b/>
                <w:i/>
              </w:rPr>
              <w:t>necunoscute împiedică finanțarea paneuropeană</w:t>
            </w:r>
            <w:r>
              <w:t xml:space="preserve"> a întreprinderilor;</w:t>
            </w:r>
          </w:p>
        </w:tc>
        <w:tc>
          <w:tcPr>
            <w:tcW w:w="4876" w:type="dxa"/>
            <w:tcBorders>
              <w:top w:val="nil"/>
              <w:left w:val="nil"/>
              <w:bottom w:val="nil"/>
              <w:right w:val="nil"/>
            </w:tcBorders>
          </w:tcPr>
          <w:p>
            <w:pPr>
              <w:pStyle w:val="Normal6a"/>
            </w:pPr>
            <w:r>
              <w:t>A.</w:t>
            </w:r>
            <w:r>
              <w:tab/>
            </w:r>
            <w:r>
              <w:t>întrucât întreprinderile, în special start-upurile și întreprinderile în fază de extindere, se confruntă</w:t>
            </w:r>
            <w:r>
              <w:rPr>
                <w:b/>
                <w:i/>
              </w:rPr>
              <w:t>, de cele mai multe ori cu un cadru normativ european fragmentat,</w:t>
            </w:r>
            <w:r>
              <w:t xml:space="preserve"> care diferă foarte mult de la un stat membru la altul; întrucât această </w:t>
            </w:r>
            <w:r>
              <w:rPr>
                <w:b/>
                <w:i/>
              </w:rPr>
              <w:t>fragmentare și</w:t>
            </w:r>
            <w:r>
              <w:t xml:space="preserve"> diversitate în materie de reglementare și costurile aferente orientării în medii </w:t>
            </w:r>
            <w:r>
              <w:rPr>
                <w:b/>
                <w:i/>
              </w:rPr>
              <w:t>transfrontaliere reprezintă un obstacol în calea finanțării paneuropene</w:t>
            </w:r>
            <w:r>
              <w:t xml:space="preserve"> a întreprinderilor;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întreprinderile, în special întreprinderile mici și mijlocii (IMM-uri), start-upurile și întreprinderile în fază de extindere, se confruntă cu norme care diferă foarte mult de la un stat membru la altul; întrucât această diversitate în materie de reglementare și costurile aferente orientării în medii necunoscute împiedică finanțarea paneuropeană a întreprinderilor;</w:t>
            </w:r>
          </w:p>
        </w:tc>
        <w:tc>
          <w:tcPr>
            <w:tcW w:w="4876" w:type="dxa"/>
            <w:tcBorders>
              <w:top w:val="nil"/>
              <w:left w:val="nil"/>
              <w:bottom w:val="nil"/>
              <w:right w:val="nil"/>
            </w:tcBorders>
          </w:tcPr>
          <w:p>
            <w:pPr>
              <w:pStyle w:val="Normal6a"/>
            </w:pPr>
            <w:r>
              <w:t>A.</w:t>
            </w:r>
            <w:r>
              <w:tab/>
            </w:r>
            <w:r>
              <w:t xml:space="preserve">întrucât întreprinderile, în special întreprinderile mici și mijlocii (IMM-uri), start-upurile și întreprinderile în fază de extindere, se confruntă cu norme care diferă foarte mult de la un stat membru la altul; întrucât această diversitate în materie de reglementare și costurile aferente orientării în medii necunoscute împiedică finanțarea </w:t>
            </w:r>
            <w:r>
              <w:rPr>
                <w:b/>
                <w:i/>
              </w:rPr>
              <w:t>și extinderea</w:t>
            </w:r>
            <w:r>
              <w:t xml:space="preserve"> paneuropeană a întreprinderilor;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w:t>
            </w:r>
            <w:r>
              <w:rPr>
                <w:b/>
                <w:i/>
              </w:rPr>
              <w:t>întreprinderile, în special întreprinderile mici și mijlocii (IMM-uri),</w:t>
            </w:r>
            <w:r>
              <w:t xml:space="preserve"> start-upurile și </w:t>
            </w:r>
            <w:r>
              <w:rPr>
                <w:b/>
                <w:i/>
              </w:rPr>
              <w:t>întreprinderile în fază de extindere,</w:t>
            </w:r>
            <w:r>
              <w:t xml:space="preserve"> se confruntă cu norme care diferă foarte mult de la un stat membru la altul; întrucât această diversitate în materie de reglementare și costurile aferente orientării în medii necunoscute </w:t>
            </w:r>
            <w:r>
              <w:rPr>
                <w:b/>
                <w:i/>
              </w:rPr>
              <w:t>împiedică finanțarea paneuropeană a întreprinderilor</w:t>
            </w:r>
            <w:r>
              <w:t>;</w:t>
            </w:r>
          </w:p>
        </w:tc>
        <w:tc>
          <w:tcPr>
            <w:tcW w:w="4876" w:type="dxa"/>
            <w:tcBorders>
              <w:top w:val="nil"/>
              <w:left w:val="nil"/>
              <w:bottom w:val="nil"/>
              <w:right w:val="nil"/>
            </w:tcBorders>
          </w:tcPr>
          <w:p>
            <w:pPr>
              <w:pStyle w:val="Normal6a"/>
            </w:pPr>
            <w:r>
              <w:t>A.</w:t>
            </w:r>
            <w:r>
              <w:tab/>
            </w:r>
            <w:r>
              <w:t xml:space="preserve">întrucât start-upurile și </w:t>
            </w:r>
            <w:r>
              <w:rPr>
                <w:b/>
                <w:i/>
              </w:rPr>
              <w:t>start-upurile care își desfășoară activitatea în sectorul digital din UE</w:t>
            </w:r>
            <w:r>
              <w:t xml:space="preserve"> se confruntă cu norme care diferă foarte mult de la un stat membru la altul; întrucât această diversitate în materie de reglementare și costurile aferente orientării în medii necunoscute </w:t>
            </w:r>
            <w:r>
              <w:rPr>
                <w:b/>
                <w:i/>
              </w:rPr>
              <w:t>sabotează capacitatea lor de a se dezvolta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întrucât, astfel cum a subliniat Comisia Europeană în Comunicarea sa intitulată „Strategia UE privind start-upurile și întreprinderile în fază de extindere”, înființarea și extinderea companiilor inovatoare în Europa se confruntă cu provocări semnificative în prezent, în special din cauza cadrului normativ fragmentat la nivelul UE, apetitului redus pentru risc din partea investitorilor, adoptării lente a tehnologiilor inovative și achizițiilor publice subutilizate.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mediul de afaceri global necesită din ce în ce mai mult agilitate, digitalizare și acces la diverse piețe și rezerve de talente, pe care multe întreprinderi din UE întâmpină în prezent dificultăți în a le obține din cauza complexității reglementărilor și a cadrelor inconsecvente;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un sistem european </w:t>
            </w:r>
            <w:r>
              <w:rPr>
                <w:b/>
                <w:i/>
              </w:rPr>
              <w:t>unificat</w:t>
            </w:r>
            <w:r>
              <w:t xml:space="preserve"> ar putea fi realizat nu doar printr-un act juridic de sine stătător al Uniunii, ci și prin introducerea unui set de norme care să funcționeze în paralel sistemul juridic național existent în fiecare stat membru;</w:t>
            </w:r>
          </w:p>
        </w:tc>
        <w:tc>
          <w:tcPr>
            <w:tcW w:w="4876" w:type="dxa"/>
            <w:tcBorders>
              <w:top w:val="nil"/>
              <w:left w:val="nil"/>
              <w:bottom w:val="nil"/>
              <w:right w:val="nil"/>
            </w:tcBorders>
          </w:tcPr>
          <w:p>
            <w:pPr>
              <w:pStyle w:val="Normal6a"/>
            </w:pPr>
            <w:r>
              <w:t>B.</w:t>
            </w:r>
            <w:r>
              <w:tab/>
            </w:r>
            <w:r>
              <w:t xml:space="preserve">întrucât un sistem european </w:t>
            </w:r>
            <w:r>
              <w:rPr>
                <w:b/>
                <w:i/>
              </w:rPr>
              <w:t>mai eficient armonizat</w:t>
            </w:r>
            <w:r>
              <w:t xml:space="preserve"> ar putea fi realizat nu doar printr-un act juridic de sine stătător al Uniunii, ci și prin introducerea unui set de norme care să funcționeze în paralel sistemul juridic național existent în fiecare stat membru</w:t>
            </w:r>
            <w:r>
              <w:rPr>
                <w:b/>
                <w:i/>
              </w:rPr>
              <w:t>, fără însă ca aceste norme să genereze sarcini administrative, birocratice și financiare suplimentare sau alte tipuri de obstacole în calea desvoltării întreprinderilor, în special a IMM-urilor</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w:t>
            </w:r>
            <w:r>
              <w:rPr>
                <w:b/>
                <w:i/>
              </w:rPr>
              <w:t>un sistem european unificat ar putea fi realizat nu doar printr-un act juridic de sine stătător al Uniunii, ci și prin introducerea unui</w:t>
            </w:r>
            <w:r>
              <w:t xml:space="preserve"> set de norme care să </w:t>
            </w:r>
            <w:r>
              <w:rPr>
                <w:b/>
                <w:i/>
              </w:rPr>
              <w:t>funcționeze în paralel sistemul juridic național existent</w:t>
            </w:r>
            <w:r>
              <w:t xml:space="preserve"> în fiecare stat membru;</w:t>
            </w:r>
          </w:p>
        </w:tc>
        <w:tc>
          <w:tcPr>
            <w:tcW w:w="4876" w:type="dxa"/>
            <w:tcBorders>
              <w:top w:val="nil"/>
              <w:left w:val="nil"/>
              <w:bottom w:val="nil"/>
              <w:right w:val="nil"/>
            </w:tcBorders>
          </w:tcPr>
          <w:p>
            <w:pPr>
              <w:pStyle w:val="Normal6a"/>
            </w:pPr>
            <w:r>
              <w:t>B.</w:t>
            </w:r>
            <w:r>
              <w:tab/>
            </w:r>
            <w:r>
              <w:t xml:space="preserve">întrucât </w:t>
            </w:r>
            <w:r>
              <w:rPr>
                <w:b/>
                <w:i/>
              </w:rPr>
              <w:t>ar fi posibil să se introducă un</w:t>
            </w:r>
            <w:r>
              <w:t xml:space="preserve"> set de norme care să </w:t>
            </w:r>
            <w:r>
              <w:rPr>
                <w:b/>
                <w:i/>
              </w:rPr>
              <w:t>faciliteze recunoașterea start-upurilor și a întreprinderilor în fază de extindere</w:t>
            </w:r>
            <w:r>
              <w:t xml:space="preserve"> în fiecare stat membru</w:t>
            </w:r>
            <w:r>
              <w:rPr>
                <w:b/>
                <w:i/>
              </w:rPr>
              <w:t>, menținând în același timp regimurile fiscale și sociale naționale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întrucât multe start-upuri și întreprinderi în fază de extindere din Uniune dezvoltă în prezent tehnologii revoluționare;</w:t>
            </w:r>
            <w:r>
              <w:t xml:space="preserve"> </w:t>
            </w:r>
            <w:r>
              <w:rPr>
                <w:b/>
                <w:i/>
              </w:rPr>
              <w:t>întrucât aceste întreprinderi sunt adesea achiziționate de întreprinderi străine înainte de a ajunge la maturitate;</w:t>
            </w:r>
            <w:r>
              <w:t xml:space="preserve"> </w:t>
            </w:r>
            <w:r>
              <w:rPr>
                <w:b/>
                <w:i/>
              </w:rPr>
              <w:t>întrucât astfel de achiziții se situează adesea sub pragurile de control al concentrărilor economice stabilite la nivelul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întrucât multe start-upuri și întreprinderi în fază de extindere din Uniune dezvoltă în prezent tehnologii revoluționare;</w:t>
            </w:r>
            <w:r>
              <w:t xml:space="preserve"> </w:t>
            </w:r>
            <w:r>
              <w:rPr>
                <w:b/>
                <w:i/>
              </w:rPr>
              <w:t>întrucât aceste întreprinderi sunt adesea achiziționate de întreprinderi străine înainte de a ajunge la maturitate;</w:t>
            </w:r>
            <w:r>
              <w:t xml:space="preserve"> </w:t>
            </w:r>
            <w:r>
              <w:rPr>
                <w:b/>
                <w:i/>
              </w:rPr>
              <w:t>întrucât astfel de achiziții se situează adesea sub pragurile de control al concentrărilor economice stabilite la nivelul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multe start-upuri și întreprinderi în fază de extindere din Uniune dezvoltă în prezent tehnologii revoluționare; întrucât aceste întreprinderi sunt adesea achiziționate de întreprinderi străine înainte de a ajunge la maturitate; întrucât astfel de achiziții se situează adesea sub pragurile de control al concentrărilor economice stabilite la nivelul Uniunii;</w:t>
            </w:r>
          </w:p>
        </w:tc>
        <w:tc>
          <w:tcPr>
            <w:tcW w:w="4876" w:type="dxa"/>
            <w:tcBorders>
              <w:top w:val="nil"/>
              <w:left w:val="nil"/>
              <w:bottom w:val="nil"/>
              <w:right w:val="nil"/>
            </w:tcBorders>
          </w:tcPr>
          <w:p>
            <w:pPr>
              <w:pStyle w:val="Normal6a"/>
            </w:pPr>
            <w:r>
              <w:t>C.</w:t>
            </w:r>
            <w:r>
              <w:tab/>
            </w:r>
            <w:r>
              <w:t xml:space="preserve">întrucât multe start-upuri și întreprinderi în fază de extindere din Uniune dezvoltă în prezent tehnologii revoluționare; întrucât aceste întreprinderi </w:t>
            </w:r>
            <w:r>
              <w:rPr>
                <w:b/>
                <w:i/>
              </w:rPr>
              <w:t>inovatoare</w:t>
            </w:r>
            <w:r>
              <w:t xml:space="preserve"> sunt adesea achiziționate de întreprinderi străine înainte de a ajunge la maturitate; întrucât astfel de achiziții se situează adesea sub pragurile de control al concentrărilor economice stabilite la nivelul Uniunii;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Uniunea a adoptat deja cadre juridice pentru societățile europene, societățile cooperative europene și grupurile europene de interes economic, care, cu toate acestea, nu sunt adecvate pentru a permite start-upurilor și întreprinderilor în faza de extindere să funcționeze mai eficient pe piața internă;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întreprinderile inovatoare au nevoie de acces la capital de risc, mobilitate paneuropeană, scalabilitate, lucrători cu înaltă calificare, protecție împotriva achizițiilor prin care se urmărește eliminarea concurenței (killer acquisitions) și investiții pe termen lung,</w:t>
            </w:r>
          </w:p>
        </w:tc>
        <w:tc>
          <w:tcPr>
            <w:tcW w:w="4876" w:type="dxa"/>
            <w:tcBorders>
              <w:top w:val="nil"/>
              <w:left w:val="nil"/>
              <w:bottom w:val="nil"/>
              <w:right w:val="nil"/>
            </w:tcBorders>
          </w:tcPr>
          <w:p>
            <w:pPr>
              <w:pStyle w:val="Normal6a"/>
            </w:pPr>
            <w:r>
              <w:t>D.</w:t>
            </w:r>
            <w:r>
              <w:tab/>
            </w:r>
            <w:r>
              <w:t xml:space="preserve">întrucât întreprinderile inovatoare au nevoie de acces </w:t>
            </w:r>
            <w:r>
              <w:rPr>
                <w:b/>
                <w:i/>
              </w:rPr>
              <w:t>sporit</w:t>
            </w:r>
            <w:r>
              <w:t xml:space="preserve"> la capital de risc, mobilitate paneuropeană</w:t>
            </w:r>
            <w:r>
              <w:rPr>
                <w:b/>
                <w:i/>
              </w:rPr>
              <w:t>, mai multe oportunități de a realiza schimburi de bune practici la nivel european</w:t>
            </w:r>
            <w:r>
              <w:t>, scalabilitate, lucrători cu înaltă calificare, protecție împotriva achizițiilor prin care se urmărește eliminarea concurenței (killer acquisitions) și investiții pe termen lung,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întreprinderile inovatoare au nevoie de acces la capital de risc, mobilitate paneuropeană, scalabilitate, lucrători cu înaltă calificare, </w:t>
            </w:r>
            <w:r>
              <w:rPr>
                <w:b/>
                <w:i/>
              </w:rPr>
              <w:t>protecție împotriva achizițiilor prin care se urmărește eliminarea concurenței (killer acquisitions)</w:t>
            </w:r>
            <w:r>
              <w:t xml:space="preserve"> și investiții pe termen lung,</w:t>
            </w:r>
          </w:p>
        </w:tc>
        <w:tc>
          <w:tcPr>
            <w:tcW w:w="4876" w:type="dxa"/>
            <w:tcBorders>
              <w:top w:val="nil"/>
              <w:left w:val="nil"/>
              <w:bottom w:val="nil"/>
              <w:right w:val="nil"/>
            </w:tcBorders>
          </w:tcPr>
          <w:p>
            <w:pPr>
              <w:pStyle w:val="Normal6a"/>
            </w:pPr>
            <w:r>
              <w:t>D.</w:t>
            </w:r>
            <w:r>
              <w:tab/>
            </w:r>
            <w:r>
              <w:t xml:space="preserve">întrucât </w:t>
            </w:r>
            <w:r>
              <w:rPr>
                <w:b/>
                <w:i/>
              </w:rPr>
              <w:t>aceste</w:t>
            </w:r>
            <w:r>
              <w:t xml:space="preserve"> întreprinderile inovatoare au nevoie de acces la capital de risc, mobilitate paneuropeană, scalabilitate, lucrători cu înaltă calificare, și investiții pe termen lung,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întreprinderile </w:t>
            </w:r>
            <w:r>
              <w:rPr>
                <w:b/>
                <w:i/>
              </w:rPr>
              <w:t>inovatoare</w:t>
            </w:r>
            <w:r>
              <w:t xml:space="preserve"> au nevoie de acces la capital </w:t>
            </w:r>
            <w:r>
              <w:rPr>
                <w:b/>
                <w:i/>
              </w:rPr>
              <w:t>de risc</w:t>
            </w:r>
            <w:r>
              <w:t>, mobilitate paneuropeană, scalabilitate, lucrători cu înaltă calificare, protecție împotriva achizițiilor prin care se urmărește eliminarea concurenței (killer acquisitions) și investiții pe termen lung</w:t>
            </w:r>
            <w:r>
              <w:rPr>
                <w:b/>
                <w:i/>
              </w:rPr>
              <w:t>,</w:t>
            </w:r>
          </w:p>
        </w:tc>
        <w:tc>
          <w:tcPr>
            <w:tcW w:w="4876" w:type="dxa"/>
            <w:tcBorders>
              <w:top w:val="nil"/>
              <w:left w:val="nil"/>
              <w:bottom w:val="nil"/>
              <w:right w:val="nil"/>
            </w:tcBorders>
          </w:tcPr>
          <w:p>
            <w:pPr>
              <w:pStyle w:val="Normal6a"/>
            </w:pPr>
            <w:r>
              <w:t>D.</w:t>
            </w:r>
            <w:r>
              <w:tab/>
            </w:r>
            <w:r>
              <w:t xml:space="preserve">întrucât </w:t>
            </w:r>
            <w:r>
              <w:rPr>
                <w:b/>
                <w:i/>
              </w:rPr>
              <w:t>start-upurile și</w:t>
            </w:r>
            <w:r>
              <w:t xml:space="preserve"> întreprinderile </w:t>
            </w:r>
            <w:r>
              <w:rPr>
                <w:b/>
                <w:i/>
              </w:rPr>
              <w:t>în faza de extindere</w:t>
            </w:r>
            <w:r>
              <w:t xml:space="preserve"> au nevoie de acces la </w:t>
            </w:r>
            <w:r>
              <w:rPr>
                <w:b/>
                <w:i/>
              </w:rPr>
              <w:t>diferite forme de</w:t>
            </w:r>
            <w:r>
              <w:t xml:space="preserve"> capital, mobilitate paneuropeană, scalabilitate, lucrători cu înaltă calificare, protecție împotriva achizițiilor prin care se urmărește eliminarea concurenței (killer acquisitions) și investiții pe termen lung</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întreprinderile inovatoare au nevoie de acces la capital de risc, mobilitate paneuropeană, scalabilitate, lucrători cu înaltă calificare, </w:t>
            </w:r>
            <w:r>
              <w:rPr>
                <w:b/>
                <w:i/>
              </w:rPr>
              <w:t>protecție împotriva achizițiilor prin care se urmărește eliminarea concurenței (killer acquisitions</w:t>
            </w:r>
            <w:r>
              <w:t>) și investiții pe termen lung</w:t>
            </w:r>
            <w:r>
              <w:rPr>
                <w:b/>
                <w:i/>
              </w:rPr>
              <w:t>,</w:t>
            </w:r>
          </w:p>
        </w:tc>
        <w:tc>
          <w:tcPr>
            <w:tcW w:w="4876" w:type="dxa"/>
            <w:tcBorders>
              <w:top w:val="nil"/>
              <w:left w:val="nil"/>
              <w:bottom w:val="nil"/>
              <w:right w:val="nil"/>
            </w:tcBorders>
          </w:tcPr>
          <w:p>
            <w:pPr>
              <w:pStyle w:val="Normal6a"/>
            </w:pPr>
            <w:r>
              <w:t>D.</w:t>
            </w:r>
            <w:r>
              <w:tab/>
            </w:r>
            <w:r>
              <w:t xml:space="preserve">întrucât întreprinderile inovatoare au nevoie de acces la capital de risc, mobilitate paneuropeană, scalabilitate, lucrători cu înaltă calificare, </w:t>
            </w:r>
            <w:r>
              <w:rPr>
                <w:b/>
                <w:i/>
              </w:rPr>
              <w:t>rezultate științifice și de cercetare (inclusiv date</w:t>
            </w:r>
            <w:r>
              <w:t>) și investiții pe termen lung</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dreptul societăților comerciale va fi doar unul dintre domeniile pe care va trebui să îl abordeze cel de al 28-lea regim pentru întreprinderile inovatoare și întrucât întreaga problematică va fi reglementată de propuneri legislative modulare și complementare care vor acoperi domenii de reglementare diferite;</w:t>
            </w:r>
            <w:r>
              <w:t xml:space="preserve"> </w:t>
            </w:r>
            <w:r>
              <w:rPr>
                <w:b/>
                <w:i/>
              </w:rPr>
              <w:t>întrucât domeniile guvernanței fiscale, muncii, insolvenței și serviciilor financiare transfrontaliere vor fi elemente fundamentale ale legislației privind cel de al 28-lea regim; întrucât acestea vor contribui la relansarea inovării prin stabilirea unei legislații eficiente, avantajoase și atractive, care să poată concura cu cele mai înalte standarde mondiale în acest sector și cu cele mai performante jurisdicții din afara Europei, menținând și atrăgând astfel în Europa finanțări și capitaluri de risc internaționale în sprijinul întreprinderilor, al întreprinderilor nou-înființate și al întreprinderilor în curs de extindere europene din acest sector;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întreprinderile sociale și întreprinderile înființate de antreprenori tineri sau debutanți joacă un rol esențial în stimularea inovării, crearea coeziunii sociale și contribuția la creșterea economică durabilă, dar se confruntă adesea cu provocări mai mari în ceea ce privește accesul la finanțare, rețele și sprijin specializat;</w:t>
            </w:r>
            <w:r>
              <w:t xml:space="preserve"> </w:t>
            </w:r>
            <w:r>
              <w:rPr>
                <w:b/>
                <w:i/>
              </w:rPr>
              <w:t>întrucât cooperarea cu universitățile, institutele de cercetare și centrele de transfer tehnologic poate accelera procesul de la laborator până la piață, poate facilita accesul la expertiză și infrastructură și poate stimula comercializarea rezultatelor cercetării;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IMM-urile care au un rol central în competitivitatea Uniunii, multe dintre acestea fiind întreprinderi familiale, se confruntă cu dificultăți legate de succesiune;</w:t>
            </w:r>
            <w:r>
              <w:t xml:space="preserve"> </w:t>
            </w:r>
            <w:r>
              <w:rPr>
                <w:b/>
                <w:i/>
              </w:rPr>
              <w:t>întrucât modelele de participare a angajaților la capital pot contribui la soluționarea deficitului în materie de succesiune în cazurile în care succesiunea familială nu este viabilă și, prin urmare, pot sprijini stabilitatea și creșterea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facilitarea accesului la capital și la talente printr-un cadru juridic simplificat și uniform va crește capacitatea IMM-urilor, a start-upurilor și a întreprinderilor în faza de extindere de a concura la nivel mondial, de a atrage investiții și de a contribui la crearea de locuri de muncă și la coeziunea socială în cadrul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întrucât accesul la capital și la instrumente digitale trebuie însoțit de măsuri de sprijin și facilitare pentru companiile din statele membre cu nivel scăzut de digitalizare, inclusiv perioade de tranziție și platforme multilingve;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pentru armonizarea permisă de articolele 50 și 114 din TFUE este nevoie de existența prealabilă a unor forme juridice comparabile a societăților comerciale și, prin urmare, de posibilitatea de a le armoniza în cadrul sistemelor juridice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orice entitate înființată în temeiul celui de al 28-lea regim ar trebui să aibă obligația de a-și înregistra și menține sediul social într-un stat membru al Uniunii, asigurând astfel o legătură strânsă cu sistemele juridice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este esențial să se îmbunătățească securitatea juridică și previzibilitatea pentru întreprinderile care își desfășoară activitatea în statele membre pentru a consolida poziția Uniunii ca loc principal pentru antreprenoriat, pentru inovare și pentru dezvoltarea sustenabilă a întreprinderilor;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adoptarea legislației Uniunii în domeniul dreptului societăților comerciale poate contribui la eliminarea fragmentării în acest domeniu;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întreprinderile </w:t>
            </w:r>
            <w:r>
              <w:rPr>
                <w:b/>
                <w:i/>
              </w:rPr>
              <w:t>inovatoare</w:t>
            </w:r>
            <w:r>
              <w:t xml:space="preserve"> („al 28-lea regim”)</w:t>
            </w:r>
            <w:r>
              <w:rPr>
                <w:b/>
                <w:i/>
              </w:rPr>
              <w:t>, care ar trebui să constea într-o propunere legislativă de directivă având drept temei juridic articolul 50 și articolul 114 alineatul (1) din Tratatul privind funcționarea Uniunii Europene (TFUE)</w:t>
            </w:r>
            <w:r>
              <w:t>;</w:t>
            </w:r>
          </w:p>
        </w:tc>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w:t>
            </w:r>
            <w:r>
              <w:rPr>
                <w:b/>
                <w:i/>
              </w:rPr>
              <w:t>start-upuri și</w:t>
            </w:r>
            <w:r>
              <w:t xml:space="preserve"> întreprinderile </w:t>
            </w:r>
            <w:r>
              <w:rPr>
                <w:b/>
                <w:i/>
              </w:rPr>
              <w:t>în faza de extindere</w:t>
            </w:r>
            <w:r>
              <w:t xml:space="preserve"> („al 28-lea regim”)</w:t>
            </w:r>
            <w:r>
              <w:rPr>
                <w:b/>
                <w:i/>
              </w:rPr>
              <w:t>; recunoaște că dreptul societăților comerciale ar fi un prim pas pentru cel de al 28-lea regim, dar subliniază necesitatea ca cel de-al 28-lea regim să acopere mai multe domenii de reglementare pentru a fi cu adevărat atractiv pentru start-upuri și întreprinderi în faza de extindere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întreprinderile inovatoare („al 28-lea regim”), care ar trebui să constea într-o propunere legislativă de </w:t>
            </w:r>
            <w:r>
              <w:rPr>
                <w:b/>
                <w:i/>
              </w:rPr>
              <w:t>directivă având drept temei juridic articolul 50 și articolul 114 alineatul (1) din Tratatul privind funcționarea Uniunii Europene (TFUE)</w:t>
            </w:r>
            <w:r>
              <w:t>;</w:t>
            </w:r>
          </w:p>
        </w:tc>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întreprinderile inovatoare („al 28-lea regim”), care ar trebui să constea într-o propunere legislativă de </w:t>
            </w:r>
            <w:r>
              <w:rPr>
                <w:b/>
                <w:i/>
              </w:rPr>
              <w:t>regulament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întreprinderile inovatoare („al 28-lea regim”), care </w:t>
            </w:r>
            <w:r>
              <w:rPr>
                <w:b/>
                <w:i/>
              </w:rPr>
              <w:t>ar trebui să constea într-o propunere legislativă de directivă având drept</w:t>
            </w:r>
            <w:r>
              <w:t xml:space="preserve"> temei juridic </w:t>
            </w:r>
            <w:r>
              <w:rPr>
                <w:b/>
                <w:i/>
              </w:rPr>
              <w:t>articolul 50 și articolul 114 alineatul (1) din Tratatul privind funcționarea Uniunii Europene (TFUE)</w:t>
            </w:r>
            <w:r>
              <w:t>;</w:t>
            </w:r>
          </w:p>
        </w:tc>
        <w:tc>
          <w:tcPr>
            <w:tcW w:w="4876" w:type="dxa"/>
            <w:tcBorders>
              <w:top w:val="nil"/>
              <w:left w:val="nil"/>
              <w:bottom w:val="nil"/>
              <w:right w:val="nil"/>
            </w:tcBorders>
          </w:tcPr>
          <w:p>
            <w:pPr>
              <w:pStyle w:val="Normal6a"/>
            </w:pPr>
            <w:r>
              <w:t>1.</w:t>
            </w:r>
            <w:r>
              <w:tab/>
            </w:r>
            <w:r>
              <w:t xml:space="preserve">salută angajamentul Comisiei de a prezenta o propunere legislativă privind un </w:t>
            </w:r>
            <w:r>
              <w:rPr>
                <w:b/>
                <w:i/>
              </w:rPr>
              <w:t>nou</w:t>
            </w:r>
            <w:r>
              <w:t xml:space="preserve"> al 28-lea regim </w:t>
            </w:r>
            <w:r>
              <w:rPr>
                <w:b/>
                <w:i/>
              </w:rPr>
              <w:t>al societăților</w:t>
            </w:r>
            <w:r>
              <w:t xml:space="preserve"> pentru întreprinderile inovatoare („al 28-lea regim”), care </w:t>
            </w:r>
            <w:r>
              <w:rPr>
                <w:b/>
                <w:i/>
              </w:rPr>
              <w:t>vizează să finalizeze și să consolideze piața unică europeană în domeniul inovării și ale cărui caracteristici și obiective necesită utilizarea articolului 352 din TFUE ca</w:t>
            </w:r>
            <w:r>
              <w:t xml:space="preserve"> temei juridic;</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salută</w:t>
            </w:r>
            <w:r>
              <w:t xml:space="preserve"> angajamentul Comisiei de a prezenta o propunere legislativă privind un al 28-lea regim pentru întreprinderile inovatoare („al 28-lea regim”), care ar trebui să constea într-o propunere legislativă de directivă având drept temei juridic articolul 50 </w:t>
            </w:r>
            <w:r>
              <w:rPr>
                <w:b/>
                <w:i/>
              </w:rPr>
              <w:t>și articolul 114 alineatul (1)</w:t>
            </w:r>
            <w:r>
              <w:t xml:space="preserve"> din Tratatul privind funcționarea Uniunii Europene (TFUE);</w:t>
            </w:r>
          </w:p>
        </w:tc>
        <w:tc>
          <w:tcPr>
            <w:tcW w:w="4876" w:type="dxa"/>
            <w:tcBorders>
              <w:top w:val="nil"/>
              <w:left w:val="nil"/>
              <w:bottom w:val="nil"/>
              <w:right w:val="nil"/>
            </w:tcBorders>
          </w:tcPr>
          <w:p>
            <w:pPr>
              <w:pStyle w:val="Normal6a"/>
            </w:pPr>
            <w:r>
              <w:t>1.</w:t>
            </w:r>
            <w:r>
              <w:tab/>
            </w:r>
            <w:r>
              <w:rPr>
                <w:b/>
                <w:i/>
              </w:rPr>
              <w:t>ia act de</w:t>
            </w:r>
            <w:r>
              <w:t xml:space="preserve"> angajamentul Comisiei de a prezenta o propunere legislativă privind un al 28-lea regim pentru întreprinderile inovatoare („al 28-lea regim”), care ar trebui să constea într-o propunere legislativă de directivă având drept temei juridic articolul 50 din Tratatul privind funcționarea Uniunii Europene (TFUE);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întreprinderile inovatoare („al 28-lea regim”), care ar trebui să constea într-o propunere legislativă de </w:t>
            </w:r>
            <w:r>
              <w:rPr>
                <w:b/>
                <w:i/>
              </w:rPr>
              <w:t>directivă</w:t>
            </w:r>
            <w:r>
              <w:t xml:space="preserve"> având drept temei juridic </w:t>
            </w:r>
            <w:r>
              <w:rPr>
                <w:b/>
                <w:i/>
              </w:rPr>
              <w:t>articolul 50 și articolul 114 alineatul (1) din</w:t>
            </w:r>
            <w:r>
              <w:t xml:space="preserve"> Tratatul privind funcționarea Uniunii Europene (TFUE);</w:t>
            </w:r>
          </w:p>
        </w:tc>
        <w:tc>
          <w:tcPr>
            <w:tcW w:w="4876" w:type="dxa"/>
            <w:tcBorders>
              <w:top w:val="nil"/>
              <w:left w:val="nil"/>
              <w:bottom w:val="nil"/>
              <w:right w:val="nil"/>
            </w:tcBorders>
          </w:tcPr>
          <w:p>
            <w:pPr>
              <w:pStyle w:val="Normal6a"/>
            </w:pPr>
            <w:r>
              <w:t>1.</w:t>
            </w:r>
            <w:r>
              <w:tab/>
            </w:r>
            <w:r>
              <w:t xml:space="preserve">salută angajamentul Comisiei de a prezenta o propunere legislativă privind un al 28-lea regim pentru întreprinderile inovatoare („al 28-lea regim”), care ar trebui să constea într-o propunere legislativă de </w:t>
            </w:r>
            <w:r>
              <w:rPr>
                <w:b/>
                <w:i/>
              </w:rPr>
              <w:t>regulament</w:t>
            </w:r>
            <w:r>
              <w:t xml:space="preserve"> având drept temei juridic </w:t>
            </w:r>
            <w:r>
              <w:rPr>
                <w:b/>
                <w:i/>
              </w:rPr>
              <w:t>adecvat</w:t>
            </w:r>
            <w:r>
              <w:t> Tratatul privind funcționarea Uniunii Europene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se opune ferm utilizării articolului 352 alineatul (1) din TFUE ca temei juridic, deoarece acest lucru ar întârzia adoptarea propunerii legislative din cauza cerinței unanimității;</w:t>
            </w:r>
            <w:r>
              <w:t xml:space="preserve"> </w:t>
            </w:r>
            <w:r>
              <w:rPr>
                <w:b/>
                <w:i/>
              </w:rPr>
              <w:t>critică utilizarea cooperării consolidate, astfel cum este prevăzută la articolul 20 din Tratatul privind Uniunea Europeană și la articolul 329 din TFUE, sau a acordurilor interguvernamentale în scopul instituirii celui de al 28-lea regim;</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se opune ferm utilizării articolului 352 alineatul (1) din TFUE ca temei juridic, deoarece acest lucru ar întârzia adoptarea propunerii legislative din cauza cerinței unanimității;</w:t>
            </w:r>
            <w:r>
              <w:t xml:space="preserve"> </w:t>
            </w:r>
            <w:r>
              <w:rPr>
                <w:b/>
                <w:i/>
              </w:rPr>
              <w:t>critică utilizarea cooperării consolidate, astfel cum este prevăzută la articolul 20 din Tratatul privind Uniunea Europeană și la articolul 329 din TFUE, sau a acordurilor interguvernamentale în scopul instituirii celui de al 28-lea regim;</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se opune ferm utilizării articolului 352 alineatul (1) din TFUE ca temei juridic, deoarece acest lucru ar întârzia adoptarea propunerii legislative din cauza cerinței unanimității;</w:t>
            </w:r>
            <w:r>
              <w:t xml:space="preserve"> </w:t>
            </w:r>
            <w:r>
              <w:rPr>
                <w:b/>
                <w:i/>
              </w:rPr>
              <w:t>critică utilizarea cooperării consolidate, astfel cum este prevăzută la articolul 20 din Tratatul privind Uniunea Europeană și la articolul 329 din TFUE, sau a acordurilor interguvernamentale în scopul instituirii celui de al 28-lea regim;</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se opune ferm utilizării</w:t>
            </w:r>
            <w:r>
              <w:t xml:space="preserve"> articolului 352 alineatul (1) din TFUE ca temei juridic</w:t>
            </w:r>
            <w:r>
              <w:rPr>
                <w:b/>
                <w:i/>
              </w:rPr>
              <w:t>, deoarece acest lucru</w:t>
            </w:r>
            <w:r>
              <w:t xml:space="preserve"> ar întârzia adoptarea propunerii legislative din cauza cerinței unanimității; critică utilizarea cooperării consolidate, astfel cum este prevăzută la articolul 20 din Tratatul privind Uniunea Europeană și la articolul 329 din TFUE, sau a acordurilor interguvernamentale în scopul instituirii celui de al 28-lea regim;</w:t>
            </w:r>
          </w:p>
        </w:tc>
        <w:tc>
          <w:tcPr>
            <w:tcW w:w="4876" w:type="dxa"/>
            <w:tcBorders>
              <w:top w:val="nil"/>
              <w:left w:val="nil"/>
              <w:bottom w:val="nil"/>
              <w:right w:val="nil"/>
            </w:tcBorders>
          </w:tcPr>
          <w:p>
            <w:pPr>
              <w:pStyle w:val="Normal6a"/>
            </w:pPr>
            <w:r>
              <w:t>2.</w:t>
            </w:r>
            <w:r>
              <w:tab/>
            </w:r>
            <w:r>
              <w:rPr>
                <w:b/>
                <w:i/>
              </w:rPr>
              <w:t>apreciază că utilizarea</w:t>
            </w:r>
            <w:r>
              <w:t xml:space="preserve"> articolului 352 alineatul (1) din TFUE ca temei juridic ar întârzia adoptarea propunerii legislative din cauza cerinței unanimității; critică utilizarea cooperării consolidate, astfel cum este prevăzută la articolul 20 din Tratatul privind Uniunea Europeană și la articolul 329 din TFUE, sau a acordurilor interguvernamentale în scopul instituirii celui de al 28-lea regim;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recunoaște că complexitatea, eterogenitatea și modularitatea domeniilor de reglementare pe care, potrivit Comisiei, al 28-lea regim, nou, va trebui să le abordeze (dreptul societăților, impozitarea, insolvența, munca și serviciile financiare) ar putea necesita utilizarea unor temeiuri juridice și mecanisme diferite și a unor majorități de vot diferite;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consideră însă că, în cazul în care există posibilitatea, în temeiul articolului 114 din TFUE, considerat drept temei juridic, de a avea un regulament fără a fi necesară unanimitatea, o astfel de posibilitate ar trebui analizată cât mai serios;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consideră că cerințele generale privind uniformitatea, eficiența, coerența și certitudinea în materie de reglementare cerute de operatorii internaționali din domeniul inovării, de întreprinderile nou-înființate, de întreprinderile în curs de extindere și de investitorii din sector fac necesară și preferabilă utilizarea unui regulament mai degrabă decât a unei directive ca instrument legislativ;</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ia act de faptul că articolul 50 și articolul 114 alineatul (1) din TFUE impun măsuri de armonizare a dreptului societăților comerciale care necesită transpunere în dreptul național al statelor membre;</w:t>
            </w:r>
            <w:r>
              <w:t xml:space="preserve"> </w:t>
            </w:r>
            <w:r>
              <w:rPr>
                <w:b/>
                <w:i/>
              </w:rPr>
              <w:t>consideră că, în acest caz, este preferabilă armonizarea maximă pentru a asigura aplicarea unor norme uniforme în toate statele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ia act de faptul că articolul 50 și articolul 114 alineatul (1) din TFUE impun măsuri de armonizare a dreptului societăților comerciale care necesită transpunere în dreptul național al statelor membre;</w:t>
            </w:r>
            <w:r>
              <w:t xml:space="preserve"> </w:t>
            </w:r>
            <w:r>
              <w:rPr>
                <w:b/>
                <w:i/>
              </w:rPr>
              <w:t>consideră că, în acest caz, este preferabilă armonizarea maximă pentru a asigura aplicarea unor norme uniforme în toate statele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ia act de faptul că articolul 50 și articolul 114 alineatul (1) din TFUE impun măsuri de armonizare a dreptului societăților comerciale care necesită transpunere în dreptul național al statelor membre;</w:t>
            </w:r>
            <w:r>
              <w:t xml:space="preserve"> </w:t>
            </w:r>
            <w:r>
              <w:rPr>
                <w:b/>
                <w:i/>
              </w:rPr>
              <w:t>consideră că, în acest caz, este preferabilă armonizarea maximă pentru a asigura aplicarea unor norme uniforme în toate statele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ia act de faptul că articolul 50 și articolul 114 alineatul (1) din TFUE impun măsuri de armonizare a dreptului societăților comerciale care necesită transpunere în dreptul național al statelor membre; consideră că, în acest caz, este preferabilă armonizarea maximă pentru a asigura aplicarea unor norme uniforme în toate statele membre;</w:t>
            </w:r>
          </w:p>
        </w:tc>
        <w:tc>
          <w:tcPr>
            <w:tcW w:w="4876" w:type="dxa"/>
            <w:tcBorders>
              <w:top w:val="nil"/>
              <w:left w:val="nil"/>
              <w:bottom w:val="nil"/>
              <w:right w:val="nil"/>
            </w:tcBorders>
          </w:tcPr>
          <w:p>
            <w:pPr>
              <w:pStyle w:val="Normal6a"/>
            </w:pPr>
            <w:r>
              <w:t>3.</w:t>
            </w:r>
            <w:r>
              <w:tab/>
            </w:r>
            <w:r>
              <w:t xml:space="preserve">ia act de faptul că articolul 50 și articolul 114 alineatul (1) din TFUE impun măsuri de armonizare a dreptului societăților comerciale care necesită transpunere în dreptul național al statelor membre; consideră că, în acest caz, este preferabilă armonizarea maximă pentru a asigura aplicarea unor norme uniforme în toate statele membre; </w:t>
            </w:r>
            <w:r>
              <w:rPr>
                <w:b/>
                <w:i/>
              </w:rPr>
              <w:t>invită Comisia să extindă aceste clauze de armonizare maximă la majoritatea componentelor celui de-al 28-lea regim;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ia act de faptul că articolul 50 și articolul 114 alineatul (1) din TFUE impun măsuri de armonizare a dreptului societăților comerciale care necesită transpunere în dreptul național al statelor membre; consideră că, în acest caz, este preferabilă armonizarea </w:t>
            </w:r>
            <w:r>
              <w:rPr>
                <w:b/>
                <w:i/>
              </w:rPr>
              <w:t>maximă</w:t>
            </w:r>
            <w:r>
              <w:t xml:space="preserve"> pentru a asigura aplicarea unor norme </w:t>
            </w:r>
            <w:r>
              <w:rPr>
                <w:b/>
                <w:i/>
              </w:rPr>
              <w:t>uniforme</w:t>
            </w:r>
            <w:r>
              <w:t xml:space="preserve"> în toate statele membre;</w:t>
            </w:r>
          </w:p>
        </w:tc>
        <w:tc>
          <w:tcPr>
            <w:tcW w:w="4876" w:type="dxa"/>
            <w:tcBorders>
              <w:top w:val="nil"/>
              <w:left w:val="nil"/>
              <w:bottom w:val="nil"/>
              <w:right w:val="nil"/>
            </w:tcBorders>
          </w:tcPr>
          <w:p>
            <w:pPr>
              <w:pStyle w:val="Normal6a"/>
            </w:pPr>
            <w:r>
              <w:t>3.</w:t>
            </w:r>
            <w:r>
              <w:tab/>
            </w:r>
            <w:r>
              <w:t xml:space="preserve">ia act de faptul că articolul 50 și articolul 114 alineatul (1) din TFUE impun măsuri de armonizare a dreptului societăților comerciale care necesită transpunere în dreptul național al statelor membre; consideră că, în acest caz, este preferabilă armonizarea </w:t>
            </w:r>
            <w:r>
              <w:rPr>
                <w:b/>
                <w:i/>
              </w:rPr>
              <w:t>cât mai eficientă,</w:t>
            </w:r>
            <w:r>
              <w:t xml:space="preserve"> pentru a asigura aplicarea unor norme </w:t>
            </w:r>
            <w:r>
              <w:rPr>
                <w:b/>
                <w:i/>
              </w:rPr>
              <w:t>cât mai echilibrate</w:t>
            </w:r>
            <w:r>
              <w:t xml:space="preserve"> în toate statele membre</w:t>
            </w:r>
            <w:r>
              <w:rPr>
                <w:b/>
                <w:i/>
              </w:rPr>
              <w:t>, fără a crea bariere suplimentare de ordin administrativ sau financiar pentru întreprinderi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ia act de faptul că articolul 50 și articolul 114 alineatul (1) din TFUE impun măsuri de armonizare a dreptului societăților comerciale care necesită transpunere în dreptul național al statelor membre; consideră că, în acest caz, este preferabilă armonizarea maximă pentru a asigura aplicarea unor norme uniforme în toate statele membre;</w:t>
            </w:r>
          </w:p>
        </w:tc>
        <w:tc>
          <w:tcPr>
            <w:tcW w:w="4876" w:type="dxa"/>
            <w:tcBorders>
              <w:top w:val="nil"/>
              <w:left w:val="nil"/>
              <w:bottom w:val="nil"/>
              <w:right w:val="nil"/>
            </w:tcBorders>
          </w:tcPr>
          <w:p>
            <w:pPr>
              <w:pStyle w:val="Normal6a"/>
            </w:pPr>
            <w:r>
              <w:t>3.</w:t>
            </w:r>
            <w:r>
              <w:tab/>
            </w:r>
            <w:r>
              <w:t>ia act de faptul că articolul 50 și articolul 114 alineatul (1) din TFUE impun măsuri de armonizare a dreptului societăților comerciale care necesită transpunere în dreptul național al statelor membre; consideră că, în acest caz, este preferabilă armonizarea maximă</w:t>
            </w:r>
            <w:r>
              <w:rPr>
                <w:b/>
                <w:i/>
              </w:rPr>
              <w:t>, fără a aduce atingere standardelor stabilite, cum ar fi drepturile angajaților sau cerințele naționale cu privire la formă,</w:t>
            </w:r>
            <w:r>
              <w:t xml:space="preserve"> pentru a asigura aplicarea unor norme uniforme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ia act de faptul că articolul 50 și articolul 114 alineatul (1) din TFUE impun măsuri de armonizare a dreptului societăților comerciale care necesită transpunere în dreptul național al statelor membre; consideră că, în acest caz, este preferabilă armonizarea maximă pentru a asigura aplicarea unor norme uniforme în toate statele membre;</w:t>
            </w:r>
          </w:p>
        </w:tc>
        <w:tc>
          <w:tcPr>
            <w:tcW w:w="4876" w:type="dxa"/>
            <w:tcBorders>
              <w:top w:val="nil"/>
              <w:left w:val="nil"/>
              <w:bottom w:val="nil"/>
              <w:right w:val="nil"/>
            </w:tcBorders>
          </w:tcPr>
          <w:p>
            <w:pPr>
              <w:pStyle w:val="Normal6a"/>
            </w:pPr>
            <w:r>
              <w:t>3.</w:t>
            </w:r>
            <w:r>
              <w:tab/>
            </w:r>
            <w:r>
              <w:t xml:space="preserve">ia act de faptul că articolul 50 și articolul 114 alineatul (1) din TFUE impun măsuri de armonizare a dreptului societăților comerciale care necesită transpunere în dreptul național al statelor membre; consideră că, în acest caz, este preferabilă armonizarea maximă </w:t>
            </w:r>
            <w:r>
              <w:rPr>
                <w:b/>
                <w:i/>
              </w:rPr>
              <w:t>cu un regulament</w:t>
            </w:r>
            <w:r>
              <w:t xml:space="preserve"> pentru a asigura aplicarea unor norme uniforme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reiterează faptul că cel de-al 28-lea regim poate constitui o alternativă cu adevărat benefică pentru start-upuri și întreprinderile în faza de extindere numai dacă oferă armonizare în mare măsură;</w:t>
            </w:r>
            <w:r>
              <w:t xml:space="preserve"> </w:t>
            </w:r>
            <w:r>
              <w:rPr>
                <w:b/>
                <w:i/>
              </w:rPr>
              <w:t>invită, în acest sens, Comisia să includă, într-o etapă ulterioară, politici financiare și sectoriale în cel de-al 28-lea regim, cum ar fi normele în materie de TVA, reglementarea pieței financiare și fiscalitatea întreprinderilor, în conformitate cu deciziile deja adoptate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constată că articolul 114 alineatul (1) din TFUE nu este un temei juridic adecvat în contextul legislației care se referă în principal la dreptul societăților comerciale;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consideră că cel de al 28-lea regim </w:t>
            </w:r>
            <w:r>
              <w:rPr>
                <w:b/>
                <w:i/>
              </w:rPr>
              <w:t>reprezintă un pas înainte către aprofundarea în continuare a</w:t>
            </w:r>
            <w:r>
              <w:t xml:space="preserve"> pieței interne </w:t>
            </w:r>
            <w:r>
              <w:rPr>
                <w:b/>
                <w:i/>
              </w:rPr>
              <w:t>și către o mai bună integrare europeană</w:t>
            </w:r>
            <w:r>
              <w:t>;</w:t>
            </w:r>
          </w:p>
        </w:tc>
        <w:tc>
          <w:tcPr>
            <w:tcW w:w="4876" w:type="dxa"/>
            <w:tcBorders>
              <w:top w:val="nil"/>
              <w:left w:val="nil"/>
              <w:bottom w:val="nil"/>
              <w:right w:val="nil"/>
            </w:tcBorders>
          </w:tcPr>
          <w:p>
            <w:pPr>
              <w:pStyle w:val="Normal6a"/>
            </w:pPr>
            <w:r>
              <w:t>4.</w:t>
            </w:r>
            <w:r>
              <w:tab/>
            </w:r>
            <w:r>
              <w:t xml:space="preserve">consideră că cel de al 28-lea regim </w:t>
            </w:r>
            <w:r>
              <w:rPr>
                <w:b/>
                <w:i/>
              </w:rPr>
              <w:t>ar trebui să permită start-upurilor și întreprinderilor în fază de extindere europene care își desfășoară activitatea în sectorul digital să se dezvolte în cadrul</w:t>
            </w:r>
            <w:r>
              <w:t xml:space="preserve"> pieței interne;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consideră că cel de al 28-lea regim reprezintă un pas înainte către aprofundarea în continuare a pieței interne </w:t>
            </w:r>
            <w:r>
              <w:rPr>
                <w:b/>
                <w:i/>
              </w:rPr>
              <w:t>și</w:t>
            </w:r>
            <w:r>
              <w:t xml:space="preserve"> către o mai bună integrare europeană;</w:t>
            </w:r>
          </w:p>
        </w:tc>
        <w:tc>
          <w:tcPr>
            <w:tcW w:w="4876" w:type="dxa"/>
            <w:tcBorders>
              <w:top w:val="nil"/>
              <w:left w:val="nil"/>
              <w:bottom w:val="nil"/>
              <w:right w:val="nil"/>
            </w:tcBorders>
          </w:tcPr>
          <w:p>
            <w:pPr>
              <w:pStyle w:val="Normal6a"/>
            </w:pPr>
            <w:r>
              <w:t>4.</w:t>
            </w:r>
            <w:r>
              <w:tab/>
            </w:r>
            <w:r>
              <w:t>consideră că cel de al 28-lea regim reprezintă un pas înainte către aprofundarea în continuare a pieței interne</w:t>
            </w:r>
            <w:r>
              <w:rPr>
                <w:b/>
                <w:i/>
              </w:rPr>
              <w:t>,</w:t>
            </w:r>
            <w:r>
              <w:t xml:space="preserve"> către o mai bună integrare europeană </w:t>
            </w:r>
            <w:r>
              <w:rPr>
                <w:b/>
                <w:i/>
              </w:rPr>
              <w:t>și către restabilirea puterii competitive a UE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reiterează că întreprinderile care optează în mod voluntar pentru cel de al 28-lea regim ar trebui să fie obligate să respecte normele acestuia;</w:t>
            </w:r>
          </w:p>
        </w:tc>
        <w:tc>
          <w:tcPr>
            <w:tcW w:w="4876" w:type="dxa"/>
            <w:tcBorders>
              <w:top w:val="nil"/>
              <w:left w:val="nil"/>
              <w:bottom w:val="nil"/>
              <w:right w:val="nil"/>
            </w:tcBorders>
          </w:tcPr>
          <w:p>
            <w:pPr>
              <w:pStyle w:val="Normal6a"/>
            </w:pPr>
            <w:r>
              <w:t>5.</w:t>
            </w:r>
            <w:r>
              <w:tab/>
            </w:r>
            <w:r>
              <w:t xml:space="preserve">reiterează că întreprinderile care optează în mod voluntar pentru cel de al 28-lea regim ar trebui să fie obligate să respecte normele acestuia </w:t>
            </w:r>
            <w:r>
              <w:rPr>
                <w:b/>
                <w:i/>
              </w:rPr>
              <w:t>și consideră că regimul ar trebui să permită întreprinderilor să opteze pentru acesta oricând sunt pregătite să se dezvolte, fără a le impune să renunțe la forma lor juridică existentă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este conștient de riscul ca un al 28-lea regim să permită eludarea protecțiilor obligatorii prevăzute de dreptul intern în favoarea părților mai vulnerabile;</w:t>
            </w:r>
            <w:r>
              <w:t xml:space="preserve"> </w:t>
            </w:r>
            <w:r>
              <w:rPr>
                <w:b/>
                <w:i/>
              </w:rPr>
              <w:t>subliniază că cel de-al 28-lea regim nu trebuie să devină un mijloc de subminare a nivelurilor de protecție existente;</w:t>
            </w:r>
            <w:r>
              <w:t xml:space="preserve"> </w:t>
            </w:r>
            <w:r>
              <w:rPr>
                <w:b/>
                <w:i/>
              </w:rPr>
              <w:t>insistă ca</w:t>
            </w:r>
            <w:r>
              <w:t xml:space="preserve"> garanțiile </w:t>
            </w:r>
            <w:r>
              <w:rPr>
                <w:b/>
                <w:i/>
              </w:rPr>
              <w:t>să fie</w:t>
            </w:r>
            <w:r>
              <w:t xml:space="preserve"> stabilite prin norme de drept material care să ofere un nivel ridicat de protecție și prin norme privind conflictul de legi care să asigure aplicarea normelor naționale obligatorii;</w:t>
            </w:r>
          </w:p>
        </w:tc>
        <w:tc>
          <w:tcPr>
            <w:tcW w:w="4876" w:type="dxa"/>
            <w:tcBorders>
              <w:top w:val="nil"/>
              <w:left w:val="nil"/>
              <w:bottom w:val="nil"/>
              <w:right w:val="nil"/>
            </w:tcBorders>
          </w:tcPr>
          <w:p>
            <w:pPr>
              <w:pStyle w:val="Normal6a"/>
            </w:pPr>
            <w:r>
              <w:t>7.</w:t>
            </w:r>
            <w:r>
              <w:tab/>
            </w:r>
            <w:r>
              <w:rPr>
                <w:b/>
                <w:i/>
              </w:rPr>
              <w:t>consideră că</w:t>
            </w:r>
            <w:r>
              <w:t xml:space="preserve"> garanțiile </w:t>
            </w:r>
            <w:r>
              <w:rPr>
                <w:b/>
                <w:i/>
              </w:rPr>
              <w:t>ar trebui</w:t>
            </w:r>
            <w:r>
              <w:t xml:space="preserve"> stabilite prin norme de drept material care să ofere un nivel ridicat de protecție și prin norme privind conflictul de legi care să asigure aplicarea normelor naționale obligatorii;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este conștient de riscul ca un al 28-lea regim să permită eludarea protecțiilor obligatorii prevăzute de dreptul intern în favoarea părților mai vulnerabile; subliniază că cel de-al 28-lea regim nu trebuie să devină un mijloc de </w:t>
            </w:r>
            <w:r>
              <w:rPr>
                <w:b/>
                <w:i/>
              </w:rPr>
              <w:t>subminare a nivelurilor</w:t>
            </w:r>
            <w:r>
              <w:t xml:space="preserve"> de protecție existente; insistă </w:t>
            </w:r>
            <w:r>
              <w:rPr>
                <w:b/>
                <w:i/>
              </w:rPr>
              <w:t>ca garanțiile</w:t>
            </w:r>
            <w:r>
              <w:t xml:space="preserve"> să fie stabilite prin norme de drept material care să ofere un nivel ridicat de protecție și </w:t>
            </w:r>
            <w:r>
              <w:rPr>
                <w:b/>
                <w:i/>
              </w:rPr>
              <w:t>prin</w:t>
            </w:r>
            <w:r>
              <w:t xml:space="preserve"> norme privind conflictul de legi care să asigure aplicarea normelor naționale obligatorii;</w:t>
            </w:r>
          </w:p>
        </w:tc>
        <w:tc>
          <w:tcPr>
            <w:tcW w:w="4876" w:type="dxa"/>
            <w:tcBorders>
              <w:top w:val="nil"/>
              <w:left w:val="nil"/>
              <w:bottom w:val="nil"/>
              <w:right w:val="nil"/>
            </w:tcBorders>
          </w:tcPr>
          <w:p>
            <w:pPr>
              <w:pStyle w:val="Normal6a"/>
            </w:pPr>
            <w:r>
              <w:t>7.</w:t>
            </w:r>
            <w:r>
              <w:tab/>
            </w:r>
            <w:r>
              <w:t xml:space="preserve">este conștient de riscul ca un al 28-lea regim să permită eludarea protecțiilor obligatorii prevăzute de dreptul intern în favoarea părților mai vulnerabile; subliniază că cel de-al 28-lea regim nu trebuie să devină </w:t>
            </w:r>
            <w:r>
              <w:rPr>
                <w:b/>
                <w:i/>
              </w:rPr>
              <w:t>în niciun caz</w:t>
            </w:r>
            <w:r>
              <w:t xml:space="preserve"> un mijloc de </w:t>
            </w:r>
            <w:r>
              <w:rPr>
                <w:b/>
                <w:i/>
              </w:rPr>
              <w:t>a reduce, slăbi sau conturna nivelurile</w:t>
            </w:r>
            <w:r>
              <w:t xml:space="preserve"> de protecție existente; insistă să fie stabilite </w:t>
            </w:r>
            <w:r>
              <w:rPr>
                <w:b/>
                <w:i/>
              </w:rPr>
              <w:t>garanții clare, obligatorii și monitorizate efectiv</w:t>
            </w:r>
            <w:r>
              <w:t xml:space="preserve"> prin norme de drept material care să ofere un nivel ridicat de protecție și norme privind conflictul de legi care să asigure aplicarea </w:t>
            </w:r>
            <w:r>
              <w:rPr>
                <w:b/>
                <w:i/>
              </w:rPr>
              <w:t>sistematică și fără excepții a</w:t>
            </w:r>
            <w:r>
              <w:t xml:space="preserve"> normelor naționale obligatorii;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este conștient de riscul ca un al 28-lea regim să permită eludarea protecțiilor obligatorii prevăzute de dreptul intern în favoarea părților mai vulnerabile;</w:t>
            </w:r>
            <w:r>
              <w:t xml:space="preserve"> subliniază că cel de-al 28-lea regim nu trebuie să devină un mijloc de subminare a nivelurilor de protecție existente; insistă ca garanțiile să fie stabilite prin norme de drept material care să ofere un nivel ridicat de protecție și prin norme privind conflictul de legi care să asigure aplicarea normelor naționale obligatorii;</w:t>
            </w:r>
          </w:p>
        </w:tc>
        <w:tc>
          <w:tcPr>
            <w:tcW w:w="4876" w:type="dxa"/>
            <w:tcBorders>
              <w:top w:val="nil"/>
              <w:left w:val="nil"/>
              <w:bottom w:val="nil"/>
              <w:right w:val="nil"/>
            </w:tcBorders>
          </w:tcPr>
          <w:p>
            <w:pPr>
              <w:pStyle w:val="Normal6a"/>
            </w:pPr>
            <w:r>
              <w:t>7.</w:t>
            </w:r>
            <w:r>
              <w:tab/>
            </w:r>
            <w:r>
              <w:t xml:space="preserve">subliniază că cel de-al 28-lea regim nu trebuie să devină un mijloc de subminare a nivelurilor de protecție existente </w:t>
            </w:r>
            <w:r>
              <w:rPr>
                <w:b/>
                <w:i/>
              </w:rPr>
              <w:t>la nivelul statelor membre și la nivelul UE</w:t>
            </w:r>
            <w:r>
              <w:t>; insistă ca garanțiile să fie stabilite prin norme de drept material care să ofere un nivel ridicat de protecție și prin norme privind conflictul de legi care să asigure aplicarea normelor naționale obligatorii;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este conștient de riscul ca un al 28-lea regim să permită eludarea protecțiilor obligatorii prevăzute de dreptul intern în favoarea părților mai vulnerabile; subliniază că cel de-al 28-lea regim nu trebuie să devină un mijloc de subminare a nivelurilor de protecție existente; insistă ca garanțiile să fie stabilite prin norme de drept material care să ofere un nivel ridicat de protecție și prin norme privind conflictul de legi care să asigure aplicarea normelor naționale obligatorii;</w:t>
            </w:r>
          </w:p>
        </w:tc>
        <w:tc>
          <w:tcPr>
            <w:tcW w:w="4876" w:type="dxa"/>
            <w:tcBorders>
              <w:top w:val="nil"/>
              <w:left w:val="nil"/>
              <w:bottom w:val="nil"/>
              <w:right w:val="nil"/>
            </w:tcBorders>
          </w:tcPr>
          <w:p>
            <w:pPr>
              <w:pStyle w:val="Normal6a"/>
            </w:pPr>
            <w:r>
              <w:t>7.</w:t>
            </w:r>
            <w:r>
              <w:tab/>
            </w:r>
            <w:r>
              <w:t>este conștient de riscul ca un al 28-lea regim să permită eludarea protecțiilor obligatorii prevăzute de dreptul intern în favoarea părților mai vulnerabile</w:t>
            </w:r>
            <w:r>
              <w:rPr>
                <w:b/>
                <w:i/>
              </w:rPr>
              <w:t>;</w:t>
            </w:r>
            <w:r>
              <w:t xml:space="preserve"> </w:t>
            </w:r>
            <w:r>
              <w:rPr>
                <w:b/>
                <w:i/>
              </w:rPr>
              <w:t>insistă asupra unor acțiuni de evitare a dumpingului social sau fiscal</w:t>
            </w:r>
            <w:r>
              <w:t>; subliniază că cel de-al 28-lea regim nu trebuie să devină un mijloc de subminare a nivelurilor de protecție existente; insistă ca garanțiile să fie stabilite prin norme de drept material care să ofere un nivel ridicat de protecție și prin norme privind conflictul de legi care să asigure aplicarea normelor naționale obligatorii;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este conștient de riscul ca un al 28-lea regim să permită eludarea </w:t>
            </w:r>
            <w:r>
              <w:rPr>
                <w:b/>
                <w:i/>
              </w:rPr>
              <w:t>protecțiilor</w:t>
            </w:r>
            <w:r>
              <w:t xml:space="preserve"> obligatorii </w:t>
            </w:r>
            <w:r>
              <w:rPr>
                <w:b/>
                <w:i/>
              </w:rPr>
              <w:t>prevăzute de dreptul intern în favoarea părților</w:t>
            </w:r>
            <w:r>
              <w:t xml:space="preserve"> mai vulnerabile; subliniază că cel de-al 28-lea regim nu trebuie să devină un mijloc de subminare a nivelurilor de protecție existente; insistă ca garanțiile să fie stabilite prin norme de drept material care să ofere un nivel ridicat de protecție și prin norme privind conflictul de legi care să asigure aplicarea normelor naționale obligatorii;</w:t>
            </w:r>
          </w:p>
        </w:tc>
        <w:tc>
          <w:tcPr>
            <w:tcW w:w="4876" w:type="dxa"/>
            <w:tcBorders>
              <w:top w:val="nil"/>
              <w:left w:val="nil"/>
              <w:bottom w:val="nil"/>
              <w:right w:val="nil"/>
            </w:tcBorders>
          </w:tcPr>
          <w:p>
            <w:pPr>
              <w:pStyle w:val="Normal6a"/>
            </w:pPr>
            <w:r>
              <w:t>7.</w:t>
            </w:r>
            <w:r>
              <w:tab/>
            </w:r>
            <w:r>
              <w:t xml:space="preserve">este conștient de riscul ca un al 28-lea regim să permită eludarea </w:t>
            </w:r>
            <w:r>
              <w:rPr>
                <w:b/>
                <w:i/>
              </w:rPr>
              <w:t>normelor</w:t>
            </w:r>
            <w:r>
              <w:t xml:space="preserve"> obligatorii </w:t>
            </w:r>
            <w:r>
              <w:rPr>
                <w:b/>
                <w:i/>
              </w:rPr>
              <w:t>care vizează protecția interesului public și securitatea juridică, în special pentru părțile</w:t>
            </w:r>
            <w:r>
              <w:t xml:space="preserve"> mai vulnerabile; subliniază că cel de-al 28-lea regim nu trebuie să devină un mijloc de subminare a nivelurilor de protecție existente; insistă ca garanțiile să fie stabilite prin norme de drept material care să ofere un nivel ridicat de protecție și prin norme privind conflictul de legi care să asigure aplicarea normelor naționale obligatorii;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este conștient de riscul ca un al 28-lea regim să permită eludarea protecțiilor obligatorii prevăzute de dreptul intern în favoarea părților mai vulnerabile; subliniază că cel de-al 28-lea regim nu trebuie să devină un mijloc de subminare a nivelurilor de protecție existente; insistă ca garanțiile să fie stabilite prin norme de drept material care să ofere un nivel ridicat de protecție și prin norme privind conflictul de legi care să asigure aplicarea normelor naționale obligatorii;</w:t>
            </w:r>
          </w:p>
        </w:tc>
        <w:tc>
          <w:tcPr>
            <w:tcW w:w="4876" w:type="dxa"/>
            <w:tcBorders>
              <w:top w:val="nil"/>
              <w:left w:val="nil"/>
              <w:bottom w:val="nil"/>
              <w:right w:val="nil"/>
            </w:tcBorders>
          </w:tcPr>
          <w:p>
            <w:pPr>
              <w:pStyle w:val="Normal6a"/>
            </w:pPr>
            <w:r>
              <w:t>7.</w:t>
            </w:r>
            <w:r>
              <w:tab/>
            </w:r>
            <w:r>
              <w:t>este conștient de riscul ca un al 28-lea regim să permită eludarea protecțiilor obligatorii prevăzute de dreptul intern în favoarea părților mai vulnerabile; subliniază că cel de-al 28-lea regim nu trebuie să devină un mijloc de subminare a nivelurilor de protecție existente; insistă ca garanțiile să fie stabilite prin norme de drept material care să ofere un nivel ridicat de protecție</w:t>
            </w:r>
            <w:r>
              <w:rPr>
                <w:b/>
                <w:i/>
              </w:rPr>
              <w:t>, cum sunt cerințele naționale cu privire la formă,</w:t>
            </w:r>
            <w:r>
              <w:t xml:space="preserve"> și prin norme privind conflictul de legi care să asigure aplicarea normelor naționale obligatorii;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consideră că este esențial să se creeze un al 28-lea regim nou pentru întreprinderile inovatoare cu scopul de a relansa competitivitatea și creșterea economică europeană și este de părere că acest regim și măsurile de reglementare și executive conexe trebuie să fie aprobate de urgență;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să prevadă o evaluare cu o posibilă revizuire a celui de al 28-lea regim, inclusiv o evaluare a frecvenței utilizării acestuia de către start-upuri și întreprinderile în faza de extindere, dacă acesta este adecvat scopului și dacă este adaptat la nevoile întreprinderilor și ale societății;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 28-lea regim pentru întreprinderile </w:t>
            </w:r>
            <w:r>
              <w:rPr>
                <w:b/>
                <w:i/>
              </w:rPr>
              <w:t>inovatoare</w:t>
            </w:r>
          </w:p>
        </w:tc>
        <w:tc>
          <w:tcPr>
            <w:tcW w:w="4876" w:type="dxa"/>
            <w:tcBorders>
              <w:top w:val="nil"/>
              <w:left w:val="nil"/>
              <w:bottom w:val="nil"/>
              <w:right w:val="nil"/>
            </w:tcBorders>
          </w:tcPr>
          <w:p>
            <w:pPr>
              <w:pStyle w:val="Normal6a"/>
            </w:pPr>
            <w:r>
              <w:t>Al 28-lea regim</w:t>
            </w:r>
            <w:r>
              <w:rPr>
                <w:b/>
                <w:i/>
              </w:rPr>
              <w:t>:</w:t>
            </w:r>
            <w:r>
              <w:t xml:space="preserve"> </w:t>
            </w:r>
            <w:r>
              <w:rPr>
                <w:b/>
                <w:i/>
              </w:rPr>
              <w:t>un nou cadru juridic</w:t>
            </w:r>
            <w:r>
              <w:t xml:space="preserve"> pentru </w:t>
            </w:r>
            <w:r>
              <w:rPr>
                <w:b/>
                <w:i/>
              </w:rPr>
              <w:t>start-upuri și</w:t>
            </w:r>
            <w:r>
              <w:t xml:space="preserve"> întreprinderile </w:t>
            </w:r>
            <w:r>
              <w:rPr>
                <w:b/>
                <w:i/>
              </w:rPr>
              <w:t>în faza de extindere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 28-lea regim </w:t>
            </w:r>
            <w:r>
              <w:rPr>
                <w:b/>
                <w:i/>
              </w:rPr>
              <w:t>pentru întreprinderile inovatoare</w:t>
            </w:r>
          </w:p>
        </w:tc>
        <w:tc>
          <w:tcPr>
            <w:tcW w:w="4876" w:type="dxa"/>
            <w:tcBorders>
              <w:top w:val="nil"/>
              <w:left w:val="nil"/>
              <w:bottom w:val="nil"/>
              <w:right w:val="nil"/>
            </w:tcBorders>
          </w:tcPr>
          <w:p>
            <w:pPr>
              <w:pStyle w:val="Normal6a"/>
            </w:pPr>
            <w:r>
              <w:t>Al 28-lea regim</w:t>
            </w:r>
            <w:r>
              <w:rPr>
                <w:b/>
                <w:i/>
              </w:rPr>
              <w:t>: cadrul juridic aplicabil societăților comerciale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 28-lea regim </w:t>
            </w:r>
            <w:r>
              <w:rPr>
                <w:b/>
                <w:i/>
              </w:rPr>
              <w:t>pentru întreprinderile inovatoare</w:t>
            </w:r>
          </w:p>
        </w:tc>
        <w:tc>
          <w:tcPr>
            <w:tcW w:w="4876" w:type="dxa"/>
            <w:tcBorders>
              <w:top w:val="nil"/>
              <w:left w:val="nil"/>
              <w:bottom w:val="nil"/>
              <w:right w:val="nil"/>
            </w:tcBorders>
          </w:tcPr>
          <w:p>
            <w:pPr>
              <w:pStyle w:val="Normal6a"/>
            </w:pPr>
            <w:r>
              <w:t>Al 28-lea regim</w:t>
            </w:r>
            <w:r>
              <w:rPr>
                <w:b/>
                <w:i/>
              </w:rPr>
              <w:t>: cadrul juridic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este de părere că cel de al</w:t>
            </w:r>
            <w:r>
              <w:t xml:space="preserve"> 28-lea regim </w:t>
            </w:r>
            <w:r>
              <w:rPr>
                <w:b/>
                <w:i/>
              </w:rPr>
              <w:t>ar trebui să vizeze în principal</w:t>
            </w:r>
            <w:r>
              <w:t xml:space="preserve"> normele de drept al societăților comerciale </w:t>
            </w:r>
            <w:r>
              <w:rPr>
                <w:b/>
                <w:i/>
              </w:rPr>
              <w:t>și că numai societățile cu răspundere limitată care nu sunt cotate la bursă ar trebui să poată participa la acesta;</w:t>
            </w:r>
            <w:r>
              <w:t xml:space="preserve"> </w:t>
            </w:r>
            <w:r>
              <w:rPr>
                <w:b/>
                <w:i/>
              </w:rPr>
              <w:t>consideră că cel de al 28-lea regim ar trebui să constea într-un set de norme care trebuie să fie încorporate în formele juridice de societăți comerciale naționale existente sau nou create;</w:t>
            </w:r>
          </w:p>
        </w:tc>
        <w:tc>
          <w:tcPr>
            <w:tcW w:w="4876" w:type="dxa"/>
            <w:tcBorders>
              <w:top w:val="nil"/>
              <w:left w:val="nil"/>
              <w:bottom w:val="nil"/>
              <w:right w:val="nil"/>
            </w:tcBorders>
          </w:tcPr>
          <w:p>
            <w:pPr>
              <w:pStyle w:val="Normal6a"/>
            </w:pPr>
            <w:r>
              <w:t>8.</w:t>
            </w:r>
            <w:r>
              <w:tab/>
            </w:r>
            <w:r>
              <w:rPr>
                <w:b/>
                <w:i/>
              </w:rPr>
              <w:t>consideră că, astfel cum a afirmat Comisia, cel de-al</w:t>
            </w:r>
            <w:r>
              <w:t xml:space="preserve"> 28-lea regim </w:t>
            </w:r>
            <w:r>
              <w:rPr>
                <w:b/>
                <w:i/>
              </w:rPr>
              <w:t>este un proiect de reglementare modular care acoperă domenii de reglementare diferite, menit să fie pus în aplicare prin dispoziții legislative complementare și separate și cu temeiuri juridice diferite, și că acesta nu se va limita doar la</w:t>
            </w:r>
            <w:r>
              <w:t xml:space="preserve"> normele de drept al societăților comerciale</w:t>
            </w:r>
            <w:r>
              <w:rPr>
                <w:b/>
                <w:i/>
              </w:rPr>
              <w:t>, ci va trata și va defini alte aspecte și politici fundamentale pentru relansarea inovării și a competitivității europene în acest sector, în special: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 guvernanță fiscală atractivă pentru întreprinderile inovatoare, întreprinderile nou-înființate și cele în curs de extindere, astfel încât acestea să fie în măsură să atragă capital și investitori internaționali, să concureze cu jurisdicții străine deosebit de competitive și să contribuie la creșterea și independența sectorului european;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stimularea, cu scopul de a păstra talentele și profesioniștii în Europa, a formelor de participare a angajaților la capitalul întreprinderilor inovatoare și aplicarea unor regimuri fiscale avantajoase pentru această participare și remunerația aferentă, recunoscând statutul lor de câștiguri de capital la nivelul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asigurarea unei apropieri și circularități reale între universități, întreprinderi nou-înființate, organisme de înregistrare și de protecție a proprietății intelectuale, întreprinderi, fonduri de investiții și capital de risc, pentru ca comercializarea proiectelor strategice și a ideilor inovatoare de mare valoare să devină disponibilă și operațională imediat;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garantarea, pentru întreprinderile nou-înființate și inovatoare, a unor resurse și finanțări-punte europene care să le poată sprijini dezvoltarea în etapa imediat anterioară implementării lor comerciale;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necesitatea de a extinde mai mult Fondul european pentru inovare la un nivel care să poată depăși investițiile fiecărui stat și să poată genera un volum de cheltuieli publice suficient pentru a dezvolta o cale europeană către inovare capabilă să concureze cu principalii actori mondiali din sector;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aprofundarea pieței unice și a pieței europene de capital, precum și o mai mare simplificare administrativă;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existente sau nou create;</w:t>
            </w:r>
          </w:p>
        </w:tc>
        <w:tc>
          <w:tcPr>
            <w:tcW w:w="4876" w:type="dxa"/>
            <w:tcBorders>
              <w:top w:val="nil"/>
              <w:left w:val="nil"/>
              <w:bottom w:val="nil"/>
              <w:right w:val="nil"/>
            </w:tcBorders>
          </w:tcPr>
          <w:p>
            <w:pPr>
              <w:pStyle w:val="Normal6a"/>
            </w:pPr>
            <w:r>
              <w:t>8.</w:t>
            </w:r>
            <w:r>
              <w:tab/>
            </w:r>
            <w:r>
              <w:t xml:space="preserve">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existente sau nou create; </w:t>
            </w:r>
            <w:r>
              <w:rPr>
                <w:b/>
                <w:i/>
              </w:rPr>
              <w:t>acest set de norme ar trebui să fie conforme cu acquis-ul aplicabil societăților cu răspundere limitată și să fie supuse aplicabilității Directivei (UE) 2017/1132, Directivei 2009/102/CE și Directivei 2013/34/UE;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existente sau nou create;</w:t>
            </w:r>
          </w:p>
        </w:tc>
        <w:tc>
          <w:tcPr>
            <w:tcW w:w="4876" w:type="dxa"/>
            <w:tcBorders>
              <w:top w:val="nil"/>
              <w:left w:val="nil"/>
              <w:bottom w:val="nil"/>
              <w:right w:val="nil"/>
            </w:tcBorders>
          </w:tcPr>
          <w:p>
            <w:pPr>
              <w:pStyle w:val="Normal6a"/>
            </w:pPr>
            <w:r>
              <w:t>8.</w:t>
            </w:r>
            <w:r>
              <w:tab/>
            </w:r>
            <w:r>
              <w:t>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existente sau nou create</w:t>
            </w:r>
            <w:r>
              <w:rPr>
                <w:b/>
                <w:i/>
              </w:rPr>
              <w:t>, făcând obiectul acquis-ului UE deja instituit pentru societățile cu răspundere limitată, astfel cum sunt enumerate în Directiva (UE) 2017/1132, în Directiva 2009/102/CE și în Directiva 2013/34/UE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existente sau nou create;</w:t>
            </w:r>
          </w:p>
        </w:tc>
        <w:tc>
          <w:tcPr>
            <w:tcW w:w="4876" w:type="dxa"/>
            <w:tcBorders>
              <w:top w:val="nil"/>
              <w:left w:val="nil"/>
              <w:bottom w:val="nil"/>
              <w:right w:val="nil"/>
            </w:tcBorders>
          </w:tcPr>
          <w:p>
            <w:pPr>
              <w:pStyle w:val="Normal6a"/>
            </w:pPr>
            <w:r>
              <w:t>8.</w:t>
            </w:r>
            <w:r>
              <w:tab/>
            </w:r>
            <w:r>
              <w:t xml:space="preserve">este de părere că cel de al 28-lea regim ar trebui să vizeze în principal normele de drept al societăților comerciale și că numai societățile cu răspundere limitată care nu sunt cotate la bursă </w:t>
            </w:r>
            <w:r>
              <w:rPr>
                <w:b/>
                <w:i/>
              </w:rPr>
              <w:t>și care își desfășoară activitatea în sectorul digital</w:t>
            </w:r>
            <w:r>
              <w:t xml:space="preserve"> ar trebui să poată participa la acesta; consideră că cel de al 28-lea regim ar trebui să constea într-un set de norme care trebuie să fie încorporate în formele juridice de societăți comerciale naționale existente sau nou create;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w:t>
            </w:r>
            <w:r>
              <w:rPr>
                <w:b/>
                <w:i/>
              </w:rPr>
              <w:t>existente sau</w:t>
            </w:r>
            <w:r>
              <w:t xml:space="preserve"> nou create;</w:t>
            </w:r>
          </w:p>
        </w:tc>
        <w:tc>
          <w:tcPr>
            <w:tcW w:w="4876" w:type="dxa"/>
            <w:tcBorders>
              <w:top w:val="nil"/>
              <w:left w:val="nil"/>
              <w:bottom w:val="nil"/>
              <w:right w:val="nil"/>
            </w:tcBorders>
          </w:tcPr>
          <w:p>
            <w:pPr>
              <w:pStyle w:val="Normal6a"/>
            </w:pPr>
            <w:r>
              <w:t>8.</w:t>
            </w:r>
            <w:r>
              <w:tab/>
            </w:r>
            <w:r>
              <w:t>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nou create;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w:t>
            </w:r>
            <w:r>
              <w:rPr>
                <w:b/>
                <w:i/>
              </w:rPr>
              <w:t>existente sau</w:t>
            </w:r>
            <w:r>
              <w:t xml:space="preserve"> nou create;</w:t>
            </w:r>
          </w:p>
        </w:tc>
        <w:tc>
          <w:tcPr>
            <w:tcW w:w="4876" w:type="dxa"/>
            <w:tcBorders>
              <w:top w:val="nil"/>
              <w:left w:val="nil"/>
              <w:bottom w:val="nil"/>
              <w:right w:val="nil"/>
            </w:tcBorders>
          </w:tcPr>
          <w:p>
            <w:pPr>
              <w:pStyle w:val="Normal6a"/>
            </w:pPr>
            <w:r>
              <w:t>8.</w:t>
            </w:r>
            <w:r>
              <w:tab/>
            </w:r>
            <w:r>
              <w:t>este de părere că cel de al 28-lea regim ar trebui să vizeze în principal normele de drept al societăților comerciale și că numai societățile cu răspundere limitată care nu sunt cotate la bursă ar trebui să poată participa la acesta; consideră că cel de al 28-lea regim ar trebui să constea într-un set de norme care trebuie să fie încorporate în formele juridice de societăți comerciale naționale nou create;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invită Comisia să definească în mod corespunzător noțiunile de „start-up” și „întreprindere în faza de extindere” pe baza a ceea ce se utilizează în prezent în statele membre, precum și de către organizațiile internaționale, inclusiv OCDE;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consideră că cel de-al 28-lea regim nu ar trebui să se limiteze exclusiv la societățile cu răspundere limitată, ci ar trebui să fie deschis și societăților cotate la bursă;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propune ca forma juridică de societate comercială care face obiectul celui de al 28-lea regim să fie denumită „European </w:t>
            </w:r>
            <w:r>
              <w:rPr>
                <w:b/>
                <w:i/>
              </w:rPr>
              <w:t>Start-Up and Scale-Up” [întreprindere europeană nou înființată sau în fază de extindere</w:t>
            </w:r>
            <w:r>
              <w:t xml:space="preserve">] </w:t>
            </w:r>
            <w:r>
              <w:rPr>
                <w:b/>
                <w:i/>
              </w:rPr>
              <w:t>(ESSU)</w:t>
            </w:r>
            <w:r>
              <w:t>; solicită ca abrevierea „</w:t>
            </w:r>
            <w:r>
              <w:rPr>
                <w:b/>
                <w:i/>
              </w:rPr>
              <w:t>ESSU</w:t>
            </w:r>
            <w:r>
              <w:t>” să fie adăugată la abrevierile existente ale formelor juridice de societăți comerciale naționale;</w:t>
            </w:r>
          </w:p>
        </w:tc>
        <w:tc>
          <w:tcPr>
            <w:tcW w:w="4876" w:type="dxa"/>
            <w:tcBorders>
              <w:top w:val="nil"/>
              <w:left w:val="nil"/>
              <w:bottom w:val="nil"/>
              <w:right w:val="nil"/>
            </w:tcBorders>
          </w:tcPr>
          <w:p>
            <w:pPr>
              <w:pStyle w:val="Normal6a"/>
            </w:pPr>
            <w:r>
              <w:t>9.</w:t>
            </w:r>
            <w:r>
              <w:tab/>
            </w:r>
            <w:r>
              <w:t>propune ca forma juridică de societate comercială care face obiectul celui de al 28-lea regim să fie denumită „</w:t>
            </w:r>
            <w:r>
              <w:rPr>
                <w:b/>
                <w:i/>
              </w:rPr>
              <w:t>Simplified </w:t>
            </w:r>
            <w:r>
              <w:t>European </w:t>
            </w:r>
            <w:r>
              <w:rPr>
                <w:b/>
                <w:i/>
              </w:rPr>
              <w:t>Status (SES)” [statut european simplificat</w:t>
            </w:r>
            <w:r>
              <w:t>]; solicită ca abrevierea „</w:t>
            </w:r>
            <w:r>
              <w:rPr>
                <w:b/>
                <w:i/>
              </w:rPr>
              <w:t>SES</w:t>
            </w:r>
            <w:r>
              <w:t>” să fie adăugată la abrevierile existente ale formelor juridice de societăți comerciale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subliniază că cel de al 28-lea regim nu aduce atingere dreptului Uniunii și dreptului național în domeniul dreptului individual și colectiv al muncii și nici normelor privind participarea angajaților la luarea deciziilor (codeterminare);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că cel de al 28-lea regim nu aduce atingere dreptului Uniunii și dreptului național în domeniul dreptului individual și colectiv al muncii și nici normelor privind participarea angajaților la luarea deciziilor (codeterminare);</w:t>
            </w:r>
          </w:p>
        </w:tc>
        <w:tc>
          <w:tcPr>
            <w:tcW w:w="4876" w:type="dxa"/>
            <w:tcBorders>
              <w:top w:val="nil"/>
              <w:left w:val="nil"/>
              <w:bottom w:val="nil"/>
              <w:right w:val="nil"/>
            </w:tcBorders>
          </w:tcPr>
          <w:p>
            <w:pPr>
              <w:pStyle w:val="Normal6a"/>
            </w:pPr>
            <w:r>
              <w:t>10.</w:t>
            </w:r>
            <w:r>
              <w:tab/>
            </w:r>
            <w:r>
              <w:t xml:space="preserve">subliniază că cel de al 28-lea regim nu aduce atingere dreptului Uniunii și dreptului național în domeniul dreptului individual și colectiv al muncii și nici normelor privind participarea angajaților la luarea deciziilor (codeterminare); </w:t>
            </w:r>
            <w:r>
              <w:rPr>
                <w:b/>
                <w:i/>
              </w:rPr>
              <w:t>subliniază că ar trebui să se ia în considerare necesitatea ca orice ESSU să introducă participarea obligatorie a angajaților în consiliul de administrație sau în consiliul de supraveghere, în conformitate cu dispozițiile prevăzute de legislația națională;</w:t>
            </w:r>
            <w:r>
              <w:t xml:space="preserve"> </w:t>
            </w:r>
            <w:r>
              <w:rPr>
                <w:b/>
                <w:i/>
              </w:rPr>
              <w:t>consideră că este necesar un nivel de reprezentare a angajaților de cel puțin o treime din locuri, fără a aduce atingere dispozițiilor naționale mai protectoare;</w:t>
            </w:r>
            <w:r>
              <w:t xml:space="preserve"> </w:t>
            </w:r>
            <w:r>
              <w:rPr>
                <w:b/>
                <w:i/>
              </w:rPr>
              <w:t>consideră că este esențial să se garanteze alegerea liberă a reprezentanților lucrătorilor, protecția acestora împotriva represaliilor și furnizarea mijloacelor necesare pentru exercitarea mandatului 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că cel de al 28-lea regim nu aduce atingere dreptului Uniunii și dreptului național în domeniul dreptului individual și colectiv al muncii și nici normelor privind participarea angajaților la luarea deciziilor (codeterminare);</w:t>
            </w:r>
          </w:p>
        </w:tc>
        <w:tc>
          <w:tcPr>
            <w:tcW w:w="4876" w:type="dxa"/>
            <w:tcBorders>
              <w:top w:val="nil"/>
              <w:left w:val="nil"/>
              <w:bottom w:val="nil"/>
              <w:right w:val="nil"/>
            </w:tcBorders>
          </w:tcPr>
          <w:p>
            <w:pPr>
              <w:pStyle w:val="Normal6a"/>
            </w:pPr>
            <w:r>
              <w:t>10.</w:t>
            </w:r>
            <w:r>
              <w:tab/>
            </w:r>
            <w:r>
              <w:t xml:space="preserve">subliniază că cel de al 28-lea regim nu aduce atingere dreptului Uniunii și dreptului național în domeniul dreptului individual și colectiv al muncii și nici normelor privind participarea angajaților la luarea deciziilor (codeterminare); </w:t>
            </w:r>
            <w:r>
              <w:rPr>
                <w:b/>
                <w:i/>
              </w:rPr>
              <w:t>atrage atenția asupra faptului că este nevoie de protejarea tuturor drepturilor existente ale lucrătorilor și de măsuri de protecție flexibile;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cel de al 28-lea regim nu aduce atingere dreptului Uniunii și dreptului național în domeniul </w:t>
            </w:r>
            <w:r>
              <w:rPr>
                <w:b/>
                <w:i/>
              </w:rPr>
              <w:t>dreptului individual și colectiv al</w:t>
            </w:r>
            <w:r>
              <w:t xml:space="preserve"> muncii și </w:t>
            </w:r>
            <w:r>
              <w:rPr>
                <w:b/>
                <w:i/>
              </w:rPr>
              <w:t>nici</w:t>
            </w:r>
            <w:r>
              <w:t xml:space="preserve"> normelor privind participarea angajaților la luarea deciziilor (codeterminare);</w:t>
            </w:r>
          </w:p>
        </w:tc>
        <w:tc>
          <w:tcPr>
            <w:tcW w:w="4876" w:type="dxa"/>
            <w:tcBorders>
              <w:top w:val="nil"/>
              <w:left w:val="nil"/>
              <w:bottom w:val="nil"/>
              <w:right w:val="nil"/>
            </w:tcBorders>
          </w:tcPr>
          <w:p>
            <w:pPr>
              <w:pStyle w:val="Normal6a"/>
            </w:pPr>
            <w:r>
              <w:t>10.</w:t>
            </w:r>
            <w:r>
              <w:tab/>
            </w:r>
            <w:r>
              <w:t xml:space="preserve">subliniază că cel de al 28-lea regim nu aduce atingere dreptului Uniunii și dreptului național în domeniul muncii și </w:t>
            </w:r>
            <w:r>
              <w:rPr>
                <w:b/>
                <w:i/>
              </w:rPr>
              <w:t>social, inclusiv a</w:t>
            </w:r>
            <w:r>
              <w:t xml:space="preserve"> normelor privind participarea angajaților la luarea deciziilor (codeterminare);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necesitatea de a simplifica procesul de constituire și înregistrare a întreprinderilor;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 xml:space="preserve">subliniază necesitatea de a simplifica procesul de constituire și înregistrare a întreprinderilor;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 </w:t>
            </w:r>
            <w:r>
              <w:rPr>
                <w:b/>
                <w:i/>
              </w:rPr>
              <w:t>statele membre se pot baza pe modelele existente care prevăd proceduri simplificate și accelerate pentru crearea de societăți, interoperabile cu alte servicii publice, cum ar fi autoritățile de securitate socială sau fiscale, precum și pe modelele pentru depunerea cererilor la registrele naționale ale societăților, pentru a simplifica procedurile pentru societăți, în special IMM-uri, asigurând în același timp securitatea juridică;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necesitatea de a simplifica procesul de constituire și înregistrare a întreprinderilor;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subliniază necesitatea de a simplifica procesul de constituire și înregistrare a întreprinderilor;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r>
              <w:rPr>
                <w:b/>
                <w:i/>
              </w:rPr>
              <w:t>, solicită automatizarea procesului de înregistrare prin integrarea tehnologiilor bazate pe inteligență artificială și interoperabilitatea cu bazele de date naționale și europene relevante, pentru a reduce sarcina administrativă a fondatorilor</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necesitatea </w:t>
            </w:r>
            <w:r>
              <w:rPr>
                <w:b/>
                <w:i/>
              </w:rPr>
              <w:t>de a simplifica procesul</w:t>
            </w:r>
            <w:r>
              <w:t xml:space="preserve"> de constituire și înregistrare a întreprinderilor;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 xml:space="preserve">subliniază necesitatea </w:t>
            </w:r>
            <w:r>
              <w:rPr>
                <w:b/>
                <w:i/>
              </w:rPr>
              <w:t>unui proces</w:t>
            </w:r>
            <w:r>
              <w:t xml:space="preserve"> de constituire și înregistrare a întreprinderilor </w:t>
            </w:r>
            <w:r>
              <w:rPr>
                <w:b/>
                <w:i/>
              </w:rPr>
              <w:t>simplu și fiabil, în conformitate cu Directiva (UE) 2025/25</w:t>
            </w:r>
            <w:r>
              <w:t>;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necesitatea de a simplifica </w:t>
            </w:r>
            <w:r>
              <w:rPr>
                <w:b/>
                <w:i/>
              </w:rPr>
              <w:t>procesul</w:t>
            </w:r>
            <w:r>
              <w:t xml:space="preserve"> de constituire și înregistrare a întreprinderilor; solicită reducerea complexității procedurale și finalizarea procedurii de înregistrare pentru crearea unei ESSU în termen de </w:t>
            </w:r>
            <w:r>
              <w:rPr>
                <w:b/>
                <w:i/>
              </w:rPr>
              <w:t>48</w:t>
            </w:r>
            <w:r>
              <w:t xml:space="preserve"> de ore; solicită posibilitatea de a transmite </w:t>
            </w:r>
            <w:r>
              <w:rPr>
                <w:b/>
                <w:i/>
              </w:rPr>
              <w:t>online</w:t>
            </w:r>
            <w:r>
              <w:t xml:space="preserve"> documentele societății pe parcursul întregului ciclu de viață al acesteia, precum și punerea în aplicare pe deplin a principiului „o singură dată” pentru înregistrarea unei ESSU; </w:t>
            </w:r>
            <w:r>
              <w:rPr>
                <w:b/>
                <w:i/>
              </w:rPr>
              <w:t>consideră că ar trebui</w:t>
            </w:r>
            <w:r>
              <w:t xml:space="preserve"> să fie </w:t>
            </w:r>
            <w:r>
              <w:rPr>
                <w:b/>
                <w:i/>
              </w:rPr>
              <w:t>posibile</w:t>
            </w:r>
            <w:r>
              <w:t xml:space="preserv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 xml:space="preserve">subliniază necesitatea de a simplifica </w:t>
            </w:r>
            <w:r>
              <w:rPr>
                <w:b/>
                <w:i/>
              </w:rPr>
              <w:t>și de a asigura un proces online</w:t>
            </w:r>
            <w:r>
              <w:t xml:space="preserve"> de constituire și înregistrare a întreprinderilor; solicită reducerea complexității procedurale și finalizarea procedurii de înregistrare </w:t>
            </w:r>
            <w:r>
              <w:rPr>
                <w:b/>
                <w:i/>
              </w:rPr>
              <w:t>online</w:t>
            </w:r>
            <w:r>
              <w:t xml:space="preserve"> pentru crearea unei ESSU în termen de </w:t>
            </w:r>
            <w:r>
              <w:rPr>
                <w:b/>
                <w:i/>
              </w:rPr>
              <w:t>24</w:t>
            </w:r>
            <w:r>
              <w:t xml:space="preserve"> de ore; solicită posibilitatea de a transmite documentele societății </w:t>
            </w:r>
            <w:r>
              <w:rPr>
                <w:b/>
                <w:i/>
              </w:rPr>
              <w:t>și de a publica informații online</w:t>
            </w:r>
            <w:r>
              <w:t xml:space="preserve"> pe parcursul întregului ciclu de viață al acesteia, precum și punerea în aplicare pe deplin a principiului „o singură dată” pentru înregistrarea unei ESSU; </w:t>
            </w:r>
            <w:r>
              <w:rPr>
                <w:b/>
                <w:i/>
              </w:rPr>
              <w:t>solicită</w:t>
            </w:r>
            <w:r>
              <w:t xml:space="preserve"> să fie </w:t>
            </w:r>
            <w:r>
              <w:rPr>
                <w:b/>
                <w:i/>
              </w:rPr>
              <w:t>permise</w:t>
            </w:r>
            <w:r>
              <w:t xml:space="preserve"> proceduri digitale, cum ar fi reuniuni online ale adunărilor generale și ale consiliilor de administrație;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necesitatea de a simplifica procesul de constituire și înregistrare a întreprinderilor; solicită reducerea complexității procedurale și finalizarea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unei ESSU; </w:t>
            </w:r>
            <w:r>
              <w:rPr>
                <w:b/>
                <w:i/>
              </w:rPr>
              <w:t>consideră că ar trebui</w:t>
            </w:r>
            <w:r>
              <w:t xml:space="preserve"> să fie posibile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 xml:space="preserve">subliniază necesitatea de a simplifica </w:t>
            </w:r>
            <w:r>
              <w:rPr>
                <w:b/>
                <w:i/>
              </w:rPr>
              <w:t>și de a digitaliza</w:t>
            </w:r>
            <w:r>
              <w:t xml:space="preserve"> procesul </w:t>
            </w:r>
            <w:r>
              <w:rPr>
                <w:b/>
                <w:i/>
              </w:rPr>
              <w:t>online</w:t>
            </w:r>
            <w:r>
              <w:t xml:space="preserve"> de constituire și înregistrare a întreprinderilor; solicită reducerea complexității procedurale și finalizarea </w:t>
            </w:r>
            <w:r>
              <w:rPr>
                <w:b/>
                <w:i/>
              </w:rPr>
              <w:t>digitală a</w:t>
            </w:r>
            <w:r>
              <w:t xml:space="preserve"> procedurii de înregistrare pentru crearea unei ESSU în termen de 48 de ore; solicită posibilitatea de a transmite online documentele societății pe parcursul întregului ciclu de viață al acesteia, precum și punerea în aplicare pe deplin a principiului „o singură dată” pentru înregistrarea </w:t>
            </w:r>
            <w:r>
              <w:rPr>
                <w:b/>
                <w:i/>
              </w:rPr>
              <w:t>și gestionarea</w:t>
            </w:r>
            <w:r>
              <w:t xml:space="preserve"> unei ESSU; </w:t>
            </w:r>
            <w:r>
              <w:rPr>
                <w:b/>
                <w:i/>
              </w:rPr>
              <w:t>solicită</w:t>
            </w:r>
            <w:r>
              <w:t xml:space="preserve"> să fie posibile proceduri digitale, cum ar fi reuniuni online ale adunărilor generale și ale consiliilor de administrație;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necesitatea de a simplifica procesul de constituire și înregistrare a întreprinderilor; solicită reducerea complexității procedurale și finalizarea procedurii de înregistrare pentru crearea unei ESSU în termen de </w:t>
            </w:r>
            <w:r>
              <w:rPr>
                <w:b/>
                <w:i/>
              </w:rPr>
              <w:t>48</w:t>
            </w:r>
            <w:r>
              <w:t xml:space="preserve">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 xml:space="preserve">subliniază necesitatea de a simplifica procesul de constituire și înregistrare a întreprinderilor; solicită reducerea complexității procedurale și finalizarea procedurii de înregistrare pentru crearea unei ESSU în termen de </w:t>
            </w:r>
            <w:r>
              <w:rPr>
                <w:b/>
                <w:i/>
              </w:rPr>
              <w:t>24</w:t>
            </w:r>
            <w:r>
              <w:t xml:space="preserve"> de ore; solicită posibilitatea de a transmite online documentele societății pe parcursul întregului ciclu de viață al acesteia, precum și punerea în aplicare pe deplin a principiului „o singură dată” pentru înregistrarea unei ESSU; consideră că ar trebui să fie posibile proceduri digitale, cum ar fi reuniuni online ale adunărilor generale și ale consiliilor de administrație;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necesitatea de a simplifica procesul de constituire și înregistrare a întreprinderilor; solicită reducerea complexității procedurale și finalizarea procedurii de înregistrare pentru crearea unei </w:t>
            </w:r>
            <w:r>
              <w:rPr>
                <w:b/>
                <w:i/>
              </w:rPr>
              <w:t>ESSU</w:t>
            </w:r>
            <w:r>
              <w:t xml:space="preserve"> în termen de 48 de ore; solicită posibilitatea de a transmite online documentele societății pe parcursul întregului ciclu de viață al acesteia, precum și punerea în aplicare pe deplin a principiului „o singură dată” pentru înregistrarea unei </w:t>
            </w:r>
            <w:r>
              <w:rPr>
                <w:b/>
                <w:i/>
              </w:rPr>
              <w:t>ESSU</w:t>
            </w:r>
            <w:r>
              <w:t>; consideră că ar trebui să fie posibile proceduri digitale, cum ar fi reuniuni online ale adunărilor generale și ale consiliilor de administrație;</w:t>
            </w:r>
          </w:p>
        </w:tc>
        <w:tc>
          <w:tcPr>
            <w:tcW w:w="4876" w:type="dxa"/>
            <w:tcBorders>
              <w:top w:val="nil"/>
              <w:left w:val="nil"/>
              <w:bottom w:val="nil"/>
              <w:right w:val="nil"/>
            </w:tcBorders>
          </w:tcPr>
          <w:p>
            <w:pPr>
              <w:pStyle w:val="Normal6a"/>
            </w:pPr>
            <w:r>
              <w:t>11.</w:t>
            </w:r>
            <w:r>
              <w:tab/>
            </w:r>
            <w:r>
              <w:t xml:space="preserve">subliniază necesitatea de a simplifica procesul de constituire și înregistrare a întreprinderilor; solicită reducerea complexității procedurale și finalizarea procedurii de înregistrare pentru crearea unei </w:t>
            </w:r>
            <w:r>
              <w:rPr>
                <w:b/>
                <w:i/>
              </w:rPr>
              <w:t>SES</w:t>
            </w:r>
            <w:r>
              <w:t xml:space="preserve"> în termen de 48 de ore; solicită posibilitatea de a transmite online documentele societății pe parcursul întregului ciclu de viață al acesteia, precum și punerea în aplicare pe deplin a principiului „o singură dată” pentru înregistrarea unei </w:t>
            </w:r>
            <w:r>
              <w:rPr>
                <w:b/>
                <w:i/>
              </w:rPr>
              <w:t>SES</w:t>
            </w:r>
            <w:r>
              <w:t>; consideră că ar trebui să fie posibile proceduri digitale, cum ar fi reuniuni online ale adunărilor generale și ale consiliilor de administrație;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solicită, în plus, punerea în aplicare și evaluarea integrală a legislației existente a Uniunii privind utilizarea instrumentelor digitale în dreptul societăților comerciale, în special Directivele (UE) 2019/1151 și (UE) 2025/25, precum și continuarea procesului de digitalizare și automatizare a rapoartelor către autorități, care să fie o prioritate esențială în activitatea de simplificare a reglementărilor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subliniază că crearea ESSU ar trebui să fie pe deplin integrată în portofelul întreprinderilor europene planificat la nivelul Uniunii, pentru a asigura interacțiuni digitale fără sincope pentru întreprinderile din toate statele membre;</w:t>
            </w:r>
            <w:r>
              <w:t xml:space="preserve"> </w:t>
            </w:r>
            <w:r>
              <w:rPr>
                <w:b/>
                <w:i/>
              </w:rPr>
              <w:t>accentuează că o astfel de conexiune va facilita accesul simplificat la servicii digitale esențiale, inclusiv la înregistrarea societăților, depunerea cererilor și tranzacții;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solicită instituirea unui regim de taxe standard la nivelul UE pentru serviciile bancare și notariale direct legate de încorporarea unei ESSU și operațiunile sale de bază, asigurându-se că costurile rămân proporționale, transparente și nu depășesc nivelul stabilit în temeiul cadrului privind ESSU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solicită eliberarea unui certificat european ESSU, care să fie recunoscut în toate statele membre, la momentul eliberării sale, a înființării societății și a informațiilor esențiale păstrate în registrul societății;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crearea unui registru digital uniform al întreprinderilor la nivelul Uniunii, care să servească drept punct de intrare direct pentru înregistrarea </w:t>
            </w:r>
            <w:r>
              <w:rPr>
                <w:b/>
                <w:i/>
              </w:rPr>
              <w:t>societăților ESSU</w:t>
            </w:r>
            <w:r>
              <w:t>, completând și extinzând sistemul existent de interconectare a registrelor comerțului (BRIS);</w:t>
            </w:r>
          </w:p>
        </w:tc>
        <w:tc>
          <w:tcPr>
            <w:tcW w:w="4876" w:type="dxa"/>
            <w:tcBorders>
              <w:top w:val="nil"/>
              <w:left w:val="nil"/>
              <w:bottom w:val="nil"/>
              <w:right w:val="nil"/>
            </w:tcBorders>
          </w:tcPr>
          <w:p>
            <w:pPr>
              <w:pStyle w:val="Normal6a"/>
            </w:pPr>
            <w:r>
              <w:t>12.</w:t>
            </w:r>
            <w:r>
              <w:tab/>
            </w:r>
            <w:r>
              <w:t xml:space="preserve">solicită crearea unui registru digital uniform al întreprinderilor la nivelul Uniunii, care să servească drept punct de intrare direct pentru înregistrarea </w:t>
            </w:r>
            <w:r>
              <w:rPr>
                <w:b/>
                <w:i/>
              </w:rPr>
              <w:t>de SES</w:t>
            </w:r>
            <w:r>
              <w:t>, completând și extinzând sistemul existent de interconectare a registrelor comerțului (BRIS)</w:t>
            </w:r>
            <w:r>
              <w:rPr>
                <w:b/>
                <w:i/>
              </w:rPr>
              <w:t>, făcându-l direct accesibil publicului și integrat în registrele naționale ale comerțului</w:t>
            </w:r>
            <w:r>
              <w:t xml:space="preserve">; </w:t>
            </w:r>
            <w:r>
              <w:rPr>
                <w:b/>
                <w:i/>
              </w:rPr>
              <w:t>se așteaptă ca acest registru al societăților să permită, de asemenea, păstrarea documentelor necesare pentru înregistrarea SES și a principiului „o singură dată”, precum și a certificărilor naționale, care ar putea fi recunoscute ulterior în toate statele membre pentru a crește numărul de pașapoarte pentru certificări;</w:t>
            </w:r>
            <w:r>
              <w:t xml:space="preserve"> </w:t>
            </w:r>
            <w:r>
              <w:rPr>
                <w:b/>
                <w:i/>
              </w:rPr>
              <w:t>subliniază că platforma trebuie să fie multilingvă și să sprijine operabilitatea transfrontalieră;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Pascale Piera,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crearea unui registru digital uniform al întreprinderilor la nivelul Uniunii, care să servească drept punct de intrare direct pentru înregistrarea societăților ESSU, completând și extinzând sistemul existent de interconectare a registrelor comerțului (BRIS);</w:t>
            </w:r>
          </w:p>
        </w:tc>
        <w:tc>
          <w:tcPr>
            <w:tcW w:w="4876" w:type="dxa"/>
            <w:tcBorders>
              <w:top w:val="nil"/>
              <w:left w:val="nil"/>
              <w:bottom w:val="nil"/>
              <w:right w:val="nil"/>
            </w:tcBorders>
          </w:tcPr>
          <w:p>
            <w:pPr>
              <w:pStyle w:val="Normal6a"/>
            </w:pPr>
            <w:r>
              <w:t>12.</w:t>
            </w:r>
            <w:r>
              <w:tab/>
            </w:r>
            <w:r>
              <w:t xml:space="preserve">solicită crearea unui registru digital uniform al întreprinderilor la nivelul Uniunii, care să servească drept punct de intrare direct pentru înregistrarea societăților ESSU, completând și extinzând sistemul existent de interconectare a registrelor comerțului (BRIS); </w:t>
            </w:r>
            <w:r>
              <w:rPr>
                <w:b/>
                <w:i/>
              </w:rPr>
              <w:t>subliniază că întreprinderilor nu trebuie să li se permită să eludeze cerințele naționale de înregistrare și că participarea avocaților și/sau a notarilor la procedurile de înregistrare trebuie să rămână obligatorie pentru a asigura legalitatea și a preveni spălarea banilor;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crearea unui registru digital uniform al întreprinderilor la nivelul Uniunii, care să servească drept punct de intrare direct pentru înregistrarea societăților ESSU, completând și extinzând sistemul existent de interconectare a registrelor comerțului (BRIS);</w:t>
            </w:r>
          </w:p>
        </w:tc>
        <w:tc>
          <w:tcPr>
            <w:tcW w:w="4876" w:type="dxa"/>
            <w:tcBorders>
              <w:top w:val="nil"/>
              <w:left w:val="nil"/>
              <w:bottom w:val="nil"/>
              <w:right w:val="nil"/>
            </w:tcBorders>
          </w:tcPr>
          <w:p>
            <w:pPr>
              <w:pStyle w:val="Normal6a"/>
            </w:pPr>
            <w:r>
              <w:t>12.</w:t>
            </w:r>
            <w:r>
              <w:tab/>
            </w:r>
            <w:r>
              <w:t xml:space="preserve">solicită crearea unui registru digital uniform al întreprinderilor la nivelul Uniunii, care să servească drept punct de intrare direct pentru înregistrarea societăților ESSU, completând și extinzând sistemul existent de interconectare a registrelor comerțului (BRIS); </w:t>
            </w:r>
            <w:r>
              <w:rPr>
                <w:b/>
                <w:i/>
              </w:rPr>
              <w:t>subliniază, de asemenea, necesitatea de a include un registru de transparență accesibil publicului, care să asigure publicarea de informații privind beneficiarii reali, structurile de proprietate și practicile fiscale, pentru a evita opacitatea sau abuzurile;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w:t>
            </w:r>
            <w:r>
              <w:rPr>
                <w:b/>
                <w:i/>
              </w:rPr>
              <w:t>crearea unui registru digital uniform al întreprinderilor la nivelul Uniunii, care să servească drept punct de intrare direct pentru înregistrarea societăților ESSU, completând și extinzând sistemul</w:t>
            </w:r>
            <w:r>
              <w:t xml:space="preserve"> existent de interconectare a registrelor comerțului (BRIS);</w:t>
            </w:r>
          </w:p>
        </w:tc>
        <w:tc>
          <w:tcPr>
            <w:tcW w:w="4876" w:type="dxa"/>
            <w:tcBorders>
              <w:top w:val="nil"/>
              <w:left w:val="nil"/>
              <w:bottom w:val="nil"/>
              <w:right w:val="nil"/>
            </w:tcBorders>
          </w:tcPr>
          <w:p>
            <w:pPr>
              <w:pStyle w:val="Normal6a"/>
            </w:pPr>
            <w:r>
              <w:t>12.</w:t>
            </w:r>
            <w:r>
              <w:tab/>
            </w:r>
            <w:r>
              <w:t xml:space="preserve">solicită </w:t>
            </w:r>
            <w:r>
              <w:rPr>
                <w:b/>
                <w:i/>
              </w:rPr>
              <w:t>completarea și extinderea sistemului</w:t>
            </w:r>
            <w:r>
              <w:t xml:space="preserve"> existent de interconectare a registrelor comerțului (BRIS) </w:t>
            </w:r>
            <w:r>
              <w:rPr>
                <w:b/>
                <w:i/>
              </w:rPr>
              <w:t>ca principal instrument digital pentru înregistrarea și interconectarea ESSU în întreaga Uniune</w:t>
            </w:r>
            <w:r>
              <w:t xml:space="preserve">; </w:t>
            </w:r>
            <w:r>
              <w:rPr>
                <w:b/>
                <w:i/>
              </w:rPr>
              <w:t>subliniază că, pentru a-și spori eficiența, BRIS ar putea fi conectat la diferite baze de date gestionate de Comisie sau de agențiile Uniunii, inclusiv la cele legate de proprietatea intelectuală, cum ar fi mărcile și desenele sau modelele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crearea unui </w:t>
            </w:r>
            <w:r>
              <w:rPr>
                <w:b/>
                <w:i/>
              </w:rPr>
              <w:t>registru digital uniform al întreprinderilor la nivelul Uniunii, care să servească drept</w:t>
            </w:r>
            <w:r>
              <w:t xml:space="preserve"> punct de intrare direct pentru înregistrarea societăților ESSU, completând și extinzând sistemul existent de interconectare a registrelor comerțului (BRIS);</w:t>
            </w:r>
          </w:p>
        </w:tc>
        <w:tc>
          <w:tcPr>
            <w:tcW w:w="4876" w:type="dxa"/>
            <w:tcBorders>
              <w:top w:val="nil"/>
              <w:left w:val="nil"/>
              <w:bottom w:val="nil"/>
              <w:right w:val="nil"/>
            </w:tcBorders>
          </w:tcPr>
          <w:p>
            <w:pPr>
              <w:pStyle w:val="Normal6a"/>
            </w:pPr>
            <w:r>
              <w:t>12.</w:t>
            </w:r>
            <w:r>
              <w:tab/>
            </w:r>
            <w:r>
              <w:t>solicită crearea unui punct de intrare direct</w:t>
            </w:r>
            <w:r>
              <w:rPr>
                <w:b/>
                <w:i/>
              </w:rPr>
              <w:t>, digital și uniform la nivelul Uniunii</w:t>
            </w:r>
            <w:r>
              <w:t xml:space="preserve"> pentru înregistrarea societăților ESSU, completând și extinzând sistemul existent de interconectare a registrelor comerțului (BRIS); </w:t>
            </w:r>
            <w:r>
              <w:rPr>
                <w:b/>
                <w:i/>
              </w:rPr>
              <w:t>subliniază că acest punct de intrare ar trebui să se bazeze pe portalul e-justiție existent și, după caz, să îl restructureze, pentru a oferi o interfață ușor de utilizat, multilingvă și securizată pentru procedurile transfrontaliere ale întreprinderilor;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w:t>
            </w:r>
            <w:r>
              <w:rPr>
                <w:b/>
                <w:i/>
              </w:rPr>
              <w:t>crearea unui registru digital uniform al întreprinderilor la nivelul Uniunii, care să servească drept punct de intrare direct pentru înregistrarea societăților ESSU, completând și extinzând sistemul</w:t>
            </w:r>
            <w:r>
              <w:t xml:space="preserve"> existent de interconectare a registrelor comerțului (BRIS);</w:t>
            </w:r>
          </w:p>
        </w:tc>
        <w:tc>
          <w:tcPr>
            <w:tcW w:w="4876" w:type="dxa"/>
            <w:tcBorders>
              <w:top w:val="nil"/>
              <w:left w:val="nil"/>
              <w:bottom w:val="nil"/>
              <w:right w:val="nil"/>
            </w:tcBorders>
          </w:tcPr>
          <w:p>
            <w:pPr>
              <w:pStyle w:val="Normal6a"/>
            </w:pPr>
            <w:r>
              <w:t>12.</w:t>
            </w:r>
            <w:r>
              <w:tab/>
            </w:r>
            <w:r>
              <w:t xml:space="preserve">solicită </w:t>
            </w:r>
            <w:r>
              <w:rPr>
                <w:b/>
                <w:i/>
              </w:rPr>
              <w:t>extinderea în continuare a sistemului</w:t>
            </w:r>
            <w:r>
              <w:t xml:space="preserve"> existent de interconectare a registrelor comerțului (BRIS);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crearea unui </w:t>
            </w:r>
            <w:r>
              <w:rPr>
                <w:b/>
                <w:i/>
              </w:rPr>
              <w:t>registru digital uniform al întreprinderilor</w:t>
            </w:r>
            <w:r>
              <w:t xml:space="preserve"> la nivelul Uniunii, care să servească drept punct de intrare direct pentru înregistrarea societăților ESSU, completând și extinzând sistemul existent de interconectare a registrelor comerțului (BRIS);</w:t>
            </w:r>
          </w:p>
        </w:tc>
        <w:tc>
          <w:tcPr>
            <w:tcW w:w="4876" w:type="dxa"/>
            <w:tcBorders>
              <w:top w:val="nil"/>
              <w:left w:val="nil"/>
              <w:bottom w:val="nil"/>
              <w:right w:val="nil"/>
            </w:tcBorders>
          </w:tcPr>
          <w:p>
            <w:pPr>
              <w:pStyle w:val="Normal6a"/>
            </w:pPr>
            <w:r>
              <w:t>12.</w:t>
            </w:r>
            <w:r>
              <w:tab/>
            </w:r>
            <w:r>
              <w:t xml:space="preserve">solicită crearea unui </w:t>
            </w:r>
            <w:r>
              <w:rPr>
                <w:b/>
                <w:i/>
              </w:rPr>
              <w:t>punct de acces pe portalul european e-Justiție,</w:t>
            </w:r>
            <w:r>
              <w:t xml:space="preserve"> la nivelul Uniunii, care să servească drept punct de intrare direct </w:t>
            </w:r>
            <w:r>
              <w:rPr>
                <w:b/>
                <w:i/>
              </w:rPr>
              <w:t>către ghișeele naționale unice</w:t>
            </w:r>
            <w:r>
              <w:t xml:space="preserve"> pentru înregistrarea societăților ESSU, completând și extinzând sistemul existent de interconectare a registrelor comerțului (BRIS);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solicită crearea unei platforme online a societăților pentru a facilita procese digitale securizate, inclusiv acreditări verificabile și semnarea electronică a documentelor (inclusiv de către notari), vânzarea și alocarea de acțiuni, crearea și adoptarea de rezoluții ale consiliului de administrație și furnizarea de servicii de facturare electronică;</w:t>
            </w:r>
            <w:r>
              <w:t xml:space="preserve"> </w:t>
            </w:r>
            <w:r>
              <w:rPr>
                <w:b/>
                <w:i/>
              </w:rPr>
              <w:t>subliniază că această platformă ar trebui să permită recunoașterea și utilizarea în întreaga Uniune a portabilității certificărilor, licențelor și autorizațiilor acordate într-un stat membru, în conformitate cu dreptul aplicabil al Uniunii și cu dreptul intern aplicabil;</w:t>
            </w:r>
            <w:r>
              <w:t xml:space="preserve"> </w:t>
            </w:r>
            <w:r>
              <w:rPr>
                <w:b/>
                <w:i/>
              </w:rPr>
              <w:t>subliniază că astfel de instrumente digitale vor spori securitatea juridică, vor reduce sarcinile administrative și vor promova funcționarea fără sincope a întreprinderilor în cadrul pieței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solicită ca cadrul ESSU să se asigure că toate documentele juridice și fiscale necesare sunt depuse o singură dată, la momentul înregistrării, prin intermediul registrului digital al societăților de la nivelul Uniunii și sunt puse la dispoziția tuturor autorităților naționale competente prin intermediul unor sisteme de interconectare securizate, astfel încât aceste documente să nu fie solicitate în mod repetat de la întreprindere pe parcursul întregului său ciclu de viață;</w:t>
            </w:r>
            <w:r>
              <w:t xml:space="preserve"> </w:t>
            </w:r>
            <w:r>
              <w:rPr>
                <w:b/>
                <w:i/>
              </w:rPr>
              <w:t>solicită ca întreprinderilor înregistrate ca ESSU să li se permită să prezinte documentele juridice și fiscale necesare în orice limbă oficială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necesitatea de a institui un registru de transparență la nivelul UE, interconectat cu registrul digital al societăților și cu sistemul BRIS, asigurând publicarea informațiilor privind beneficiarii reali, structurile de proprietate și declarațiile fiscale ale societăților;</w:t>
            </w:r>
            <w:r>
              <w:t xml:space="preserve"> </w:t>
            </w:r>
            <w:r>
              <w:rPr>
                <w:b/>
                <w:i/>
              </w:rPr>
              <w:t>insistă ca acest registru să fie accesibil publicului, actualizat periodic și să aibă mecanisme de control și sancțiuni eficace și disuasive în caz de nerespectare;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solicită dezvoltarea și adaptarea în continuare a unui identificator al întreprinderilor din Uniune pentru a simplifica înregistrarea, a spori transparența și încrederea, a facilita verificarea identității societăților comerciale și a combate frauda și evaziunea fiscală;</w:t>
            </w:r>
          </w:p>
        </w:tc>
        <w:tc>
          <w:tcPr>
            <w:tcW w:w="4876" w:type="dxa"/>
            <w:tcBorders>
              <w:top w:val="nil"/>
              <w:left w:val="nil"/>
              <w:bottom w:val="nil"/>
              <w:right w:val="nil"/>
            </w:tcBorders>
          </w:tcPr>
          <w:p>
            <w:pPr>
              <w:pStyle w:val="Normal6a"/>
            </w:pPr>
            <w:r>
              <w:t>13.</w:t>
            </w:r>
            <w:r>
              <w:tab/>
            </w:r>
            <w:r>
              <w:t xml:space="preserve">solicită dezvoltarea și adaptarea în continuare a unui identificator </w:t>
            </w:r>
            <w:r>
              <w:rPr>
                <w:b/>
                <w:i/>
              </w:rPr>
              <w:t>unic</w:t>
            </w:r>
            <w:r>
              <w:t xml:space="preserve"> al întreprinderilor din Uniune </w:t>
            </w:r>
            <w:r>
              <w:rPr>
                <w:b/>
                <w:i/>
              </w:rPr>
              <w:t>legat de registrul Uniunii</w:t>
            </w:r>
            <w:r>
              <w:t xml:space="preserve"> pentru a simplifica înregistrarea, a spori transparența și încrederea, a facilita verificarea identității societăților comerciale și a combate frauda și evaziunea fiscală; </w:t>
            </w:r>
            <w:r>
              <w:rPr>
                <w:b/>
                <w:i/>
              </w:rPr>
              <w:t>încurajează Comisia Europeană să lucreze la interoperabilitate cu inițiativele globale pentru identificatorul întreprinderilor;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solicită dezvoltarea și adaptarea în continuare a unui identificator al întreprinderilor din Uniune pentru a simplifica înregistrarea, a spori transparența și încrederea, a facilita verificarea identității societăților comerciale și a combate frauda și evaziunea fiscală;</w:t>
            </w:r>
          </w:p>
        </w:tc>
        <w:tc>
          <w:tcPr>
            <w:tcW w:w="4876" w:type="dxa"/>
            <w:tcBorders>
              <w:top w:val="nil"/>
              <w:left w:val="nil"/>
              <w:bottom w:val="nil"/>
              <w:right w:val="nil"/>
            </w:tcBorders>
          </w:tcPr>
          <w:p>
            <w:pPr>
              <w:pStyle w:val="Normal6a"/>
            </w:pPr>
            <w:r>
              <w:t>13.</w:t>
            </w:r>
            <w:r>
              <w:tab/>
            </w:r>
            <w:r>
              <w:t xml:space="preserve">solicită dezvoltarea și adaptarea în continuare a unui identificator al întreprinderilor din Uniune pentru a simplifica înregistrarea, a spori transparența și încrederea, a facilita verificarea identității societăților comerciale și a combate frauda și evaziunea fiscală; </w:t>
            </w:r>
            <w:r>
              <w:rPr>
                <w:b/>
                <w:i/>
              </w:rPr>
              <w:t>subliniază că acest lucru ar permite întreprinderilor să păstreze în siguranță și să pună la dispoziție acreditări verificabile pentru autoritățile din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solicită </w:t>
            </w:r>
            <w:r>
              <w:rPr>
                <w:b/>
                <w:i/>
              </w:rPr>
              <w:t>dezvoltarea și adaptarea în continuare</w:t>
            </w:r>
            <w:r>
              <w:t xml:space="preserve"> a unui identificator al întreprinderilor din Uniune pentru a simplifica înregistrarea, a spori transparența și încrederea, a facilita verificarea identității societăților comerciale și a combate frauda și evaziunea fiscală;</w:t>
            </w:r>
          </w:p>
        </w:tc>
        <w:tc>
          <w:tcPr>
            <w:tcW w:w="4876" w:type="dxa"/>
            <w:tcBorders>
              <w:top w:val="nil"/>
              <w:left w:val="nil"/>
              <w:bottom w:val="nil"/>
              <w:right w:val="nil"/>
            </w:tcBorders>
          </w:tcPr>
          <w:p>
            <w:pPr>
              <w:pStyle w:val="Normal6a"/>
            </w:pPr>
            <w:r>
              <w:t>13.</w:t>
            </w:r>
            <w:r>
              <w:tab/>
            </w:r>
            <w:r>
              <w:t xml:space="preserve">solicită </w:t>
            </w:r>
            <w:r>
              <w:rPr>
                <w:b/>
                <w:i/>
              </w:rPr>
              <w:t>sprijinirea și punerea în aplicare</w:t>
            </w:r>
            <w:r>
              <w:t xml:space="preserve"> a unui identificator </w:t>
            </w:r>
            <w:r>
              <w:rPr>
                <w:b/>
                <w:i/>
              </w:rPr>
              <w:t>unic</w:t>
            </w:r>
            <w:r>
              <w:t xml:space="preserve"> al întreprinderilor din Uniune</w:t>
            </w:r>
            <w:r>
              <w:rPr>
                <w:b/>
                <w:i/>
              </w:rPr>
              <w:t>, legat de registrul UE,</w:t>
            </w:r>
            <w:r>
              <w:t xml:space="preserve"> pentru a simplifica înregistrarea, a spori transparența și încrederea, a facilita verificarea identității societăților comerciale și a combate frauda și evaziunea fiscală;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solicită dezvoltarea și adaptarea în continuare a unui identificator al întreprinderilor din Uniune pentru a simplifica înregistrarea, a spori transparența și încrederea, a facilita verificarea identității societăților comerciale și a combate frauda și evaziunea fiscală;</w:t>
            </w:r>
          </w:p>
        </w:tc>
        <w:tc>
          <w:tcPr>
            <w:tcW w:w="4876" w:type="dxa"/>
            <w:tcBorders>
              <w:top w:val="nil"/>
              <w:left w:val="nil"/>
              <w:bottom w:val="nil"/>
              <w:right w:val="nil"/>
            </w:tcBorders>
          </w:tcPr>
          <w:p>
            <w:pPr>
              <w:pStyle w:val="Normal6a"/>
            </w:pPr>
            <w:r>
              <w:t>13.</w:t>
            </w:r>
            <w:r>
              <w:tab/>
            </w:r>
            <w:r>
              <w:t>solicită dezvoltarea și adaptarea în continuare a unui identificator al întreprinderilor din Uniune pentru a simplifica înregistrarea, a spori transparența și încrederea, a facilita verificarea identității societăților comerciale și a combate frauda</w:t>
            </w:r>
            <w:r>
              <w:rPr>
                <w:b/>
                <w:i/>
              </w:rPr>
              <w:t>, spălarea banilor</w:t>
            </w:r>
            <w:r>
              <w:t xml:space="preserve"> și evaziunea fiscală;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posibilitatea de înregistrare ca ESSU nu ar trebui să fie limitată la o nouă categorie de „întreprinderi inovatoare” </w:t>
            </w:r>
            <w:r>
              <w:rPr>
                <w:b/>
                <w:i/>
              </w:rPr>
              <w:t>sau la alți factori restrictivi</w:t>
            </w:r>
            <w:r>
              <w:t xml:space="preserve">; </w:t>
            </w:r>
            <w:r>
              <w:rPr>
                <w:b/>
                <w:i/>
              </w:rPr>
              <w:t>avertizează că crearea unei astfel de noi categorii ar adăuga o birocratizare inutilă;</w:t>
            </w:r>
            <w:r>
              <w:t xml:space="preserve"> </w:t>
            </w:r>
            <w:r>
              <w:rPr>
                <w:b/>
                <w:i/>
              </w:rPr>
              <w:t>precizează că numai persoanele fizice sau juridice care își au reședința sau sunt stabilite în Uniune ar trebui să aibă posibilitatea de a înființa o ESSU;</w:t>
            </w:r>
          </w:p>
        </w:tc>
        <w:tc>
          <w:tcPr>
            <w:tcW w:w="4876" w:type="dxa"/>
            <w:tcBorders>
              <w:top w:val="nil"/>
              <w:left w:val="nil"/>
              <w:bottom w:val="nil"/>
              <w:right w:val="nil"/>
            </w:tcBorders>
          </w:tcPr>
          <w:p>
            <w:pPr>
              <w:pStyle w:val="Normal6a"/>
            </w:pPr>
            <w:r>
              <w:t>14.</w:t>
            </w:r>
            <w:r>
              <w:tab/>
            </w:r>
            <w:r>
              <w:t>consideră că posibilitatea de înregistrare ca ESSU nu ar trebui să fie limitată la o nouă categorie de „întreprinderi inovatoare”;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consideră că posibilitatea de înregistrare ca ESSU nu ar trebui să fie limitată la o nouă categorie de „întreprinderi inovatoare” sau la alți factori restrictivi; avertizează că crearea unei astfel de noi categorii ar adăuga o birocratizare inutilă; precizează că numai persoanele fizice sau juridice care își au reședința sau sunt stabilite în Uniune ar trebui să aibă posibilitatea de a înființa o ESSU;</w:t>
            </w:r>
          </w:p>
        </w:tc>
        <w:tc>
          <w:tcPr>
            <w:tcW w:w="4876" w:type="dxa"/>
            <w:tcBorders>
              <w:top w:val="nil"/>
              <w:left w:val="nil"/>
              <w:bottom w:val="nil"/>
              <w:right w:val="nil"/>
            </w:tcBorders>
          </w:tcPr>
          <w:p>
            <w:pPr>
              <w:pStyle w:val="Normal6a"/>
            </w:pPr>
            <w:r>
              <w:t>14.</w:t>
            </w:r>
            <w:r>
              <w:tab/>
            </w:r>
            <w:r>
              <w:t>consideră că posibilitatea de înregistrare ca ESSU nu ar trebui să fie limitată la o nouă categorie de „întreprinderi inovatoare” sau la alți factori restrictivi; avertizează că crearea unei astfel de noi categorii ar adăuga o birocratizare inutilă; precizează că numai persoanele fizice sau juridice care își au reședința sau sunt stabilite în Uniune ar trebui să aibă posibilitatea de a înființa o ESSU</w:t>
            </w:r>
            <w:r>
              <w:rPr>
                <w:b/>
                <w:i/>
              </w:rPr>
              <w:t>, fie prin încorporarea unei noi societăți sub formă de ESSU, fie prin transformarea unei societăți existente sub o altă formă într-o ESSU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posibilitatea de înregistrare ca ESSU </w:t>
            </w:r>
            <w:r>
              <w:rPr>
                <w:b/>
                <w:i/>
              </w:rPr>
              <w:t>nu</w:t>
            </w:r>
            <w:r>
              <w:t xml:space="preserve"> ar trebui să </w:t>
            </w:r>
            <w:r>
              <w:rPr>
                <w:b/>
                <w:i/>
              </w:rPr>
              <w:t>fie limitată la o nouă categorie de „întreprinderi inovatoare” sau la alți factori restrictivi;</w:t>
            </w:r>
            <w:r>
              <w:t xml:space="preserve"> </w:t>
            </w:r>
            <w:r>
              <w:rPr>
                <w:b/>
                <w:i/>
              </w:rPr>
              <w:t>avertizează că crearea unei astfel de noi categorii ar adăuga o birocratizare inutilă</w:t>
            </w:r>
            <w:r>
              <w:t>; precizează că numai persoanele fizice sau juridice care își au reședința sau sunt stabilite în Uniune ar trebui să aibă posibilitatea de a înființa o ESSU;</w:t>
            </w:r>
          </w:p>
        </w:tc>
        <w:tc>
          <w:tcPr>
            <w:tcW w:w="4876" w:type="dxa"/>
            <w:tcBorders>
              <w:top w:val="nil"/>
              <w:left w:val="nil"/>
              <w:bottom w:val="nil"/>
              <w:right w:val="nil"/>
            </w:tcBorders>
          </w:tcPr>
          <w:p>
            <w:pPr>
              <w:pStyle w:val="Normal6a"/>
            </w:pPr>
            <w:r>
              <w:t>14.</w:t>
            </w:r>
            <w:r>
              <w:tab/>
            </w:r>
            <w:r>
              <w:t xml:space="preserve">consideră că posibilitatea de înregistrare ca ESSU ar trebui să </w:t>
            </w:r>
            <w:r>
              <w:rPr>
                <w:b/>
                <w:i/>
              </w:rPr>
              <w:t>se limiteze la start-upuri și la întreprinderile în fază de extindere care își desfășoară activitatea în sectorul digital</w:t>
            </w:r>
            <w:r>
              <w:t>; precizează că numai persoanele fizice sau juridice care își au reședința sau sunt stabilite în Uniune ar trebui să aibă posibilitatea de a înființa o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consideră că posibilitatea de înregistrare ca ESSU nu ar trebui să fie limitată la o nouă categorie de „întreprinderi inovatoare” sau la alți factori restrictivi; avertizează că crearea unei astfel de noi categorii ar adăuga o birocratizare inutilă; precizează că numai persoanele fizice sau juridice care își au reședința sau sunt stabilite în Uniune ar trebui să aibă posibilitatea de a înființa o ESSU;</w:t>
            </w:r>
          </w:p>
        </w:tc>
        <w:tc>
          <w:tcPr>
            <w:tcW w:w="4876" w:type="dxa"/>
            <w:tcBorders>
              <w:top w:val="nil"/>
              <w:left w:val="nil"/>
              <w:bottom w:val="nil"/>
              <w:right w:val="nil"/>
            </w:tcBorders>
          </w:tcPr>
          <w:p>
            <w:pPr>
              <w:pStyle w:val="Normal6a"/>
            </w:pPr>
            <w:r>
              <w:t>14.</w:t>
            </w:r>
            <w:r>
              <w:tab/>
            </w:r>
            <w:r>
              <w:t xml:space="preserve">consideră că posibilitatea de înregistrare ca ESSU </w:t>
            </w:r>
            <w:r>
              <w:rPr>
                <w:b/>
                <w:i/>
              </w:rPr>
              <w:t>ar trebui să țină seama de diversitatea modelelor de afaceri;</w:t>
            </w:r>
            <w:r>
              <w:t xml:space="preserve"> </w:t>
            </w:r>
            <w:r>
              <w:rPr>
                <w:b/>
                <w:i/>
              </w:rPr>
              <w:t>prin urmare, aceasta ar trebui să fie disponibilă pentru toate formele de societăți și</w:t>
            </w:r>
            <w:r>
              <w:t xml:space="preserve"> nu ar trebui să fie limitată la o nouă categorie de „întreprinderi inovatoare” sau la alți factori restrictivi; avertizează că crearea unei astfel de noi categorii ar adăuga o birocratizare inutilă; precizează că numai persoanele fizice sau juridice care își au reședința sau sunt stabilite în Uniune ar trebui să aibă posibilitatea de a înființa o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w:t>
            </w:r>
            <w:r>
              <w:rPr>
                <w:b/>
                <w:i/>
              </w:rPr>
              <w:t>posibilitatea de înregistrare</w:t>
            </w:r>
            <w:r>
              <w:t xml:space="preserve"> ca ESSU </w:t>
            </w:r>
            <w:r>
              <w:rPr>
                <w:b/>
                <w:i/>
              </w:rPr>
              <w:t>nu</w:t>
            </w:r>
            <w:r>
              <w:t xml:space="preserve"> ar trebui să fie </w:t>
            </w:r>
            <w:r>
              <w:rPr>
                <w:b/>
                <w:i/>
              </w:rPr>
              <w:t>limitată la o nouă categorie de „întreprinderi inovatoare” sau la alți factori restrictivi;</w:t>
            </w:r>
            <w:r>
              <w:t xml:space="preserve"> </w:t>
            </w:r>
            <w:r>
              <w:rPr>
                <w:b/>
                <w:i/>
              </w:rPr>
              <w:t>avertizează că crearea unei astfel de noi categorii ar adăuga o birocratizare inutilă;</w:t>
            </w:r>
            <w:r>
              <w:t xml:space="preserve"> </w:t>
            </w:r>
            <w:r>
              <w:rPr>
                <w:b/>
                <w:i/>
              </w:rPr>
              <w:t>precizează că numai persoanele fizice sau juridice care își au reședința sau sunt stabilite în Uniune ar trebui să aibă posibilitatea de a înființa o</w:t>
            </w:r>
            <w:r>
              <w:t xml:space="preserve"> ESSU;</w:t>
            </w:r>
          </w:p>
        </w:tc>
        <w:tc>
          <w:tcPr>
            <w:tcW w:w="4876" w:type="dxa"/>
            <w:tcBorders>
              <w:top w:val="nil"/>
              <w:left w:val="nil"/>
              <w:bottom w:val="nil"/>
              <w:right w:val="nil"/>
            </w:tcBorders>
          </w:tcPr>
          <w:p>
            <w:pPr>
              <w:pStyle w:val="Normal6a"/>
            </w:pPr>
            <w:r>
              <w:t>14.</w:t>
            </w:r>
            <w:r>
              <w:tab/>
            </w:r>
            <w:r>
              <w:t xml:space="preserve">consideră că </w:t>
            </w:r>
            <w:r>
              <w:rPr>
                <w:b/>
                <w:i/>
              </w:rPr>
              <w:t>înregistrarea</w:t>
            </w:r>
            <w:r>
              <w:t xml:space="preserve"> ca ESSU ar trebui să fie </w:t>
            </w:r>
            <w:r>
              <w:rPr>
                <w:b/>
                <w:i/>
              </w:rPr>
              <w:t>posibilă fie prin încorporarea unei noi societăți sub formă de ESSU, fie prin transformarea unei societăți existente sub o formă juridică diferită într-o</w:t>
            </w:r>
            <w:r>
              <w:t xml:space="preserv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posibilitatea de înregistrare ca </w:t>
            </w:r>
            <w:r>
              <w:rPr>
                <w:b/>
                <w:i/>
              </w:rPr>
              <w:t>ESSU</w:t>
            </w:r>
            <w:r>
              <w:t xml:space="preserve"> nu ar trebui să fie limitată la o nouă categorie de „întreprinderi inovatoare” sau la alți factori restrictivi; avertizează că crearea unei astfel de noi categorii ar adăuga o birocratizare inutilă; </w:t>
            </w:r>
            <w:r>
              <w:rPr>
                <w:b/>
                <w:i/>
              </w:rPr>
              <w:t>precizează că numai persoanele fizice sau juridice care își au reședința sau sunt stabilite în Uniune ar trebui să aibă posibilitatea de a înființa o ESSU</w:t>
            </w:r>
            <w:r>
              <w:t>;</w:t>
            </w:r>
          </w:p>
        </w:tc>
        <w:tc>
          <w:tcPr>
            <w:tcW w:w="4876" w:type="dxa"/>
            <w:tcBorders>
              <w:top w:val="nil"/>
              <w:left w:val="nil"/>
              <w:bottom w:val="nil"/>
              <w:right w:val="nil"/>
            </w:tcBorders>
          </w:tcPr>
          <w:p>
            <w:pPr>
              <w:pStyle w:val="Normal6a"/>
            </w:pPr>
            <w:r>
              <w:t>14.</w:t>
            </w:r>
            <w:r>
              <w:tab/>
            </w:r>
            <w:r>
              <w:t xml:space="preserve">consideră că posibilitatea de înregistrare ca </w:t>
            </w:r>
            <w:r>
              <w:rPr>
                <w:b/>
                <w:i/>
              </w:rPr>
              <w:t>SES</w:t>
            </w:r>
            <w:r>
              <w:t xml:space="preserve"> nu ar trebui să fie limitată la o nouă categorie de „întreprinderi inovatoare” sau la alți factori restrictivi; avertizează că crearea unei astfel de noi categorii ar adăuga o birocratizare inutilă; </w:t>
            </w:r>
            <w:r>
              <w:rPr>
                <w:b/>
                <w:i/>
              </w:rPr>
              <w:t>invită Comisia să găsească o soluție care să permită nerezidenților să înființeze o SES pe un model similar cu programul e-Residency disponibil în Estonia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consideră că o ESSU ar trebui să poată funcționa fie ca </w:t>
            </w:r>
            <w:r>
              <w:rPr>
                <w:b/>
                <w:i/>
              </w:rPr>
              <w:t>societate unică autonomă</w:t>
            </w:r>
            <w:r>
              <w:t>, fie ca filială a unei societăți-mamă de tip ESSU;</w:t>
            </w:r>
          </w:p>
        </w:tc>
        <w:tc>
          <w:tcPr>
            <w:tcW w:w="4876" w:type="dxa"/>
            <w:tcBorders>
              <w:top w:val="nil"/>
              <w:left w:val="nil"/>
              <w:bottom w:val="nil"/>
              <w:right w:val="nil"/>
            </w:tcBorders>
          </w:tcPr>
          <w:p>
            <w:pPr>
              <w:pStyle w:val="Normal6a"/>
            </w:pPr>
            <w:r>
              <w:t>15.</w:t>
            </w:r>
            <w:r>
              <w:tab/>
            </w:r>
            <w:r>
              <w:rPr>
                <w:b/>
                <w:i/>
              </w:rPr>
              <w:t>consideră că ESSU ar trebui să servească drept formă de societate pentru entități unice, precum și pentru gestionarea uniformă a grupului și</w:t>
            </w:r>
            <w:r>
              <w:t xml:space="preserve"> consideră că o ESSU ar trebui să poată funcționa fie ca </w:t>
            </w:r>
            <w:r>
              <w:rPr>
                <w:b/>
                <w:i/>
              </w:rPr>
              <w:t>societate-mamă</w:t>
            </w:r>
            <w:r>
              <w:t>, fie ca filială a unei societăți-mamă de tip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consideră că o </w:t>
            </w:r>
            <w:r>
              <w:rPr>
                <w:b/>
                <w:i/>
              </w:rPr>
              <w:t>ESSU</w:t>
            </w:r>
            <w:r>
              <w:t xml:space="preserve"> ar trebui să poată funcționa fie ca societate unică autonomă, fie ca filială a unei societăți-mamă de tip ESSU;</w:t>
            </w:r>
          </w:p>
        </w:tc>
        <w:tc>
          <w:tcPr>
            <w:tcW w:w="4876" w:type="dxa"/>
            <w:tcBorders>
              <w:top w:val="nil"/>
              <w:left w:val="nil"/>
              <w:bottom w:val="nil"/>
              <w:right w:val="nil"/>
            </w:tcBorders>
          </w:tcPr>
          <w:p>
            <w:pPr>
              <w:pStyle w:val="Normal6a"/>
            </w:pPr>
            <w:r>
              <w:t>15.</w:t>
            </w:r>
            <w:r>
              <w:tab/>
            </w:r>
            <w:r>
              <w:t xml:space="preserve">consideră că o </w:t>
            </w:r>
            <w:r>
              <w:rPr>
                <w:b/>
                <w:i/>
              </w:rPr>
              <w:t>SES</w:t>
            </w:r>
            <w:r>
              <w:t xml:space="preserve"> ar trebui să poată funcționa fie ca societate unică autonomă, fie ca filială a unei societăți-mamă</w:t>
            </w:r>
            <w:r>
              <w:rPr>
                <w:b/>
                <w:i/>
              </w:rPr>
              <w:t>, fie ca filială a unei societăți-mamă</w:t>
            </w:r>
            <w:r>
              <w:t xml:space="preserve"> de tip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consideră că o ESSU ar trebui să poată funcționa fie ca societate unică autonomă, fie ca filială a unei societăți-mamă </w:t>
            </w:r>
            <w:r>
              <w:rPr>
                <w:b/>
                <w:i/>
              </w:rPr>
              <w:t>de tip ESSU</w:t>
            </w:r>
            <w:r>
              <w:t>;</w:t>
            </w:r>
          </w:p>
        </w:tc>
        <w:tc>
          <w:tcPr>
            <w:tcW w:w="4876" w:type="dxa"/>
            <w:tcBorders>
              <w:top w:val="nil"/>
              <w:left w:val="nil"/>
              <w:bottom w:val="nil"/>
              <w:right w:val="nil"/>
            </w:tcBorders>
          </w:tcPr>
          <w:p>
            <w:pPr>
              <w:pStyle w:val="Normal6a"/>
            </w:pPr>
            <w:r>
              <w:t>15.</w:t>
            </w:r>
            <w:r>
              <w:tab/>
            </w:r>
            <w:r>
              <w:t>consideră că o ESSU ar trebui să poată funcționa fie ca societate unică autonomă, fie ca filială a unei societăți-mamă;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ESSU; subliniază că sediul și sediul social pot fi situate în state membre diferite;</w:t>
            </w:r>
          </w:p>
        </w:tc>
        <w:tc>
          <w:tcPr>
            <w:tcW w:w="4876" w:type="dxa"/>
            <w:tcBorders>
              <w:top w:val="nil"/>
              <w:left w:val="nil"/>
              <w:bottom w:val="nil"/>
              <w:right w:val="nil"/>
            </w:tcBorders>
          </w:tcPr>
          <w:p>
            <w:pPr>
              <w:pStyle w:val="Normal6a"/>
            </w:pPr>
            <w:r>
              <w:t>16.</w:t>
            </w:r>
            <w:r>
              <w:tab/>
            </w:r>
            <w:r>
              <w:t xml:space="preserve">subliniază că sediul social al unei societăți trebuie să fie situat în unul dintre cele 27 de state membre pentru ca aceasta să fie eligibilă pentru înregistrare ca ESSU; subliniază că sediul și sediul social pot fi situate în state membre diferite; </w:t>
            </w:r>
            <w:r>
              <w:rPr>
                <w:b/>
                <w:i/>
              </w:rPr>
              <w:t>mai atrage atenția și asupra faptului că o ESSU ar trebui să aibă posibilitatea de a-și transfera sediul social în alt stat membru din Uniune fără a fi necesară dizolvarea sau reînființarea, în conformitate cu proceduri armonizate care să asigure continuitatea personalității juridice;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ESSU; subliniază că sediul și sediul social pot fi situate în state membre diferite;</w:t>
            </w:r>
          </w:p>
        </w:tc>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ESSU; subliniază că sediul și sediul social pot fi situate în state membre diferite</w:t>
            </w:r>
            <w:r>
              <w:rPr>
                <w:b/>
                <w:i/>
              </w:rPr>
              <w:t>, cu condiția ca societatea să mențină o legătură reală cu autoritățile juridice și fiscale legate de sediul său social și cu excepția cazului în care asocierea celor două este necesară pentru protejarea intereselor publice majore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subliniază că sediul social al unei societăți trebuie să fie situat în unul dintre cele 27 de state membre pentru ca aceasta să fie eligibilă pentru înregistrare ca </w:t>
            </w:r>
            <w:r>
              <w:rPr>
                <w:b/>
                <w:i/>
              </w:rPr>
              <w:t>ESSU</w:t>
            </w:r>
            <w:r>
              <w:t>; subliniază că sediul și sediul social pot fi situate în state membre diferite;</w:t>
            </w:r>
          </w:p>
        </w:tc>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w:t>
            </w:r>
            <w:r>
              <w:rPr>
                <w:b/>
                <w:i/>
              </w:rPr>
              <w:t>SES</w:t>
            </w:r>
            <w:r>
              <w:t>; subliniază că sediul și sediul social pot fi situate în state membre diferite</w:t>
            </w:r>
            <w:r>
              <w:rPr>
                <w:b/>
                <w:i/>
              </w:rPr>
              <w:t>, cu condiția ca societatea să mențină o legătură reală și verificabilă cu autoritățile juridice și fiscale legate de sediul său social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ESSU; subliniază că sediul și sediul social pot fi situate în state membre diferite;</w:t>
            </w:r>
          </w:p>
        </w:tc>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ESSU; subliniază că sediul și sediul social pot fi situate în state membre diferite</w:t>
            </w:r>
            <w:r>
              <w:rPr>
                <w:b/>
                <w:i/>
              </w:rPr>
              <w:t>, cu condiția ca societatea să mențină o legătură reală cu jurisdicția sediului său social</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subliniază că sediul social al unei societăți trebuie să fie situat în unul dintre cele 27 de state membre pentru ca aceasta să fie eligibilă pentru înregistrare ca ESSU; </w:t>
            </w:r>
            <w:r>
              <w:rPr>
                <w:b/>
                <w:i/>
              </w:rPr>
              <w:t>subliniază că sediul și sediul social pot fi situate în state membre diferite;</w:t>
            </w:r>
          </w:p>
        </w:tc>
        <w:tc>
          <w:tcPr>
            <w:tcW w:w="4876" w:type="dxa"/>
            <w:tcBorders>
              <w:top w:val="nil"/>
              <w:left w:val="nil"/>
              <w:bottom w:val="nil"/>
              <w:right w:val="nil"/>
            </w:tcBorders>
          </w:tcPr>
          <w:p>
            <w:pPr>
              <w:pStyle w:val="Normal6a"/>
            </w:pPr>
            <w:r>
              <w:t>16.</w:t>
            </w:r>
            <w:r>
              <w:tab/>
            </w:r>
            <w:r>
              <w:t>subliniază că sediul social al unei societăți trebuie să fie situat în unul dintre cele 27 de state membre pentru ca aceasta să fie eligibilă pentru înregistrare ca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subliniază că sediul social al unei </w:t>
            </w:r>
            <w:r>
              <w:rPr>
                <w:b/>
                <w:i/>
              </w:rPr>
              <w:t>societăți</w:t>
            </w:r>
            <w:r>
              <w:t xml:space="preserve"> trebuie să fie situat în unul dintre cele 27 de state membre </w:t>
            </w:r>
            <w:r>
              <w:rPr>
                <w:b/>
                <w:i/>
              </w:rPr>
              <w:t>pentru ca aceasta să fie eligibilă pentru înregistrare ca ESSU</w:t>
            </w:r>
            <w:r>
              <w:t>; subliniază că sediul și sediul social pot fi situate în state membre diferite;</w:t>
            </w:r>
          </w:p>
        </w:tc>
        <w:tc>
          <w:tcPr>
            <w:tcW w:w="4876" w:type="dxa"/>
            <w:tcBorders>
              <w:top w:val="nil"/>
              <w:left w:val="nil"/>
              <w:bottom w:val="nil"/>
              <w:right w:val="nil"/>
            </w:tcBorders>
          </w:tcPr>
          <w:p>
            <w:pPr>
              <w:pStyle w:val="Normal6a"/>
            </w:pPr>
            <w:r>
              <w:t>16.</w:t>
            </w:r>
            <w:r>
              <w:tab/>
            </w:r>
            <w:r>
              <w:t xml:space="preserve">subliniază că sediul social al unei </w:t>
            </w:r>
            <w:r>
              <w:rPr>
                <w:b/>
                <w:i/>
              </w:rPr>
              <w:t>ESSU</w:t>
            </w:r>
            <w:r>
              <w:t xml:space="preserve"> trebuie să fie situat în unul dintre cele 27 de state membre; subliniază că sediul și sediul social pot fi situate în state membre diferite;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subliniază că creșterea productivității, inovarea și incluziunea socială trebuie să meargă mână în mână;</w:t>
            </w:r>
            <w:r>
              <w:t xml:space="preserve"> </w:t>
            </w:r>
            <w:r>
              <w:rPr>
                <w:b/>
                <w:i/>
              </w:rPr>
              <w:t>consideră că ar trebui luată în considerare crearea unor scheme de participare a angajaților la capital pentru angajații unei ESSU, astfel încât aceștia să poată dobândi o participație în cadrul societății;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subliniază că creșterea productivității, inovarea și incluziunea socială trebuie să meargă mână în mână;</w:t>
            </w:r>
            <w:r>
              <w:t xml:space="preserve"> </w:t>
            </w:r>
            <w:r>
              <w:rPr>
                <w:b/>
                <w:i/>
              </w:rPr>
              <w:t>consideră că ar trebui luată în considerare crearea unor scheme de participare a angajaților la capital pentru angajații unei ESSU, astfel încât aceștia să poată dobândi o participație în cadrul societății;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subliniază că creșterea productivității, inovarea și incluziunea socială trebuie să meargă mână în mână; </w:t>
            </w:r>
            <w:r>
              <w:rPr>
                <w:b/>
                <w:i/>
              </w:rPr>
              <w:t>consideră că</w:t>
            </w:r>
            <w:r>
              <w:t xml:space="preserve"> ar trebui </w:t>
            </w:r>
            <w:r>
              <w:rPr>
                <w:b/>
                <w:i/>
              </w:rPr>
              <w:t>luată în considerare crearea unor scheme de participare a angajaților la capital</w:t>
            </w:r>
            <w:r>
              <w:t xml:space="preserve"> pentru angajații </w:t>
            </w:r>
            <w:r>
              <w:rPr>
                <w:b/>
                <w:i/>
              </w:rPr>
              <w:t>unei ESSU, astfel încât aceștia să poată dobândi</w:t>
            </w:r>
            <w:r>
              <w:t xml:space="preserve"> o participație în cadrul societății;</w:t>
            </w:r>
          </w:p>
        </w:tc>
        <w:tc>
          <w:tcPr>
            <w:tcW w:w="4876" w:type="dxa"/>
            <w:tcBorders>
              <w:top w:val="nil"/>
              <w:left w:val="nil"/>
              <w:bottom w:val="nil"/>
              <w:right w:val="nil"/>
            </w:tcBorders>
          </w:tcPr>
          <w:p>
            <w:pPr>
              <w:pStyle w:val="Normal6a"/>
            </w:pPr>
            <w:r>
              <w:t>17.</w:t>
            </w:r>
            <w:r>
              <w:tab/>
            </w:r>
            <w:r>
              <w:t xml:space="preserve">subliniază că creșterea productivității, inovarea și incluziunea socială trebuie să meargă mână în mână; </w:t>
            </w:r>
            <w:r>
              <w:rPr>
                <w:b/>
                <w:i/>
              </w:rPr>
              <w:t>subliniază că SES</w:t>
            </w:r>
            <w:r>
              <w:t xml:space="preserve"> ar trebui </w:t>
            </w:r>
            <w:r>
              <w:rPr>
                <w:b/>
                <w:i/>
              </w:rPr>
              <w:t>să aibă dreptul de a crea un plan de opțiuni pe acțiuni</w:t>
            </w:r>
            <w:r>
              <w:t xml:space="preserve"> pentru </w:t>
            </w:r>
            <w:r>
              <w:rPr>
                <w:b/>
                <w:i/>
              </w:rPr>
              <w:t>angajați pentru a atrage talente mai bune și pentru ca</w:t>
            </w:r>
            <w:r>
              <w:t xml:space="preserve"> angajații </w:t>
            </w:r>
            <w:r>
              <w:rPr>
                <w:b/>
                <w:i/>
              </w:rPr>
              <w:t>să dobândească</w:t>
            </w:r>
            <w:r>
              <w:t xml:space="preserve"> o participație în cadrul societății; </w:t>
            </w:r>
            <w:r>
              <w:rPr>
                <w:b/>
                <w:i/>
              </w:rPr>
              <w:t>subliniază că acest regim nu ar trebui să fie o armonizare a politicii fiscale, ci mai degrabă o armonizare a posibilității ca angajații să aibă un plan progresiv de opțiuni pe acțiuni, fără a atinge rata fiscală sub care sunt impozitate beneficiile potențiale;</w:t>
            </w:r>
            <w:r>
              <w:t xml:space="preserve"> </w:t>
            </w:r>
            <w:r>
              <w:rPr>
                <w:b/>
                <w:i/>
              </w:rPr>
              <w:t>recomandă ca opțiunile pe acțiuni să fie recunoscute ca câștiguri de capital;</w:t>
            </w:r>
            <w:r>
              <w:t xml:space="preserve"> </w:t>
            </w:r>
            <w:r>
              <w:rPr>
                <w:b/>
                <w:i/>
              </w:rPr>
              <w:t>solicită Comisiei să depună eforturi pentru a stabili un regim de protecție pentru evaluarea la nivelul Uniunii;</w:t>
            </w:r>
            <w:r>
              <w:t xml:space="preserve"> </w:t>
            </w:r>
            <w:r>
              <w:rPr>
                <w:b/>
                <w:i/>
              </w:rPr>
              <w:t>subliniază că un astfel de instrument este prima solicitare din partea antreprenorilor care se străduiesc să ofere aceleași beneficii angajaților lor pe întreaga piață unică;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subliniază că creșterea productivității, inovarea și incluziunea socială trebuie să meargă mână în mână</w:t>
            </w:r>
            <w:r>
              <w:rPr>
                <w:b/>
                <w:i/>
              </w:rPr>
              <w:t>;</w:t>
            </w:r>
            <w:r>
              <w:t xml:space="preserve"> </w:t>
            </w:r>
            <w:r>
              <w:rPr>
                <w:b/>
                <w:i/>
              </w:rPr>
              <w:t>consideră că ar trebui luată în considerare crearea unor scheme</w:t>
            </w:r>
            <w:r>
              <w:t xml:space="preserve"> de participare a angajaților la </w:t>
            </w:r>
            <w:r>
              <w:rPr>
                <w:b/>
                <w:i/>
              </w:rPr>
              <w:t>capital pentru angajații</w:t>
            </w:r>
            <w:r>
              <w:t xml:space="preserve"> unei ESSU, astfel încât aceștia să poată dobândi o participație în cadrul societății;</w:t>
            </w:r>
          </w:p>
        </w:tc>
        <w:tc>
          <w:tcPr>
            <w:tcW w:w="4876" w:type="dxa"/>
            <w:tcBorders>
              <w:top w:val="nil"/>
              <w:left w:val="nil"/>
              <w:bottom w:val="nil"/>
              <w:right w:val="nil"/>
            </w:tcBorders>
          </w:tcPr>
          <w:p>
            <w:pPr>
              <w:pStyle w:val="Normal6a"/>
            </w:pPr>
            <w:r>
              <w:t>17.</w:t>
            </w:r>
            <w:r>
              <w:tab/>
            </w:r>
            <w:r>
              <w:t xml:space="preserve">subliniază că creșterea productivității, inovarea și incluziunea socială trebuie să meargă mână în mână </w:t>
            </w:r>
            <w:r>
              <w:rPr>
                <w:b/>
                <w:i/>
              </w:rPr>
              <w:t>și solicită să se creeze măsuri suplimentare pentru a sprijini sectorul inovării.</w:t>
            </w:r>
            <w:r>
              <w:t xml:space="preserve"> </w:t>
            </w:r>
            <w:r>
              <w:rPr>
                <w:b/>
                <w:i/>
              </w:rPr>
              <w:t>Invită Comisia, în acest scop, să prezinte cât mai curând o propunere privind un sistem european comun de guvernanță fiscală facilitată pentru ESSU și pentru schemele</w:t>
            </w:r>
            <w:r>
              <w:t xml:space="preserve"> de participare a angajaților la </w:t>
            </w:r>
            <w:r>
              <w:rPr>
                <w:b/>
                <w:i/>
              </w:rPr>
              <w:t>capitalul social al</w:t>
            </w:r>
            <w:r>
              <w:t xml:space="preserve"> unei ESSU, astfel încât aceștia să poată dobândi o participație în cadrul societății; </w:t>
            </w:r>
            <w:r>
              <w:rPr>
                <w:b/>
                <w:i/>
              </w:rPr>
              <w:t>consideră, în acest context, că opțiunile pe acțiuni și veniturile din participarea angajaților la capitalul întreprinderii ar trebui recunoscute ca câștiguri de capital și, ca atare, protejate la nivelul 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subliniază că creșterea productivității, inovarea și incluziunea socială trebuie să meargă mână în mână; consideră că ar trebui luată în considerare crearea unor scheme de participare a angajaților la capital pentru angajații unei ESSU, astfel încât aceștia să poată dobândi o participație în cadrul </w:t>
            </w:r>
            <w:r>
              <w:rPr>
                <w:b/>
                <w:i/>
              </w:rPr>
              <w:t>societății</w:t>
            </w:r>
            <w:r>
              <w:t>;</w:t>
            </w:r>
          </w:p>
        </w:tc>
        <w:tc>
          <w:tcPr>
            <w:tcW w:w="4876" w:type="dxa"/>
            <w:tcBorders>
              <w:top w:val="nil"/>
              <w:left w:val="nil"/>
              <w:bottom w:val="nil"/>
              <w:right w:val="nil"/>
            </w:tcBorders>
          </w:tcPr>
          <w:p>
            <w:pPr>
              <w:pStyle w:val="Normal6a"/>
            </w:pPr>
            <w:r>
              <w:t>17.</w:t>
            </w:r>
            <w:r>
              <w:tab/>
            </w:r>
            <w:r>
              <w:t xml:space="preserve">subliniază că creșterea productivității, inovarea și incluziunea socială trebuie să meargă mână în mână; consideră că ar trebui luată în considerare crearea unor scheme de participare a angajaților la capital pentru angajații unei ESSU, astfel încât aceștia să poată dobândi o participație în cadrul </w:t>
            </w:r>
            <w:r>
              <w:rPr>
                <w:b/>
                <w:i/>
              </w:rPr>
              <w:t>societățiii, asigurându-se, în același timp, că acest lucru contribuie la un mediu de lucru mai democratic, este nediscriminatoriu, nu înlocuiește negocierile colective privind salariile și are un prag scăzut pentru ca angajații să aibă acces la un astfel de plan privind participația angajaților la capital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subliniază faptul că cadrul ESSU ar trebui să faciliteze parteneriatele cu universitățile, institutele de cercetare și centrele de transfer de tehnologie pentru a accelera procesul de la laborator la piață, pentru a oferi acces la infrastructura de cercetare și expertiză și pentru a sprijini comercializarea rezultatelor cercetării;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solicită, de asemenea, promovarea modelelor de afaceri cooperatiste în cadrul celui de al 28-lea regim, ca opțiune valoroasă pentru o participare mai democratică la capitalurile proprii ale întreprinderii;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solicită ca propunerea legislativă să acorde beneficii suplimentare întreprinderilor sociale și societăților înființate de tineri sau de antreprenori care se înregistrează pentru prima dată ca ESSU, cum ar fi accesul prioritar la instrumentele de finanțare relevante de la nivelul Uniunii și al statelor membre, programe de mentorat și de formare adaptate, garanții opționale pentru o misiune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solicită ca platforma digitală ESSU să integreze instrumente de conformitate bazate pe IA, care să trimită întreprinderilor mesaje de alertă în timp real cu privire la modificările de reglementare relevante de la nivelul Uniunii și de la nivel național, asistență automatizată pentru obligațiile de raportare și îndrumări pentru a reduce sarcinile administrative și a îmbunătăți securitatea juridică;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recomandă instituirea unui spațiu de testare în materie de reglementare la nivelul Uniunii în cadrul ESSU pentru a permite întreprinderilor să testeze produse, servicii sau modele de afaceri inovatoare într-un mediu controlat, cu flexibilitate temporară în materie de reglementare, garanții proporționale și implicarea autorităților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Mecanisme de siguranță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Mecanisme de siguranță</w:t>
            </w:r>
          </w:p>
        </w:tc>
        <w:tc>
          <w:tcPr>
            <w:tcW w:w="4876" w:type="dxa"/>
            <w:tcBorders>
              <w:top w:val="nil"/>
              <w:left w:val="nil"/>
              <w:bottom w:val="nil"/>
              <w:right w:val="nil"/>
            </w:tcBorders>
          </w:tcPr>
          <w:p>
            <w:pPr>
              <w:pStyle w:val="Normal6a"/>
            </w:pPr>
            <w:r>
              <w:rPr>
                <w:b/>
                <w:i/>
              </w:rPr>
              <w:t>Forme opționale de proprietate fiduciară (steward ownership)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subliniază necesitatea de a proteja întreprinderile inovatoare europene de achizițiile prin care se urmărește eliminarea concurenței și de a preveni relocarea inovării, adesea sprijinită de fonduri publice europene de cercetare, în afara Uniunii;</w:t>
            </w:r>
            <w:r>
              <w:t xml:space="preserve"> </w:t>
            </w:r>
            <w:r>
              <w:rPr>
                <w:b/>
                <w:i/>
              </w:rPr>
              <w:t>consideră că Regulamentul privind concentrările economice este insuficient pentru a face față problemei achizițiilor prin care se urmărește eliminarea concurenței;</w:t>
            </w:r>
            <w:r>
              <w:t xml:space="preserve"> </w:t>
            </w:r>
            <w:r>
              <w:rPr>
                <w:b/>
                <w:i/>
              </w:rPr>
              <w:t>solicită includerea în propunerea legislativă a unor forme opționale de proprietate fiduciară (steward ownership), blocări de active și diferite categorii de acțiuni, în special acțiuni cu dublă clasă, inclusiv acțiuni cu drept de veto;</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subliniază necesitatea de a proteja întreprinderile inovatoare europene de achizițiile prin care se urmărește eliminarea concurenței și de a preveni relocarea inovării, adesea sprijinită de fonduri publice europene de cercetare, în afara Uniunii;</w:t>
            </w:r>
            <w:r>
              <w:t xml:space="preserve"> </w:t>
            </w:r>
            <w:r>
              <w:rPr>
                <w:b/>
                <w:i/>
              </w:rPr>
              <w:t>consideră că Regulamentul privind concentrările economice este insuficient pentru a face față problemei achizițiilor prin care se urmărește eliminarea concurenței;</w:t>
            </w:r>
            <w:r>
              <w:t xml:space="preserve"> </w:t>
            </w:r>
            <w:r>
              <w:rPr>
                <w:b/>
                <w:i/>
              </w:rPr>
              <w:t>solicită includerea în propunerea legislativă a unor forme opționale de proprietate fiduciară (steward ownership), blocări de active și diferite categorii de acțiuni, în special acțiuni cu dublă clasă, inclusiv acțiuni cu drept de veto;</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subliniază necesitatea de a proteja întreprinderile inovatoare europene de achizițiile prin care se urmărește eliminarea concurenței și de a preveni relocarea inovării, adesea sprijinită de fonduri publice europene de cercetare, în afara Uniunii;</w:t>
            </w:r>
            <w:r>
              <w:t xml:space="preserve"> </w:t>
            </w:r>
            <w:r>
              <w:rPr>
                <w:b/>
                <w:i/>
              </w:rPr>
              <w:t>consideră că Regulamentul privind concentrările economice este insuficient pentru a face față problemei achizițiilor prin care se urmărește eliminarea concurenței;</w:t>
            </w:r>
            <w:r>
              <w:t xml:space="preserve"> </w:t>
            </w:r>
            <w:r>
              <w:rPr>
                <w:b/>
                <w:i/>
              </w:rPr>
              <w:t>solicită includerea în propunerea legislativă a unor forme opționale de proprietate fiduciară (steward ownership), blocări de active și diferite categorii de acțiuni, în special acțiuni cu dublă clasă, inclusiv acțiuni cu drept de veto;</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subliniază necesitatea de a proteja întreprinderile inovatoare europene de achizițiile prin care se urmărește eliminarea concurenței și de a preveni relocarea inovării, adesea sprijinită de fonduri publice europene de cercetare, în afara Uniunii;</w:t>
            </w:r>
            <w:r>
              <w:t xml:space="preserve"> </w:t>
            </w:r>
            <w:r>
              <w:rPr>
                <w:b/>
                <w:i/>
              </w:rPr>
              <w:t>consideră că Regulamentul privind concentrările economice este insuficient pentru a face față problemei achizițiilor prin care se urmărește eliminarea concurenței;</w:t>
            </w:r>
            <w:r>
              <w:t xml:space="preserve"> solicită includerea în propunerea legislativă a unor forme opționale de proprietate fiduciară (steward ownership), blocări de active și diferite categorii de acțiuni, în special acțiuni cu dublă clasă, inclusiv acțiuni cu drept de veto;</w:t>
            </w:r>
          </w:p>
        </w:tc>
        <w:tc>
          <w:tcPr>
            <w:tcW w:w="4876" w:type="dxa"/>
            <w:tcBorders>
              <w:top w:val="nil"/>
              <w:left w:val="nil"/>
              <w:bottom w:val="nil"/>
              <w:right w:val="nil"/>
            </w:tcBorders>
          </w:tcPr>
          <w:p>
            <w:pPr>
              <w:pStyle w:val="Normal6a"/>
            </w:pPr>
            <w:r>
              <w:t>18.</w:t>
            </w:r>
            <w:r>
              <w:tab/>
            </w:r>
            <w:r>
              <w:t>solicită includerea în propunerea legislativă a unor forme opționale de proprietate fiduciară (steward ownership), blocări de active și diferite categorii de acțiuni, în special acțiuni cu dublă clasă, inclusiv acțiuni cu drept de veto</w:t>
            </w:r>
            <w:r>
              <w:rPr>
                <w:b/>
                <w:i/>
              </w:rPr>
              <w:t>, pentru a proteja întreprinderile europene care doresc să facă acest lucru de achizițiile prin care se urmărește eliminarea concurenței și de delocalizare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subliniază necesitatea de a proteja întreprinderile </w:t>
            </w:r>
            <w:r>
              <w:rPr>
                <w:b/>
                <w:i/>
              </w:rPr>
              <w:t>inovatoare</w:t>
            </w:r>
            <w:r>
              <w:t xml:space="preserve"> europene de achizițiile prin care se urmărește eliminarea concurenței și de a preveni relocarea inovării, adesea sprijinită de fonduri publice europene de cercetare, în afara Uniunii; consideră că Regulamentul privind concentrările economice este insuficient pentru a face față problemei achizițiilor prin care se urmărește eliminarea concurenței; solicită includerea în propunerea legislativă a unor forme opționale de proprietate fiduciară (steward ownership), blocări de active și diferite categorii de acțiuni, în special acțiuni cu dublă clasă, inclusiv acțiuni cu drept de veto;</w:t>
            </w:r>
          </w:p>
        </w:tc>
        <w:tc>
          <w:tcPr>
            <w:tcW w:w="4876" w:type="dxa"/>
            <w:tcBorders>
              <w:top w:val="nil"/>
              <w:left w:val="nil"/>
              <w:bottom w:val="nil"/>
              <w:right w:val="nil"/>
            </w:tcBorders>
          </w:tcPr>
          <w:p>
            <w:pPr>
              <w:pStyle w:val="Normal6a"/>
            </w:pPr>
            <w:r>
              <w:t>18.</w:t>
            </w:r>
            <w:r>
              <w:tab/>
            </w:r>
            <w:r>
              <w:t>subliniază necesitatea de a proteja întreprinderile europene</w:t>
            </w:r>
            <w:r>
              <w:rPr>
                <w:b/>
                <w:i/>
              </w:rPr>
              <w:t>, în special IMM-urile și start-upurile,</w:t>
            </w:r>
            <w:r>
              <w:t xml:space="preserve"> de achizițiile prin care se urmărește eliminarea concurenței și de a preveni relocarea inovării, adesea sprijinită de fonduri publice europene de cercetare, în afara Uniunii;consideră că Regulamentul privind concentrările economice este insuficient pentru a face față problemei achizițiilor prin care se urmărește eliminarea concurenței; solicită includerea în propunerea legislativă a unor forme opționale de proprietate fiduciară (steward ownership), blocări de active</w:t>
            </w:r>
            <w:r>
              <w:rPr>
                <w:b/>
                <w:i/>
              </w:rPr>
              <w:t>, transferuri de întreprinderi către angajați sub forma cooperativă</w:t>
            </w:r>
            <w:r>
              <w:t xml:space="preserve"> și diferite categorii de acțiuni, în special </w:t>
            </w:r>
            <w:r>
              <w:rPr>
                <w:b/>
                <w:i/>
              </w:rPr>
              <w:t>acțiuni de fidelitate și</w:t>
            </w:r>
            <w:r>
              <w:t xml:space="preserve"> acțiuni cu dublă clasă, inclusiv acțiuni cu drept de veto;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invită Comisia să ia în considerare, ca parte a inițiativelor de finalizare a celui de al 28-lea regim, dispoziții suplimentare privind fuziunile de ESSU cu întreprinderi din țări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își exprimă îngrijorarea cu privire la riscul subminării standardelor existente în materie de protecție a părții mai slabe în ordinile juridice naționale ale statelor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își exprimă îngrijorarea cu privire la riscul subminării standardelor existente în materie de protecție a părții mai slabe în ordinile juridice naționale ale statelor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își exprimă îngrijorarea cu privire la riscul subminării standardelor existente în materie de protecție a părții mai slabe în ordinile juridice naționale ale statelor membre;</w:t>
            </w:r>
          </w:p>
        </w:tc>
        <w:tc>
          <w:tcPr>
            <w:tcW w:w="4876" w:type="dxa"/>
            <w:tcBorders>
              <w:top w:val="nil"/>
              <w:left w:val="nil"/>
              <w:bottom w:val="nil"/>
              <w:right w:val="nil"/>
            </w:tcBorders>
          </w:tcPr>
          <w:p>
            <w:pPr>
              <w:pStyle w:val="Normal6a"/>
            </w:pPr>
            <w:r>
              <w:t>19.</w:t>
            </w:r>
            <w:r>
              <w:tab/>
            </w:r>
            <w:r>
              <w:t xml:space="preserve">își exprimă îngrijorarea cu privire la riscul subminării standardelor existente în materie de protecție a părții mai slabe în ordinile juridice naționale ale statelor membre; </w:t>
            </w:r>
            <w:r>
              <w:rPr>
                <w:b/>
                <w:i/>
              </w:rPr>
              <w:t>subliniază necesitatea de a preveni cu strictețe regresul și de a se asigura că standardele de protecție nu pot fi niciodată eludate, slăbite sau folosite în scopul competiției;</w:t>
            </w:r>
            <w:r>
              <w:t xml:space="preserve"> </w:t>
            </w:r>
            <w:r>
              <w:rPr>
                <w:b/>
                <w:i/>
              </w:rPr>
              <w:t>insistă asupra instituirii unor mecanisme de control eficace și a unor sancțiuni disuasive pentru a asigura aplicarea strictă a acestora;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își exprimă îngrijorarea cu privire la riscul subminării standardelor existente în materie de protecție a părții mai slabe în ordinile juridice naționale ale statelor membre;</w:t>
            </w:r>
          </w:p>
        </w:tc>
        <w:tc>
          <w:tcPr>
            <w:tcW w:w="4876" w:type="dxa"/>
            <w:tcBorders>
              <w:top w:val="nil"/>
              <w:left w:val="nil"/>
              <w:bottom w:val="nil"/>
              <w:right w:val="nil"/>
            </w:tcBorders>
          </w:tcPr>
          <w:p>
            <w:pPr>
              <w:pStyle w:val="Normal6a"/>
            </w:pPr>
            <w:r>
              <w:t>19.</w:t>
            </w:r>
            <w:r>
              <w:tab/>
            </w:r>
            <w:r>
              <w:t xml:space="preserve">își exprimă îngrijorarea cu privire la riscul subminării standardelor existente </w:t>
            </w:r>
            <w:r>
              <w:rPr>
                <w:b/>
                <w:i/>
              </w:rPr>
              <w:t>la nivel național și/sau european, promovând securitatea juridică și protejând interesul public, cum ar fi prevenirea spălării banilor, respectarea regimurilor de sancțiuni ale UE, precum și</w:t>
            </w:r>
            <w:r>
              <w:t xml:space="preserve"> în materie de protecție a părții mai slabe în ordinile juridice naționale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își exprimă îngrijorarea cu privire la riscul subminării standardelor existente în materie de protecție a părții mai slabe în ordinile juridice naționale ale statelor membre;</w:t>
            </w:r>
          </w:p>
        </w:tc>
        <w:tc>
          <w:tcPr>
            <w:tcW w:w="4876" w:type="dxa"/>
            <w:tcBorders>
              <w:top w:val="nil"/>
              <w:left w:val="nil"/>
              <w:bottom w:val="nil"/>
              <w:right w:val="nil"/>
            </w:tcBorders>
          </w:tcPr>
          <w:p>
            <w:pPr>
              <w:pStyle w:val="Normal6a"/>
            </w:pPr>
            <w:r>
              <w:t>19.</w:t>
            </w:r>
            <w:r>
              <w:tab/>
            </w:r>
            <w:r>
              <w:t xml:space="preserve">își exprimă îngrijorarea cu privire la riscul subminării standardelor existente în materie de protecție a părții mai slabe în ordinile juridice naționale ale statelor membre; </w:t>
            </w:r>
            <w:r>
              <w:rPr>
                <w:b/>
                <w:i/>
              </w:rPr>
              <w:t>reiterează faptul că orice ESSU trebuie să respecte cerințele stabilite de legislația națională și a Uniunii în domeniul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își exprimă îngrijorarea cu privire la riscul subminării standardelor</w:t>
            </w:r>
            <w:r>
              <w:t xml:space="preserve"> existente în materie de protecție a părții mai slabe în ordinile juridice naționale ale statelor membre;</w:t>
            </w:r>
          </w:p>
        </w:tc>
        <w:tc>
          <w:tcPr>
            <w:tcW w:w="4876" w:type="dxa"/>
            <w:tcBorders>
              <w:top w:val="nil"/>
              <w:left w:val="nil"/>
              <w:bottom w:val="nil"/>
              <w:right w:val="nil"/>
            </w:tcBorders>
          </w:tcPr>
          <w:p>
            <w:pPr>
              <w:pStyle w:val="Normal6a"/>
            </w:pPr>
            <w:r>
              <w:t>19.</w:t>
            </w:r>
            <w:r>
              <w:tab/>
            </w:r>
            <w:r>
              <w:rPr>
                <w:b/>
                <w:i/>
              </w:rPr>
              <w:t>subliniază necesitatea de a nu submina standardele</w:t>
            </w:r>
            <w:r>
              <w:t xml:space="preserve"> existente în materie de protecție a părții mai slabe în ordinile juridice naționale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consideră că utilizarea normelor privind conflictul de legi este o modalitate mai adecvată de a asigura protecția părții mai slabe decât introducerea unor norme de drept material în noua propunere legislativă;</w:t>
            </w:r>
            <w:r>
              <w:t xml:space="preserve"> </w:t>
            </w:r>
            <w:r>
              <w:rPr>
                <w:b/>
                <w:i/>
              </w:rPr>
              <w:t>solicită ca aspectele legate de participarea angajaților la luarea deciziilor (codeterminare) să fie reglementate de legea statului în care se află sediul real al societății, adică locul unde se află conducerea centrală a acesteia;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consideră că utilizarea normelor privind conflictul de legi este o modalitate mai adecvată de a asigura protecția părții mai slabe decât introducerea unor norme de drept material în noua propunere legislativă;</w:t>
            </w:r>
            <w:r>
              <w:t xml:space="preserve"> </w:t>
            </w:r>
            <w:r>
              <w:rPr>
                <w:b/>
                <w:i/>
              </w:rPr>
              <w:t>solicită ca aspectele legate de participarea angajaților la luarea deciziilor (codeterminare) să fie reglementate de legea statului în care se află sediul real al societății, adică locul unde se află conducerea centrală a acesteia;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consideră că utilizarea normelor privind conflictul de legi este o modalitate mai adecvată de a asigura protecția părții mai slabe decât introducerea unor norme de drept material în noua propunere legislativă; solicită ca aspectele legate de participarea angajaților la luarea deciziilor (codeterminare) să fie reglementate de </w:t>
            </w:r>
            <w:r>
              <w:rPr>
                <w:b/>
                <w:i/>
              </w:rPr>
              <w:t>legea statului</w:t>
            </w:r>
            <w:r>
              <w:t xml:space="preserve"> în care </w:t>
            </w:r>
            <w:r>
              <w:rPr>
                <w:b/>
                <w:i/>
              </w:rPr>
              <w:t>se află</w:t>
            </w:r>
            <w:r>
              <w:t xml:space="preserve"> sediul </w:t>
            </w:r>
            <w:r>
              <w:rPr>
                <w:b/>
                <w:i/>
              </w:rPr>
              <w:t>real</w:t>
            </w:r>
            <w:r>
              <w:t xml:space="preserve"> al societății</w:t>
            </w:r>
            <w:r>
              <w:rPr>
                <w:b/>
                <w:i/>
              </w:rPr>
              <w:t>, adică locul unde se află conducerea centrală a acesteia</w:t>
            </w:r>
            <w:r>
              <w:t>;</w:t>
            </w:r>
          </w:p>
        </w:tc>
        <w:tc>
          <w:tcPr>
            <w:tcW w:w="4876" w:type="dxa"/>
            <w:tcBorders>
              <w:top w:val="nil"/>
              <w:left w:val="nil"/>
              <w:bottom w:val="nil"/>
              <w:right w:val="nil"/>
            </w:tcBorders>
          </w:tcPr>
          <w:p>
            <w:pPr>
              <w:pStyle w:val="Normal6a"/>
            </w:pPr>
            <w:r>
              <w:t>20.</w:t>
            </w:r>
            <w:r>
              <w:tab/>
            </w:r>
            <w:r>
              <w:t xml:space="preserve">consideră că utilizarea normelor privind conflictul de legi este o modalitate mai adecvată de a asigura protecția părții mai slabe decât introducerea unor norme de drept material în noua propunere legislativă; solicită ca aspectele legate de participarea angajaților la luarea deciziilor (codeterminare) să fie reglementate de </w:t>
            </w:r>
            <w:r>
              <w:rPr>
                <w:b/>
                <w:i/>
              </w:rPr>
              <w:t>legislația națională aplicabilă la locul de angajare a lucrătorilor societății;</w:t>
            </w:r>
            <w:r>
              <w:t xml:space="preserve"> </w:t>
            </w:r>
            <w:r>
              <w:rPr>
                <w:b/>
                <w:i/>
              </w:rPr>
              <w:t>în cazul</w:t>
            </w:r>
            <w:r>
              <w:t xml:space="preserve"> în care </w:t>
            </w:r>
            <w:r>
              <w:rPr>
                <w:b/>
                <w:i/>
              </w:rPr>
              <w:t>o societate are angajați în mai multe state membre, legea aplicabilă este cea a locului în care lucrează cel mai mare număr de angajați;</w:t>
            </w:r>
            <w:r>
              <w:t xml:space="preserve"> </w:t>
            </w:r>
            <w:r>
              <w:rPr>
                <w:b/>
                <w:i/>
              </w:rPr>
              <w:t>odată ce numărul de angajați ai societății depășește 500 în alt stat membru decât statul membru în care societatea a fost înregistrată inițial,</w:t>
            </w:r>
            <w:r>
              <w:t xml:space="preserve"> sediul </w:t>
            </w:r>
            <w:r>
              <w:rPr>
                <w:b/>
                <w:i/>
              </w:rPr>
              <w:t>social</w:t>
            </w:r>
            <w:r>
              <w:t xml:space="preserve"> al societății </w:t>
            </w:r>
            <w:r>
              <w:rPr>
                <w:b/>
                <w:i/>
              </w:rPr>
              <w:t>este transferat în statul membru în care sunt angajați lucrătorii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consideră că utilizarea normelor privind conflictul de legi este o modalitate mai adecvată de a asigura protecția părții mai slabe decât introducerea unor norme de drept material în noua propunere legislativă; solicită ca aspectele legate de participarea angajaților la luarea deciziilor (codeterminare) să fie reglementate de legea statului în care se află sediul real al societății, adică locul unde se află conducerea centrală a acesteia;</w:t>
            </w:r>
          </w:p>
        </w:tc>
        <w:tc>
          <w:tcPr>
            <w:tcW w:w="4876" w:type="dxa"/>
            <w:tcBorders>
              <w:top w:val="nil"/>
              <w:left w:val="nil"/>
              <w:bottom w:val="nil"/>
              <w:right w:val="nil"/>
            </w:tcBorders>
          </w:tcPr>
          <w:p>
            <w:pPr>
              <w:pStyle w:val="Normal6a"/>
            </w:pPr>
            <w:r>
              <w:t>20.</w:t>
            </w:r>
            <w:r>
              <w:tab/>
            </w:r>
            <w:r>
              <w:t>consideră că utilizarea normelor privind conflictul de legi este o modalitate mai adecvată de a asigura protecția părții mai slabe decât introducerea unor norme de drept material în noua propunere legislativă</w:t>
            </w:r>
            <w:r>
              <w:rPr>
                <w:b/>
                <w:i/>
              </w:rPr>
              <w:t>;</w:t>
            </w:r>
            <w:r>
              <w:t xml:space="preserve"> </w:t>
            </w:r>
            <w:r>
              <w:rPr>
                <w:b/>
                <w:i/>
              </w:rPr>
              <w:t>subliniază, cu toate acestea, că aceste norme trebuie să asigure un nivel de protecție echivalent cu cele mai înalte standarde naționale</w:t>
            </w:r>
            <w:r>
              <w:t xml:space="preserve">; solicită ca aspectele legate de participarea angajaților la luarea deciziilor (codeterminare) să fie reglementate de legea statului în care se află sediul real al societății, adică locul unde se află conducerea centrală a acesteia; </w:t>
            </w:r>
            <w:r>
              <w:rPr>
                <w:b/>
                <w:i/>
              </w:rPr>
              <w:t>insistă ca acest principiu să fie aplicat cu strictețe și fără posibilitatea eludării artificiale prin acorduri juridice sau fiscale;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consideră că utilizarea normelor privind conflictul de legi este o modalitate mai adecvată de a asigura protecția părții mai slabe decât introducerea unor norme de drept material în noua propunere legislativă; solicită ca aspectele legate de participarea angajaților la luarea deciziilor (codeterminare) să fie reglementate de legea statului în care se află sediul real al societății, adică locul unde se află conducerea centrală a acesteia;</w:t>
            </w:r>
          </w:p>
        </w:tc>
        <w:tc>
          <w:tcPr>
            <w:tcW w:w="4876" w:type="dxa"/>
            <w:tcBorders>
              <w:top w:val="nil"/>
              <w:left w:val="nil"/>
              <w:bottom w:val="nil"/>
              <w:right w:val="nil"/>
            </w:tcBorders>
          </w:tcPr>
          <w:p>
            <w:pPr>
              <w:pStyle w:val="Normal6a"/>
            </w:pPr>
            <w:r>
              <w:t>20.</w:t>
            </w:r>
            <w:r>
              <w:tab/>
            </w:r>
            <w:r>
              <w:t xml:space="preserve">consideră că utilizarea normelor privind conflictul de legi este o modalitate mai adecvată de a asigura protecția părții mai slabe decât introducerea unor norme de drept material în noua propunere legislativă; solicită ca aspectele legate de participarea angajaților la luarea deciziilor (codeterminare) </w:t>
            </w:r>
            <w:r>
              <w:rPr>
                <w:b/>
                <w:i/>
              </w:rPr>
              <w:t>și cerințele cu privire la formă</w:t>
            </w:r>
            <w:r>
              <w:t xml:space="preserve"> să fie reglementate de legea statului în care se află sediul real al societății, adică locul unde se află conducerea centrală 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consideră că utilizarea normelor privind conflictul de legi este o modalitate mai adecvată de a asigura protecția </w:t>
            </w:r>
            <w:r>
              <w:rPr>
                <w:b/>
                <w:i/>
              </w:rPr>
              <w:t>părții mai slabe</w:t>
            </w:r>
            <w:r>
              <w:t xml:space="preserve"> decât introducerea unor norme de drept material în noua propunere legislativă; solicită ca aspectele legate de participarea angajaților la luarea deciziilor (codeterminare) să fie reglementate de legea statului în care se află sediul real al societății, adică locul unde se află conducerea centrală a acesteia;</w:t>
            </w:r>
          </w:p>
        </w:tc>
        <w:tc>
          <w:tcPr>
            <w:tcW w:w="4876" w:type="dxa"/>
            <w:tcBorders>
              <w:top w:val="nil"/>
              <w:left w:val="nil"/>
              <w:bottom w:val="nil"/>
              <w:right w:val="nil"/>
            </w:tcBorders>
          </w:tcPr>
          <w:p>
            <w:pPr>
              <w:pStyle w:val="Normal6a"/>
            </w:pPr>
            <w:r>
              <w:t>20.</w:t>
            </w:r>
            <w:r>
              <w:tab/>
            </w:r>
            <w:r>
              <w:t xml:space="preserve">consideră că utilizarea normelor privind conflictul de legi este o modalitate mai adecvată de a asigura protecția </w:t>
            </w:r>
            <w:r>
              <w:rPr>
                <w:b/>
                <w:i/>
              </w:rPr>
              <w:t>drepturilor individuale ale lucrătorilor</w:t>
            </w:r>
            <w:r>
              <w:t xml:space="preserve"> decât introducerea unor norme de drept material în noua propunere legislativă; solicită ca aspectele legate de participarea angajaților la luarea deciziilor (codeterminare) să fie reglementate de legea statului în care se află sediul real al societății, adică locul unde se află conducerea centrală 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îndeamnă Comisia să realizeze și să publice, împreună cu prezentarea oricărei noi propuneri legislative pentru cel de al 28-lea regim, o evaluare completă și transparentă a impactului, evaluând în special consecințele sociale, fiscale și juridice, precum și riscurile de eludare sau de slăbire a standardelor naționale de protecție;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subliniază că cel de al 28-lea regim nu ar trebui să conducă la crearea de ESSU standardizate și la o creștere a numărului de societăți de tip „cutie poștală”;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consideră că o întreprindere care face obiectul unor proceduri administrative sau judiciare privind presupuse încălcări ale legislației privind frauda, evaziunea fiscală sau în materie de securitate socială sau sustenabilitatea întreprinderilor sau pentru care încălcarea unei astfel de legislații a fost stabilită în mod oficial nu ar trebui să fie autorizată să solicite statutul de ESSU;</w:t>
            </w:r>
            <w:r>
              <w:t xml:space="preserve"> </w:t>
            </w:r>
            <w:r>
              <w:rPr>
                <w:b/>
                <w:i/>
              </w:rPr>
              <w:t>acestora ar trebui să li se permită să facă acest lucru numai după ce procedurile sunt finalizate și nu s-a constatat nicio încălcare sau după ce încălcările constatate au fost pe deplin remediate;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invită Comisia să efectueze o evaluare periodică, cel puțin o dată la doi ani, a punerii în aplicare și a efectelor celui de-al 28-lea regim;</w:t>
            </w:r>
            <w:r>
              <w:t xml:space="preserve"> </w:t>
            </w:r>
            <w:r>
              <w:rPr>
                <w:b/>
                <w:i/>
              </w:rPr>
              <w:t>subliniază că o astfel de evaluare trebuie să acopere, printre altele, impactul social, fiscal și juridic, precum și respectarea standardelor naționale de protecție a angajaților;</w:t>
            </w:r>
            <w:r>
              <w:t xml:space="preserve"> </w:t>
            </w:r>
            <w:r>
              <w:rPr>
                <w:b/>
                <w:i/>
              </w:rPr>
              <w:t>insistă ca rezultatele acestor evaluări să fie publicate în mod transparent și dezbătute în Parlamentul European pentru a asigura o monitorizare democratică continuă;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invită Comisia să instituie un sistem de supraveghere și de punere în aplicare la nivelul Uniunii în cadrul Comisiei sau al unui organism independent desemnat pentru supravegherea punerii în aplicare a celui de-al 28-lea regim și a legislației relevante a UE, cu funcții clar definite, în conformitate cu dreptul la o bună administrare;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invită Comisia să ia în considerare necesitatea de a stabili un prag armonizat pentru participarea obligatorie a angajaților în cadrul organelor administrative sau de supraveghere ale ESSU;</w:t>
            </w:r>
            <w:r>
              <w:t xml:space="preserve"> </w:t>
            </w:r>
            <w:r>
              <w:rPr>
                <w:b/>
                <w:i/>
              </w:rPr>
              <w:t>solicită, prin urmare, mecanisme de control și sancțiuni eficace, proporționale și disuasive în caz de nerespectare, inclusiv refuzul de a înregistra modificările statutare relevante până la asigurarea conformității;</w:t>
            </w:r>
            <w:r>
              <w:t xml:space="preserve"> </w:t>
            </w:r>
            <w:r>
              <w:rPr>
                <w:b/>
                <w:i/>
              </w:rPr>
              <w:t>stabilește la 250 de angajați (echivalent normă întreagă) pragul peste care reprezentarea lucrătorilor este de cel puțin o treime din locuri, fără a aduce atingere pragurilor sau proporțiilor mai favorabile prevăzute de legislația națională;</w:t>
            </w:r>
            <w:r>
              <w:t xml:space="preserve"> </w:t>
            </w:r>
            <w:r>
              <w:rPr>
                <w:b/>
                <w:i/>
              </w:rPr>
              <w:t>subliniază că, pentru grupurile și structurile transnaționale, numărul de angajați este evaluat pe o bază consolidată la nivelul UE;</w:t>
            </w:r>
            <w:r>
              <w:t xml:space="preserve"> </w:t>
            </w:r>
            <w:r>
              <w:rPr>
                <w:b/>
                <w:i/>
              </w:rPr>
              <w:t>solicită proceduri de alegere sau de numire transparente, nediscriminatorii și în cunoștință de cauză, precum și formare, timpul necesar pentru delegare și accesul la informațiile necesare;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consideră că propunerea privind cel de-al 28-lea regim ar trebui să fie însoțită de recomandări privind introducerea unei carte minime a drepturilor sociale aplicabile tuturor ESSU, asigurând, printre altele, respectarea efectivă a normelor UE și naționale privind protecția și drepturile lucrătorilor;</w:t>
            </w:r>
            <w:r>
              <w:t xml:space="preserve"> </w:t>
            </w:r>
            <w:r>
              <w:rPr>
                <w:b/>
                <w:i/>
              </w:rPr>
              <w:t>subliniază necesitatea de a lua în considerare instituirea unor mecanisme eficace de control și sancțiuni în caz de încălcare și că aceste drepturi nu pot fi în niciun caz eludate sau reduse prin utilizarea celui de-al 28-lea regim;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consideră că propunerea privind cel de-al 28-lea regim ar trebui să fie însoțită de măsuri suplimentare, cum ar fi o clauză de menținere a nivelului de protecție socială, pentru a evita eludarea sau slăbirea normelor sociale mai protectoare aplicabile în țara de origine;</w:t>
            </w:r>
            <w:r>
              <w:t xml:space="preserve"> </w:t>
            </w:r>
            <w:r>
              <w:rPr>
                <w:b/>
                <w:i/>
              </w:rPr>
              <w:t>precizează că orice cerere de înregistrare în ESSU trebuie să fie însoțită de un certificat care să ateste respectarea normelor sociale naționale cele mai protectoare;</w:t>
            </w:r>
            <w:r>
              <w:t xml:space="preserve"> </w:t>
            </w:r>
            <w:r>
              <w:rPr>
                <w:b/>
                <w:i/>
              </w:rPr>
              <w:t>solicită ca autoritățile competente să verifice în mod sistematic această conformitate înainte de a autoriza înregistrarea;</w:t>
            </w:r>
            <w:r>
              <w:t xml:space="preserve"> </w:t>
            </w:r>
            <w:r>
              <w:rPr>
                <w:b/>
                <w:i/>
              </w:rPr>
              <w:t>subliniază că orice încălcare constatată trebuie să conducă la nulitatea înregistrării sau la radierea din registru, însoțită de sancțiuni proporționale și disuasive;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20g.</w:t>
            </w:r>
            <w:r>
              <w:tab/>
            </w:r>
            <w:r>
              <w:rPr>
                <w:b/>
                <w:i/>
              </w:rPr>
              <w:t>atrage atenția, în acest context, că ar trebui evaluată necesitatea de a însoți propunerea privind cel de al 28-lea regim de orientări elaborate de Comisie pentru a asigura o repartizare echitabilă a câștigurilor în materie de productivitate și inovare, care ar trebui să fie în beneficiul tuturor angajaților și nu ar trebui să se limiteze la sistemele opționale de participare a angajaților (ESOP);</w:t>
            </w:r>
            <w:r>
              <w:t xml:space="preserve"> </w:t>
            </w:r>
            <w:r>
              <w:rPr>
                <w:b/>
                <w:i/>
              </w:rPr>
              <w:t>insistă asupra instituirii unui mecanism de indexare a salariilor și asupra faptului că o astfel de indexare ar trebui să completeze și nu să înlocuiască salariile de bază și drepturile sociale existente;</w:t>
            </w:r>
            <w:r>
              <w:t xml:space="preserve"> </w:t>
            </w:r>
            <w:r>
              <w:rPr>
                <w:b/>
                <w:i/>
              </w:rPr>
              <w:t>invită Comisia, în consultare cu partenerii sociali, să elaboreze orientări armonizate pentru a asigura o punere în aplicare coerentă și verificabilă a acestui mecanism;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20h.</w:t>
            </w:r>
            <w:r>
              <w:tab/>
            </w:r>
            <w:r>
              <w:rPr>
                <w:b/>
                <w:i/>
              </w:rPr>
              <w:t>instituie crearea automată a unui comitet european de întreprindere în orice ESSU cu peste 50 de angajați în Uniune;</w:t>
            </w:r>
            <w:r>
              <w:t xml:space="preserve"> </w:t>
            </w:r>
            <w:r>
              <w:rPr>
                <w:b/>
                <w:i/>
              </w:rPr>
              <w:t>subliniază că acest comitet trebuie să aibă drepturi efective la informare, consultare și comunicare internă;</w:t>
            </w:r>
            <w:r>
              <w:t xml:space="preserve"> </w:t>
            </w:r>
            <w:r>
              <w:rPr>
                <w:b/>
                <w:i/>
              </w:rPr>
              <w:t>subliniază că aceste dispoziții nu ar trebui să limiteze drepturile mai favorabile în temeiul legislației naționale și ar trebui considerate o bază minimă aplicabilă tuturor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20i.</w:t>
            </w:r>
            <w:r>
              <w:tab/>
            </w:r>
            <w:r>
              <w:rPr>
                <w:b/>
                <w:i/>
              </w:rPr>
              <w:t>impune tuturor ESSU obligația de a publica anual, într-un raport accesibil publicului și gratuit, un raport pentru fiecare țară în parte care să indice cel puțin:</w:t>
            </w:r>
            <w:r>
              <w:t xml:space="preserve"> </w:t>
            </w:r>
            <w:r>
              <w:rPr>
                <w:b/>
                <w:i/>
              </w:rPr>
              <w:t>profiturile realizate, impozitele și contribuțiile sociale plătite efectiv, subvențiile sau ajutoarele primite, precum și numărul de angajați în echivalent normă întreagă;</w:t>
            </w:r>
            <w:r>
              <w:t xml:space="preserve"> </w:t>
            </w:r>
            <w:r>
              <w:rPr>
                <w:b/>
                <w:i/>
              </w:rPr>
              <w:t>subliniază că aceste informații trebuie să fie verificate de un auditor independent, înregistrate în registrul digital al UE și să fie comparabile între statele membre;</w:t>
            </w:r>
            <w:r>
              <w:t xml:space="preserve"> </w:t>
            </w:r>
            <w:r>
              <w:rPr>
                <w:b/>
                <w:i/>
              </w:rPr>
              <w:t>subliniază că orice omisiune sau declarație falsă trebuie să conducă la sancțiuni disuasive și la o posibilă suspendare a statutului de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j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20j.</w:t>
            </w:r>
            <w:r>
              <w:tab/>
            </w:r>
            <w:r>
              <w:rPr>
                <w:b/>
                <w:i/>
              </w:rPr>
              <w:t>interzice înregistrarea în ESSU a oricărei întreprinderi care deține direct sau indirect filiale, sucursale sau entități conexe situate în jurisdicții fiscale necooperante incluse pe lista UE;</w:t>
            </w:r>
            <w:r>
              <w:t xml:space="preserve"> </w:t>
            </w:r>
            <w:r>
              <w:rPr>
                <w:b/>
                <w:i/>
              </w:rPr>
              <w:t>precizează că înregistrarea sau menținerea statutului de ESSU face obiectul unei declarații anuale certificate care să demonstreze absența unor astfel de structuri;</w:t>
            </w:r>
            <w:r>
              <w:t xml:space="preserve"> </w:t>
            </w:r>
            <w:r>
              <w:rPr>
                <w:b/>
                <w:i/>
              </w:rPr>
              <w:t>solicită efectuarea unor controale sistematice de către autoritățile competente și radierea automată din registru în caz de neconformitate;</w:t>
            </w:r>
            <w:r>
              <w:t xml:space="preserve"> </w:t>
            </w:r>
            <w:r>
              <w:rPr>
                <w:b/>
                <w:i/>
              </w:rPr>
              <w:t>subliniază că această interdicție este indispensabilă pentru a asigura credibilitatea și integritatea celui de al 28-lea regim;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solicită elaborarea unor modele de documente care să fie utilizate la nivelul întregii Uniuni pentru acordurile dintre acționari și actele constitutive ale societăților;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solicită elaborarea unor modele de documente care să fie utilizate la nivelul întregii Uniuni pentru acordurile dintre acționari </w:t>
            </w:r>
            <w:r>
              <w:rPr>
                <w:b/>
                <w:i/>
              </w:rPr>
              <w:t>și</w:t>
            </w:r>
            <w:r>
              <w:t xml:space="preserve"> actele constitutive ale societăților;</w:t>
            </w:r>
          </w:p>
        </w:tc>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w:t>
            </w:r>
            <w:r>
              <w:rPr>
                <w:b/>
                <w:i/>
              </w:rPr>
              <w:t>,</w:t>
            </w:r>
            <w:r>
              <w:t xml:space="preserve"> actele constitutive ale societăților </w:t>
            </w:r>
            <w:r>
              <w:rPr>
                <w:b/>
                <w:i/>
              </w:rPr>
              <w:t>și alte modele de bază și operaționale adaptate în mod specific pentru ESSU, pentru a asigura claritatea juridică, ușurința utilizării transfrontaliere și familiarizarea investitorilor cu acestea</w:t>
            </w:r>
            <w:r>
              <w:t xml:space="preserve">; </w:t>
            </w:r>
            <w:r>
              <w:rPr>
                <w:b/>
                <w:i/>
              </w:rPr>
              <w:t>recomandă ca aceste modele de documente să servească drept modele implicite în cadrul procesului de înregistrare a ESSU;</w:t>
            </w:r>
            <w:r>
              <w:t xml:space="preserve"> </w:t>
            </w:r>
            <w:r>
              <w:rPr>
                <w:b/>
                <w:i/>
              </w:rPr>
              <w:t>recomandă să existe posibilitatea să se poată devia de la modelele de documente, pentru a ține seama de cerințele specifice ale întreprinderilor;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solicită </w:t>
            </w:r>
            <w:r>
              <w:rPr>
                <w:b/>
                <w:i/>
              </w:rPr>
              <w:t>elaborarea</w:t>
            </w:r>
            <w:r>
              <w:t xml:space="preserve"> unor modele de documente care să fie utilizate la nivelul întregii Uniuni pentru acordurile dintre acționari </w:t>
            </w:r>
            <w:r>
              <w:rPr>
                <w:b/>
                <w:i/>
              </w:rPr>
              <w:t>și</w:t>
            </w:r>
            <w:r>
              <w:t xml:space="preserve"> actele constitutive </w:t>
            </w:r>
            <w:r>
              <w:rPr>
                <w:b/>
                <w:i/>
              </w:rPr>
              <w:t>ale</w:t>
            </w:r>
            <w:r>
              <w:t xml:space="preserve"> societăților;</w:t>
            </w:r>
          </w:p>
        </w:tc>
        <w:tc>
          <w:tcPr>
            <w:tcW w:w="4876" w:type="dxa"/>
            <w:tcBorders>
              <w:top w:val="nil"/>
              <w:left w:val="nil"/>
              <w:bottom w:val="nil"/>
              <w:right w:val="nil"/>
            </w:tcBorders>
          </w:tcPr>
          <w:p>
            <w:pPr>
              <w:pStyle w:val="Normal6a"/>
            </w:pPr>
            <w:r>
              <w:t>21.</w:t>
            </w:r>
            <w:r>
              <w:tab/>
            </w:r>
            <w:r>
              <w:t xml:space="preserve">solicită </w:t>
            </w:r>
            <w:r>
              <w:rPr>
                <w:b/>
                <w:i/>
              </w:rPr>
              <w:t>redactarea și adoptarea</w:t>
            </w:r>
            <w:r>
              <w:t xml:space="preserve"> unor modele de documente care să fie utilizate la nivelul întregii Uniuni pentru acordurile dintre acționari</w:t>
            </w:r>
            <w:r>
              <w:rPr>
                <w:b/>
                <w:i/>
              </w:rPr>
              <w:t>,</w:t>
            </w:r>
            <w:r>
              <w:t xml:space="preserve"> actele constitutive </w:t>
            </w:r>
            <w:r>
              <w:rPr>
                <w:b/>
                <w:i/>
              </w:rPr>
              <w:t>și documentația</w:t>
            </w:r>
            <w:r>
              <w:t xml:space="preserve"> societăților; </w:t>
            </w:r>
            <w:r>
              <w:rPr>
                <w:b/>
                <w:i/>
              </w:rPr>
              <w:t>solicită ca aceste modele să fie studiate în mod specific pentru ESSU cu scopul de a garanta claritate juridică, ușurința utilizării transfrontaliere și familiarizarea investitorilor cu aceste modele;</w:t>
            </w:r>
            <w:r>
              <w:t xml:space="preserve"> </w:t>
            </w:r>
            <w:r>
              <w:rPr>
                <w:b/>
                <w:i/>
              </w:rPr>
              <w:t>recomandă ca aceste modele de documente să servească drept modele predefinite la înregistrarea unei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r>
              <w:rPr>
                <w:b/>
                <w:i/>
              </w:rPr>
              <w:t>;</w:t>
            </w:r>
          </w:p>
        </w:tc>
        <w:tc>
          <w:tcPr>
            <w:tcW w:w="4876" w:type="dxa"/>
            <w:tcBorders>
              <w:top w:val="nil"/>
              <w:left w:val="nil"/>
              <w:bottom w:val="nil"/>
              <w:right w:val="nil"/>
            </w:tcBorders>
          </w:tcPr>
          <w:p>
            <w:pPr>
              <w:pStyle w:val="Normal6a"/>
            </w:pPr>
            <w:r>
              <w:t>21.</w:t>
            </w:r>
            <w:r>
              <w:tab/>
            </w:r>
            <w:r>
              <w:t xml:space="preserve">solicită elaborarea unor modele de documente care să fie utilizate la nivelul întregii Uniuni pentru acordurile dintre acționari și actele constitutive ale societăților </w:t>
            </w:r>
            <w:r>
              <w:rPr>
                <w:b/>
                <w:i/>
              </w:rPr>
              <w:t>și solicită ca aceste modele să fie disponibile într-un format digital interoperabil, cu suport pentru semnătura electronică avansată și procesare automată în sistemele de evidență ale societăților.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p>
        </w:tc>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r>
              <w:rPr>
                <w:b/>
                <w:i/>
              </w:rPr>
              <w:t>, pentru a asigura claritatea juridică și ușurința practicilor transfrontaliere de atragere a investitorilor</w:t>
            </w:r>
            <w:r>
              <w:t xml:space="preserve">; </w:t>
            </w:r>
            <w:r>
              <w:rPr>
                <w:b/>
                <w:i/>
              </w:rPr>
              <w:t>recomandă ca modelele de documente să fie disponibile în mod implicit ca modele în cursul procesului de înregistrare a unei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p>
        </w:tc>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r>
              <w:rPr>
                <w:b/>
                <w:i/>
              </w:rPr>
              <w:t>, redactate în limba oficială a statului membru în care își desfășoară activitatea societatea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p>
        </w:tc>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r>
              <w:rPr>
                <w:b/>
                <w:i/>
              </w:rPr>
              <w:t>, iar utilizarea și respectarea acestora să fie monitorizată de registrul societăților de la nivelul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solicită elaborarea unor modele de documente care să fie utilizate la nivelul întregii Uniuni pentru acordurile dintre acționari și actele constitutive ale societăților;</w:t>
            </w:r>
          </w:p>
        </w:tc>
        <w:tc>
          <w:tcPr>
            <w:tcW w:w="4876" w:type="dxa"/>
            <w:tcBorders>
              <w:top w:val="nil"/>
              <w:left w:val="nil"/>
              <w:bottom w:val="nil"/>
              <w:right w:val="nil"/>
            </w:tcBorders>
          </w:tcPr>
          <w:p>
            <w:pPr>
              <w:pStyle w:val="Normal6a"/>
            </w:pPr>
            <w:r>
              <w:t>21.</w:t>
            </w:r>
            <w:r>
              <w:tab/>
            </w:r>
            <w:r>
              <w:t xml:space="preserve">solicită elaborarea unor modele de documente </w:t>
            </w:r>
            <w:r>
              <w:rPr>
                <w:b/>
                <w:i/>
              </w:rPr>
              <w:t>standardizate multilingve</w:t>
            </w:r>
            <w:r>
              <w:t xml:space="preserve"> care să fie utilizate </w:t>
            </w:r>
            <w:r>
              <w:rPr>
                <w:b/>
                <w:i/>
              </w:rPr>
              <w:t>de ESSU</w:t>
            </w:r>
            <w:r>
              <w:t xml:space="preserve"> la nivelul întregii Uniuni pentru acordurile dintre acționari și actele constitutive ale societăților;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consideră că noua propunere legislativă ar trebui să conțină norme armonizate privind instrumentele de datorie asimilate capitalului propriu, care să permită investitorilor să investească într-o întreprindere fără a dobândi drepturi de control asupra acesteia;</w:t>
            </w:r>
          </w:p>
        </w:tc>
        <w:tc>
          <w:tcPr>
            <w:tcW w:w="4876" w:type="dxa"/>
            <w:tcBorders>
              <w:top w:val="nil"/>
              <w:left w:val="nil"/>
              <w:bottom w:val="nil"/>
              <w:right w:val="nil"/>
            </w:tcBorders>
          </w:tcPr>
          <w:p>
            <w:pPr>
              <w:pStyle w:val="Normal6a"/>
            </w:pPr>
            <w:r>
              <w:t>22.</w:t>
            </w:r>
            <w:r>
              <w:tab/>
            </w:r>
            <w:r>
              <w:t xml:space="preserve">consideră că noua propunere legislativă ar trebui să conțină norme armonizate privind instrumentele de datorie asimilate capitalului propriu </w:t>
            </w:r>
            <w:r>
              <w:rPr>
                <w:b/>
                <w:i/>
              </w:rPr>
              <w:t>și reguli privind insolvența legate de aceste instrumente</w:t>
            </w:r>
            <w:r>
              <w:t>, care să permită investitorilor să investească într-o întreprindere fără a dobândi drepturi de control asupra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subliniază necesitatea unor căi alternative de acces la capital;</w:t>
            </w:r>
            <w:r>
              <w:t xml:space="preserve"> </w:t>
            </w:r>
            <w:r>
              <w:rPr>
                <w:b/>
                <w:i/>
              </w:rPr>
              <w:t>subliniază necesitatea unor modele alternative de finanțare pentru a atrage talente în primele etape de creare a întreprinderii;</w:t>
            </w:r>
            <w:r>
              <w:t xml:space="preserve"> </w:t>
            </w:r>
            <w:r>
              <w:rPr>
                <w:b/>
                <w:i/>
              </w:rPr>
              <w:t>solicită includerea în propunerea legislativă a unor forme opționale de proprietate fiduciară (steward ownership), blocări de active și diferite categorii de acțiuni, inclusiv acțiuni cu dublă clasă, acțiuni cu drept de veto și acțiuni preferențiale;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reiterează faptul că accesul la finanțare nu ar trebui să se limiteze la capitalul de risc, ci ar trebui să acopere și alte tipuri de investiții, inclusiv investițiile de capital și cu impact social, sistemele de pensii și fondurile publice de investiții, pentru a asigura accesul necesar la capital și pentru a ține seama de caracteristicile diferitelor forme de societăți;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atrage atenția Comisiei asupra necesității de a evalua, ca parte a inițiativelor privind cel de al 28-lea regim, fezabilitatea introducerii unui tratament fiscal coordonat la nivelul UE pentru ESSU, inclusiv amânarea impozitului pe profit pe profiturile reinvestite în activități de cercetare și dezvoltare, inovare și extindere, pentru a evita dubla impozitare și a asigura neutralitatea fiscală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subliniază că propunerea ar trebui, în general, să ofere claritate investitorilor europeni și străini în ceea ce privește investițiile transfrontaliere, cu norme armonizate;</w:t>
            </w:r>
            <w:r>
              <w:t xml:space="preserve"> </w:t>
            </w:r>
            <w:r>
              <w:rPr>
                <w:b/>
                <w:i/>
              </w:rPr>
              <w:t>solicită ca atractivitatea capitalului pentru SES să fie evaluată ca un indicator al succesului formelor de societăți;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consideră că ar trebui adoptate dispoziții pentru a facilita cooperarea întreprinderilor nou-înființate și a celor în curs de extindere cu instituțiile de cercetare pentru a sprijini spin-off-urile și transferul de cunoștințe;</w:t>
            </w:r>
            <w:r>
              <w:t xml:space="preserve"> </w:t>
            </w:r>
            <w:r>
              <w:rPr>
                <w:b/>
                <w:i/>
              </w:rPr>
              <w:t>în acest scop, crearea de ESSU ar trebui să fie pe deplin integrată cu inițiativele UE pentru a facilita accesul îmbunătățit la date în contextul cercetării;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Soluționarea litigiilor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Soluționarea litigiilor</w:t>
            </w:r>
          </w:p>
        </w:tc>
        <w:tc>
          <w:tcPr>
            <w:tcW w:w="4876" w:type="dxa"/>
            <w:tcBorders>
              <w:top w:val="nil"/>
              <w:left w:val="nil"/>
              <w:bottom w:val="nil"/>
              <w:right w:val="nil"/>
            </w:tcBorders>
          </w:tcPr>
          <w:p>
            <w:pPr>
              <w:pStyle w:val="Normal6a"/>
            </w:pPr>
            <w:r>
              <w:rPr>
                <w:b/>
                <w:i/>
              </w:rPr>
              <w:t>Atragerea talentelor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consideră că ar trebui instituit un mecanism alternativ de soluționare a litigiilor legate de ESSU, pentru a asigura soluționarea rapidă și specializată a acestora;</w:t>
            </w:r>
            <w:r>
              <w:t xml:space="preserve"> </w:t>
            </w:r>
            <w:r>
              <w:rPr>
                <w:b/>
                <w:i/>
              </w:rPr>
              <w:t>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consideră că ar trebui instituit un mecanism alternativ de soluționare a litigiilor legate de ESSU, pentru a asigura soluționarea rapidă și specializată a acestora;</w:t>
            </w:r>
            <w:r>
              <w:t xml:space="preserve"> </w:t>
            </w:r>
            <w:r>
              <w:rPr>
                <w:b/>
                <w:i/>
              </w:rPr>
              <w:t>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consideră că ar trebui instituit un mecanism alternativ de soluționare a litigiilor legate de ESSU, pentru a asigura soluționarea rapidă și specializată a acestora; 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t>23.</w:t>
            </w:r>
            <w:r>
              <w:tab/>
            </w:r>
            <w:r>
              <w:t xml:space="preserve">consideră că ar trebui instituit un mecanism alternativ de soluționare a litigiilor legate de ESSU, pentru a asigura soluționarea rapidă și specializată a acestora; 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 </w:t>
            </w:r>
            <w:r>
              <w:rPr>
                <w:b/>
                <w:i/>
              </w:rPr>
              <w:t>solicită ca acest mecanism alternativ să includă și opțiuni de mediere și arbitraj digital, posibilitatea desfășurării audierilor online și folosirea inteligenței artificiale pentru evaluarea preliminară a dosarelor, accelerând astfel soluționarea și reducând costurile pentru IMM-uri.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consideră că </w:t>
            </w:r>
            <w:r>
              <w:rPr>
                <w:b/>
                <w:i/>
              </w:rPr>
              <w:t>ar trebui</w:t>
            </w:r>
            <w:r>
              <w:t xml:space="preserve"> instituit un mecanism alternativ de soluționare a litigiilor legate de ESSU, pentru a asigura soluționarea rapidă și specializată a acestora; </w:t>
            </w:r>
            <w:r>
              <w:rPr>
                <w:b/>
                <w:i/>
              </w:rPr>
              <w:t>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t>23.</w:t>
            </w:r>
            <w:r>
              <w:tab/>
            </w:r>
            <w:r>
              <w:t xml:space="preserve">consideră că </w:t>
            </w:r>
            <w:r>
              <w:rPr>
                <w:b/>
                <w:i/>
              </w:rPr>
              <w:t>poate fi</w:t>
            </w:r>
            <w:r>
              <w:t xml:space="preserve"> instituit un mecanism alternativ de soluționare a litigiilor legate de ESSU, pentru a asigura soluționarea rapidă și specializată 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consideră că ar trebui instituit un mecanism alternativ de soluționare a litigiilor legate de ESSU, pentru a asigura soluționarea rapidă și specializată a acestora; </w:t>
            </w:r>
            <w:r>
              <w:rPr>
                <w:b/>
                <w:i/>
              </w:rPr>
              <w:t>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t>23.</w:t>
            </w:r>
            <w:r>
              <w:tab/>
            </w:r>
            <w:r>
              <w:t>consideră că ar trebui instituit un mecanism alternativ de soluționare a litigiilor legate de ESSU, pentru a asigura soluționarea rapidă și specializată 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consideră că ar trebui instituit un mecanism alternativ de soluționare a litigiilor legate de ESSU, pentru a asigura soluționarea rapidă și specializată a acestora; </w:t>
            </w:r>
            <w:r>
              <w:rPr>
                <w:b/>
                <w:i/>
              </w:rPr>
              <w:t>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t>23.</w:t>
            </w:r>
            <w:r>
              <w:tab/>
            </w:r>
            <w:r>
              <w:t xml:space="preserve">consideră că ar trebui instituit </w:t>
            </w:r>
            <w:r>
              <w:rPr>
                <w:b/>
                <w:i/>
              </w:rPr>
              <w:t>un mecanism de prevenire a litigiilor, precum și</w:t>
            </w:r>
            <w:r>
              <w:t xml:space="preserve"> un mecanism alternativ de soluționare a litigiilor </w:t>
            </w:r>
            <w:r>
              <w:rPr>
                <w:b/>
                <w:i/>
              </w:rPr>
              <w:t>pentru litigiile</w:t>
            </w:r>
            <w:r>
              <w:t xml:space="preserve"> legate de </w:t>
            </w:r>
            <w:r>
              <w:rPr>
                <w:b/>
                <w:i/>
              </w:rPr>
              <w:t>acționarii</w:t>
            </w:r>
            <w:r>
              <w:t xml:space="preserve"> ESSU, pentru a asigura soluționarea rapidă și specializată 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consideră că ar trebui instituit un mecanism alternativ de soluționare a litigiilor legate de ESSU, pentru a asigura soluționarea rapidă și specializată a acestora; consideră, de asemenea, că statele membre ar trebui să aibă în vedere introducerea unor complete specializate în cadrul instanțelor naționale, dedicate litigiilor dintre societăți legate de ESSU, și că aceste complete ar trebui să poată desfășura procedura de soluționare a litigiilor în limba engleză;</w:t>
            </w:r>
          </w:p>
        </w:tc>
        <w:tc>
          <w:tcPr>
            <w:tcW w:w="4876" w:type="dxa"/>
            <w:tcBorders>
              <w:top w:val="nil"/>
              <w:left w:val="nil"/>
              <w:bottom w:val="nil"/>
              <w:right w:val="nil"/>
            </w:tcBorders>
          </w:tcPr>
          <w:p>
            <w:pPr>
              <w:pStyle w:val="Normal6a"/>
            </w:pPr>
            <w:r>
              <w:t>23.</w:t>
            </w:r>
            <w:r>
              <w:tab/>
            </w:r>
            <w:r>
              <w:t xml:space="preserve">consideră că ar trebui instituit un mecanism alternativ de soluționare a litigiilor legate de ESSU, pentru a asigura soluționarea rapidă și specializată a acestora; consideră, de asemenea, că statele membre ar trebui să aibă în vedere introducerea unor complete specializate în cadrul instanțelor naționale, dedicate litigiilor dintre societăți legate de ESSU </w:t>
            </w:r>
            <w:r>
              <w:rPr>
                <w:b/>
                <w:i/>
              </w:rPr>
              <w:t>care să poată lua hotărâri rapide și eficace</w:t>
            </w:r>
            <w:r>
              <w:t>, și că aceste complete ar trebui să poată desfășura procedura de soluționare a litigiilor</w:t>
            </w:r>
            <w:r>
              <w:rPr>
                <w:b/>
                <w:i/>
              </w:rPr>
              <w:t>, la cererea a cel puțin uneia dintre părți, și</w:t>
            </w:r>
            <w:r>
              <w:t xml:space="preserve"> în limba engleză;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subliniază că atragerea talentelor de vârf este esențială pentru creștere și inovare și că întreprinderile se confruntă adesea cu dificultăți în a oferi stimulente financiare adecvate angajaților lor;</w:t>
            </w:r>
            <w:r>
              <w:t xml:space="preserve"> </w:t>
            </w:r>
            <w:r>
              <w:rPr>
                <w:b/>
                <w:i/>
              </w:rPr>
              <w:t>subliniază că ESSU ar trebui să prevadă norme opționale armonizate în întreaga Uniune pentru planurile de opțiuni pe acțiuni ale angajaților („ESOP”), sprijinite de un intermediar specific;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subliniază că introducerea formularului de societate de tip ESSU ar trebui să le permită întreprinderilor să angajeze și să gestioneze în mod direct talentele din diferite state membre, fără a fi nevoie să recurgă la angajatori sau intermediari similari;</w:t>
            </w:r>
            <w:r>
              <w:t xml:space="preserve"> </w:t>
            </w:r>
            <w:r>
              <w:rPr>
                <w:b/>
                <w:i/>
              </w:rPr>
              <w:t>subliniază că această capacitate transfrontalieră raționalizată de ocupare a forței de muncă va reduce sarcinile administrative și va facilita libera circulație a lucrătorilor și a serviciilor în cadrul Uniunii, cu respectarea deplină a legislației naționale aplicabile în domeniul muncii și al securității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solicită Comisiei ca, până în primul trimestru al anului 2026, în temeiul articolelor 50 și 114 din TFUE, să prezinte o propunere de directivă în conformitate cu recomandările din anexă</w:t>
            </w:r>
            <w:r>
              <w:rPr>
                <w:b/>
                <w:i/>
              </w:rPr>
              <w:t>;</w:t>
            </w:r>
          </w:p>
        </w:tc>
        <w:tc>
          <w:tcPr>
            <w:tcW w:w="4876" w:type="dxa"/>
            <w:tcBorders>
              <w:top w:val="nil"/>
              <w:left w:val="nil"/>
              <w:bottom w:val="nil"/>
              <w:right w:val="nil"/>
            </w:tcBorders>
          </w:tcPr>
          <w:p>
            <w:pPr>
              <w:pStyle w:val="Normal6a"/>
            </w:pPr>
            <w:r>
              <w:t>24.</w:t>
            </w:r>
            <w:r>
              <w:tab/>
            </w:r>
            <w:r>
              <w:t xml:space="preserve">solicită Comisiei ca, până în primul trimestru al anului 2026, în temeiul articolelor 50 și 114 din TFUE, să prezinte o propunere de directivă în conformitate cu recomandările din anexă </w:t>
            </w:r>
            <w:r>
              <w:rPr>
                <w:b/>
                <w:i/>
              </w:rPr>
              <w:t>și recomandă Comisiei ca, odată cu propunerea, să prezinte și un plan de implementare etapizat care să includă suport pentru statele membre cu resurse limitate și măsuri de evaluare periodică a impactului.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solicită Comisiei ca, până în primul trimestru al anului 2026, în temeiul </w:t>
            </w:r>
            <w:r>
              <w:rPr>
                <w:b/>
                <w:i/>
              </w:rPr>
              <w:t>articolelor 50 și 114 din TFUE</w:t>
            </w:r>
            <w:r>
              <w:t xml:space="preserve">, să prezinte o propunere de </w:t>
            </w:r>
            <w:r>
              <w:rPr>
                <w:b/>
                <w:i/>
              </w:rPr>
              <w:t>directivă</w:t>
            </w:r>
            <w:r>
              <w:t xml:space="preserve"> în conformitate cu recomandările din anexă;</w:t>
            </w:r>
          </w:p>
        </w:tc>
        <w:tc>
          <w:tcPr>
            <w:tcW w:w="4876" w:type="dxa"/>
            <w:tcBorders>
              <w:top w:val="nil"/>
              <w:left w:val="nil"/>
              <w:bottom w:val="nil"/>
              <w:right w:val="nil"/>
            </w:tcBorders>
          </w:tcPr>
          <w:p>
            <w:pPr>
              <w:pStyle w:val="Normal6a"/>
            </w:pPr>
            <w:r>
              <w:t>24.</w:t>
            </w:r>
            <w:r>
              <w:tab/>
            </w:r>
            <w:r>
              <w:t xml:space="preserve">solicită Comisiei ca, până în primul trimestru al anului 2026, în temeiul </w:t>
            </w:r>
            <w:r>
              <w:rPr>
                <w:b/>
                <w:i/>
              </w:rPr>
              <w:t>articolului 352 alineatul (1)</w:t>
            </w:r>
            <w:r>
              <w:t xml:space="preserve">, să prezinte o propunere de </w:t>
            </w:r>
            <w:r>
              <w:rPr>
                <w:b/>
                <w:i/>
              </w:rPr>
              <w:t>regulament</w:t>
            </w:r>
            <w:r>
              <w:t xml:space="preserve"> în conformitate cu recomandările din anexă;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solicită Comisiei ca, până în primul trimestru al anului 2026, </w:t>
            </w:r>
            <w:r>
              <w:rPr>
                <w:b/>
                <w:i/>
              </w:rPr>
              <w:t>în temeiul articolelor 50 și 114 din TFUE,</w:t>
            </w:r>
            <w:r>
              <w:t xml:space="preserve"> să prezinte o propunere de </w:t>
            </w:r>
            <w:r>
              <w:rPr>
                <w:b/>
                <w:i/>
              </w:rPr>
              <w:t>directivă</w:t>
            </w:r>
            <w:r>
              <w:t xml:space="preserve"> în conformitate cu recomandările din anexă;</w:t>
            </w:r>
          </w:p>
        </w:tc>
        <w:tc>
          <w:tcPr>
            <w:tcW w:w="4876" w:type="dxa"/>
            <w:tcBorders>
              <w:top w:val="nil"/>
              <w:left w:val="nil"/>
              <w:bottom w:val="nil"/>
              <w:right w:val="nil"/>
            </w:tcBorders>
          </w:tcPr>
          <w:p>
            <w:pPr>
              <w:pStyle w:val="Normal6a"/>
            </w:pPr>
            <w:r>
              <w:t>24.</w:t>
            </w:r>
            <w:r>
              <w:tab/>
            </w:r>
            <w:r>
              <w:t xml:space="preserve">solicită Comisiei ca, până în primul trimestru al anului 2026, să prezinte o propunere de </w:t>
            </w:r>
            <w:r>
              <w:rPr>
                <w:b/>
                <w:i/>
              </w:rPr>
              <w:t>regulament</w:t>
            </w:r>
            <w:r>
              <w:t xml:space="preserve"> în conformitate cu recomandările din anexă;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solicită Comisiei ca, până în primul trimestru al anului 2026, </w:t>
            </w:r>
            <w:r>
              <w:rPr>
                <w:b/>
                <w:i/>
              </w:rPr>
              <w:t>în temeiul articolelor 50 și 114 din TFUE,</w:t>
            </w:r>
            <w:r>
              <w:t xml:space="preserve"> să prezinte o propunere de </w:t>
            </w:r>
            <w:r>
              <w:rPr>
                <w:b/>
                <w:i/>
              </w:rPr>
              <w:t>directivă</w:t>
            </w:r>
            <w:r>
              <w:t xml:space="preserve"> în conformitate cu recomandările din anexă;</w:t>
            </w:r>
          </w:p>
        </w:tc>
        <w:tc>
          <w:tcPr>
            <w:tcW w:w="4876" w:type="dxa"/>
            <w:tcBorders>
              <w:top w:val="nil"/>
              <w:left w:val="nil"/>
              <w:bottom w:val="nil"/>
              <w:right w:val="nil"/>
            </w:tcBorders>
          </w:tcPr>
          <w:p>
            <w:pPr>
              <w:pStyle w:val="Normal6a"/>
            </w:pPr>
            <w:r>
              <w:t>24.</w:t>
            </w:r>
            <w:r>
              <w:tab/>
            </w:r>
            <w:r>
              <w:t xml:space="preserve">solicită Comisiei ca, până în primul trimestru al anului 2026, să prezinte o propunere de </w:t>
            </w:r>
            <w:r>
              <w:rPr>
                <w:b/>
                <w:i/>
              </w:rPr>
              <w:t>regulament</w:t>
            </w:r>
            <w:r>
              <w:t xml:space="preserve"> în conformitate cu recomandările din anexă</w:t>
            </w:r>
            <w:r>
              <w:rPr>
                <w:b/>
                <w:i/>
              </w:rPr>
              <w:t>, în conformitate cu principiile privind o mai bună legiferare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solicită Comisiei ca, până în primul trimestru al anului 2026, în temeiul </w:t>
            </w:r>
            <w:r>
              <w:rPr>
                <w:b/>
                <w:i/>
              </w:rPr>
              <w:t>articolelor 50 și 114</w:t>
            </w:r>
            <w:r>
              <w:t xml:space="preserve"> din TFUE, să prezinte o propunere de directivă în conformitate cu recomandările din anexă;</w:t>
            </w:r>
          </w:p>
        </w:tc>
        <w:tc>
          <w:tcPr>
            <w:tcW w:w="4876" w:type="dxa"/>
            <w:tcBorders>
              <w:top w:val="nil"/>
              <w:left w:val="nil"/>
              <w:bottom w:val="nil"/>
              <w:right w:val="nil"/>
            </w:tcBorders>
          </w:tcPr>
          <w:p>
            <w:pPr>
              <w:pStyle w:val="Normal6a"/>
            </w:pPr>
            <w:r>
              <w:t>24.</w:t>
            </w:r>
            <w:r>
              <w:tab/>
            </w:r>
            <w:r>
              <w:t xml:space="preserve">solicită Comisiei ca, până în primul trimestru al anului 2026, în temeiul </w:t>
            </w:r>
            <w:r>
              <w:rPr>
                <w:b/>
                <w:i/>
              </w:rPr>
              <w:t>articolului 50</w:t>
            </w:r>
            <w:r>
              <w:t xml:space="preserve"> din TFUE, să prezinte o propunere de directivă în conformitate cu recomandările din anexă;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Parlamentul propune ca forma juridică de societate comercială care face obiectul celui de al 28-lea regim să fie denumită „European Start-Up and Scale-Up” [întreprindere europeană nou înființată sau în fază de extindere] (ESSU). ESSU nu ar trebui să fie o formă juridică de societate comercială autonomă la nivel paneuropean, ci o formă juridică națională în toate statele membre, care trebuie să constea în anumite elemente armonizate de dreptul Uniunii. Abrevierea ESSU ar trebui adăugată la abrevierile naționale existente ale formelor juridice de societăți comerciale.</w:t>
            </w:r>
          </w:p>
        </w:tc>
        <w:tc>
          <w:tcPr>
            <w:tcW w:w="4876" w:type="dxa"/>
            <w:tcBorders>
              <w:top w:val="nil"/>
              <w:left w:val="nil"/>
              <w:bottom w:val="nil"/>
              <w:right w:val="nil"/>
            </w:tcBorders>
          </w:tcPr>
          <w:p>
            <w:pPr>
              <w:pStyle w:val="Normal6a"/>
            </w:pPr>
            <w:r>
              <w:t xml:space="preserve">Parlamentul propune ca forma juridică de societate comercială care face obiectul celui de al 28-lea regim să fie denumită „European Start-Up and Scale-Up” [întreprindere europeană nou înființată sau în fază de extindere] (ESSU). </w:t>
            </w:r>
            <w:r>
              <w:rPr>
                <w:b/>
                <w:i/>
              </w:rPr>
              <w:t>Pentru a atinge obiective ambițioase în fond, Parlamentul insistă asupra adoptării ESSU cu un temei juridic care să prevadă procedura legislativă ordinară cu votul cu majoritate calificată în Consiliu.</w:t>
            </w:r>
            <w:r>
              <w:t xml:space="preserve"> </w:t>
            </w:r>
            <w:r>
              <w:rPr>
                <w:b/>
                <w:i/>
              </w:rPr>
              <w:t>Prin urmare, este posibil ca ESSU să trebuiască să fie adoptat printr-un set de acte juridice în locul unui singur act juridic cuprinzător.</w:t>
            </w:r>
            <w:r>
              <w:t xml:space="preserve"> </w:t>
            </w:r>
            <w:r>
              <w:rPr>
                <w:b/>
                <w:i/>
              </w:rPr>
              <w:t>Elementele dreptului societăților comerciale vor trebui adoptate în temeiul articolului 50 și al articolului 114 alineatul (1) din TFUE, care permit doar adoptarea de directive.</w:t>
            </w:r>
            <w:r>
              <w:t xml:space="preserve"> </w:t>
            </w:r>
            <w:r>
              <w:rPr>
                <w:b/>
                <w:i/>
              </w:rPr>
              <w:t>În acest context,</w:t>
            </w:r>
            <w:r>
              <w:t xml:space="preserve"> ESSU nu ar trebui să fie o formă juridică de societate comercială autonomă la nivel paneuropean, ci o formă juridică națională în toate statele membre, care trebuie să constea în anumite elemente armonizate de dreptul Uniunii. Abrevierea ESSU ar trebui adăugată la abrevierile naționale existente ale formelor juridice de societăți comerciale.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Parlamentul propune ca forma juridică de societate comercială care face obiectul celui de al 28-lea regim să fie denumită „European Start-Up and Scale-Up” [întreprindere europeană nou înființată sau în fază de extindere] (ESSU). </w:t>
            </w:r>
            <w:r>
              <w:rPr>
                <w:b/>
                <w:i/>
              </w:rPr>
              <w:t>ESSU nu ar trebui să fie o formă juridică de societate comercială autonomă la nivel paneuropean, ci o formă juridică națională în toate statele membre, care trebuie să constea în anumite elemente armonizate de dreptul Uniunii.</w:t>
            </w:r>
            <w:r>
              <w:t xml:space="preserve"> </w:t>
            </w:r>
            <w:r>
              <w:rPr>
                <w:b/>
                <w:i/>
              </w:rPr>
              <w:t>Abrevierea ESSU ar trebui adăugată la abrevierile naționale existente ale formelor juridice de societăți comerciale.</w:t>
            </w:r>
          </w:p>
        </w:tc>
        <w:tc>
          <w:tcPr>
            <w:tcW w:w="4876" w:type="dxa"/>
            <w:tcBorders>
              <w:top w:val="nil"/>
              <w:left w:val="nil"/>
              <w:bottom w:val="nil"/>
              <w:right w:val="nil"/>
            </w:tcBorders>
          </w:tcPr>
          <w:p>
            <w:pPr>
              <w:pStyle w:val="Normal6a"/>
            </w:pPr>
            <w:r>
              <w:t>Parlamentul propune ca forma juridică de societate comercială care face obiectul celui de al 28-lea regim să fie denumită „European Start-Up and Scale-Up” [întreprindere europeană nou înființată sau în fază de extindere]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Parlamentul propune ca forma juridică de societate comercială care face obiectul celui de al 28-lea regim să fie denumită „European Start-Up and Scale-Up” [întreprindere europeană nou înființată sau în fază de extindere] (ESSU). </w:t>
            </w:r>
            <w:r>
              <w:rPr>
                <w:b/>
                <w:i/>
              </w:rPr>
              <w:t>ESSU nu ar trebui să fie o formă juridică de societate comercială autonomă la nivel paneuropean, ci o formă juridică națională în toate statele membre, care trebuie să constea în anumite elemente armonizate de dreptul Uniunii.</w:t>
            </w:r>
            <w:r>
              <w:t xml:space="preserve"> </w:t>
            </w:r>
            <w:r>
              <w:rPr>
                <w:b/>
                <w:i/>
              </w:rPr>
              <w:t>Abrevierea ESSU ar trebui adăugată la abrevierile naționale existente ale formelor juridice de societăți comerciale.</w:t>
            </w:r>
          </w:p>
        </w:tc>
        <w:tc>
          <w:tcPr>
            <w:tcW w:w="4876" w:type="dxa"/>
            <w:tcBorders>
              <w:top w:val="nil"/>
              <w:left w:val="nil"/>
              <w:bottom w:val="nil"/>
              <w:right w:val="nil"/>
            </w:tcBorders>
          </w:tcPr>
          <w:p>
            <w:pPr>
              <w:pStyle w:val="Normal6a"/>
            </w:pPr>
            <w:r>
              <w:t>Parlamentul propune ca forma juridică de societate comercială care face obiectul celui de al 28-lea regim să fie denumită „European Start-Up and Scale-Up” [întreprindere europeană nou înființată sau în fază de extindere]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Parlamentul propune ca forma juridică de societate comercială care face obiectul celui de al 28-lea regim să fie denumită „European </w:t>
            </w:r>
            <w:r>
              <w:rPr>
                <w:b/>
                <w:i/>
              </w:rPr>
              <w:t>Start-Up and Scale-Up” [întreprindere europeană nou înființată sau în fază de extindere]</w:t>
            </w:r>
            <w:r>
              <w:t xml:space="preserve"> (</w:t>
            </w:r>
            <w:r>
              <w:rPr>
                <w:b/>
                <w:i/>
              </w:rPr>
              <w:t>ESSU</w:t>
            </w:r>
            <w:r>
              <w:t xml:space="preserve">). </w:t>
            </w:r>
            <w:r>
              <w:rPr>
                <w:b/>
                <w:i/>
              </w:rPr>
              <w:t>ESSU</w:t>
            </w:r>
            <w:r>
              <w:t xml:space="preserve"> nu ar trebui să fie o formă juridică de societate comercială autonomă la nivel paneuropean, ci o formă juridică națională în toate statele membre, care trebuie să constea în </w:t>
            </w:r>
            <w:r>
              <w:rPr>
                <w:b/>
                <w:i/>
              </w:rPr>
              <w:t>anumite elemente</w:t>
            </w:r>
            <w:r>
              <w:t xml:space="preserve"> armonizate de dreptul Uniunii. Abrevierea </w:t>
            </w:r>
            <w:r>
              <w:rPr>
                <w:b/>
                <w:i/>
              </w:rPr>
              <w:t>ESSU</w:t>
            </w:r>
            <w:r>
              <w:t xml:space="preserve"> ar trebui adăugată la abrevierile naționale existente ale formelor juridice de societăți comerciale.</w:t>
            </w:r>
          </w:p>
        </w:tc>
        <w:tc>
          <w:tcPr>
            <w:tcW w:w="4876" w:type="dxa"/>
            <w:tcBorders>
              <w:top w:val="nil"/>
              <w:left w:val="nil"/>
              <w:bottom w:val="nil"/>
              <w:right w:val="nil"/>
            </w:tcBorders>
          </w:tcPr>
          <w:p>
            <w:pPr>
              <w:pStyle w:val="Normal6a"/>
            </w:pPr>
            <w:r>
              <w:t>Parlamentul propune ca forma juridică de societate comercială care face obiectul celui de al 28-lea regim să fie denumită „</w:t>
            </w:r>
            <w:r>
              <w:rPr>
                <w:b/>
                <w:i/>
              </w:rPr>
              <w:t>Statut</w:t>
            </w:r>
            <w:r>
              <w:t xml:space="preserve"> european </w:t>
            </w:r>
            <w:r>
              <w:rPr>
                <w:b/>
                <w:i/>
              </w:rPr>
              <w:t>simplificat”</w:t>
            </w:r>
            <w:r>
              <w:t xml:space="preserve"> (</w:t>
            </w:r>
            <w:r>
              <w:rPr>
                <w:b/>
                <w:i/>
              </w:rPr>
              <w:t>SES</w:t>
            </w:r>
            <w:r>
              <w:t xml:space="preserve">). </w:t>
            </w:r>
            <w:r>
              <w:rPr>
                <w:b/>
                <w:i/>
              </w:rPr>
              <w:t>SES</w:t>
            </w:r>
            <w:r>
              <w:t xml:space="preserve"> nu ar trebui să fie o formă juridică de societate comercială autonomă la nivel paneuropean, ci o formă juridică națională în toate statele membre, care trebuie să constea în </w:t>
            </w:r>
            <w:r>
              <w:rPr>
                <w:b/>
                <w:i/>
              </w:rPr>
              <w:t>majoritatea elementelor</w:t>
            </w:r>
            <w:r>
              <w:t xml:space="preserve"> armonizate de dreptul Uniunii</w:t>
            </w:r>
            <w:r>
              <w:rPr>
                <w:b/>
                <w:i/>
              </w:rPr>
              <w:t>, pentru a evita suprareglementarea și diversitatea SES naționale, ceea ce ar contraveni obiectivului celui de-al 28-lea regim</w:t>
            </w:r>
            <w:r>
              <w:t xml:space="preserve">. Abrevierea </w:t>
            </w:r>
            <w:r>
              <w:rPr>
                <w:b/>
                <w:i/>
              </w:rPr>
              <w:t>SES</w:t>
            </w:r>
            <w:r>
              <w:t xml:space="preserve"> ar trebui adăugată la abrevierile naționale existente ale formelor juridice de societăți comerciale.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ar trebui </w:t>
            </w:r>
            <w:r>
              <w:rPr>
                <w:b/>
                <w:i/>
              </w:rPr>
              <w:t>să se bazeze pe formele de societăți comerciale instituite</w:t>
            </w:r>
            <w:r>
              <w:t xml:space="preserve"> în temeiul dreptului </w:t>
            </w:r>
            <w:r>
              <w:rPr>
                <w:b/>
                <w:i/>
              </w:rPr>
              <w:t>național.</w:t>
            </w:r>
            <w:r>
              <w:t xml:space="preserve"> </w:t>
            </w:r>
            <w:r>
              <w:rPr>
                <w:b/>
                <w:i/>
              </w:rPr>
              <w:t>Statele membre ar trebui să aibă libertatea de a alege dacă permit transformarea formelor juridice naționale existente într-o ESSU sau dacă optează pentru crearea unei noi forme</w:t>
            </w:r>
            <w:r>
              <w:t xml:space="preserve"> juridice de societate comercială la nivel național. Fondatorii sau proprietarii unei forme juridice de societate comercială care există la nivel național ar trebui să aibă posibilitatea de a participa în mod voluntar la noul regim, ceea ce ar permite utilizarea denumirii de societate „ESSU”.</w:t>
            </w:r>
          </w:p>
        </w:tc>
        <w:tc>
          <w:tcPr>
            <w:tcW w:w="4876" w:type="dxa"/>
            <w:tcBorders>
              <w:top w:val="nil"/>
              <w:left w:val="nil"/>
              <w:bottom w:val="nil"/>
              <w:right w:val="nil"/>
            </w:tcBorders>
          </w:tcPr>
          <w:p>
            <w:pPr>
              <w:pStyle w:val="Normal6a"/>
            </w:pPr>
            <w:r>
              <w:rPr>
                <w:b/>
                <w:i/>
              </w:rPr>
              <w:t>„ESSU” va introduce un regim de reglementare și o formă de societate europeană nouă și autonomă și</w:t>
            </w:r>
            <w:r>
              <w:t xml:space="preserve"> ar trebui </w:t>
            </w:r>
            <w:r>
              <w:rPr>
                <w:b/>
                <w:i/>
              </w:rPr>
              <w:t>definită,</w:t>
            </w:r>
            <w:r>
              <w:t xml:space="preserve"> în temeiul dreptului </w:t>
            </w:r>
            <w:r>
              <w:rPr>
                <w:b/>
                <w:i/>
              </w:rPr>
              <w:t>Uniunii și al articolului 352 alineatul (1) din TFUE, prin instrumentul legislativ al regulamentului, fără a impune transpunerea în formele</w:t>
            </w:r>
            <w:r>
              <w:t xml:space="preserve"> juridice de societate comercială la nivel național</w:t>
            </w:r>
            <w:r>
              <w:rPr>
                <w:b/>
                <w:i/>
              </w:rPr>
              <w:t>.</w:t>
            </w:r>
            <w:r>
              <w:t xml:space="preserve"> </w:t>
            </w:r>
            <w:r>
              <w:rPr>
                <w:b/>
                <w:i/>
              </w:rPr>
              <w:t>Constituirea unei ESSU se va face prin intermediul unui registru unic la nivelul UE, cu efect juridic în întreaga Uniune</w:t>
            </w:r>
            <w:r>
              <w:t xml:space="preserve">. Fondatorii sau proprietarii unei forme juridice de societate comercială care există la nivel național ar trebui să aibă posibilitatea de a participa în mod voluntar la noul regim </w:t>
            </w:r>
            <w:r>
              <w:rPr>
                <w:b/>
                <w:i/>
              </w:rPr>
              <w:t>printr-o transformare structurată în conformitate cu cerințele legale aplicabile</w:t>
            </w:r>
            <w:r>
              <w:t>, ceea ce ar permite utilizarea denumirii de societate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ar trebui să se bazeze pe formele de societăți </w:t>
            </w:r>
            <w:r>
              <w:rPr>
                <w:b/>
                <w:i/>
              </w:rPr>
              <w:t>comerciale</w:t>
            </w:r>
            <w:r>
              <w:t xml:space="preserve"> instituite în temeiul </w:t>
            </w:r>
            <w:r>
              <w:rPr>
                <w:b/>
                <w:i/>
              </w:rPr>
              <w:t>dreptului național</w:t>
            </w:r>
            <w:r>
              <w:t xml:space="preserve">. Statele membre ar trebui să </w:t>
            </w:r>
            <w:r>
              <w:rPr>
                <w:b/>
                <w:i/>
              </w:rPr>
              <w:t>aibă libertatea de a alege</w:t>
            </w:r>
            <w:r>
              <w:t xml:space="preserve"> dacă permit </w:t>
            </w:r>
            <w:r>
              <w:rPr>
                <w:b/>
                <w:i/>
              </w:rPr>
              <w:t>transformarea</w:t>
            </w:r>
            <w:r>
              <w:t xml:space="preserve"> formelor </w:t>
            </w:r>
            <w:r>
              <w:rPr>
                <w:b/>
                <w:i/>
              </w:rPr>
              <w:t>juridice</w:t>
            </w:r>
            <w:r>
              <w:t xml:space="preserve"> naționale existente într-o ESSU </w:t>
            </w:r>
            <w:r>
              <w:rPr>
                <w:b/>
                <w:i/>
              </w:rPr>
              <w:t>sau dacă optează pentru crearea unei noi forme juridice de societate comercială la nivel național.</w:t>
            </w:r>
            <w:r>
              <w:t xml:space="preserve"> </w:t>
            </w:r>
            <w:r>
              <w:rPr>
                <w:b/>
                <w:i/>
              </w:rPr>
              <w:t>Fondatorii sau proprietarii unei forme juridice</w:t>
            </w:r>
            <w:r>
              <w:t xml:space="preserve"> de societate </w:t>
            </w:r>
            <w:r>
              <w:rPr>
                <w:b/>
                <w:i/>
              </w:rPr>
              <w:t>comercială care există la nivel național ar trebui să aibă posibilitatea de a participa în mod voluntar la noul regim, ceea ce ar permite utilizarea denumirii de societate „ESSU”</w:t>
            </w:r>
            <w:r>
              <w:t>.</w:t>
            </w:r>
          </w:p>
        </w:tc>
        <w:tc>
          <w:tcPr>
            <w:tcW w:w="4876" w:type="dxa"/>
            <w:tcBorders>
              <w:top w:val="nil"/>
              <w:left w:val="nil"/>
              <w:bottom w:val="nil"/>
              <w:right w:val="nil"/>
            </w:tcBorders>
          </w:tcPr>
          <w:p>
            <w:pPr>
              <w:pStyle w:val="Normal6a"/>
            </w:pPr>
            <w:r>
              <w:rPr>
                <w:b/>
                <w:i/>
              </w:rPr>
              <w:t>SES</w:t>
            </w:r>
            <w:r>
              <w:t xml:space="preserve"> ar trebui să se bazeze pe formele de societăți </w:t>
            </w:r>
            <w:r>
              <w:rPr>
                <w:b/>
                <w:i/>
              </w:rPr>
              <w:t>cu răspundere limitată deja</w:t>
            </w:r>
            <w:r>
              <w:t xml:space="preserve"> instituite în temeiul </w:t>
            </w:r>
            <w:r>
              <w:rPr>
                <w:b/>
                <w:i/>
              </w:rPr>
              <w:t>legislației naționale și așa cum se prevede în Directiva (UE) 2017/1132, în Directiva 2009/102/CE și în Directiva 2013/34/UE</w:t>
            </w:r>
            <w:r>
              <w:t xml:space="preserve">. Statele membre ar trebui să </w:t>
            </w:r>
            <w:r>
              <w:rPr>
                <w:b/>
                <w:i/>
              </w:rPr>
              <w:t>fie libere să decidă</w:t>
            </w:r>
            <w:r>
              <w:t xml:space="preserve"> dacă permit formelor naționale existente </w:t>
            </w:r>
            <w:r>
              <w:rPr>
                <w:b/>
                <w:i/>
              </w:rPr>
              <w:t>de societăți cu răspundere limitată să fie etichetate ca ESSU sau transformate</w:t>
            </w:r>
            <w:r>
              <w:t xml:space="preserve"> într-o ESSU</w:t>
            </w:r>
            <w:r>
              <w:rPr>
                <w:b/>
                <w:i/>
              </w:rPr>
              <w:t>, ori să creeze o nouă formă</w:t>
            </w:r>
            <w:r>
              <w:t xml:space="preserve"> de societate </w:t>
            </w:r>
            <w:r>
              <w:rPr>
                <w:b/>
                <w:i/>
              </w:rPr>
              <w:t>cu răspundere limitată în temeiul dreptului intern care să fie supusă acquis-ului aplicabil societăților cu răspundere limitată și, în special, Directivei (UE) 2017/1132, Directivei 2009/102/CE și Directivei 2013/34/UE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ar trebui să se bazeze pe formele de societăți comerciale instituite în temeiul dreptului național.</w:t>
            </w:r>
            <w:r>
              <w:t xml:space="preserve"> Statele membre ar trebui să </w:t>
            </w:r>
            <w:r>
              <w:rPr>
                <w:b/>
                <w:i/>
              </w:rPr>
              <w:t>aibă libertatea de a alege dacă permit transformarea formelor juridice naționale existente într-o ESSU sau dacă optează pentru crearea unei noi forme juridice</w:t>
            </w:r>
            <w:r>
              <w:t xml:space="preserve"> de societate </w:t>
            </w:r>
            <w:r>
              <w:rPr>
                <w:b/>
                <w:i/>
              </w:rPr>
              <w:t>comercială</w:t>
            </w:r>
            <w:r>
              <w:t xml:space="preserve"> la nivel național. Fondatorii sau proprietarii unei forme juridice de societate comercială care există la nivel național ar trebui să aibă posibilitatea de a participa în mod voluntar la noul regim, ceea ce ar permite utilizarea denumirii de societate „ESSU”.</w:t>
            </w:r>
          </w:p>
        </w:tc>
        <w:tc>
          <w:tcPr>
            <w:tcW w:w="4876" w:type="dxa"/>
            <w:tcBorders>
              <w:top w:val="nil"/>
              <w:left w:val="nil"/>
              <w:bottom w:val="nil"/>
              <w:right w:val="nil"/>
            </w:tcBorders>
          </w:tcPr>
          <w:p>
            <w:pPr>
              <w:pStyle w:val="Normal6a"/>
            </w:pPr>
            <w:r>
              <w:t xml:space="preserve">Statele membre ar trebui să </w:t>
            </w:r>
            <w:r>
              <w:rPr>
                <w:b/>
                <w:i/>
              </w:rPr>
              <w:t>creeze o nouă formă</w:t>
            </w:r>
            <w:r>
              <w:t xml:space="preserve"> de societate la nivel național </w:t>
            </w:r>
            <w:r>
              <w:rPr>
                <w:b/>
                <w:i/>
              </w:rPr>
              <w:t>– ESSU</w:t>
            </w:r>
            <w:r>
              <w:t>. Fondatorii sau proprietarii unei forme juridice de societate comercială care există la nivel național ar trebui să aibă posibilitatea de a participa în mod voluntar la noul regim, ceea ce ar permite utilizarea denumirii de societate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ar trebui să se bazeze pe formele de societăți comerciale instituite în temeiul dreptului național.</w:t>
            </w:r>
            <w:r>
              <w:t xml:space="preserve"> Statele membre ar trebui să </w:t>
            </w:r>
            <w:r>
              <w:rPr>
                <w:b/>
                <w:i/>
              </w:rPr>
              <w:t>aibă libertatea de a alege dacă permit transformarea formelor juridice naționale existente într-o ESSU sau dacă optează pentru crearea unei noi forme juridice</w:t>
            </w:r>
            <w:r>
              <w:t xml:space="preserve"> de societate </w:t>
            </w:r>
            <w:r>
              <w:rPr>
                <w:b/>
                <w:i/>
              </w:rPr>
              <w:t>comercială</w:t>
            </w:r>
            <w:r>
              <w:t xml:space="preserve"> la nivel național. Fondatorii sau proprietarii unei forme juridice de societate comercială care există la nivel național ar trebui să aibă posibilitatea de a participa în mod voluntar la noul regim, ceea ce ar permite utilizarea denumirii de societate „ESSU”.</w:t>
            </w:r>
          </w:p>
        </w:tc>
        <w:tc>
          <w:tcPr>
            <w:tcW w:w="4876" w:type="dxa"/>
            <w:tcBorders>
              <w:top w:val="nil"/>
              <w:left w:val="nil"/>
              <w:bottom w:val="nil"/>
              <w:right w:val="nil"/>
            </w:tcBorders>
          </w:tcPr>
          <w:p>
            <w:pPr>
              <w:pStyle w:val="Normal6a"/>
            </w:pPr>
            <w:r>
              <w:t xml:space="preserve">Statele membre ar trebui să </w:t>
            </w:r>
            <w:r>
              <w:rPr>
                <w:b/>
                <w:i/>
              </w:rPr>
              <w:t>creeze ESSU ca o nouă formă</w:t>
            </w:r>
            <w:r>
              <w:t xml:space="preserve"> de societate la nivel național. Fondatorii sau proprietarii unei forme juridice de societate comercială care există la nivel național ar trebui să aibă posibilitatea de a participa în mod voluntar la noul regim, ceea ce ar permite utilizarea denumirii de societate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ar trebui să se bazeze pe formele de societăți </w:t>
            </w:r>
            <w:r>
              <w:rPr>
                <w:b/>
                <w:i/>
              </w:rPr>
              <w:t>comerciale instituite în temeiul dreptului</w:t>
            </w:r>
            <w:r>
              <w:t xml:space="preserve"> național. Statele membre ar trebui să </w:t>
            </w:r>
            <w:r>
              <w:rPr>
                <w:b/>
                <w:i/>
              </w:rPr>
              <w:t>aibă libertatea de a alege</w:t>
            </w:r>
            <w:r>
              <w:t xml:space="preserve"> dacă permit </w:t>
            </w:r>
            <w:r>
              <w:rPr>
                <w:b/>
                <w:i/>
              </w:rPr>
              <w:t>transformarea</w:t>
            </w:r>
            <w:r>
              <w:t xml:space="preserve"> formelor </w:t>
            </w:r>
            <w:r>
              <w:rPr>
                <w:b/>
                <w:i/>
              </w:rPr>
              <w:t>juridice</w:t>
            </w:r>
            <w:r>
              <w:t xml:space="preserve"> naționale existente într-o ESSU </w:t>
            </w:r>
            <w:r>
              <w:rPr>
                <w:b/>
                <w:i/>
              </w:rPr>
              <w:t>sau dacă optează pentru crearea unei noi forme juridice de societate comercială la nivel național.</w:t>
            </w:r>
            <w:r>
              <w:t xml:space="preserve"> </w:t>
            </w:r>
            <w:r>
              <w:rPr>
                <w:b/>
                <w:i/>
              </w:rPr>
              <w:t>Fondatorii sau proprietarii unei forme juridice</w:t>
            </w:r>
            <w:r>
              <w:t xml:space="preserve"> de societate </w:t>
            </w:r>
            <w:r>
              <w:rPr>
                <w:b/>
                <w:i/>
              </w:rPr>
              <w:t>comercială care există la nivel național ar trebui să aibă posibilitatea de a participa în mod voluntar la noul regim, ceea ce ar permite utilizarea denumirii de societate „ESSU”.</w:t>
            </w:r>
          </w:p>
        </w:tc>
        <w:tc>
          <w:tcPr>
            <w:tcW w:w="4876" w:type="dxa"/>
            <w:tcBorders>
              <w:top w:val="nil"/>
              <w:left w:val="nil"/>
              <w:bottom w:val="nil"/>
              <w:right w:val="nil"/>
            </w:tcBorders>
          </w:tcPr>
          <w:p>
            <w:pPr>
              <w:pStyle w:val="Normal6a"/>
            </w:pPr>
            <w:r>
              <w:t xml:space="preserve">ESSU ar trebui să se bazeze pe formele de societăți </w:t>
            </w:r>
            <w:r>
              <w:rPr>
                <w:b/>
                <w:i/>
              </w:rPr>
              <w:t>cu răspundere limitată enumerate în anexele la Directiva (UE) 2017/1132, Directiva 2009/102/CE și Directiva 2013/34/UE, astfel cum sunt stabilite prin dreptul</w:t>
            </w:r>
            <w:r>
              <w:t xml:space="preserve"> național. Statele membre ar trebui să </w:t>
            </w:r>
            <w:r>
              <w:rPr>
                <w:b/>
                <w:i/>
              </w:rPr>
              <w:t>fie libere să decidă</w:t>
            </w:r>
            <w:r>
              <w:t xml:space="preserve"> dacă permit formelor naționale existente </w:t>
            </w:r>
            <w:r>
              <w:rPr>
                <w:b/>
                <w:i/>
              </w:rPr>
              <w:t>de societăți cu răspundere limitată să fie etichetate ca ESSU sau transformate</w:t>
            </w:r>
            <w:r>
              <w:t xml:space="preserve"> într-o ESSU</w:t>
            </w:r>
            <w:r>
              <w:rPr>
                <w:b/>
                <w:i/>
              </w:rPr>
              <w:t>, ori să creeze o nouă formă națională</w:t>
            </w:r>
            <w:r>
              <w:t xml:space="preserve"> de societate </w:t>
            </w:r>
            <w:r>
              <w:rPr>
                <w:b/>
                <w:i/>
              </w:rPr>
              <w:t>cu răspundere limitată care să fie supusă acquis-ului aplicabil societăților cu răspundere limitată și, în special, Directivei (UE) 2017/1132, Directivei 2009/102/CE și Directivei 2013/34/UE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ar trebui să se bazeze pe formele de societăți comerciale instituite în temeiul dreptului național. Statele membre ar trebui să aibă libertatea de a alege dacă permit transformarea formelor juridice naționale existente într-o </w:t>
            </w:r>
            <w:r>
              <w:rPr>
                <w:b/>
                <w:i/>
              </w:rPr>
              <w:t>ESSU</w:t>
            </w:r>
            <w:r>
              <w:t xml:space="preserve"> sau dacă optează pentru crearea unei noi forme juridice de societate comercială la nivel național. Fondatorii sau proprietarii unei forme juridice de societate comercială care există la nivel național ar trebui să aibă posibilitatea de a participa în mod voluntar la noul regim, ceea ce ar permite utilizarea denumirii de societate „</w:t>
            </w:r>
            <w:r>
              <w:rPr>
                <w:b/>
                <w:i/>
              </w:rPr>
              <w:t>ESSU</w:t>
            </w:r>
            <w:r>
              <w:t>”.</w:t>
            </w:r>
          </w:p>
        </w:tc>
        <w:tc>
          <w:tcPr>
            <w:tcW w:w="4876" w:type="dxa"/>
            <w:tcBorders>
              <w:top w:val="nil"/>
              <w:left w:val="nil"/>
              <w:bottom w:val="nil"/>
              <w:right w:val="nil"/>
            </w:tcBorders>
          </w:tcPr>
          <w:p>
            <w:pPr>
              <w:pStyle w:val="Normal6a"/>
            </w:pPr>
            <w:r>
              <w:rPr>
                <w:b/>
                <w:i/>
              </w:rPr>
              <w:t>SES</w:t>
            </w:r>
            <w:r>
              <w:t xml:space="preserve"> ar trebui să se bazeze pe formele de societăți comerciale instituite în temeiul dreptului național. Statele membre ar trebui să aibă libertatea de a alege dacă permit transformarea formelor juridice naționale existente într-o </w:t>
            </w:r>
            <w:r>
              <w:rPr>
                <w:b/>
                <w:i/>
              </w:rPr>
              <w:t>SES</w:t>
            </w:r>
            <w:r>
              <w:t xml:space="preserve"> sau dacă optează pentru crearea unei noi forme juridice de societate comercială la nivel național. Fondatorii sau proprietarii unei forme juridice de societate comercială care există la nivel național ar trebui să aibă posibilitatea de a participa în mod voluntar la noul regim </w:t>
            </w:r>
            <w:r>
              <w:rPr>
                <w:b/>
                <w:i/>
              </w:rPr>
              <w:t>pentru societățile lor existente sau noi</w:t>
            </w:r>
            <w:r>
              <w:t>, ceea ce ar permite utilizarea denumirii de societate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Existența unei ESSU ar trebui </w:t>
            </w:r>
            <w:r>
              <w:rPr>
                <w:b/>
                <w:i/>
              </w:rPr>
              <w:t>să fie</w:t>
            </w:r>
            <w:r>
              <w:t xml:space="preserve"> recunoscută automat </w:t>
            </w:r>
            <w:r>
              <w:rPr>
                <w:b/>
                <w:i/>
              </w:rPr>
              <w:t>în</w:t>
            </w:r>
            <w:r>
              <w:t xml:space="preserve"> ordinile juridice naționale ale tuturor statelor membre </w:t>
            </w:r>
            <w:r>
              <w:rPr>
                <w:b/>
                <w:i/>
              </w:rPr>
              <w:t>ca societate cu răspundere limitată</w:t>
            </w:r>
            <w:r>
              <w:t>.</w:t>
            </w:r>
          </w:p>
        </w:tc>
        <w:tc>
          <w:tcPr>
            <w:tcW w:w="4876" w:type="dxa"/>
            <w:tcBorders>
              <w:top w:val="nil"/>
              <w:left w:val="nil"/>
              <w:bottom w:val="nil"/>
              <w:right w:val="nil"/>
            </w:tcBorders>
          </w:tcPr>
          <w:p>
            <w:pPr>
              <w:pStyle w:val="Normal6a"/>
            </w:pPr>
            <w:r>
              <w:t>Existența unei ESSU ar trebui recunoscută automat</w:t>
            </w:r>
            <w:r>
              <w:rPr>
                <w:b/>
                <w:i/>
              </w:rPr>
              <w:t>, pe baza înregistrării sale în registrul Uniunii, de către</w:t>
            </w:r>
            <w:r>
              <w:t xml:space="preserve"> ordinile juridice naționale ale tuturor statelor membre.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Existența unei </w:t>
            </w:r>
            <w:r>
              <w:rPr>
                <w:b/>
                <w:i/>
              </w:rPr>
              <w:t>ESSU</w:t>
            </w:r>
            <w:r>
              <w:t xml:space="preserve"> ar trebui să fie recunoscută automat în ordinile juridice naționale ale tuturor statelor membre ca societate cu răspundere limitată.</w:t>
            </w:r>
          </w:p>
        </w:tc>
        <w:tc>
          <w:tcPr>
            <w:tcW w:w="4876" w:type="dxa"/>
            <w:tcBorders>
              <w:top w:val="nil"/>
              <w:left w:val="nil"/>
              <w:bottom w:val="nil"/>
              <w:right w:val="nil"/>
            </w:tcBorders>
          </w:tcPr>
          <w:p>
            <w:pPr>
              <w:pStyle w:val="Normal6a"/>
            </w:pPr>
            <w:r>
              <w:t xml:space="preserve">Existența unei </w:t>
            </w:r>
            <w:r>
              <w:rPr>
                <w:b/>
                <w:i/>
              </w:rPr>
              <w:t>SES</w:t>
            </w:r>
            <w:r>
              <w:t xml:space="preserve"> ar trebui să fie recunoscută automat în ordinile juridice naționale ale tuturor statelor membre ca societate cu răspundere limitată.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Legea aplicabilă constituirii unei ESSU ar trebui să fie legea statului membru în care este înregistrată societatea în cauză.</w:t>
            </w:r>
            <w:r>
              <w:t xml:space="preserve"> </w:t>
            </w:r>
            <w:r>
              <w:rPr>
                <w:b/>
                <w:i/>
              </w:rPr>
              <w:t>Prin derogare de la acest principiu și în scopul protejării unor interese publice prestabilite, ar trebui să fie posibilă stabilirea legii aplicabile pe baza unui element de legătură prioritar, și nu în funcție de locul de înregistrare.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Legea aplicabilă constituirii unei </w:t>
            </w:r>
            <w:r>
              <w:rPr>
                <w:b/>
                <w:i/>
              </w:rPr>
              <w:t>ESSU</w:t>
            </w:r>
            <w:r>
              <w:t xml:space="preserve"> ar trebui să fie legea statului membru în care este înregistrată societatea în cauză. Prin derogare de la acest principiu și în scopul protejării unor interese publice prestabilite, ar trebui să fie posibilă stabilirea legii aplicabile pe baza unui element de legătură prioritar, și nu în funcție de locul de înregistrare.</w:t>
            </w:r>
          </w:p>
        </w:tc>
        <w:tc>
          <w:tcPr>
            <w:tcW w:w="4876" w:type="dxa"/>
            <w:tcBorders>
              <w:top w:val="nil"/>
              <w:left w:val="nil"/>
              <w:bottom w:val="nil"/>
              <w:right w:val="nil"/>
            </w:tcBorders>
          </w:tcPr>
          <w:p>
            <w:pPr>
              <w:pStyle w:val="Normal6a"/>
            </w:pPr>
            <w:r>
              <w:t xml:space="preserve">Legea aplicabilă constituirii unei </w:t>
            </w:r>
            <w:r>
              <w:rPr>
                <w:b/>
                <w:i/>
              </w:rPr>
              <w:t>SES</w:t>
            </w:r>
            <w:r>
              <w:t xml:space="preserve"> ar trebui să fie legea statului membru în care este înregistrată societatea în cauză. Prin derogare de la acest principiu și în scopul protejării unor interese publice prestabilite, ar trebui să fie posibilă stabilirea legii aplicabile pe baza unui element de legătură prioritar, și nu în funcție de locul de înregistrare.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Legea aplicabilă </w:t>
            </w:r>
            <w:r>
              <w:rPr>
                <w:b/>
                <w:i/>
              </w:rPr>
              <w:t>constituirii</w:t>
            </w:r>
            <w:r>
              <w:t xml:space="preserve"> unei ESSU ar trebui să fie legea statului membru în care este înregistrată societatea în cauză. Prin derogare de la acest principiu și în scopul protejării unor interese publice prestabilite, ar trebui să fie posibilă stabilirea legii aplicabile pe baza unui element de legătură prioritar, și nu în funcție de locul de înregistrare.</w:t>
            </w:r>
          </w:p>
        </w:tc>
        <w:tc>
          <w:tcPr>
            <w:tcW w:w="4876" w:type="dxa"/>
            <w:tcBorders>
              <w:top w:val="nil"/>
              <w:left w:val="nil"/>
              <w:bottom w:val="nil"/>
              <w:right w:val="nil"/>
            </w:tcBorders>
          </w:tcPr>
          <w:p>
            <w:pPr>
              <w:pStyle w:val="Normal6a"/>
            </w:pPr>
            <w:r>
              <w:t>Legea aplicabilă unei ESSU ar trebui să fie legea statului membru în care este înregistrată societatea în cauză. Prin derogare de la acest principiu și în scopul protejării unor interese publice prestabilite, ar trebui să fie posibilă stabilirea legii aplicabile pe baza unui element de legătură prioritar, și nu în funcție de locul de înregistrare.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Temeiurile juridice pentru ESSU ar trebui să fie articolul 50 și articolul 114 alineatul (1) din TFUE.</w:t>
            </w:r>
            <w:r>
              <w:t xml:space="preserve"> </w:t>
            </w:r>
            <w:r>
              <w:rPr>
                <w:b/>
                <w:i/>
              </w:rPr>
              <w:t>Pentru a asigura securitatea juridică în ceea ce privește elementele constitutive ale SESU, directiva adoptată în temeiul articolului 50 și al articolului 114 alineatul (1) TFUE trebuie să fie o directivă de armonizare maximă.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Temeiurile juridice pentru ESSU ar trebui să fie articolul 50 și articolul 114 alineatul (1) din TFUE.</w:t>
            </w:r>
            <w:r>
              <w:t xml:space="preserve"> </w:t>
            </w:r>
            <w:r>
              <w:rPr>
                <w:b/>
                <w:i/>
              </w:rPr>
              <w:t>Pentru a asigura securitatea juridică în ceea ce privește elementele constitutive ale SESU, directiva adoptată în temeiul articolului 50 și al articolului 114 alineatul (1) TFUE trebuie să fie o directivă de armonizare maximă.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Temeiurile juridice pentru ESSU ar trebui să fie articolul 50 și articolul 114 alineatul (1) din TFUE.</w:t>
            </w:r>
            <w:r>
              <w:t xml:space="preserve"> </w:t>
            </w:r>
            <w:r>
              <w:rPr>
                <w:b/>
                <w:i/>
              </w:rPr>
              <w:t>Pentru a asigura securitatea juridică în ceea ce privește elementele constitutive ale SESU, directiva adoptată în temeiul articolului 50 și al articolului 114 alineatul (1) TFUE trebuie să fie o directivă de armonizare maximă.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Temeiurile juridice pentru </w:t>
            </w:r>
            <w:r>
              <w:rPr>
                <w:b/>
                <w:i/>
              </w:rPr>
              <w:t>ESSU</w:t>
            </w:r>
            <w:r>
              <w:t xml:space="preserve"> ar trebui să fie articolul 50 și articolul 114 alineatul (1) din TFUE. Pentru a asigura securitatea juridică în ceea ce privește elementele constitutive ale SESU, directiva adoptată în temeiul articolului 50 și al articolului 114 alineatul (1) TFUE trebuie să fie o directivă de armonizare maximă.</w:t>
            </w:r>
          </w:p>
        </w:tc>
        <w:tc>
          <w:tcPr>
            <w:tcW w:w="4876" w:type="dxa"/>
            <w:tcBorders>
              <w:top w:val="nil"/>
              <w:left w:val="nil"/>
              <w:bottom w:val="nil"/>
              <w:right w:val="nil"/>
            </w:tcBorders>
          </w:tcPr>
          <w:p>
            <w:pPr>
              <w:pStyle w:val="Normal6a"/>
            </w:pPr>
            <w:r>
              <w:t xml:space="preserve">Temeiurile juridice pentru </w:t>
            </w:r>
            <w:r>
              <w:rPr>
                <w:b/>
                <w:i/>
              </w:rPr>
              <w:t>SES</w:t>
            </w:r>
            <w:r>
              <w:t xml:space="preserve"> ar trebui să fie articolul 50 și articolul 114 alineatul (1) din TFUE. Pentru a asigura securitatea juridică în ceea ce privește elementele constitutive ale SESU, directiva adoptată în temeiul articolului 50 și al articolului 114 alineatul (1) TFUE trebuie să fie o directivă de armonizare maximă. </w:t>
            </w:r>
            <w:r>
              <w:rPr>
                <w:b/>
                <w:i/>
              </w:rPr>
              <w:t>Pentru a asigura un impact real, Parlamentul încurajează Comisia să limiteze cât mai mult posibil domeniile reglementate prin dreptul intern, astfel încât investitorii și antreprenorii să poată înțelege ce este un SES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Temeiurile juridice</w:t>
            </w:r>
            <w:r>
              <w:t xml:space="preserve"> pentru ESSU ar trebui să fie articolul 50 </w:t>
            </w:r>
            <w:r>
              <w:rPr>
                <w:b/>
                <w:i/>
              </w:rPr>
              <w:t>și articolul 114 alineatul (1)</w:t>
            </w:r>
            <w:r>
              <w:t xml:space="preserve"> din TFUE. Pentru a asigura securitatea juridică în ceea ce privește elementele constitutive ale SESU, directiva adoptată în temeiul articolului 50 </w:t>
            </w:r>
            <w:r>
              <w:rPr>
                <w:b/>
                <w:i/>
              </w:rPr>
              <w:t>și al articolului 114 alineatul (1)</w:t>
            </w:r>
            <w:r>
              <w:t xml:space="preserve"> TFUE trebuie să fie o directivă de armonizare maximă.</w:t>
            </w:r>
          </w:p>
        </w:tc>
        <w:tc>
          <w:tcPr>
            <w:tcW w:w="4876" w:type="dxa"/>
            <w:tcBorders>
              <w:top w:val="nil"/>
              <w:left w:val="nil"/>
              <w:bottom w:val="nil"/>
              <w:right w:val="nil"/>
            </w:tcBorders>
          </w:tcPr>
          <w:p>
            <w:pPr>
              <w:pStyle w:val="Normal6a"/>
            </w:pPr>
            <w:r>
              <w:rPr>
                <w:b/>
                <w:i/>
              </w:rPr>
              <w:t>Temeiul juridic</w:t>
            </w:r>
            <w:r>
              <w:t xml:space="preserve"> pentru ESSU ar trebui să fie articolul 50 din TFUE. Pentru a asigura securitatea juridică în ceea ce privește elementele constitutive ale SESU, directiva adoptată în temeiul articolului 50 </w:t>
            </w:r>
            <w:r>
              <w:rPr>
                <w:b/>
                <w:i/>
              </w:rPr>
              <w:t>din</w:t>
            </w:r>
            <w:r>
              <w:t xml:space="preserve"> TFUE trebuie să fie o directivă de armonizare maximă.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Temeiurile juridice pentru ESSU ar trebui să fie articolul 50 și articolul 114 alineatul (1) din TFUE.</w:t>
            </w:r>
            <w:r>
              <w:t xml:space="preserve"> Pentru a asigura securitatea juridică în ceea ce privește elementele constitutive ale SESU, directiva adoptată în temeiul articolului 50 și al articolului 114 alineatul (1) TFUE trebuie să fie o directivă de armonizare maximă.</w:t>
            </w:r>
          </w:p>
        </w:tc>
        <w:tc>
          <w:tcPr>
            <w:tcW w:w="4876" w:type="dxa"/>
            <w:tcBorders>
              <w:top w:val="nil"/>
              <w:left w:val="nil"/>
              <w:bottom w:val="nil"/>
              <w:right w:val="nil"/>
            </w:tcBorders>
          </w:tcPr>
          <w:p>
            <w:pPr>
              <w:pStyle w:val="Normal6a"/>
            </w:pPr>
            <w:r>
              <w:t>Pentru a asigura securitatea juridică în ceea ce privește elementele constitutive ale SESU, directiva adoptată în temeiul articolului 50 și al articolului 114 alineatul (1) TFUE trebuie să fie o directivă de armonizare maximă.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Parlamentul este conștient de riscul ca o ESSU recunoscută automat să conducă la eludarea normelor interne obligatorii care protejează părțile mai vulnerabile.</w:t>
            </w:r>
            <w:r>
              <w:t xml:space="preserve"> </w:t>
            </w:r>
            <w:r>
              <w:rPr>
                <w:b/>
                <w:i/>
              </w:rPr>
              <w:t>Prin urmare, normele aplicabile formei juridice de societate comercială ESSU nu ar trebui să aducă atingere dreptului Uniunii și dreptului național în domeniul dreptului muncii individual și colectiv, inclusiv normelor privind participarea angajaților la luarea deciziilor, și ar trebui să conțină garanții care să prevină în mod eficace utilizarea abuzivă a ESSU.</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Parlamentul este conștient de riscul ca o ESSU recunoscută automat să conducă la eludarea normelor interne obligatorii care protejează părțile mai vulnerabile. Prin urmare, normele aplicabile formei juridice de societate comercială ESSU nu ar trebui să aducă atingere dreptului Uniunii și dreptului național în domeniul dreptului muncii individual și colectiv, inclusiv normelor privind participarea angajaților la luarea deciziilor, și ar trebui să conțină garanții care să prevină în mod eficace utilizarea abuzivă a ESSU.</w:t>
            </w:r>
          </w:p>
        </w:tc>
        <w:tc>
          <w:tcPr>
            <w:tcW w:w="4876" w:type="dxa"/>
            <w:tcBorders>
              <w:top w:val="nil"/>
              <w:left w:val="nil"/>
              <w:bottom w:val="nil"/>
              <w:right w:val="nil"/>
            </w:tcBorders>
          </w:tcPr>
          <w:p>
            <w:pPr>
              <w:pStyle w:val="Normal6a"/>
            </w:pPr>
            <w:r>
              <w:t xml:space="preserve">Parlamentul este conștient de riscul ca o ESSU recunoscută automat să conducă la eludarea normelor interne obligatorii care protejează părțile mai vulnerabile </w:t>
            </w:r>
            <w:r>
              <w:rPr>
                <w:b/>
                <w:i/>
              </w:rPr>
              <w:t>sau alte interese publice</w:t>
            </w:r>
            <w:r>
              <w:t xml:space="preserve">. Prin urmare, normele aplicabile formei juridice de societate comercială ESSU nu ar trebui să aducă atingere dreptului Uniunii și dreptului național în domeniul dreptului muncii individual și colectiv, inclusiv normelor privind participarea angajaților la luarea deciziilor, </w:t>
            </w:r>
            <w:r>
              <w:rPr>
                <w:b/>
                <w:i/>
              </w:rPr>
              <w:t>sau cerințelor formale pentru înființarea unei astfel de companii sau pentru transferul de acțiuni,</w:t>
            </w:r>
            <w:r>
              <w:t xml:space="preserve"> și ar trebui să conțină garanții care să prevină în mod eficace utilizarea abuzivă a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Parlamentul este conștient de riscul ca o </w:t>
            </w:r>
            <w:r>
              <w:rPr>
                <w:b/>
                <w:i/>
              </w:rPr>
              <w:t>ESSU</w:t>
            </w:r>
            <w:r>
              <w:t xml:space="preserve"> recunoscută automat să conducă la eludarea normelor interne obligatorii care protejează părțile mai vulnerabile. Prin urmare, normele aplicabile formei juridice de societate comercială ESSU nu ar trebui să aducă atingere dreptului Uniunii și dreptului național în domeniul dreptului muncii individual și colectiv, inclusiv normelor privind participarea angajaților la luarea deciziilor, și ar trebui să conțină garanții care să prevină în mod eficace utilizarea abuzivă a </w:t>
            </w:r>
            <w:r>
              <w:rPr>
                <w:b/>
                <w:i/>
              </w:rPr>
              <w:t>ESSU</w:t>
            </w:r>
            <w:r>
              <w:t>.</w:t>
            </w:r>
          </w:p>
        </w:tc>
        <w:tc>
          <w:tcPr>
            <w:tcW w:w="4876" w:type="dxa"/>
            <w:tcBorders>
              <w:top w:val="nil"/>
              <w:left w:val="nil"/>
              <w:bottom w:val="nil"/>
              <w:right w:val="nil"/>
            </w:tcBorders>
          </w:tcPr>
          <w:p>
            <w:pPr>
              <w:pStyle w:val="Normal6a"/>
            </w:pPr>
            <w:r>
              <w:t>Parlamentul este conștient de riscul ca o </w:t>
            </w:r>
            <w:r>
              <w:rPr>
                <w:b/>
                <w:i/>
              </w:rPr>
              <w:t>SES</w:t>
            </w:r>
            <w:r>
              <w:t xml:space="preserve"> recunoscută automat să conducă la eludarea normelor interne obligatorii care protejează părțile mai vulnerabile. Prin urmare, normele aplicabile formei juridice de societate comercială ESSU nu ar trebui să aducă atingere dreptului Uniunii și dreptului național în domeniul dreptului muncii individual și colectiv, inclusiv normelor privind participarea angajaților la luarea deciziilor, și ar trebui să conțină garanții care să prevină în mod eficace utilizarea abuzivă a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1 – paragraful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Având în vedere importanța monitorizării eficacității celui de-al 28-lea regim pentru promovarea inovării, garantarea securității juridice și prevenirea eludării reglementărilor,</w:t>
            </w:r>
            <w:r>
              <w:t xml:space="preserve"> </w:t>
            </w:r>
            <w:r>
              <w:rPr>
                <w:b/>
                <w:i/>
              </w:rPr>
              <w:t>Comisia ar trebui să efectueze, în termen de trei ani de la intrarea în vigoare a celui de-al 28-lea regim, o revizuire cuprinzătoare a punerii sale în aplicare și a impactului asupra IMM-urilor, start-upurilor și întreprinderilor în fază de extindere din întreaga Uniune;</w:t>
            </w:r>
            <w:r>
              <w:t xml:space="preserve"> </w:t>
            </w:r>
            <w:r>
              <w:rPr>
                <w:b/>
                <w:i/>
              </w:rPr>
              <w:t>revizuirea respectivă ar trebui să evalueze dacă obiectivele de simplificare, recunoaștere transfrontalieră și competitivitate au fost atinse și, după caz, ar trebui să fie însoțită de propuneri legislative de revizuire.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Statele membre ar trebui să prevadă în ordinile lor juridice naționale un set de norme care, atunci când sunt respectate, să permită unei forme juridice naționale de societate comercială să includă abrevierea „ESSU” în denumirea sa.</w:t>
            </w:r>
            <w:r>
              <w:t xml:space="preserve"> Pentru a fi eligibilă să se înregistreze ca ESSU, o societate care are o formă juridică națională ar trebui să respecte următoarele condiții:</w:t>
            </w:r>
          </w:p>
        </w:tc>
        <w:tc>
          <w:tcPr>
            <w:tcW w:w="4876" w:type="dxa"/>
            <w:tcBorders>
              <w:top w:val="nil"/>
              <w:left w:val="nil"/>
              <w:bottom w:val="nil"/>
              <w:right w:val="nil"/>
            </w:tcBorders>
          </w:tcPr>
          <w:p>
            <w:pPr>
              <w:pStyle w:val="Normal6a"/>
            </w:pPr>
            <w:r>
              <w:t>Pentru a fi eligibilă să se înregistreze ca ESSU, o societate care are o formă juridică națională ar trebui să respecte următoarele condiții: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Statele membre ar trebui să prevadă în ordinile lor juridice naționale un set de norme care, atunci când sunt respectate, să permită unei forme juridice naționale de societate comercială să includă abrevierea „</w:t>
            </w:r>
            <w:r>
              <w:rPr>
                <w:b/>
                <w:i/>
              </w:rPr>
              <w:t>ESSU</w:t>
            </w:r>
            <w:r>
              <w:t xml:space="preserve">” în denumirea sa. Pentru a fi eligibilă să se înregistreze ca </w:t>
            </w:r>
            <w:r>
              <w:rPr>
                <w:b/>
                <w:i/>
              </w:rPr>
              <w:t>ESSU</w:t>
            </w:r>
            <w:r>
              <w:t>, o societate care are o formă juridică națională ar trebui să respecte următoarele condiții:</w:t>
            </w:r>
          </w:p>
        </w:tc>
        <w:tc>
          <w:tcPr>
            <w:tcW w:w="4876" w:type="dxa"/>
            <w:tcBorders>
              <w:top w:val="nil"/>
              <w:left w:val="nil"/>
              <w:bottom w:val="nil"/>
              <w:right w:val="nil"/>
            </w:tcBorders>
          </w:tcPr>
          <w:p>
            <w:pPr>
              <w:pStyle w:val="Normal6a"/>
            </w:pPr>
            <w:r>
              <w:t>Statele membre ar trebui să prevadă în ordinile lor juridice naționale un set de norme care, atunci când sunt respectate, să permită unei forme juridice naționale de societate comercială să includă abrevierea „</w:t>
            </w:r>
            <w:r>
              <w:rPr>
                <w:b/>
                <w:i/>
              </w:rPr>
              <w:t>SES</w:t>
            </w:r>
            <w:r>
              <w:t xml:space="preserve">” în denumirea sa. Pentru a fi eligibilă să se înregistreze ca </w:t>
            </w:r>
            <w:r>
              <w:rPr>
                <w:b/>
                <w:i/>
              </w:rPr>
              <w:t>SES</w:t>
            </w:r>
            <w:r>
              <w:t>, o societate care are o formă juridică națională ar trebui să respecte următoarele condiții: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trebuie să fie o entitate juridică cu capacitate juridică recunoscută automat în toate statele membre la data înregistrării sale;</w:t>
            </w:r>
          </w:p>
        </w:tc>
        <w:tc>
          <w:tcPr>
            <w:tcW w:w="4876" w:type="dxa"/>
            <w:tcBorders>
              <w:top w:val="nil"/>
              <w:left w:val="nil"/>
              <w:bottom w:val="nil"/>
              <w:right w:val="nil"/>
            </w:tcBorders>
          </w:tcPr>
          <w:p>
            <w:pPr>
              <w:pStyle w:val="Normal6a"/>
            </w:pPr>
            <w:r>
              <w:rPr>
                <w:b/>
                <w:i/>
              </w:rPr>
              <w:t>–</w:t>
            </w:r>
            <w:r>
              <w:tab/>
            </w:r>
            <w:r>
              <w:t>trebuie să fie o entitate juridică</w:t>
            </w:r>
            <w:r>
              <w:rPr>
                <w:b/>
                <w:i/>
              </w:rPr>
              <w:t>, inclusiv cotată la bursă,</w:t>
            </w:r>
            <w:r>
              <w:t xml:space="preserve"> cu capacitate juridică recunoscută automat în toate statele membre la data înregistrării sale;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trebuie să fie o entitate juridică care își desfășoară activitatea în sectorul digital;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trebuie să fie o societate cu răspundere limitată în care răspunderea proprietarilor pentru datoriile societății este limitată la valoarea contribuțiilor 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trebuie să nu fie o societate cotată la bursă;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trebuie să fi fost înființată de una sau mai multe persoane fizice sau juridice care își au reședința sau sunt stabilite într-un stat membru;</w:t>
            </w:r>
          </w:p>
        </w:tc>
        <w:tc>
          <w:tcPr>
            <w:tcW w:w="4876" w:type="dxa"/>
            <w:tcBorders>
              <w:top w:val="nil"/>
              <w:left w:val="nil"/>
              <w:bottom w:val="nil"/>
              <w:right w:val="nil"/>
            </w:tcBorders>
          </w:tcPr>
          <w:p>
            <w:pPr>
              <w:pStyle w:val="Normal6a"/>
            </w:pPr>
            <w:r>
              <w:t>-</w:t>
            </w:r>
            <w:r>
              <w:tab/>
            </w:r>
            <w:r>
              <w:t xml:space="preserve">trebuie să fi fost înființată de una sau mai multe persoane fizice sau juridice care își au reședința sau sunt stabilite într-un stat membru </w:t>
            </w:r>
            <w:r>
              <w:rPr>
                <w:b/>
                <w:i/>
              </w:rPr>
              <w:t>și trebuie să aibă dreptul de a-și transfera sediul social în alt stat membru din Uniune fără a fi necesară dizolvarea sau reînființarea, în conformitate cu proceduri armonizate care să asigure continuitatea personalității juridice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trebuie să fi fost înființată de una sau mai multe persoane fizice sau juridice </w:t>
            </w:r>
            <w:r>
              <w:rPr>
                <w:b/>
                <w:i/>
              </w:rPr>
              <w:t>care își au</w:t>
            </w:r>
            <w:r>
              <w:t xml:space="preserve"> reședința sau </w:t>
            </w:r>
            <w:r>
              <w:rPr>
                <w:b/>
                <w:i/>
              </w:rPr>
              <w:t>sunt stabilite</w:t>
            </w:r>
            <w:r>
              <w:t xml:space="preserve"> într-un stat membru;</w:t>
            </w:r>
          </w:p>
        </w:tc>
        <w:tc>
          <w:tcPr>
            <w:tcW w:w="4876" w:type="dxa"/>
            <w:tcBorders>
              <w:top w:val="nil"/>
              <w:left w:val="nil"/>
              <w:bottom w:val="nil"/>
              <w:right w:val="nil"/>
            </w:tcBorders>
          </w:tcPr>
          <w:p>
            <w:pPr>
              <w:pStyle w:val="Normal6a"/>
            </w:pPr>
            <w:r>
              <w:rPr>
                <w:b/>
                <w:i/>
              </w:rPr>
              <w:t>–</w:t>
            </w:r>
            <w:r>
              <w:tab/>
            </w:r>
            <w:r>
              <w:t xml:space="preserve">trebuie să fi fost înființată de una sau mai multe persoane fizice sau juridice </w:t>
            </w:r>
            <w:r>
              <w:rPr>
                <w:b/>
                <w:i/>
              </w:rPr>
              <w:t>fără a ține cont de cerința privind</w:t>
            </w:r>
            <w:r>
              <w:t xml:space="preserve"> reședința sau </w:t>
            </w:r>
            <w:r>
              <w:rPr>
                <w:b/>
                <w:i/>
              </w:rPr>
              <w:t>stabilirea</w:t>
            </w:r>
            <w:r>
              <w:t xml:space="preserve"> într-un stat membru;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trebuie să poată funcționa fie ca societate unică autonomă, fie ca filială a unei societăți-mamă de tip ESSU;</w:t>
            </w:r>
          </w:p>
        </w:tc>
        <w:tc>
          <w:tcPr>
            <w:tcW w:w="4876" w:type="dxa"/>
            <w:tcBorders>
              <w:top w:val="nil"/>
              <w:left w:val="nil"/>
              <w:bottom w:val="nil"/>
              <w:right w:val="nil"/>
            </w:tcBorders>
          </w:tcPr>
          <w:p>
            <w:pPr>
              <w:pStyle w:val="Normal6a"/>
            </w:pPr>
            <w:r>
              <w:rPr>
                <w:b/>
                <w:i/>
              </w:rPr>
              <w:t>–</w:t>
            </w:r>
            <w:r>
              <w:tab/>
            </w:r>
            <w:r>
              <w:t>trebuie să poată funcționa fie ca societate unică autonomă, fie ca filială a unei societăți-mamă</w:t>
            </w:r>
            <w:r>
              <w:rPr>
                <w:b/>
                <w:i/>
              </w:rPr>
              <w:t>, fie ca filială a unei societăți-mamă</w:t>
            </w:r>
            <w:r>
              <w:t xml:space="preserve"> de tip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2 – liniuța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în contextul diferențelor regionale, statele membre pot institui scheme de sprijin și facilități pentru firmele înregistrate ca ESSU în zone cu dezvoltare economică mai scăzută, pentru a reduce decalajele în domeniul inovării.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Dacă dreptul național al societăților comerciale prevede un capital</w:t>
            </w:r>
            <w:r>
              <w:t xml:space="preserve"> social minim vărsat </w:t>
            </w:r>
            <w:r>
              <w:rPr>
                <w:b/>
                <w:i/>
              </w:rPr>
              <w:t>pentru înființarea unei societăți care poate fi înregistrată ca ESSU, capitalul vărsat</w:t>
            </w:r>
            <w:r>
              <w:t xml:space="preserve"> imediat </w:t>
            </w:r>
            <w:r>
              <w:rPr>
                <w:b/>
                <w:i/>
              </w:rPr>
              <w:t>trebuie să fie stabilit</w:t>
            </w:r>
            <w:r>
              <w:t>, în vederea înregistrării acestei societăți, la 1 EUR</w:t>
            </w:r>
            <w:r>
              <w:rPr>
                <w:b/>
                <w:i/>
              </w:rPr>
              <w:t>, iar societatea ar trebui să fie obligată să aloce pentru o rezervă legală cel puțin 25 % din profitul său anual până când rezerva respectivă, împreună cu eventualul capital vărsat inițial, atinge capitalul minim impus de legislația națională în cauză</w:t>
            </w:r>
            <w:r>
              <w:t>.</w:t>
            </w:r>
          </w:p>
        </w:tc>
        <w:tc>
          <w:tcPr>
            <w:tcW w:w="4876" w:type="dxa"/>
            <w:tcBorders>
              <w:top w:val="nil"/>
              <w:left w:val="nil"/>
              <w:bottom w:val="nil"/>
              <w:right w:val="nil"/>
            </w:tcBorders>
          </w:tcPr>
          <w:p>
            <w:pPr>
              <w:pStyle w:val="Normal6a"/>
            </w:pPr>
            <w:r>
              <w:rPr>
                <w:b/>
                <w:i/>
              </w:rPr>
              <w:t>Capitalul</w:t>
            </w:r>
            <w:r>
              <w:t xml:space="preserve"> social minim vărsat imediat, în vederea înregistrării acestei societăți, </w:t>
            </w:r>
            <w:r>
              <w:rPr>
                <w:b/>
                <w:i/>
              </w:rPr>
              <w:t>trebuie să fie stabilit</w:t>
            </w:r>
            <w:r>
              <w:t xml:space="preserve"> la 1 EUR.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Dacă dreptul național al societăților comerciale prevede un</w:t>
            </w:r>
            <w:r>
              <w:t xml:space="preserve"> capital social minim vărsat </w:t>
            </w:r>
            <w:r>
              <w:rPr>
                <w:b/>
                <w:i/>
              </w:rPr>
              <w:t>pentru înființarea unei societăți care poate fi înregistrată ca ESSU, capitalul vărsat</w:t>
            </w:r>
            <w:r>
              <w:t xml:space="preserve"> imediat </w:t>
            </w:r>
            <w:r>
              <w:rPr>
                <w:b/>
                <w:i/>
              </w:rPr>
              <w:t>trebuie să fie stabilit</w:t>
            </w:r>
            <w:r>
              <w:t xml:space="preserve">, în vederea înregistrării acestei societăți, </w:t>
            </w:r>
            <w:r>
              <w:rPr>
                <w:b/>
                <w:i/>
              </w:rPr>
              <w:t>la 1 EUR, iar societatea ar trebui să fie obligată să aloce pentru o rezervă legală cel puțin 25 % din profitul său anual până când rezerva respectivă, împreună cu eventualul capital vărsat inițial, atinge capitalul minim impus de legislația națională în cauză</w:t>
            </w:r>
            <w:r>
              <w:t>.</w:t>
            </w:r>
          </w:p>
        </w:tc>
        <w:tc>
          <w:tcPr>
            <w:tcW w:w="4876" w:type="dxa"/>
            <w:tcBorders>
              <w:top w:val="nil"/>
              <w:left w:val="nil"/>
              <w:bottom w:val="nil"/>
              <w:right w:val="nil"/>
            </w:tcBorders>
          </w:tcPr>
          <w:p>
            <w:pPr>
              <w:pStyle w:val="Normal6a"/>
            </w:pPr>
            <w:r>
              <w:t xml:space="preserve">Capital social minim vărsat imediat, în vederea înregistrării acestei societăți, </w:t>
            </w:r>
            <w:r>
              <w:rPr>
                <w:b/>
                <w:i/>
              </w:rPr>
              <w:t>trebuie stabilit la 1 euro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Dacă dreptul național al societăților comerciale prevede un</w:t>
            </w:r>
            <w:r>
              <w:t xml:space="preserve"> capital social minim vărsat </w:t>
            </w:r>
            <w:r>
              <w:rPr>
                <w:b/>
                <w:i/>
              </w:rPr>
              <w:t>pentru înființarea unei societăți care poate fi înregistrată ca ESSU, capitalul vărsat</w:t>
            </w:r>
            <w:r>
              <w:t xml:space="preserve"> imediat </w:t>
            </w:r>
            <w:r>
              <w:rPr>
                <w:b/>
                <w:i/>
              </w:rPr>
              <w:t>trebuie să fie stabilit</w:t>
            </w:r>
            <w:r>
              <w:t xml:space="preserve">, în vederea înregistrării acestei societăți, </w:t>
            </w:r>
            <w:r>
              <w:rPr>
                <w:b/>
                <w:i/>
              </w:rPr>
              <w:t>la 1 EUR, iar societatea ar trebui să fie obligată să aloce pentru o rezervă legală cel puțin 25 % din profitul său anual până când rezerva respectivă, împreună cu eventualul capital vărsat inițial, atinge capitalul minim impus de legislația națională în cauză</w:t>
            </w:r>
            <w:r>
              <w:t>.</w:t>
            </w:r>
          </w:p>
        </w:tc>
        <w:tc>
          <w:tcPr>
            <w:tcW w:w="4876" w:type="dxa"/>
            <w:tcBorders>
              <w:top w:val="nil"/>
              <w:left w:val="nil"/>
              <w:bottom w:val="nil"/>
              <w:right w:val="nil"/>
            </w:tcBorders>
          </w:tcPr>
          <w:p>
            <w:pPr>
              <w:pStyle w:val="Normal6a"/>
            </w:pPr>
            <w:r>
              <w:t xml:space="preserve">Capital social minim vărsat imediat, în vederea înregistrării acestei societăți, </w:t>
            </w:r>
            <w:r>
              <w:rPr>
                <w:b/>
                <w:i/>
              </w:rPr>
              <w:t>trebuie stabilit la 1 euro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Dacă dreptul național al societăților comerciale prevede un capital social minim vărsat pentru înființarea unei societăți care poate fi înregistrată ca </w:t>
            </w:r>
            <w:r>
              <w:rPr>
                <w:b/>
                <w:i/>
              </w:rPr>
              <w:t>ESSU</w:t>
            </w:r>
            <w:r>
              <w:t>, capitalul vărsat imediat trebuie să fie stabilit, în vederea înregistrării acestei societăți, la 1 EUR, iar societatea ar trebui să fie obligată să aloce pentru o rezervă legală cel puțin 25 % din profitul său anual până când rezerva respectivă, împreună cu eventualul capital vărsat inițial, atinge capitalul minim impus de legislația națională în cauză.</w:t>
            </w:r>
          </w:p>
        </w:tc>
        <w:tc>
          <w:tcPr>
            <w:tcW w:w="4876" w:type="dxa"/>
            <w:tcBorders>
              <w:top w:val="nil"/>
              <w:left w:val="nil"/>
              <w:bottom w:val="nil"/>
              <w:right w:val="nil"/>
            </w:tcBorders>
          </w:tcPr>
          <w:p>
            <w:pPr>
              <w:pStyle w:val="Normal6a"/>
            </w:pPr>
            <w:r>
              <w:t xml:space="preserve">Dacă dreptul național al societăților comerciale prevede un capital social minim vărsat pentru înființarea unei societăți care poate fi înregistrată ca </w:t>
            </w:r>
            <w:r>
              <w:rPr>
                <w:b/>
                <w:i/>
              </w:rPr>
              <w:t>SES</w:t>
            </w:r>
            <w:r>
              <w:t>, capitalul vărsat imediat trebuie să fie stabilit, în vederea înregistrării acestei societăți, la 1 EUR, iar societatea ar trebui să fie obligată să aloce pentru o rezervă legală cel puțin 25 % din profitul său anual</w:t>
            </w:r>
            <w:r>
              <w:rPr>
                <w:b/>
                <w:i/>
              </w:rPr>
              <w:t>, atunci când începe să aibă profit,</w:t>
            </w:r>
            <w:r>
              <w:t xml:space="preserve"> până când rezerva respectivă, împreună cu eventualul capital vărsat inițial, atinge capitalul minim impus de legislația națională în cauză. </w:t>
            </w:r>
            <w:r>
              <w:rPr>
                <w:b/>
                <w:i/>
              </w:rPr>
              <w:t>Pentru a evita orice discriminare națională față de SES, capitalul social minim vărsat necesar nu ar trebui să depășească capitalul social minim vărsat prevăzut în statul membru pentru societățile cu răspundere limitată.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Dacă dreptul național al societăților comerciale prevede un capital social minim vărsat pentru înființarea unei societăți care poate fi înregistrată ca ESSU, capitalul vărsat imediat trebuie să fie stabilit, în vederea înregistrării acestei societăți, la </w:t>
            </w:r>
            <w:r>
              <w:rPr>
                <w:b/>
                <w:i/>
              </w:rPr>
              <w:t>1</w:t>
            </w:r>
            <w:r>
              <w:t xml:space="preserve"> EUR, iar societatea ar trebui să fie obligată să aloce pentru o rezervă legală cel puțin 25 % din profitul său anual până când rezerva respectivă, împreună cu eventualul capital vărsat inițial, atinge capitalul minim impus de legislația națională în cauză.</w:t>
            </w:r>
          </w:p>
        </w:tc>
        <w:tc>
          <w:tcPr>
            <w:tcW w:w="4876" w:type="dxa"/>
            <w:tcBorders>
              <w:top w:val="nil"/>
              <w:left w:val="nil"/>
              <w:bottom w:val="nil"/>
              <w:right w:val="nil"/>
            </w:tcBorders>
          </w:tcPr>
          <w:p>
            <w:pPr>
              <w:pStyle w:val="Normal6a"/>
            </w:pPr>
            <w:r>
              <w:t xml:space="preserve">Dacă dreptul național al societăților comerciale prevede un capital social minim vărsat pentru înființarea unei societăți care poate fi înregistrată ca ESSU, capitalul vărsat imediat trebuie să fie stabilit, în vederea înregistrării acestei societăți, la </w:t>
            </w:r>
            <w:r>
              <w:rPr>
                <w:b/>
                <w:i/>
              </w:rPr>
              <w:t>100</w:t>
            </w:r>
            <w:r>
              <w:t xml:space="preserve"> EUR, iar societatea ar trebui să fie obligată să aloce pentru o rezervă legală cel puțin 25 % din profitul său anual până când rezerva respectivă, împreună cu eventualul capital vărsat inițial, atinge capitalul minim impus de legislația națională în cauză.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Din motive de simplificare, posibilitatea de a se înregistra ca ESSU nu ar trebui să fie limitată la o nouă categorie de „întreprinderi inovatoare” sau la alți factori restrictivi, deoarece aceasta ar crea birocrație suplimentară și o povară administrativă inutilă.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Din motive de simplificare, posibilitatea de a se înregistra ca </w:t>
            </w:r>
            <w:r>
              <w:rPr>
                <w:b/>
                <w:i/>
              </w:rPr>
              <w:t>ESSU</w:t>
            </w:r>
            <w:r>
              <w:t xml:space="preserve"> nu ar trebui să fie limitată la o nouă categorie de „întreprinderi inovatoare” sau la alți factori restrictivi, deoarece aceasta ar crea birocrație suplimentară și o povară administrativă inutilă.</w:t>
            </w:r>
          </w:p>
        </w:tc>
        <w:tc>
          <w:tcPr>
            <w:tcW w:w="4876" w:type="dxa"/>
            <w:tcBorders>
              <w:top w:val="nil"/>
              <w:left w:val="nil"/>
              <w:bottom w:val="nil"/>
              <w:right w:val="nil"/>
            </w:tcBorders>
          </w:tcPr>
          <w:p>
            <w:pPr>
              <w:pStyle w:val="Normal6a"/>
            </w:pPr>
            <w:r>
              <w:t xml:space="preserve">Din motive de simplificare, posibilitatea de a se înregistra ca </w:t>
            </w:r>
            <w:r>
              <w:rPr>
                <w:b/>
                <w:i/>
              </w:rPr>
              <w:t>SES</w:t>
            </w:r>
            <w:r>
              <w:t xml:space="preserve"> nu ar trebui să fie limitată la o nouă categorie de „întreprinderi inovatoare” sau la alți factori restrictivi, deoarece aceasta ar crea birocrație suplimentară și o povară administrativă inutilă.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Dacă o ESSU intenționează să se listeze la bursă, aceasta ar trebui să fie obligată să se transforme într-o societate pe acțiuni, în conformitate cu dreptul național sau cu dreptul Uniunii, potrivit normelor de transformare aplicabile la nivel național și european.</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2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Dacă o </w:t>
            </w:r>
            <w:r>
              <w:rPr>
                <w:b/>
                <w:i/>
              </w:rPr>
              <w:t>ESSU</w:t>
            </w:r>
            <w:r>
              <w:t xml:space="preserve"> intenționează să se listeze la bursă, aceasta ar trebui să fie obligată să se transforme într-o societate pe acțiuni, în conformitate cu dreptul național sau cu dreptul Uniunii, potrivit normelor de transformare aplicabile la nivel național și european.</w:t>
            </w:r>
          </w:p>
        </w:tc>
        <w:tc>
          <w:tcPr>
            <w:tcW w:w="4876" w:type="dxa"/>
            <w:tcBorders>
              <w:top w:val="nil"/>
              <w:left w:val="nil"/>
              <w:bottom w:val="nil"/>
              <w:right w:val="nil"/>
            </w:tcBorders>
          </w:tcPr>
          <w:p>
            <w:pPr>
              <w:pStyle w:val="Normal6a"/>
            </w:pPr>
            <w:r>
              <w:t xml:space="preserve">Dacă o </w:t>
            </w:r>
            <w:r>
              <w:rPr>
                <w:b/>
                <w:i/>
              </w:rPr>
              <w:t>SES</w:t>
            </w:r>
            <w:r>
              <w:t xml:space="preserve"> intenționează să se listeze la bursă, aceasta ar trebui să fie obligată să se transforme într-o societate pe acțiuni, în conformitate cu dreptul național sau cu dreptul Uniunii, potrivit normelor de transformare aplicabile la nivel național și european.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Crearea și înregistrarea unei </w:t>
            </w:r>
            <w:r>
              <w:rPr>
                <w:b/>
                <w:i/>
              </w:rPr>
              <w:t>ESSU</w:t>
            </w:r>
            <w:r>
              <w:t xml:space="preserve"> ar trebui să fie complet digitalizate și să respecte principiul „o singură dată”. Înființarea unei </w:t>
            </w:r>
            <w:r>
              <w:rPr>
                <w:b/>
                <w:i/>
              </w:rPr>
              <w:t>ESSU</w:t>
            </w:r>
            <w:r>
              <w:t xml:space="preserve"> trebuie să fie finalizată în termen de 48 de ore.</w:t>
            </w:r>
          </w:p>
        </w:tc>
        <w:tc>
          <w:tcPr>
            <w:tcW w:w="4876" w:type="dxa"/>
            <w:tcBorders>
              <w:top w:val="nil"/>
              <w:left w:val="nil"/>
              <w:bottom w:val="nil"/>
              <w:right w:val="nil"/>
            </w:tcBorders>
          </w:tcPr>
          <w:p>
            <w:pPr>
              <w:pStyle w:val="Normal6a"/>
            </w:pPr>
            <w:r>
              <w:t xml:space="preserve">Crearea și înregistrarea unei </w:t>
            </w:r>
            <w:r>
              <w:rPr>
                <w:b/>
                <w:i/>
              </w:rPr>
              <w:t>SES</w:t>
            </w:r>
            <w:r>
              <w:t xml:space="preserve"> ar trebui să fie complet digitalizate și să respecte principiul „o singură dată”</w:t>
            </w:r>
            <w:r>
              <w:rPr>
                <w:b/>
                <w:i/>
              </w:rPr>
              <w:t>, conform căruia societățile care depun un document într-un stat membru nu ar trebui să fie obligate să-l prezinte și în alt stat membru în care își au sediul</w:t>
            </w:r>
            <w:r>
              <w:t xml:space="preserve">. Înființarea unei </w:t>
            </w:r>
            <w:r>
              <w:rPr>
                <w:b/>
                <w:i/>
              </w:rPr>
              <w:t>SES</w:t>
            </w:r>
            <w:r>
              <w:t xml:space="preserve"> trebuie să fie finalizată în termen de 48 de 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Crearea și înregistrarea unei ESSU ar trebui să fie complet </w:t>
            </w:r>
            <w:r>
              <w:rPr>
                <w:b/>
                <w:i/>
              </w:rPr>
              <w:t>digitalizate</w:t>
            </w:r>
            <w:r>
              <w:t xml:space="preserve"> și să respecte principiul „o singură dată”. Înființarea unei ESSU trebuie să fie finalizată în termen de </w:t>
            </w:r>
            <w:r>
              <w:rPr>
                <w:b/>
                <w:i/>
              </w:rPr>
              <w:t>48</w:t>
            </w:r>
            <w:r>
              <w:t xml:space="preserve"> de ore.</w:t>
            </w:r>
          </w:p>
        </w:tc>
        <w:tc>
          <w:tcPr>
            <w:tcW w:w="4876" w:type="dxa"/>
            <w:tcBorders>
              <w:top w:val="nil"/>
              <w:left w:val="nil"/>
              <w:bottom w:val="nil"/>
              <w:right w:val="nil"/>
            </w:tcBorders>
          </w:tcPr>
          <w:p>
            <w:pPr>
              <w:pStyle w:val="Normal6a"/>
            </w:pPr>
            <w:r>
              <w:t xml:space="preserve">Crearea și înregistrarea unei ESSU ar trebui să </w:t>
            </w:r>
            <w:r>
              <w:rPr>
                <w:b/>
                <w:i/>
              </w:rPr>
              <w:t>se efectueze prin intermediul unei platforme centrale a UE, să</w:t>
            </w:r>
            <w:r>
              <w:t xml:space="preserve"> fie complet </w:t>
            </w:r>
            <w:r>
              <w:rPr>
                <w:b/>
                <w:i/>
              </w:rPr>
              <w:t>digitale, să poată fi realizate în toate limbile oficiale ale UE</w:t>
            </w:r>
            <w:r>
              <w:t xml:space="preserve"> și să respecte principiul „o singură dată”. Înființarea unei ESSU trebuie să fie finalizată în termen de </w:t>
            </w:r>
            <w:r>
              <w:rPr>
                <w:b/>
                <w:i/>
              </w:rPr>
              <w:t>24</w:t>
            </w:r>
            <w:r>
              <w:t xml:space="preserve"> de ore.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Crearea și înregistrarea unei ESSU ar trebui să fie complet digitalizate și să respecte principiul „o singură dată”. Înființarea unei ESSU trebuie să fie finalizată în termen de 48 de ore.</w:t>
            </w:r>
          </w:p>
        </w:tc>
        <w:tc>
          <w:tcPr>
            <w:tcW w:w="4876" w:type="dxa"/>
            <w:tcBorders>
              <w:top w:val="nil"/>
              <w:left w:val="nil"/>
              <w:bottom w:val="nil"/>
              <w:right w:val="nil"/>
            </w:tcBorders>
          </w:tcPr>
          <w:p>
            <w:pPr>
              <w:pStyle w:val="Normal6a"/>
            </w:pPr>
            <w:r>
              <w:rPr>
                <w:b/>
                <w:i/>
              </w:rPr>
              <w:t>Având în vedere Directiva (UE) 2025/25,</w:t>
            </w:r>
            <w:r>
              <w:t xml:space="preserve"> crearea și înregistrarea unei ESSU ar trebui să fie complet digitalizate și să respecte principiul „o singură dată”. Înființarea unei ESSU trebuie să fie finalizată în termen de 48 de 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Crearea și înregistrarea unei ESSU </w:t>
            </w:r>
            <w:r>
              <w:rPr>
                <w:b/>
                <w:i/>
              </w:rPr>
              <w:t>ar trebui</w:t>
            </w:r>
            <w:r>
              <w:t xml:space="preserve"> să fie complet digitalizate și să respecte principiul „o singură dată”. Înființarea unei ESSU trebuie să fie finalizată în termen de 48 de ore.</w:t>
            </w:r>
          </w:p>
        </w:tc>
        <w:tc>
          <w:tcPr>
            <w:tcW w:w="4876" w:type="dxa"/>
            <w:tcBorders>
              <w:top w:val="nil"/>
              <w:left w:val="nil"/>
              <w:bottom w:val="nil"/>
              <w:right w:val="nil"/>
            </w:tcBorders>
          </w:tcPr>
          <w:p>
            <w:pPr>
              <w:pStyle w:val="Normal6a"/>
            </w:pPr>
            <w:r>
              <w:t xml:space="preserve">Crearea și înregistrarea unei ESSU </w:t>
            </w:r>
            <w:r>
              <w:rPr>
                <w:b/>
                <w:i/>
              </w:rPr>
              <w:t>trebuie</w:t>
            </w:r>
            <w:r>
              <w:t xml:space="preserve"> să fie complet digitalizate și să respecte principiul „o singură dată”. Înființarea unei ESSU trebuie să fie finalizată în termen de 48 de 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Crearea și înregistrarea unei ESSU </w:t>
            </w:r>
            <w:r>
              <w:rPr>
                <w:b/>
                <w:i/>
              </w:rPr>
              <w:t>ar trebui să fie</w:t>
            </w:r>
            <w:r>
              <w:t xml:space="preserve"> complet digitalizate și </w:t>
            </w:r>
            <w:r>
              <w:rPr>
                <w:b/>
                <w:i/>
              </w:rPr>
              <w:t>să respecte</w:t>
            </w:r>
            <w:r>
              <w:t xml:space="preserve"> principiul „o singură dată”. Înființarea unei ESSU trebuie să fie finalizată în termen de </w:t>
            </w:r>
            <w:r>
              <w:rPr>
                <w:b/>
                <w:i/>
              </w:rPr>
              <w:t>48</w:t>
            </w:r>
            <w:r>
              <w:t xml:space="preserve"> de ore.</w:t>
            </w:r>
          </w:p>
        </w:tc>
        <w:tc>
          <w:tcPr>
            <w:tcW w:w="4876" w:type="dxa"/>
            <w:tcBorders>
              <w:top w:val="nil"/>
              <w:left w:val="nil"/>
              <w:bottom w:val="nil"/>
              <w:right w:val="nil"/>
            </w:tcBorders>
          </w:tcPr>
          <w:p>
            <w:pPr>
              <w:pStyle w:val="Normal6a"/>
            </w:pPr>
            <w:r>
              <w:t xml:space="preserve">Crearea și înregistrarea unei ESSU </w:t>
            </w:r>
            <w:r>
              <w:rPr>
                <w:b/>
                <w:i/>
              </w:rPr>
              <w:t>sunt</w:t>
            </w:r>
            <w:r>
              <w:t xml:space="preserve"> complet digitalizate și </w:t>
            </w:r>
            <w:r>
              <w:rPr>
                <w:b/>
                <w:i/>
              </w:rPr>
              <w:t>respectă</w:t>
            </w:r>
            <w:r>
              <w:t xml:space="preserve"> principiul „o singură dată”. Înființarea unei ESSU trebuie să fie finalizată în termen de </w:t>
            </w:r>
            <w:r>
              <w:rPr>
                <w:b/>
                <w:i/>
              </w:rPr>
              <w:t>24</w:t>
            </w:r>
            <w:r>
              <w:t xml:space="preserve"> de 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data înființării, o ESSU ar trebui să primească o identitate digitală unificată și un identificator unic de întreprindere pentru a simplifica înregistrarea, a spori transparența și încrederea, a facilita verificarea identității societății și a combate frauda și evaziunea fiscală.</w:t>
            </w:r>
          </w:p>
        </w:tc>
        <w:tc>
          <w:tcPr>
            <w:tcW w:w="4876" w:type="dxa"/>
            <w:tcBorders>
              <w:top w:val="nil"/>
              <w:left w:val="nil"/>
              <w:bottom w:val="nil"/>
              <w:right w:val="nil"/>
            </w:tcBorders>
          </w:tcPr>
          <w:p>
            <w:pPr>
              <w:pStyle w:val="Normal6a"/>
            </w:pPr>
            <w:r>
              <w:t>La data înființării, o ESSU ar trebui să primească o identitate digitală unificată și un identificator unic de întreprindere pentru a simplifica înregistrarea, a spori transparența și încrederea, a facilita verificarea identității societății și a combate frauda</w:t>
            </w:r>
            <w:r>
              <w:rPr>
                <w:b/>
                <w:i/>
              </w:rPr>
              <w:t>, spălarea banilor</w:t>
            </w:r>
            <w:r>
              <w:t xml:space="preserve"> și evaziunea fiscală.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data înființării, o </w:t>
            </w:r>
            <w:r>
              <w:rPr>
                <w:b/>
                <w:i/>
              </w:rPr>
              <w:t>ESSU</w:t>
            </w:r>
            <w:r>
              <w:t xml:space="preserve"> ar trebui să primească o identitate digitală unificată și un identificator unic de întreprindere pentru a simplifica înregistrarea, a spori transparența și încrederea, a facilita verificarea identității societății și a combate frauda și evaziunea fiscală.</w:t>
            </w:r>
          </w:p>
        </w:tc>
        <w:tc>
          <w:tcPr>
            <w:tcW w:w="4876" w:type="dxa"/>
            <w:tcBorders>
              <w:top w:val="nil"/>
              <w:left w:val="nil"/>
              <w:bottom w:val="nil"/>
              <w:right w:val="nil"/>
            </w:tcBorders>
          </w:tcPr>
          <w:p>
            <w:pPr>
              <w:pStyle w:val="Normal6a"/>
            </w:pPr>
            <w:r>
              <w:t xml:space="preserve">La data înființării, o </w:t>
            </w:r>
            <w:r>
              <w:rPr>
                <w:b/>
                <w:i/>
              </w:rPr>
              <w:t>SES</w:t>
            </w:r>
            <w:r>
              <w:t xml:space="preserve"> ar trebui să primească o identitate digitală unificată și un identificator unic de întreprindere pentru a simplifica înregistrarea, a spori transparența și încrederea, a facilita verificarea identității societății și a combate frauda și evaziunea fiscală.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Pentru a facilita atingerea acestor obiective, Comisia ar trebui să creeze și să gestioneze un registru digital uniform la nivelul Uniunii al societăților de tip ESSU. Un astfel de registru ar completa și ar extinde sistemul existent de interconectare a registrelor comerțului (BRIS). Registrul digital uniform al societăților la nivelul Uniunii nu ar trebui să înlocuiască normele naționale existente privind constituirea societăților, ci mai degrabă să servească drept portal comun. La momentul înregistrării în registrul digital al Uniunii, o societate trebuie să aleagă un stat membru ca loc de înregistrare, stabilind astfel legea națională aplicabilă constituirii.</w:t>
            </w:r>
          </w:p>
        </w:tc>
        <w:tc>
          <w:tcPr>
            <w:tcW w:w="4876" w:type="dxa"/>
            <w:tcBorders>
              <w:top w:val="nil"/>
              <w:left w:val="nil"/>
              <w:bottom w:val="nil"/>
              <w:right w:val="nil"/>
            </w:tcBorders>
          </w:tcPr>
          <w:p>
            <w:pPr>
              <w:pStyle w:val="Normal6a"/>
            </w:pPr>
            <w:r>
              <w:t>Pentru a facilita atingerea acestor obiective, Comisia ar trebui să creeze și să gestioneze un registru digital uniform la nivelul Uniunii al societăților de tip ESSU. Un astfel de registru ar completa și ar extinde sistemul existent de interconectare a registrelor comerțului (BRIS)</w:t>
            </w:r>
            <w:r>
              <w:rPr>
                <w:b/>
                <w:i/>
              </w:rPr>
              <w:t>, care în prezent nu este practic și nici nu este suficient de cunoscut</w:t>
            </w:r>
            <w:r>
              <w:t xml:space="preserve">. Registrul digital uniform al societăților la nivelul Uniunii nu ar trebui să înlocuiască normele naționale existente privind constituirea societăților, ci mai degrabă să servească drept portal comun </w:t>
            </w:r>
            <w:r>
              <w:rPr>
                <w:b/>
                <w:i/>
              </w:rPr>
              <w:t>în care toate informațiile necesare investitorilor să fie agregate.</w:t>
            </w:r>
            <w:r>
              <w:t xml:space="preserve"> </w:t>
            </w:r>
            <w:r>
              <w:rPr>
                <w:b/>
                <w:i/>
              </w:rPr>
              <w:t>Prin urmare, statele membre ar trebui să transmită în mod automat documente către registrul Uniunii, asigurând recunoașterea și accesul fără sincope al părților interesate.</w:t>
            </w:r>
            <w:r>
              <w:t xml:space="preserve"> </w:t>
            </w:r>
            <w:r>
              <w:rPr>
                <w:b/>
                <w:i/>
              </w:rPr>
              <w:t>Platforma ar trebui, de asemenea, să furnizeze informații despre procedurile și resursele naționale, precum și modelele de documente ale investitorilor pentru SES</w:t>
            </w:r>
            <w:r>
              <w:t>. La momentul înregistrării în registrul digital al Uniunii, o societate trebuie să aleagă un stat membru ca loc de înregistrare, stabilind astfel legea națională aplicabilă constituirii.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facilita atingerea acestor obiective, </w:t>
            </w:r>
            <w:r>
              <w:rPr>
                <w:b/>
                <w:i/>
              </w:rPr>
              <w:t>Comisia</w:t>
            </w:r>
            <w:r>
              <w:t xml:space="preserve"> ar trebui </w:t>
            </w:r>
            <w:r>
              <w:rPr>
                <w:b/>
                <w:i/>
              </w:rPr>
              <w:t>să creeze și să gestioneze un registru digital uniform</w:t>
            </w:r>
            <w:r>
              <w:t xml:space="preserve"> la nivelul Uniunii </w:t>
            </w:r>
            <w:r>
              <w:rPr>
                <w:b/>
                <w:i/>
              </w:rPr>
              <w:t>al societăților de tip</w:t>
            </w:r>
            <w:r>
              <w:t xml:space="preserve"> ESSU. Un astfel de </w:t>
            </w:r>
            <w:r>
              <w:rPr>
                <w:b/>
                <w:i/>
              </w:rPr>
              <w:t>registru</w:t>
            </w:r>
            <w:r>
              <w:t xml:space="preserve"> ar completa și </w:t>
            </w:r>
            <w:r>
              <w:rPr>
                <w:b/>
                <w:i/>
              </w:rPr>
              <w:t>ar</w:t>
            </w:r>
            <w:r>
              <w:t xml:space="preserve"> extinde sistemul </w:t>
            </w:r>
            <w:r>
              <w:rPr>
                <w:b/>
                <w:i/>
              </w:rPr>
              <w:t>existent</w:t>
            </w:r>
            <w:r>
              <w:t xml:space="preserve"> de interconectare a registrelor comerțului (BRIS). </w:t>
            </w:r>
            <w:r>
              <w:rPr>
                <w:b/>
                <w:i/>
              </w:rPr>
              <w:t>Registrul digital uniform al societăților</w:t>
            </w:r>
            <w:r>
              <w:t xml:space="preserve"> la nivelul Uniunii nu ar trebui să înlocuiască </w:t>
            </w:r>
            <w:r>
              <w:rPr>
                <w:b/>
                <w:i/>
              </w:rPr>
              <w:t>normele</w:t>
            </w:r>
            <w:r>
              <w:t xml:space="preserve"> naționale </w:t>
            </w:r>
            <w:r>
              <w:rPr>
                <w:b/>
                <w:i/>
              </w:rPr>
              <w:t>existente privind constituirea societăților, ci mai degrabă să servească drept</w:t>
            </w:r>
            <w:r>
              <w:t xml:space="preserve"> portal comun. La </w:t>
            </w:r>
            <w:r>
              <w:rPr>
                <w:b/>
                <w:i/>
              </w:rPr>
              <w:t>momentul înregistrării în registrul digital al Uniunii</w:t>
            </w:r>
            <w:r>
              <w:t xml:space="preserve">, o societate trebuie să aleagă un stat membru ca loc de </w:t>
            </w:r>
            <w:r>
              <w:rPr>
                <w:b/>
                <w:i/>
              </w:rPr>
              <w:t>înregistrare, stabilind astfel</w:t>
            </w:r>
            <w:r>
              <w:t xml:space="preserve"> legea națională aplicabilă constituirii.</w:t>
            </w:r>
          </w:p>
        </w:tc>
        <w:tc>
          <w:tcPr>
            <w:tcW w:w="4876" w:type="dxa"/>
            <w:tcBorders>
              <w:top w:val="nil"/>
              <w:left w:val="nil"/>
              <w:bottom w:val="nil"/>
              <w:right w:val="nil"/>
            </w:tcBorders>
          </w:tcPr>
          <w:p>
            <w:pPr>
              <w:pStyle w:val="Normal6a"/>
            </w:pPr>
            <w:r>
              <w:t xml:space="preserve">Pentru a facilita atingerea acestor obiective, ar trebui </w:t>
            </w:r>
            <w:r>
              <w:rPr>
                <w:b/>
                <w:i/>
              </w:rPr>
              <w:t>creat și operat de către Comisie un punct de acces</w:t>
            </w:r>
            <w:r>
              <w:t xml:space="preserve"> la nivelul Uniunii</w:t>
            </w:r>
            <w:r>
              <w:rPr>
                <w:b/>
                <w:i/>
              </w:rPr>
              <w:t>, pe portalul european e-Justice, pentru înregistrarea</w:t>
            </w:r>
            <w:r>
              <w:t xml:space="preserve"> ESSU. Un astfel de </w:t>
            </w:r>
            <w:r>
              <w:rPr>
                <w:b/>
                <w:i/>
              </w:rPr>
              <w:t>punct de acces</w:t>
            </w:r>
            <w:r>
              <w:t xml:space="preserve"> ar completa și extinde Sistemul de Interconectare a Registrelor Comerțului (BRIS). </w:t>
            </w:r>
            <w:r>
              <w:rPr>
                <w:b/>
                <w:i/>
              </w:rPr>
              <w:t>Punctul de acces</w:t>
            </w:r>
            <w:r>
              <w:t xml:space="preserve"> la nivelul Uniunii nu ar trebui să înlocuiască </w:t>
            </w:r>
            <w:r>
              <w:rPr>
                <w:b/>
                <w:i/>
              </w:rPr>
              <w:t>regulile</w:t>
            </w:r>
            <w:r>
              <w:t xml:space="preserve"> naționale </w:t>
            </w:r>
            <w:r>
              <w:rPr>
                <w:b/>
                <w:i/>
              </w:rPr>
              <w:t>de constituire, ci să funcționeze ca un</w:t>
            </w:r>
            <w:r>
              <w:t xml:space="preserve"> portal comun. La </w:t>
            </w:r>
            <w:r>
              <w:rPr>
                <w:b/>
                <w:i/>
              </w:rPr>
              <w:t>accesarea acestui punct de acces</w:t>
            </w:r>
            <w:r>
              <w:t xml:space="preserve">, o societate trebuie să aleagă un stat membru ca loc de </w:t>
            </w:r>
            <w:r>
              <w:rPr>
                <w:b/>
                <w:i/>
              </w:rPr>
              <w:t>constituire și, prin aceasta,</w:t>
            </w:r>
            <w:r>
              <w:t xml:space="preserve"> legea națională aplicabilă constituirii. </w:t>
            </w:r>
            <w:r>
              <w:rPr>
                <w:b/>
                <w:i/>
              </w:rPr>
              <w:t>Punctul de acces ar urma să funcționeze ca o intrare directă către ghișeele unice naționale pentru ca societățile să fie înregistrate ca ESSU.</w:t>
            </w:r>
            <w:r>
              <w:t xml:space="preserve"> </w:t>
            </w:r>
            <w:r>
              <w:rPr>
                <w:b/>
                <w:i/>
              </w:rPr>
              <w:t>Constituirea, depunerile și actualizările ar trebui administrate potrivit dreptului național, o singură dată, prin intermediul ghișeelor unice accesibile prin punctul de acces, pe baza unei interfețe multilingve și a standardelor de identificare prevăzute de Regulamentul eIDAS.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facilita atingerea acestor obiective, Comisia ar trebui să creeze și să gestioneze un </w:t>
            </w:r>
            <w:r>
              <w:rPr>
                <w:b/>
                <w:i/>
              </w:rPr>
              <w:t>registru digital uniform</w:t>
            </w:r>
            <w:r>
              <w:t xml:space="preserve"> la nivelul Uniunii </w:t>
            </w:r>
            <w:r>
              <w:rPr>
                <w:b/>
                <w:i/>
              </w:rPr>
              <w:t>al societăților de tip ESSU</w:t>
            </w:r>
            <w:r>
              <w:t xml:space="preserve">. Un astfel de </w:t>
            </w:r>
            <w:r>
              <w:rPr>
                <w:b/>
                <w:i/>
              </w:rPr>
              <w:t>registru</w:t>
            </w:r>
            <w:r>
              <w:t xml:space="preserve"> ar completa și </w:t>
            </w:r>
            <w:r>
              <w:rPr>
                <w:b/>
                <w:i/>
              </w:rPr>
              <w:t>ar</w:t>
            </w:r>
            <w:r>
              <w:t xml:space="preserve"> extinde sistemul </w:t>
            </w:r>
            <w:r>
              <w:rPr>
                <w:b/>
                <w:i/>
              </w:rPr>
              <w:t>existent</w:t>
            </w:r>
            <w:r>
              <w:t xml:space="preserve"> de interconectare a registrelor comerțului (BRIS). </w:t>
            </w:r>
            <w:r>
              <w:rPr>
                <w:b/>
                <w:i/>
              </w:rPr>
              <w:t>Registrul digital uniform al societăților</w:t>
            </w:r>
            <w:r>
              <w:t xml:space="preserve"> la nivelul Uniunii nu ar trebui să înlocuiască normele naționale existente privind constituirea societăților, ci mai degrabă să servească drept portal comun. </w:t>
            </w:r>
            <w:r>
              <w:rPr>
                <w:b/>
                <w:i/>
              </w:rPr>
              <w:t>La momentul înregistrării în registrul digital al Uniunii, o societate trebuie să aleagă un stat membru ca loc de înregistrare, stabilind astfel legea națională aplicabilă constituirii.</w:t>
            </w:r>
          </w:p>
        </w:tc>
        <w:tc>
          <w:tcPr>
            <w:tcW w:w="4876" w:type="dxa"/>
            <w:tcBorders>
              <w:top w:val="nil"/>
              <w:left w:val="nil"/>
              <w:bottom w:val="nil"/>
              <w:right w:val="nil"/>
            </w:tcBorders>
          </w:tcPr>
          <w:p>
            <w:pPr>
              <w:pStyle w:val="Normal6a"/>
            </w:pPr>
            <w:r>
              <w:t xml:space="preserve">Pentru a facilita atingerea acestor obiective, Comisia ar trebui să creeze și să gestioneze un </w:t>
            </w:r>
            <w:r>
              <w:rPr>
                <w:b/>
                <w:i/>
              </w:rPr>
              <w:t>punct de acces electronic european pe portalul european e-justiție</w:t>
            </w:r>
            <w:r>
              <w:t xml:space="preserve"> la nivelul Uniunii. Un astfel de </w:t>
            </w:r>
            <w:r>
              <w:rPr>
                <w:b/>
                <w:i/>
              </w:rPr>
              <w:t>punct de acces</w:t>
            </w:r>
            <w:r>
              <w:t xml:space="preserve"> ar completa și extinde Sistemul de Interconectare a Registrelor Comerțului (BRIS). </w:t>
            </w:r>
            <w:r>
              <w:rPr>
                <w:b/>
                <w:i/>
              </w:rPr>
              <w:t>Punctul de acces</w:t>
            </w:r>
            <w:r>
              <w:t xml:space="preserve"> la nivelul Uniunii nu ar trebui să înlocuiască normele naționale existente privind constituirea societăților, ci mai degrabă să servească drept portal comun.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facilita atingerea acestor obiective, Comisia ar trebui să creeze și să gestioneze un </w:t>
            </w:r>
            <w:r>
              <w:rPr>
                <w:b/>
                <w:i/>
              </w:rPr>
              <w:t>registru digital uniform</w:t>
            </w:r>
            <w:r>
              <w:t xml:space="preserve"> la nivelul Uniunii al societăților de tip ESSU. </w:t>
            </w:r>
            <w:r>
              <w:rPr>
                <w:b/>
                <w:i/>
              </w:rPr>
              <w:t>Un astfel de registru</w:t>
            </w:r>
            <w:r>
              <w:t xml:space="preserve"> ar completa și ar extinde sistemul existent de interconectare a registrelor comerțului (BRIS)</w:t>
            </w:r>
            <w:r>
              <w:rPr>
                <w:b/>
                <w:i/>
              </w:rPr>
              <w:t>.</w:t>
            </w:r>
            <w:r>
              <w:t xml:space="preserve"> </w:t>
            </w:r>
            <w:r>
              <w:rPr>
                <w:b/>
                <w:i/>
              </w:rPr>
              <w:t>Registrul</w:t>
            </w:r>
            <w:r>
              <w:t xml:space="preserve"> digital </w:t>
            </w:r>
            <w:r>
              <w:rPr>
                <w:b/>
                <w:i/>
              </w:rPr>
              <w:t>uniform al societăților</w:t>
            </w:r>
            <w:r>
              <w:t xml:space="preserve"> la nivelul Uniunii nu ar trebui să înlocuiască normele naționale existente privind constituirea societăților, ci mai degrabă să servească drept portal comun</w:t>
            </w:r>
            <w:r>
              <w:rPr>
                <w:b/>
                <w:i/>
              </w:rPr>
              <w:t>.</w:t>
            </w:r>
            <w:r>
              <w:t xml:space="preserve"> </w:t>
            </w:r>
            <w:r>
              <w:rPr>
                <w:b/>
                <w:i/>
              </w:rPr>
              <w:t>La momentul înregistrării în registrul digital al Uniunii, o societate</w:t>
            </w:r>
            <w:r>
              <w:t xml:space="preserve"> trebuie să aleagă un stat membru ca loc de înregistrare, stabilind astfel legea națională aplicabilă constituirii.</w:t>
            </w:r>
          </w:p>
        </w:tc>
        <w:tc>
          <w:tcPr>
            <w:tcW w:w="4876" w:type="dxa"/>
            <w:tcBorders>
              <w:top w:val="nil"/>
              <w:left w:val="nil"/>
              <w:bottom w:val="nil"/>
              <w:right w:val="nil"/>
            </w:tcBorders>
          </w:tcPr>
          <w:p>
            <w:pPr>
              <w:pStyle w:val="Normal6a"/>
            </w:pPr>
            <w:r>
              <w:t xml:space="preserve">Pentru a facilita atingerea acestor obiective, Comisia ar trebui să creeze și să gestioneze un </w:t>
            </w:r>
            <w:r>
              <w:rPr>
                <w:b/>
                <w:i/>
              </w:rPr>
              <w:t>punct de acces direct</w:t>
            </w:r>
            <w:r>
              <w:t xml:space="preserve"> la nivelul Uniunii al societăților de tip ESSU. </w:t>
            </w:r>
            <w:r>
              <w:rPr>
                <w:b/>
                <w:i/>
              </w:rPr>
              <w:t>Acest punct de acces</w:t>
            </w:r>
            <w:r>
              <w:t xml:space="preserve"> ar completa și ar extinde sistemul existent de interconectare a registrelor comerțului (BRIS)</w:t>
            </w:r>
            <w:r>
              <w:rPr>
                <w:b/>
                <w:i/>
              </w:rPr>
              <w:t> prin furnizarea unei interfețe armonizate, cu acces unic, pentru utilizarea transfrontalieră, fără a crea un registru separat sau paralel.</w:t>
            </w:r>
            <w:r>
              <w:t xml:space="preserve"> </w:t>
            </w:r>
            <w:r>
              <w:rPr>
                <w:b/>
                <w:i/>
              </w:rPr>
              <w:t>Punctul de acces</w:t>
            </w:r>
            <w:r>
              <w:t xml:space="preserve"> digital </w:t>
            </w:r>
            <w:r>
              <w:rPr>
                <w:b/>
                <w:i/>
              </w:rPr>
              <w:t>și direct</w:t>
            </w:r>
            <w:r>
              <w:t xml:space="preserve"> la nivelul Uniunii nu ar trebui să înlocuiască normele naționale existente privind constituirea societăților, ci mai degrabă să servească drept portal comun </w:t>
            </w:r>
            <w:r>
              <w:rPr>
                <w:b/>
                <w:i/>
              </w:rPr>
              <w:t>pentru acestea.</w:t>
            </w:r>
            <w:r>
              <w:t xml:space="preserve"> </w:t>
            </w:r>
            <w:r>
              <w:rPr>
                <w:b/>
                <w:i/>
              </w:rPr>
              <w:t>Atunci când folosește acest punct de acces pentru a înregistra o ESSU, solicitantul</w:t>
            </w:r>
            <w:r>
              <w:t xml:space="preserve"> trebuie să aleagă un stat membru ca loc de înregistrare, stabilind astfel legea națională aplicabilă constituirii.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facilita atingerea acestor obiective, Comisia ar trebui să creeze și să gestioneze un registru digital uniform la nivelul Uniunii al societăților de tip </w:t>
            </w:r>
            <w:r>
              <w:rPr>
                <w:b/>
                <w:i/>
              </w:rPr>
              <w:t>ESSU</w:t>
            </w:r>
            <w:r>
              <w:t>. Un astfel de registru ar completa și ar extinde sistemul existent de interconectare a registrelor comerțului (BRIS). Registrul digital uniform al societăților la nivelul Uniunii nu ar trebui să înlocuiască normele naționale existente privind constituirea societăților, ci mai degrabă să servească drept portal comun. La momentul înregistrării în registrul digital al Uniunii, o societate trebuie să aleagă un stat membru ca loc de înregistrare, stabilind astfel legea națională aplicabilă constituirii.</w:t>
            </w:r>
          </w:p>
        </w:tc>
        <w:tc>
          <w:tcPr>
            <w:tcW w:w="4876" w:type="dxa"/>
            <w:tcBorders>
              <w:top w:val="nil"/>
              <w:left w:val="nil"/>
              <w:bottom w:val="nil"/>
              <w:right w:val="nil"/>
            </w:tcBorders>
          </w:tcPr>
          <w:p>
            <w:pPr>
              <w:pStyle w:val="Normal6a"/>
            </w:pPr>
            <w:r>
              <w:t xml:space="preserve">Pentru a facilita atingerea acestor obiective, Comisia ar trebui să creeze și să gestioneze un registru digital uniform la nivelul Uniunii al societăților de tip </w:t>
            </w:r>
            <w:r>
              <w:rPr>
                <w:b/>
                <w:i/>
              </w:rPr>
              <w:t>SES</w:t>
            </w:r>
            <w:r>
              <w:t>. Un astfel de registru ar completa și ar extinde sistemul existent de interconectare a registrelor comerțului (BRIS). Registrul digital uniform al societăților la nivelul Uniunii nu ar trebui să înlocuiască normele naționale existente privind constituirea societăților, ci mai degrabă să servească drept portal comun. La momentul înregistrării în registrul digital al Uniunii, o societate trebuie să aleagă un stat membru ca loc de înregistrare, stabilind astfel legea națională aplicabilă constituirii.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Registrul digital uniform al societăților la nivelul Uniunii ar constitui un</w:t>
            </w:r>
            <w:r>
              <w:t xml:space="preserve"> punct de </w:t>
            </w:r>
            <w:r>
              <w:rPr>
                <w:b/>
                <w:i/>
              </w:rPr>
              <w:t>acces</w:t>
            </w:r>
            <w:r>
              <w:t xml:space="preserve"> direct pentru </w:t>
            </w:r>
            <w:r>
              <w:rPr>
                <w:b/>
                <w:i/>
              </w:rPr>
              <w:t>societăți în vederea înregistrării</w:t>
            </w:r>
            <w:r>
              <w:t xml:space="preserve"> ca ESSU. Înregistrarea, depunerea documentelor și actualizările ar trebui gestionate </w:t>
            </w:r>
            <w:r>
              <w:rPr>
                <w:b/>
                <w:i/>
              </w:rPr>
              <w:t>prin intermediul acestui registru o singură dată și ar trebui să fie accesibile în toate statele membre pe baza unei interfețe multilingve și a unor standarde armonizate de identificare,</w:t>
            </w:r>
            <w:r>
              <w:t xml:space="preserve"> în conformitate cu </w:t>
            </w:r>
            <w:r>
              <w:rPr>
                <w:b/>
                <w:i/>
              </w:rPr>
              <w:t>Regulamentul eIDAS</w:t>
            </w:r>
            <w:r>
              <w:rPr>
                <w:b/>
                <w:i/>
                <w:vertAlign w:val="superscript"/>
              </w:rPr>
              <w:t>1</w:t>
            </w:r>
            <w:r>
              <w:rPr>
                <w:b/>
                <w:i/>
              </w:rPr>
              <w:t>.</w:t>
            </w:r>
            <w:r>
              <w:t xml:space="preserve"> </w:t>
            </w:r>
            <w:r>
              <w:rPr>
                <w:b/>
                <w:i/>
              </w:rPr>
              <w:t>Registrul ar putea utiliza o rețea de registre distribuite (DLT</w:t>
            </w:r>
            <w:r>
              <w:t xml:space="preserve">) </w:t>
            </w:r>
            <w:r>
              <w:rPr>
                <w:b/>
                <w:i/>
              </w:rPr>
              <w:t>autorizată care să înregistreze principalele evenimente legate de societate, cum ar fi înregistrările sau transferurile de acțiuni, cu marcaje temporale imuabile</w:t>
            </w:r>
            <w:r>
              <w:t>.</w:t>
            </w:r>
          </w:p>
        </w:tc>
        <w:tc>
          <w:tcPr>
            <w:tcW w:w="4876" w:type="dxa"/>
            <w:tcBorders>
              <w:top w:val="nil"/>
              <w:left w:val="nil"/>
              <w:bottom w:val="nil"/>
              <w:right w:val="nil"/>
            </w:tcBorders>
          </w:tcPr>
          <w:p>
            <w:pPr>
              <w:pStyle w:val="Normal6a"/>
            </w:pPr>
            <w:r>
              <w:rPr>
                <w:b/>
                <w:i/>
              </w:rPr>
              <w:t>Punctul de acces ar servi drept</w:t>
            </w:r>
            <w:r>
              <w:t xml:space="preserve"> punct de </w:t>
            </w:r>
            <w:r>
              <w:rPr>
                <w:b/>
                <w:i/>
              </w:rPr>
              <w:t>intrare</w:t>
            </w:r>
            <w:r>
              <w:t xml:space="preserve"> direct pentru </w:t>
            </w:r>
            <w:r>
              <w:rPr>
                <w:b/>
                <w:i/>
              </w:rPr>
              <w:t>căutarea societăților înregistrate</w:t>
            </w:r>
            <w:r>
              <w:t xml:space="preserve"> ca ESSU. Înregistrarea, depunerea documentelor și actualizările ar trebui gestionate în conformitate cu </w:t>
            </w:r>
            <w:r>
              <w:rPr>
                <w:b/>
                <w:i/>
              </w:rPr>
              <w:t>Directiva (UE</w:t>
            </w:r>
            <w:r>
              <w:t xml:space="preserve">) </w:t>
            </w:r>
            <w:r>
              <w:rPr>
                <w:b/>
                <w:i/>
              </w:rPr>
              <w:t>2025/25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Regulamentul (UE) nr. 910/2014 al Parlamentului European și al Consiliului din 23 iulie 2014 privind identificarea electronică și serviciile de încredere pentru tranzacțiile electronice pe piața internă și de abrogare a Directivei 1999/93/CE (JO L 257, 28.8.2014, p.</w:t>
            </w:r>
            <w:r>
              <w:t xml:space="preserve"> </w:t>
            </w:r>
            <w:r>
              <w:rPr>
                <w:b/>
                <w:i/>
              </w:rPr>
              <w:t>73, ELI: http://data.europa.eu/eli/reg/2014/910/oj).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Registrul</w:t>
            </w:r>
            <w:r>
              <w:t xml:space="preserve"> digital uniform </w:t>
            </w:r>
            <w:r>
              <w:rPr>
                <w:b/>
                <w:i/>
              </w:rPr>
              <w:t>al societăților</w:t>
            </w:r>
            <w:r>
              <w:t xml:space="preserve"> la nivelul Uniunii </w:t>
            </w:r>
            <w:r>
              <w:rPr>
                <w:b/>
                <w:i/>
              </w:rPr>
              <w:t>ar constitui un punct de acces direct</w:t>
            </w:r>
            <w:r>
              <w:t xml:space="preserve"> pentru societăți în vederea înregistrării ca ESSU</w:t>
            </w:r>
            <w:r>
              <w:rPr>
                <w:b/>
                <w:i/>
              </w:rPr>
              <w:t>.</w:t>
            </w:r>
            <w:r>
              <w:t xml:space="preserve"> Înregistrarea, depunerea documentelor și actualizările </w:t>
            </w:r>
            <w:r>
              <w:rPr>
                <w:b/>
                <w:i/>
              </w:rPr>
              <w:t>ar trebui gestionate prin intermediul acestui registru</w:t>
            </w:r>
            <w:r>
              <w:t xml:space="preserve"> o singură dată și ar trebui să fie accesibile în toate statele membre pe baza unei interfețe multilingve și a unor standarde armonizate de identificare, în conformitate cu </w:t>
            </w:r>
            <w:r>
              <w:rPr>
                <w:b/>
                <w:i/>
              </w:rPr>
              <w:t>Regulamentul</w:t>
            </w:r>
            <w:r>
              <w:t xml:space="preserve"> eIDAS</w:t>
            </w:r>
            <w:r>
              <w:rPr>
                <w:vertAlign w:val="superscript"/>
              </w:rPr>
              <w:t>1</w:t>
            </w:r>
            <w:r>
              <w:t>. Registrul ar putea utiliza o rețea de registre distribuite (DLT) autorizată care să înregistreze principalele evenimente legate de societate, cum ar fi înregistrările sau transferurile de acțiuni, cu marcaje temporale imuabile.</w:t>
            </w:r>
          </w:p>
        </w:tc>
        <w:tc>
          <w:tcPr>
            <w:tcW w:w="4876" w:type="dxa"/>
            <w:tcBorders>
              <w:top w:val="nil"/>
              <w:left w:val="nil"/>
              <w:bottom w:val="nil"/>
              <w:right w:val="nil"/>
            </w:tcBorders>
          </w:tcPr>
          <w:p>
            <w:pPr>
              <w:pStyle w:val="Normal6a"/>
            </w:pPr>
            <w:r>
              <w:rPr>
                <w:b/>
                <w:i/>
              </w:rPr>
              <w:t>Punctul de acces direct,</w:t>
            </w:r>
            <w:r>
              <w:t xml:space="preserve"> digital </w:t>
            </w:r>
            <w:r>
              <w:rPr>
                <w:b/>
                <w:i/>
              </w:rPr>
              <w:t>și</w:t>
            </w:r>
            <w:r>
              <w:t xml:space="preserve"> uniform la nivelul Uniunii pentru societăți în vederea înregistrării ca ESSU </w:t>
            </w:r>
            <w:r>
              <w:rPr>
                <w:b/>
                <w:i/>
              </w:rPr>
              <w:t>ar trebui să gestioneze</w:t>
            </w:r>
            <w:r>
              <w:t xml:space="preserve"> înregistrarea, depunerea documentelor și actualizările o singură dată și ar trebui să fie accesibile în toate statele membre pe baza unei interfețe multilingve și a unor standarde armonizate de identificare, în conformitate cu </w:t>
            </w:r>
            <w:r>
              <w:rPr>
                <w:b/>
                <w:i/>
              </w:rPr>
              <w:t>Regulamentului</w:t>
            </w:r>
            <w:r>
              <w:t xml:space="preserve"> eIDAS</w:t>
            </w:r>
            <w:r>
              <w:rPr>
                <w:vertAlign w:val="superscript"/>
              </w:rPr>
              <w:t>1</w:t>
            </w:r>
            <w:r>
              <w:t>. Registrul ar putea utiliza o rețea de registre distribuite (DLT) autorizată care să înregistreze principalele evenimente legate de societate, cum ar fi înregistrările sau transferurile de acțiuni, cu marcaje temporale imuabile.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Regulamentul (UE) nr. 910/2014 al Parlamentului European și al Consiliului din 23 iulie 2014 privind identificarea electronică și serviciile de încredere pentru tranzacțiile electronice pe piața internă și de abrogare a Directivei 1999/93/CE (JO L 257, 28.8.2014, p.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Regulamentul (UE) nr. 910/2014 al Parlamentului European și al Consiliului din 23 iulie 2014 privind identificarea electronică și serviciile de încredere pentru tranzacțiile electronice pe piața internă și de abrogare a Directivei 1999/93/CE (JO L 257, 28.8.2014, p.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Registrul digital uniform al societăților la nivelul Uniunii ar constitui un punct de acces direct pentru societăți în vederea înregistrării ca </w:t>
            </w:r>
            <w:r>
              <w:rPr>
                <w:b/>
                <w:i/>
              </w:rPr>
              <w:t>ESSU</w:t>
            </w:r>
            <w:r>
              <w:t>. Înregistrarea, depunerea documentelor și actualizările ar trebui gestionate prin intermediul acestui registru o singură dată și ar trebui să fie accesibile în toate statele membre pe baza unei interfețe multilingve și a unor standarde armonizate de identificare, în conformitate cu Regulamentul eIDAS</w:t>
            </w:r>
            <w:r>
              <w:rPr>
                <w:vertAlign w:val="superscript"/>
              </w:rPr>
              <w:t>1</w:t>
            </w:r>
            <w:r>
              <w:t>. Registrul ar putea utiliza o rețea de registre distribuite (DLT) autorizată care să înregistreze principalele evenimente legate de societate, cum ar fi înregistrările sau transferurile de acțiuni, cu marcaje temporale imuabile.</w:t>
            </w:r>
          </w:p>
        </w:tc>
        <w:tc>
          <w:tcPr>
            <w:tcW w:w="4876" w:type="dxa"/>
            <w:tcBorders>
              <w:top w:val="nil"/>
              <w:left w:val="nil"/>
              <w:bottom w:val="nil"/>
              <w:right w:val="nil"/>
            </w:tcBorders>
          </w:tcPr>
          <w:p>
            <w:pPr>
              <w:pStyle w:val="Normal6a"/>
            </w:pPr>
            <w:r>
              <w:t xml:space="preserve">Registrul digital uniform al societăților la nivelul Uniunii ar constitui un punct de acces direct pentru societăți în vederea înregistrării ca </w:t>
            </w:r>
            <w:r>
              <w:rPr>
                <w:b/>
                <w:i/>
              </w:rPr>
              <w:t>SES</w:t>
            </w:r>
            <w:r>
              <w:t>. Înregistrarea, depunerea documentelor și actualizările ar trebui gestionate prin intermediul acestui registru o singură dată și ar trebui să fie accesibile în toate statele membre pe baza unei interfețe multilingve și a unor standarde armonizate de identificare, în conformitate cu Regulamentul eIDAS</w:t>
            </w:r>
            <w:r>
              <w:rPr>
                <w:vertAlign w:val="superscript"/>
              </w:rPr>
              <w:t>1</w:t>
            </w:r>
            <w:r>
              <w:t>. Registrul ar putea utiliza o rețea de registre distribuite (DLT) autorizată care să înregistreze principalele evenimente legate de societate, cum ar fi înregistrările sau transferurile de acțiuni, cu marcaje temporale imuabile.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Regulamentul (UE) nr. 910/2014 al Parlamentului European și al Consiliului din 23 iulie 2014 privind identificarea electronică și serviciile de încredere pentru tranzacțiile electronice pe piața internă și de abrogare a Directivei 1999/93/CE (JO L 257, 28.8.2014, p.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Regulamentul (UE) nr. 910/2014 al Parlamentului European și al Consiliului din 23 iulie 2014 privind identificarea electronică și serviciile de încredere pentru tranzacțiile electronice pe piața internă și de abrogare a Directivei 1999/93/CE (JO L 257, 28.8.2014, p.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Registrul digital al societăților ar trebui să includă, de asemenea, motoare de validare bazate pe IA și mecanisme digitale de verificare pentru a accelera și mai mult înregistrarea și pentru a reduce la minimum erorile.</w:t>
            </w:r>
            <w:r>
              <w:t xml:space="preserve"> </w:t>
            </w:r>
            <w:r>
              <w:rPr>
                <w:b/>
                <w:i/>
              </w:rPr>
              <w:t>Aceste sisteme sunt capabile să verifice în mod automat dacă documentele constitutive, identitățile electronice (e-ID) și atestatele notariale sunt complete și conforme din punct de vedere juridic, semnalând neconcordanțele în timp real.</w:t>
            </w:r>
            <w:r>
              <w:t xml:space="preserve"> </w:t>
            </w:r>
            <w:r>
              <w:rPr>
                <w:b/>
                <w:i/>
              </w:rPr>
              <w:t>În plus, acestea ar trebui să se integreze în bazele de date existente de e-justiție și registru național al comerțului, precum și în listele de supraveghere privind cunoașterea clientelei/combaterea spălării banilor (CSB), pentru a verifica în timp real datele din listele de supraveghere de la nivel național și de la nivelul Uniunii [cum ar fi lista beneficiarilor reali sau listele de sancțiuni].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plus, ar trebui creată o platformă online internă pentru societăți pentru a facilita semnarea digitală securizată a documentelor, inclusiv a notarilor, vânzarea și alocarea de acțiuni, elaborarea și adoptarea de decizii ale consiliului de administrație și furnizarea de servicii de facturare electronică.</w:t>
            </w:r>
            <w:r>
              <w:t xml:space="preserve"> </w:t>
            </w:r>
            <w:r>
              <w:rPr>
                <w:b/>
                <w:i/>
              </w:rPr>
              <w:t>Această platformă ar trebui, de asemenea, să permită recunoașterea și utilizarea în întreaga Uniune a portabilității certificărilor, licențelor și autorizațiilor acordate într-un stat membru, în conformitate cu dreptul aplicabil al Uniunii și cu dreptul intern aplicabil.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 trebui introdusă o procedură simplificată pentru constituirea de ESSU, în cazul în care toți membrii sau acționarii potențiali sunt cetățeni ai Uniunii care pot fi autentificați prin eiDAS sau ESSU pentru care acest lucru este valabil și care utilizează modelul de asociere a statutelor elaborat de Comisia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3 – paragraful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Trebuie să fie posibil ca orice contribuții în numerar care sunt necesare din punct de vedere juridic pentru înființarea societății să poată fi făcute către o agenție fiduciară publică pentru perioada anterioară finalizării deschiderii unui cont bancar.</w:t>
            </w:r>
            <w:r>
              <w:t xml:space="preserve"> </w:t>
            </w:r>
            <w:r>
              <w:rPr>
                <w:b/>
                <w:i/>
              </w:rPr>
              <w:t>După deschiderea contului bancar, agenția fiduciară transferă contribuțiile în numerar în acest cont bancar.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Mecanisme de siguranță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Normele privind ESU nu ar trebui să aducă atingere dreptului individual și colectiv al muncii și nici normelor privind participarea angajaților la luarea deciziilor.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Normele privind </w:t>
            </w:r>
            <w:r>
              <w:rPr>
                <w:b/>
                <w:i/>
              </w:rPr>
              <w:t>ESU</w:t>
            </w:r>
            <w:r>
              <w:t xml:space="preserve"> nu ar trebui să aducă atingere dreptului individual și colectiv al muncii și nici normelor privind participarea angajaților la luarea deciziilor.</w:t>
            </w:r>
          </w:p>
        </w:tc>
        <w:tc>
          <w:tcPr>
            <w:tcW w:w="4876" w:type="dxa"/>
            <w:tcBorders>
              <w:top w:val="nil"/>
              <w:left w:val="nil"/>
              <w:bottom w:val="nil"/>
              <w:right w:val="nil"/>
            </w:tcBorders>
          </w:tcPr>
          <w:p>
            <w:pPr>
              <w:pStyle w:val="Normal6a"/>
            </w:pPr>
            <w:r>
              <w:t xml:space="preserve">Normele privind </w:t>
            </w:r>
            <w:r>
              <w:rPr>
                <w:b/>
                <w:i/>
              </w:rPr>
              <w:t>SES</w:t>
            </w:r>
            <w:r>
              <w:t xml:space="preserve"> nu ar trebui să aducă atingere dreptului individual și colectiv al muncii și nici normelor privind participarea angajaților la luarea deciziilor.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Normele privind </w:t>
            </w:r>
            <w:r>
              <w:rPr>
                <w:b/>
                <w:i/>
              </w:rPr>
              <w:t>ESU</w:t>
            </w:r>
            <w:r>
              <w:t xml:space="preserve"> nu ar trebui să aducă atingere dreptului </w:t>
            </w:r>
            <w:r>
              <w:rPr>
                <w:b/>
                <w:i/>
              </w:rPr>
              <w:t>individual și colectiv al</w:t>
            </w:r>
            <w:r>
              <w:t xml:space="preserve"> muncii și nici normelor privind participarea angajaților la luarea deciziilor.</w:t>
            </w:r>
          </w:p>
        </w:tc>
        <w:tc>
          <w:tcPr>
            <w:tcW w:w="4876" w:type="dxa"/>
            <w:tcBorders>
              <w:top w:val="nil"/>
              <w:left w:val="nil"/>
              <w:bottom w:val="nil"/>
              <w:right w:val="nil"/>
            </w:tcBorders>
          </w:tcPr>
          <w:p>
            <w:pPr>
              <w:pStyle w:val="Normal6a"/>
            </w:pPr>
            <w:r>
              <w:t xml:space="preserve">Normele privind </w:t>
            </w:r>
            <w:r>
              <w:rPr>
                <w:b/>
                <w:i/>
              </w:rPr>
              <w:t>ESSU</w:t>
            </w:r>
            <w:r>
              <w:t xml:space="preserve"> nu ar trebui să aducă atingere dreptului muncii </w:t>
            </w:r>
            <w:r>
              <w:rPr>
                <w:b/>
                <w:i/>
              </w:rPr>
              <w:t>de la nivelul Uniunii și de la nivel național</w:t>
            </w:r>
            <w:r>
              <w:t xml:space="preserve"> și nici normelor privind participarea angajaților la luarea deciziilor.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Legea aplicabilă contractelor individuale de muncă ar trebui să fie stabilită exclusiv potrivit articolului 8 din Regulamentul (CE) nr. 593/2008.</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Legea aplicabilă contractelor individuale de muncă ar trebui să fie stabilită exclusiv potrivit articolului 8 din Regulamentul (CE) nr. 593/2008.</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Legea aplicabilă contractelor individuale de muncă </w:t>
            </w:r>
            <w:r>
              <w:rPr>
                <w:b/>
                <w:i/>
              </w:rPr>
              <w:t>ar trebui să fie</w:t>
            </w:r>
            <w:r>
              <w:t xml:space="preserve"> stabilită exclusiv potrivit articolului 8 din Regulamentul (CE) nr. 593/2008.</w:t>
            </w:r>
          </w:p>
        </w:tc>
        <w:tc>
          <w:tcPr>
            <w:tcW w:w="4876" w:type="dxa"/>
            <w:tcBorders>
              <w:top w:val="nil"/>
              <w:left w:val="nil"/>
              <w:bottom w:val="nil"/>
              <w:right w:val="nil"/>
            </w:tcBorders>
          </w:tcPr>
          <w:p>
            <w:pPr>
              <w:pStyle w:val="Normal6a"/>
            </w:pPr>
            <w:r>
              <w:t xml:space="preserve">Legea aplicabilă contractelor individuale de muncă </w:t>
            </w:r>
            <w:r>
              <w:rPr>
                <w:b/>
                <w:i/>
              </w:rPr>
              <w:t>rămâne</w:t>
            </w:r>
            <w:r>
              <w:t xml:space="preserve"> stabilită exclusiv potrivit articolului 8 din Regulamentul (CE) nr. 593/2008.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ceea ce privește aspectele legate de participarea angajaților la luarea deciziilor, legea aplicabilă ar trebui să fie cea a sediului real al societății, adică locul unde se află conducerea centrală a acesteia.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ceea ce privește aspectele legate de participarea angajaților la luarea deciziilor, legea aplicabilă ar trebui să fie cea a sediului real al societății, adică locul unde se află conducerea centrală a acesteia.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În ceea ce privește aspectele legate de participarea angajaților la luarea deciziilor, legea aplicabilă ar trebui să fie cea a </w:t>
            </w:r>
            <w:r>
              <w:rPr>
                <w:b/>
                <w:i/>
              </w:rPr>
              <w:t>sediului real al</w:t>
            </w:r>
            <w:r>
              <w:t xml:space="preserve"> societății</w:t>
            </w:r>
            <w:r>
              <w:rPr>
                <w:b/>
                <w:i/>
              </w:rPr>
              <w:t>, adică locul unde se află conducerea centrală a acesteia</w:t>
            </w:r>
            <w:r>
              <w:t>.</w:t>
            </w:r>
          </w:p>
        </w:tc>
        <w:tc>
          <w:tcPr>
            <w:tcW w:w="4876" w:type="dxa"/>
            <w:tcBorders>
              <w:top w:val="nil"/>
              <w:left w:val="nil"/>
              <w:bottom w:val="nil"/>
              <w:right w:val="nil"/>
            </w:tcBorders>
          </w:tcPr>
          <w:p>
            <w:pPr>
              <w:pStyle w:val="Normal6a"/>
            </w:pPr>
            <w:r>
              <w:t xml:space="preserve">În ceea ce privește aspectele legate de participarea angajaților la luarea deciziilor, legea aplicabilă ar trebui să fie cea a </w:t>
            </w:r>
            <w:r>
              <w:rPr>
                <w:b/>
                <w:i/>
              </w:rPr>
              <w:t>locului în care sunt angajați lucrătorii</w:t>
            </w:r>
            <w:r>
              <w:t xml:space="preserve"> societății.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o societate are angajați în mai multe state membre, legea aplicabilă este cea a locului în care muncește cel mai mare număr de angajați.</w:t>
            </w:r>
            <w:r>
              <w:t xml:space="preserve"> </w:t>
            </w:r>
            <w:r>
              <w:rPr>
                <w:b/>
                <w:i/>
              </w:rPr>
              <w:t>Odată ce numărul de angajați ai societății depășește 500 în alt stat membru decât statul membru în care societatea a fost înregistrată inițial, sediul social al societății este transferat în statul membru în care sunt angajați lucrătorii.</w:t>
            </w:r>
            <w:r>
              <w:t xml:space="preserve"> </w:t>
            </w:r>
            <w:r>
              <w:rPr>
                <w:b/>
                <w:i/>
              </w:rPr>
              <w:t>În cazul în care numărul de angajați ai societății nu depășește 500, dar societatea este societatea-mamă a unui grup de societăți care atinge acest prag într-un stat membru, toți angajații grupului din statul membru respectiv sunt considerați ca aparținând societății.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Având în vedere că trebuie evitate evaziunea fiscală, abuzurile și spălarea banilor, precum și eludarea sancțiunilor, trebuie concepute garanții.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cazul în care există un litigiu sau orice incertitudine legată de legislația națională care reglementează chestiunile privind participarea angajaților la luarea deciziilor, consiliul de administrație al unei ESSU, reprezentanții angajaților sau ai sindicatelor care ar avea un drept de nominalizare în temeiul legislației naționale a cărei aplicare este contestată sau incertă ar trebui să poată solicita instanței din statul membru în care societatea își are sediul social să decidă cu privire la legea aplicabilă.</w:t>
            </w:r>
            <w:r>
              <w:t xml:space="preserve"> </w:t>
            </w:r>
            <w:r>
              <w:rPr>
                <w:b/>
                <w:i/>
              </w:rPr>
              <w:t>Această instanță ar trebui să aibă competență exclusivă pentru soluționarea acestei chestiuni.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cazul în care există un litigiu sau orice incertitudine legată de legislația națională care reglementează chestiunile privind participarea angajaților la luarea deciziilor, consiliul de administrație al unei ESSU, reprezentanții angajaților sau ai sindicatelor care ar avea un drept de nominalizare în temeiul legislației naționale a cărei aplicare este contestată sau incertă ar trebui să poată solicita instanței din statul membru în care societatea își are sediul social să decidă cu privire la legea aplicabilă.</w:t>
            </w:r>
            <w:r>
              <w:t xml:space="preserve"> </w:t>
            </w:r>
            <w:r>
              <w:rPr>
                <w:b/>
                <w:i/>
              </w:rPr>
              <w:t>Această instanță ar trebui să aibă competență exclusivă pentru soluționarea acestei chestiuni.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În cazul în care există un litigiu sau orice incertitudine legată de legislația națională care reglementează chestiunile privind participarea angajaților la luarea deciziilor, consiliul de administrație al unei ESSU, reprezentanții angajaților sau ai sindicatelor care ar avea un drept de nominalizare în temeiul legislației naționale a cărei aplicare este contestată sau incertă ar trebui să poată solicita instanței din statul membru în care societatea își are sediul social să decidă cu privire la legea aplicabilă. Această instanță ar trebui să aibă competență exclusivă pentru soluționarea acestei chestiuni.</w:t>
            </w:r>
          </w:p>
        </w:tc>
        <w:tc>
          <w:tcPr>
            <w:tcW w:w="4876" w:type="dxa"/>
            <w:tcBorders>
              <w:top w:val="nil"/>
              <w:left w:val="nil"/>
              <w:bottom w:val="nil"/>
              <w:right w:val="nil"/>
            </w:tcBorders>
          </w:tcPr>
          <w:p>
            <w:pPr>
              <w:pStyle w:val="Normal6a"/>
            </w:pPr>
            <w:r>
              <w:t xml:space="preserve">În cazul în care există un litigiu sau orice incertitudine legată de legislația națională care reglementează chestiunile privind participarea angajaților la luarea deciziilor, consiliul de administrație al unei ESSU, reprezentanții angajaților sau ai sindicatelor care ar avea un drept de nominalizare în temeiul legislației naționale a cărei aplicare este contestată sau incertă ar trebui să poată solicita instanței din statul membru în care societatea își are sediul social să decidă cu privire la legea aplicabilă </w:t>
            </w:r>
            <w:r>
              <w:rPr>
                <w:b/>
                <w:i/>
              </w:rPr>
              <w:t>și la transferarea obligatorie a sediului social</w:t>
            </w:r>
            <w:r>
              <w:t>. Această instanță ar trebui să aibă competență exclusivă pentru soluționarea acestei chestiuni.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4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În cazul în care există un litigiu sau orice incertitudine legată de legislația națională care reglementează chestiunile privind participarea angajaților la luarea deciziilor, consiliul de administrație al unei </w:t>
            </w:r>
            <w:r>
              <w:rPr>
                <w:b/>
                <w:i/>
              </w:rPr>
              <w:t>ESSU</w:t>
            </w:r>
            <w:r>
              <w:t>, reprezentanții angajaților sau ai sindicatelor care ar avea un drept de nominalizare în temeiul legislației naționale a cărei aplicare este contestată sau incertă ar trebui să poată solicita instanței din statul membru în care societatea își are sediul social să decidă cu privire la legea aplicabilă. Această instanță ar trebui să aibă competență exclusivă pentru soluționarea acestei chestiuni.</w:t>
            </w:r>
          </w:p>
        </w:tc>
        <w:tc>
          <w:tcPr>
            <w:tcW w:w="4876" w:type="dxa"/>
            <w:tcBorders>
              <w:top w:val="nil"/>
              <w:left w:val="nil"/>
              <w:bottom w:val="nil"/>
              <w:right w:val="nil"/>
            </w:tcBorders>
          </w:tcPr>
          <w:p>
            <w:pPr>
              <w:pStyle w:val="Normal6a"/>
            </w:pPr>
            <w:r>
              <w:t xml:space="preserve">În cazul în care există un litigiu sau orice incertitudine legată de legislația națională care reglementează chestiunile privind participarea angajaților la luarea deciziilor, consiliul de administrație al unei </w:t>
            </w:r>
            <w:r>
              <w:rPr>
                <w:b/>
                <w:i/>
              </w:rPr>
              <w:t>SES</w:t>
            </w:r>
            <w:r>
              <w:t>, reprezentanții angajaților sau ai sindicatelor care ar avea un drept de nominalizare în temeiul legislației naționale a cărei aplicare este contestată sau incertă ar trebui să poată solicita instanței din statul membru în care societatea își are sediul social să decidă cu privire la legea aplicabilă. Această instanță ar trebui să aibă competență exclusivă pentru soluționarea acestei chestiuni.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Încurajarea unei viziuni</w:t>
            </w:r>
            <w:r>
              <w:t xml:space="preserve"> pe termen lung </w:t>
            </w:r>
            <w:r>
              <w:rPr>
                <w:b/>
                <w:i/>
              </w:rPr>
              <w:t>opționale</w:t>
            </w:r>
          </w:p>
        </w:tc>
        <w:tc>
          <w:tcPr>
            <w:tcW w:w="4876" w:type="dxa"/>
            <w:tcBorders>
              <w:top w:val="nil"/>
              <w:left w:val="nil"/>
              <w:bottom w:val="nil"/>
              <w:right w:val="nil"/>
            </w:tcBorders>
          </w:tcPr>
          <w:p>
            <w:pPr>
              <w:pStyle w:val="Normal6a"/>
            </w:pPr>
            <w:r>
              <w:rPr>
                <w:b/>
                <w:i/>
              </w:rPr>
              <w:t>Viziunea</w:t>
            </w:r>
            <w:r>
              <w:t xml:space="preserve"> pe termen lung </w:t>
            </w:r>
            <w:r>
              <w:rPr>
                <w:b/>
                <w:i/>
              </w:rPr>
              <w:t>opțională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proteja întreprinderile europene inovatoare de achiziții prin care se urmărește eliminarea concurenței și pentru a preveni relocarea inovării, a cărei creare este adesea sprijinită de fonduri publice europene pentru cercetare, în afara Uniunii, statele membre ar trebui să introducă norme care să permită întreprinderilor să opteze în mod irevocabil pentru scheme suplimentare de protecție juridică, cum ar fi:</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separarea drepturilor de vot de drepturile economice prin categorii diferite de acțiuni, în special acțiuni cu dublă clasă;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calificarea drepturilor de vot ca fiind netransferabile și netransmisibile prin moștenire;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distribuirea profitului către investitori sau titularii de drepturi economice pe baza unui acord contractual, limitat fie în timp, fie ca valoare, și care poate fi denunțat unilateral de oricare dintre părți în orice moment;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limitarea transformării transfrontaliere în entități care au optat pentru schema suplimentară de protecție juridică, în special în ceea ce privește mecanismele de blocare a activelor;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w:t>
            </w:r>
            <w:r>
              <w:rPr>
                <w:b/>
                <w:i/>
              </w:rPr>
              <w:t>proteja</w:t>
            </w:r>
            <w:r>
              <w:t xml:space="preserve"> întreprinderile europene inovatoare </w:t>
            </w:r>
            <w:r>
              <w:rPr>
                <w:b/>
                <w:i/>
              </w:rPr>
              <w:t>de achiziții prin care se urmărește eliminarea concurenței și pentru a preveni relocarea inovării, a cărei creare este adesea sprijinită de fonduri publice europene pentru cercetare, în afara Uniunii</w:t>
            </w:r>
            <w:r>
              <w:t>, statele membre ar trebui să introducă norme care să permită întreprinderilor să opteze în mod irevocabil pentru scheme suplimentare de protecție juridică, cum ar fi:</w:t>
            </w:r>
          </w:p>
        </w:tc>
        <w:tc>
          <w:tcPr>
            <w:tcW w:w="4876" w:type="dxa"/>
            <w:tcBorders>
              <w:top w:val="nil"/>
              <w:left w:val="nil"/>
              <w:bottom w:val="nil"/>
              <w:right w:val="nil"/>
            </w:tcBorders>
          </w:tcPr>
          <w:p>
            <w:pPr>
              <w:pStyle w:val="Normal6a"/>
            </w:pPr>
            <w:r>
              <w:t xml:space="preserve">Pentru a </w:t>
            </w:r>
            <w:r>
              <w:rPr>
                <w:b/>
                <w:i/>
              </w:rPr>
              <w:t>stimula</w:t>
            </w:r>
            <w:r>
              <w:t xml:space="preserve"> întreprinderile europene inovatoare, statele membre ar trebui să introducă norme care să permită întreprinderilor să opteze în mod irevocabil pentru scheme suplimentare de protecție juridică, cum ar fi: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w:t>
            </w:r>
            <w:r>
              <w:rPr>
                <w:b/>
                <w:i/>
              </w:rPr>
              <w:t>proteja</w:t>
            </w:r>
            <w:r>
              <w:t xml:space="preserve"> întreprinderile europene inovatoare </w:t>
            </w:r>
            <w:r>
              <w:rPr>
                <w:b/>
                <w:i/>
              </w:rPr>
              <w:t>de achiziții prin care se urmărește eliminarea concurenței și pentru a preveni relocarea</w:t>
            </w:r>
            <w:r>
              <w:t xml:space="preserve"> inovării, </w:t>
            </w:r>
            <w:r>
              <w:rPr>
                <w:b/>
                <w:i/>
              </w:rPr>
              <w:t>a cărei creare este adesea sprijinită de fonduri publice europene pentru cercetare, în afara Uniunii, statele membre</w:t>
            </w:r>
            <w:r>
              <w:t xml:space="preserve"> ar trebui să introducă norme care să permită întreprinderilor să opteze în mod irevocabil pentru scheme suplimentare de protecție juridică, cum ar fi:</w:t>
            </w:r>
          </w:p>
        </w:tc>
        <w:tc>
          <w:tcPr>
            <w:tcW w:w="4876" w:type="dxa"/>
            <w:tcBorders>
              <w:top w:val="nil"/>
              <w:left w:val="nil"/>
              <w:bottom w:val="nil"/>
              <w:right w:val="nil"/>
            </w:tcBorders>
          </w:tcPr>
          <w:p>
            <w:pPr>
              <w:pStyle w:val="Normal6a"/>
            </w:pPr>
            <w:r>
              <w:t xml:space="preserve">Pentru a </w:t>
            </w:r>
            <w:r>
              <w:rPr>
                <w:b/>
                <w:i/>
              </w:rPr>
              <w:t>sprijini</w:t>
            </w:r>
            <w:r>
              <w:t xml:space="preserve"> întreprinderile europene inovatoare </w:t>
            </w:r>
            <w:r>
              <w:rPr>
                <w:b/>
                <w:i/>
              </w:rPr>
              <w:t>în ceea ce privește accesul la capital, atragerea talentelor și prevenirea relocării</w:t>
            </w:r>
            <w:r>
              <w:t xml:space="preserve"> inovării, </w:t>
            </w:r>
            <w:r>
              <w:rPr>
                <w:b/>
                <w:i/>
              </w:rPr>
              <w:t>regulamentul</w:t>
            </w:r>
            <w:r>
              <w:t xml:space="preserve"> ar trebui să introducă norme care să permită întreprinderilor să opteze în mod irevocabil pentru scheme suplimentare de protecție juridică, cum ar fi: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proteja întreprinderile europene inovatoare de achiziții prin care se urmărește eliminarea concurenței și pentru a preveni relocarea inovării, a cărei creare este adesea sprijinită de fonduri publice europene pentru cercetare, în afara Uniunii,</w:t>
            </w:r>
            <w:r>
              <w:t xml:space="preserve"> statele membre ar trebui să introducă norme care să permită întreprinderilor să opteze în mod irevocabil pentru </w:t>
            </w:r>
            <w:r>
              <w:rPr>
                <w:b/>
                <w:i/>
              </w:rPr>
              <w:t>scheme</w:t>
            </w:r>
            <w:r>
              <w:t xml:space="preserve"> suplimentare de protecție juridică</w:t>
            </w:r>
            <w:r>
              <w:rPr>
                <w:b/>
                <w:i/>
              </w:rPr>
              <w:t>, cum ar fi</w:t>
            </w:r>
            <w:r>
              <w:t>:</w:t>
            </w:r>
          </w:p>
        </w:tc>
        <w:tc>
          <w:tcPr>
            <w:tcW w:w="4876" w:type="dxa"/>
            <w:tcBorders>
              <w:top w:val="nil"/>
              <w:left w:val="nil"/>
              <w:bottom w:val="nil"/>
              <w:right w:val="nil"/>
            </w:tcBorders>
          </w:tcPr>
          <w:p>
            <w:pPr>
              <w:pStyle w:val="Normal6a"/>
            </w:pPr>
            <w:r>
              <w:t xml:space="preserve">Statele membre ar trebui să introducă norme care să permită întreprinderilor să opteze în mod </w:t>
            </w:r>
            <w:r>
              <w:rPr>
                <w:b/>
                <w:i/>
              </w:rPr>
              <w:t>voluntar și</w:t>
            </w:r>
            <w:r>
              <w:t xml:space="preserve"> irevocabil pentru </w:t>
            </w:r>
            <w:r>
              <w:rPr>
                <w:b/>
                <w:i/>
              </w:rPr>
              <w:t>sisteme</w:t>
            </w:r>
            <w:r>
              <w:t xml:space="preserve"> suplimentare de protecție juridică</w:t>
            </w:r>
            <w:r>
              <w:rPr>
                <w:b/>
                <w:i/>
              </w:rPr>
              <w:t>.</w:t>
            </w:r>
            <w:r>
              <w:t xml:space="preserve"> </w:t>
            </w:r>
            <w:r>
              <w:rPr>
                <w:b/>
                <w:i/>
              </w:rPr>
              <w:t>Acestea ar putea proteja întreprinderile europene care doresc să își continue activitățile istorice împotriva achizițiilor ce urmăresc eliminarea concurenței și a relocărilor.</w:t>
            </w:r>
            <w:r>
              <w:t xml:space="preserve"> </w:t>
            </w:r>
            <w:r>
              <w:rPr>
                <w:b/>
                <w:i/>
              </w:rPr>
              <w:t>Aceste sisteme pot consta în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proteja întreprinderile europene inovatoare de achiziții prin care se urmărește eliminarea concurenței și pentru a preveni relocarea inovării, a cărei creare este adesea sprijinită de fonduri publice europene pentru cercetare, în afara Uniunii, </w:t>
            </w:r>
            <w:r>
              <w:rPr>
                <w:b/>
                <w:i/>
              </w:rPr>
              <w:t>statele membre</w:t>
            </w:r>
            <w:r>
              <w:t xml:space="preserve"> ar trebui să introducă norme care să permită întreprinderilor să opteze în mod irevocabil pentru scheme suplimentare de protecție juridică, cum ar fi:</w:t>
            </w:r>
          </w:p>
        </w:tc>
        <w:tc>
          <w:tcPr>
            <w:tcW w:w="4876" w:type="dxa"/>
            <w:tcBorders>
              <w:top w:val="nil"/>
              <w:left w:val="nil"/>
              <w:bottom w:val="nil"/>
              <w:right w:val="nil"/>
            </w:tcBorders>
          </w:tcPr>
          <w:p>
            <w:pPr>
              <w:pStyle w:val="Normal6a"/>
            </w:pPr>
            <w:r>
              <w:t xml:space="preserve">Pentru a proteja întreprinderile europene inovatoare de achiziții prin care se urmărește eliminarea concurenței și pentru a preveni relocarea inovării, a cărei creare este adesea sprijinită de fonduri publice europene pentru cercetare, în afara Uniunii, </w:t>
            </w:r>
            <w:r>
              <w:rPr>
                <w:b/>
                <w:i/>
              </w:rPr>
              <w:t>legislația europeană privind al 28-lea regim</w:t>
            </w:r>
            <w:r>
              <w:t xml:space="preserve"> ar trebui să introducă norme care să permită întreprinderilor să opteze în mod irevocabil pentru scheme suplimentare de protecție juridică, cum ar fi: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liniuța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separarea drepturilor de vot de drepturile economice prin categorii diferite de acțiuni, în special acțiuni cu dublă clasă;</w:t>
            </w:r>
          </w:p>
        </w:tc>
        <w:tc>
          <w:tcPr>
            <w:tcW w:w="4876" w:type="dxa"/>
            <w:tcBorders>
              <w:top w:val="nil"/>
              <w:left w:val="nil"/>
              <w:bottom w:val="nil"/>
              <w:right w:val="nil"/>
            </w:tcBorders>
          </w:tcPr>
          <w:p>
            <w:pPr>
              <w:pStyle w:val="Normal6a"/>
            </w:pPr>
            <w:r>
              <w:t>-</w:t>
            </w:r>
            <w:r>
              <w:tab/>
            </w:r>
            <w:r>
              <w:t>separarea drepturilor de vot de drepturile economice prin categorii diferite de acțiuni, în special acțiuni cu dublă clasă</w:t>
            </w:r>
            <w:r>
              <w:rPr>
                <w:b/>
                <w:i/>
              </w:rPr>
              <w:t>, acțiuni cu drept de veto și acțiuni preferențiale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liniuța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limitarea transformării transfrontaliere în entități care au optat pentru schema suplimentară de protecție juridică, în special în ceea ce privește mecanismele de blocare a activelor;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2 – liniuța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limitarea transformării transfrontaliere în entități care au optat pentru schema suplimentară de protecție juridică, în special în ceea ce privește mecanismele de blocare a activelor;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Întreprinderile care au optat pentru astfel de scheme suplimentare de protecție juridică ar trebui să poată include mențiunea „deținută în regim fiduciar” (steward-owned) în denumirea lor comercială.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Întreprinderile care au optat pentru astfel de scheme suplimentare de protecție juridică ar trebui să poată include mențiunea „deținută în regim fiduciar” (steward-owned) în denumirea lor comercială.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ceea ce privește transformările, fuziunile și divizările transfrontaliere, Directiva (UE) 2017/1132 ar trebui modificată pentru a permite statelor membre care au ales să introducă propria formă juridică națională de proprietate în regim fiduciar să limiteze transformarea transfrontalieră a unei astfel de forme juridice naționale la formele juridice din alte state membre care prevăd, de asemenea, forme similare de proprietate în regim fiduciar.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ceea ce privește transformările, fuziunile și divizările transfrontaliere, Directiva (UE) 2017/1132 ar trebui modificată pentru a permite statelor membre care au ales să introducă propria formă juridică națională de proprietate în regim fiduciar să limiteze transformarea transfrontalieră a unei astfel de forme juridice naționale la formele juridice din alte state membre care prevăd, de asemenea, forme similare de proprietate în regim fiduciar.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Măsuri suplimentare de sprijinire a inovării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Astfel cum a arătat Comisia Europeană, cel de al 28-lea regim pentru întreprinderile inovatoare va consta într-un pachet de propuneri complementare și va fi integrat prin măsuri modulare care acoperă mai multe politici și diferite domenii de reglementare.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Pentru ca Uniunea Europeană să devină mai competitivă, este esențial ca cel de al 28-lea regim european pentru întreprinderile inovatoare să includă în propria sa actualizare în materie de reglementare și în propunerile ulterioare prezentate de Comisie provocarea de a crește atractivitatea guvernanței fiscale a sectorului european al inovării, a întreprinderilor nou-înființate și a celor în curs de extindere și de a promova forme avantajoase de participare a angajaților la capitalul întreprinderii, aliniind legislația europeană în domeniul inovării la cele mai bune standarde mondiale.</w:t>
            </w:r>
            <w:r>
              <w:rPr>
                <w:b/>
                <w:i/>
              </w:rPr>
              <w:t>Într-adevăr, datele economice arată că jurisdicțiile care au făcut alegeri în materie de guvernanță deosebit de avantajoase au fost în măsură să atragă și să păstreze cu succes capital, investiții și talente.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Această abordare nu numai că ar permite concurența în toate domeniile cu jurisdicțiile străine cele mai performante, ci ar constitui și un motor puternic pentru creșterea competitivității europene și crearea de noi locuri de muncă cu valoare adăugată ridicată în cadrul UE, consolidând în același timp suveranitatea, independența tehnologică și poziția de lider a Europei în peisajul global al inovării.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Atragerea talentelor</w:t>
            </w:r>
          </w:p>
        </w:tc>
        <w:tc>
          <w:tcPr>
            <w:tcW w:w="4876" w:type="dxa"/>
            <w:tcBorders>
              <w:top w:val="nil"/>
              <w:left w:val="nil"/>
              <w:bottom w:val="nil"/>
              <w:right w:val="nil"/>
            </w:tcBorders>
          </w:tcPr>
          <w:p>
            <w:pPr>
              <w:pStyle w:val="Normal6a"/>
            </w:pPr>
            <w:r>
              <w:t xml:space="preserve">Atragerea </w:t>
            </w:r>
            <w:r>
              <w:rPr>
                <w:b/>
                <w:i/>
              </w:rPr>
              <w:t>și sprijinirea</w:t>
            </w:r>
            <w:r>
              <w:t xml:space="preserve"> talentelor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Creșterea productivității, inovarea și incluziunea socială trebuie să meargă mână în mână. Forma juridică </w:t>
            </w:r>
            <w:r>
              <w:rPr>
                <w:b/>
                <w:i/>
              </w:rPr>
              <w:t>ESSU</w:t>
            </w:r>
            <w:r>
              <w:t xml:space="preserve"> ar trebui să prevadă norme armonizate opționale la nivelul Uniunii cu privire la structurarea planurilor de </w:t>
            </w:r>
            <w:r>
              <w:rPr>
                <w:b/>
                <w:i/>
              </w:rPr>
              <w:t>participare a angajaților la capitalul societății (ESOP), facilitate prin intermediul unei entități separate</w:t>
            </w:r>
            <w:r>
              <w:t xml:space="preserve">. Acest lucru va permite </w:t>
            </w:r>
            <w:r>
              <w:rPr>
                <w:b/>
                <w:i/>
              </w:rPr>
              <w:t>nu numai</w:t>
            </w:r>
            <w:r>
              <w:t xml:space="preserve"> IMM-urilor, start-upurilor și întreprinderilor în fază de extindere să atragă talente și să stimuleze angajamentul pe termen lung, </w:t>
            </w:r>
            <w:r>
              <w:rPr>
                <w:b/>
                <w:i/>
              </w:rPr>
              <w:t>ci și să</w:t>
            </w:r>
            <w:r>
              <w:t xml:space="preserve"> asigure participarea deplină și echitabilă a angajaților la valoarea pe care aceștia o generează prin munca și capitalul lor intelectual. Următoarele principii trebuie luate în considerare atunci când se elaborează norme armonizate în cadrul </w:t>
            </w:r>
            <w:r>
              <w:rPr>
                <w:b/>
                <w:i/>
              </w:rPr>
              <w:t>ESSU</w:t>
            </w:r>
            <w:r>
              <w:t>:</w:t>
            </w:r>
          </w:p>
        </w:tc>
        <w:tc>
          <w:tcPr>
            <w:tcW w:w="4876" w:type="dxa"/>
            <w:tcBorders>
              <w:top w:val="nil"/>
              <w:left w:val="nil"/>
              <w:bottom w:val="nil"/>
              <w:right w:val="nil"/>
            </w:tcBorders>
          </w:tcPr>
          <w:p>
            <w:pPr>
              <w:pStyle w:val="Normal6a"/>
            </w:pPr>
            <w:r>
              <w:t xml:space="preserve">Creșterea productivității, inovarea și incluziunea socială trebuie să meargă mână în mână. Forma juridică </w:t>
            </w:r>
            <w:r>
              <w:rPr>
                <w:b/>
                <w:i/>
              </w:rPr>
              <w:t>SES</w:t>
            </w:r>
            <w:r>
              <w:t xml:space="preserve"> ar trebui să prevadă norme armonizate opționale la nivelul Uniunii cu privire la structurarea planurilor de </w:t>
            </w:r>
            <w:r>
              <w:rPr>
                <w:b/>
                <w:i/>
              </w:rPr>
              <w:t>opțiuni pe acțiuni pentru angajați (ESOP)</w:t>
            </w:r>
            <w:r>
              <w:t xml:space="preserve">. Acest lucru va permite IMM-urilor, start-upurilor și întreprinderilor în fază de extindere să atragă talente și să stimuleze angajamentul pe termen lung, </w:t>
            </w:r>
            <w:r>
              <w:rPr>
                <w:b/>
                <w:i/>
              </w:rPr>
              <w:t>să faciliteze operațiunile acestora pe diferite piețe naționale având în vedere modul în care sunt concepute cadrele distincte existente și</w:t>
            </w:r>
            <w:r>
              <w:t xml:space="preserve"> asigure participarea deplină și echitabilă a angajaților la valoarea pe care aceștia o generează prin munca și capitalul lor intelectual. </w:t>
            </w:r>
            <w:r>
              <w:rPr>
                <w:b/>
                <w:i/>
              </w:rPr>
              <w:t>ESOP ar trebui să se concentreze pe armonizarea elementelor planurilor de participare a angajaților la capitalul societății, fără a afecta suveranitatea fiscală a statelor membre.</w:t>
            </w:r>
            <w:r>
              <w:t xml:space="preserve"> </w:t>
            </w:r>
            <w:r>
              <w:rPr>
                <w:b/>
                <w:i/>
              </w:rPr>
              <w:t>Din acest motiv, rata de impozitare asupra acțiunilor deținute va rămâne la latitudinea statelor membre.</w:t>
            </w:r>
            <w:r>
              <w:t xml:space="preserve"> </w:t>
            </w:r>
            <w:r>
              <w:rPr>
                <w:b/>
                <w:i/>
              </w:rPr>
              <w:t>ESOP ar trebui să se refere în principal la momentul impozitării în momentul vânzării acțiunilor și la calcularea câștigurilor de capital pentru a asigura armonizarea și la cadrul unui astfel de sistem, cum ar fi perioadele de blocare și perioadele pentru satisfacerea condițiilor de intrare în drepturi în care angajații pot declanșa achiziționarea de acțiuni.</w:t>
            </w:r>
            <w:r>
              <w:t xml:space="preserve"> Următoarele principii trebuie luate în considerare atunci când se elaborează norme armonizate în cadrul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Creșterea productivității, inovarea și incluziunea socială trebuie să meargă mână în mână. Forma juridică ESSU ar trebui să prevadă norme armonizate opționale la nivelul Uniunii cu privire la structurarea planurilor de </w:t>
            </w:r>
            <w:r>
              <w:rPr>
                <w:b/>
                <w:i/>
              </w:rPr>
              <w:t>participare a angajaților la capitalul societății (ESOP), facilitate prin intermediul unei entități separate</w:t>
            </w:r>
            <w:r>
              <w:t>. Acest lucru va permite nu numai IMM-urilor, start-upurilor și întreprinderilor în fază de extindere să atragă talente și să stimuleze angajamentul pe termen lung, ci și să asigure participarea deplină și echitabilă a angajaților la valoarea pe care aceștia o generează prin munca și capitalul lor intelectual. Următoarele principii trebuie luate în considerare atunci când se elaborează norme armonizate în cadrul ESSU:</w:t>
            </w:r>
          </w:p>
        </w:tc>
        <w:tc>
          <w:tcPr>
            <w:tcW w:w="4876" w:type="dxa"/>
            <w:tcBorders>
              <w:top w:val="nil"/>
              <w:left w:val="nil"/>
              <w:bottom w:val="nil"/>
              <w:right w:val="nil"/>
            </w:tcBorders>
          </w:tcPr>
          <w:p>
            <w:pPr>
              <w:pStyle w:val="Normal6a"/>
            </w:pPr>
            <w:r>
              <w:rPr>
                <w:b/>
                <w:i/>
              </w:rPr>
              <w:t>Atragerea de talente calificate și inovatoare este esențială pentru promovarea creșterii economice, stimularea inovării și menținerea competitivității pe o piață mondială care evoluează rapid.</w:t>
            </w:r>
            <w:r>
              <w:t xml:space="preserve"> Creșterea productivității, inovarea și incluziunea socială trebuie să meargă mână în mână. Forma juridică ESSU ar trebui să prevadă norme armonizate opționale la nivelul Uniunii cu privire la structurarea planurilor de </w:t>
            </w:r>
            <w:r>
              <w:rPr>
                <w:b/>
                <w:i/>
              </w:rPr>
              <w:t>opțiuni pe acțiuni pentru angajați (ESOP)</w:t>
            </w:r>
            <w:r>
              <w:t>. Acest lucru va permite nu numai IMM-urilor, start-upurilor și întreprinderilor în fază de extindere să atragă talente și să stimuleze angajamentul pe termen lung, ci și să asigure participarea deplină și echitabilă a angajaților la valoarea pe care aceștia o generează prin munca și capitalul lor intelectual. Următoarele principii trebuie luate în considerare atunci când se elaborează norme armonizate în cadrul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Creșterea productivității, inovarea și incluziunea socială trebuie să meargă mână în mână. Forma juridică ESSU ar trebui să prevadă norme armonizate opționale la nivelul Uniunii cu privire la structurarea planurilor de participare a angajaților la capitalul societății (ESOP)</w:t>
            </w:r>
            <w:r>
              <w:rPr>
                <w:b/>
                <w:i/>
              </w:rPr>
              <w:t>, facilitate prin intermediul unei entități separate</w:t>
            </w:r>
            <w:r>
              <w:t>. Acest lucru va permite nu numai IMM-urilor, start-upurilor și întreprinderilor în fază de extindere să atragă talente și să stimuleze angajamentul pe termen lung, ci și să asigure participarea deplină și echitabilă a angajaților la valoarea pe care aceștia o generează prin munca și capitalul lor intelectual. Următoarele principii trebuie luate în considerare atunci când se elaborează norme armonizate în cadrul ESSU:</w:t>
            </w:r>
          </w:p>
        </w:tc>
        <w:tc>
          <w:tcPr>
            <w:tcW w:w="4876" w:type="dxa"/>
            <w:tcBorders>
              <w:top w:val="nil"/>
              <w:left w:val="nil"/>
              <w:bottom w:val="nil"/>
              <w:right w:val="nil"/>
            </w:tcBorders>
          </w:tcPr>
          <w:p>
            <w:pPr>
              <w:pStyle w:val="Normal6a"/>
            </w:pPr>
            <w:r>
              <w:t>Creșterea productivității, inovarea și incluziunea socială trebuie să meargă mână în mână. Forma juridică ESSU ar trebui să prevadă norme armonizate opționale la nivelul Uniunii cu privire la structurarea planurilor de participare a angajaților la capitalul societății (ESOP). Acest lucru va permite nu numai IMM-urilor, start-upurilor și întreprinderilor în fază de extindere să atragă talente și să stimuleze angajamentul pe termen lung, ci și să asigure participarea deplină și echitabilă a angajaților la valoarea pe care aceștia o generează prin munca și capitalul lor intelectual. Următoarele principii trebuie luate în considerare atunci când se elaborează norme armonizate în cadrul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Creșterea productivității, inovarea și incluziunea socială trebuie să meargă mână în mână. Forma juridică ESSU ar trebui să prevadă norme armonizate opționale la nivelul Uniunii cu privire la structurarea planurilor de participare a angajaților la capitalul societății (ESOP), facilitate prin intermediul unei entități separate. Acest lucru va permite nu numai IMM-urilor, start-upurilor și întreprinderilor în fază de extindere să atragă talente și să stimuleze angajamentul pe termen lung, ci și să asigure participarea deplină și echitabilă a angajaților la valoarea pe care aceștia o generează prin munca și capitalul lor intelectual. Următoarele principii trebuie luate în considerare atunci când se elaborează norme armonizate în cadrul ESSU:</w:t>
            </w:r>
          </w:p>
        </w:tc>
        <w:tc>
          <w:tcPr>
            <w:tcW w:w="4876" w:type="dxa"/>
            <w:tcBorders>
              <w:top w:val="nil"/>
              <w:left w:val="nil"/>
              <w:bottom w:val="nil"/>
              <w:right w:val="nil"/>
            </w:tcBorders>
          </w:tcPr>
          <w:p>
            <w:pPr>
              <w:pStyle w:val="Normal6a"/>
            </w:pPr>
            <w:r>
              <w:t xml:space="preserve">Creșterea productivității, inovarea și incluziunea socială trebuie să meargă mână în mână. Forma juridică ESSU ar trebui să prevadă norme armonizate opționale la nivelul Uniunii cu privire la structurarea planurilor de participare a angajaților la capitalul societății (ESOP), facilitate prin intermediul unei entități </w:t>
            </w:r>
            <w:r>
              <w:rPr>
                <w:b/>
                <w:i/>
              </w:rPr>
              <w:t>juridice</w:t>
            </w:r>
            <w:r>
              <w:t xml:space="preserve"> separate. Acest lucru va permite nu numai IMM-urilor, start-upurilor și întreprinderilor în fază de extindere să atragă talente și să stimuleze angajamentul pe termen lung, ci și să asigure participarea deplină și echitabilă a angajaților la valoarea pe care aceștia o generează prin munca și capitalul lor intelectual. Următoarele principii trebuie luate în considerare atunci când se elaborează norme armonizate în cadrul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ca o condiție prealabilă, astfel de sisteme nu ar trebui în niciun caz să înlocuiască sau să diminueze remunerația de bază normală sau orice altă formă de contribuție, cum ar fi contribuțiile la asigurările sociale, ci ar trebui să constituie un beneficiu complementar tuturor drepturilor sociale și contractuale;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ca o condiție prealabilă, astfel de sisteme nu ar trebui în niciun caz să înlocuiască sau să diminueze remunerația de bază normală sau orice altă formă de contribuție, cum ar fi contribuțiile la asigurările sociale, ci ar trebui să constituie un beneficiu complementar tuturor drepturilor sociale și contractuale;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angajații unei ESSU care primesc opțiuni pe acțiuni nu ar trebui să fie supuși vreunei impozitări forfetare;</w:t>
            </w:r>
            <w:r>
              <w:t xml:space="preserve"> </w:t>
            </w:r>
            <w:r>
              <w:rPr>
                <w:b/>
                <w:i/>
              </w:rPr>
              <w:t>beneficiile primite de angajați pentru participarea lor semnificativă la creșterea și la activitatea întreprinderii ar trebui recunoscute ca câștiguri de capital în întreaga Uniune.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1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aceste sisteme ar trebui să fie concepute astfel încât să mențină capacitatea întreprinderilor inovatoare, a întreprinderilor nou-înființate și a celor în curs de extindere de a lua decizii într-un mod flexibil și de a răspunde rapid nevoilor operaționale și de producție.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transparența trebuie să fie </w:t>
            </w:r>
            <w:r>
              <w:rPr>
                <w:b/>
                <w:i/>
              </w:rPr>
              <w:t>un principiu esențial</w:t>
            </w:r>
            <w:r>
              <w:t xml:space="preserve"> pe tot parcursul proiectării și punerii în aplicare a unor astfel de sisteme;</w:t>
            </w:r>
          </w:p>
        </w:tc>
        <w:tc>
          <w:tcPr>
            <w:tcW w:w="4876" w:type="dxa"/>
            <w:tcBorders>
              <w:top w:val="nil"/>
              <w:left w:val="nil"/>
              <w:bottom w:val="nil"/>
              <w:right w:val="nil"/>
            </w:tcBorders>
          </w:tcPr>
          <w:p>
            <w:pPr>
              <w:pStyle w:val="Normal6a"/>
            </w:pPr>
            <w:r>
              <w:rPr>
                <w:b/>
                <w:i/>
              </w:rPr>
              <w:t>–</w:t>
            </w:r>
            <w:r>
              <w:tab/>
            </w:r>
            <w:r>
              <w:t xml:space="preserve">transparența </w:t>
            </w:r>
            <w:r>
              <w:rPr>
                <w:b/>
                <w:i/>
              </w:rPr>
              <w:t>și guvernanța democratică</w:t>
            </w:r>
            <w:r>
              <w:t xml:space="preserve"> trebuie să fie </w:t>
            </w:r>
            <w:r>
              <w:rPr>
                <w:b/>
                <w:i/>
              </w:rPr>
              <w:t>principii esențiale</w:t>
            </w:r>
            <w:r>
              <w:t xml:space="preserve"> pe tot parcursul proiectării și punerii în aplicare a unor astfel de sisteme;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participarea la astfel de sisteme trebuie să fie nediscriminatorie și deschisă tuturor angajaților;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participarea la astfel de sisteme trebuie să fie nediscriminatorie și deschisă tuturor angajaților;</w:t>
            </w:r>
          </w:p>
        </w:tc>
        <w:tc>
          <w:tcPr>
            <w:tcW w:w="4876" w:type="dxa"/>
            <w:tcBorders>
              <w:top w:val="nil"/>
              <w:left w:val="nil"/>
              <w:bottom w:val="nil"/>
              <w:right w:val="nil"/>
            </w:tcBorders>
          </w:tcPr>
          <w:p>
            <w:pPr>
              <w:pStyle w:val="Normal6a"/>
            </w:pPr>
            <w:r>
              <w:rPr>
                <w:b/>
                <w:i/>
              </w:rPr>
              <w:t>–</w:t>
            </w:r>
            <w:r>
              <w:tab/>
            </w:r>
            <w:r>
              <w:t>participarea la astfel de sisteme trebuie să fie nediscriminatorie</w:t>
            </w:r>
            <w:r>
              <w:rPr>
                <w:b/>
                <w:i/>
              </w:rPr>
              <w:t>, exclusivă</w:t>
            </w:r>
            <w:r>
              <w:t xml:space="preserve"> și deschisă tuturor angajaților;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3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orice beneficii primite de angajații unei SES prin aceste opțiuni pe acțiuni ar trebui recunoscute drept câștiguri de capital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participarea la astfel de sisteme trebuie să rămână voluntară </w:t>
            </w:r>
            <w:r>
              <w:rPr>
                <w:b/>
                <w:i/>
              </w:rPr>
              <w:t>pentru angajați</w:t>
            </w:r>
            <w:r>
              <w:t>;</w:t>
            </w:r>
          </w:p>
        </w:tc>
        <w:tc>
          <w:tcPr>
            <w:tcW w:w="4876" w:type="dxa"/>
            <w:tcBorders>
              <w:top w:val="nil"/>
              <w:left w:val="nil"/>
              <w:bottom w:val="nil"/>
              <w:right w:val="nil"/>
            </w:tcBorders>
          </w:tcPr>
          <w:p>
            <w:pPr>
              <w:pStyle w:val="Normal6a"/>
            </w:pPr>
            <w:r>
              <w:rPr>
                <w:b/>
                <w:i/>
              </w:rPr>
              <w:t>–</w:t>
            </w:r>
            <w:r>
              <w:tab/>
            </w:r>
            <w:r>
              <w:t>participarea la astfel de sisteme trebuie să rămână voluntară;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participarea la astfel de sisteme trebuie să rămână voluntară </w:t>
            </w:r>
            <w:r>
              <w:rPr>
                <w:b/>
                <w:i/>
              </w:rPr>
              <w:t>pentru angajați</w:t>
            </w:r>
            <w:r>
              <w:t>;</w:t>
            </w:r>
          </w:p>
        </w:tc>
        <w:tc>
          <w:tcPr>
            <w:tcW w:w="4876" w:type="dxa"/>
            <w:tcBorders>
              <w:top w:val="nil"/>
              <w:left w:val="nil"/>
              <w:bottom w:val="nil"/>
              <w:right w:val="nil"/>
            </w:tcBorders>
          </w:tcPr>
          <w:p>
            <w:pPr>
              <w:pStyle w:val="Normal6a"/>
            </w:pPr>
            <w:r>
              <w:rPr>
                <w:b/>
                <w:i/>
              </w:rPr>
              <w:t>–</w:t>
            </w:r>
            <w:r>
              <w:tab/>
            </w:r>
            <w:r>
              <w:t>participarea la astfel de sisteme trebuie să rămână voluntară;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aceste sisteme trebuie să fie însoțite de mecanisme de protecție a angajaților împotriva riscurilor financiare nerezonabile;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aceste sisteme trebuie să fie însoțite de mecanisme de protecție a angajaților împotriva riscurilor financiare nerezonabile;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aceste sisteme trebuie să fie însoțite de mecanisme de protecție a angajaților împotriva riscurilor financiare nerezonabile</w:t>
            </w:r>
            <w:r>
              <w:rPr>
                <w:b/>
                <w:i/>
              </w:rPr>
              <w:t>;</w:t>
            </w:r>
          </w:p>
        </w:tc>
        <w:tc>
          <w:tcPr>
            <w:tcW w:w="4876" w:type="dxa"/>
            <w:tcBorders>
              <w:top w:val="nil"/>
              <w:left w:val="nil"/>
              <w:bottom w:val="nil"/>
              <w:right w:val="nil"/>
            </w:tcBorders>
          </w:tcPr>
          <w:p>
            <w:pPr>
              <w:pStyle w:val="Normal6a"/>
            </w:pPr>
            <w:r>
              <w:rPr>
                <w:b/>
                <w:i/>
              </w:rPr>
              <w:t>–</w:t>
            </w:r>
            <w:r>
              <w:tab/>
            </w:r>
            <w:r>
              <w:t xml:space="preserve">aceste sisteme trebuie să fie însoțite de mecanisme de protecție a angajaților împotriva riscurilor financiare nerezonabile </w:t>
            </w:r>
            <w:r>
              <w:rPr>
                <w:b/>
                <w:i/>
              </w:rPr>
              <w:t>și de o clauză europeană de salvgardare privind evaluarea instrumentelor de capital ale angajaților, pentru a asigura securitatea juridică și a reduce la minimum sarcina administrativă și costurile.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astfel de sisteme ar trebui să contribuie la coeziunea în întreaga Uniune, asigurând egalitatea de șanse pentru angajați, indiferent dacă aceștia lucrează în zone rurale sau urbane sau în state membre cu niveluri diferite de dezvoltare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2 – liniuța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aceste sisteme ar trebui să prevadă o sferă de protecție pentru evaluarea instrumentelor de acționariat pentru angajați, pe baza unor criterii armonizate la nivelul UE, pentru a asigura securitatea juridică și a reduce la minimum sarcinile administrative;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în consultare cu partenerii sociali și pe baza exemplelor de bune practici, ar trebui să elaboreze modele de acorduri simple, elementare și de bază privind participarea angajaților la profit, precum și orientări pentru ESSU, cu scopul de a facilita punerea în aplicare, a îmbunătăți gradul de conștientizare cu privire la ESOP și a stimula convergența schemelor de participare financiară în întreaga Uniune.</w:t>
            </w:r>
            <w:r>
              <w:t xml:space="preserve"> </w:t>
            </w:r>
            <w:r>
              <w:rPr>
                <w:b/>
                <w:i/>
              </w:rPr>
              <w:t>Modelele de acorduri și orientări ar trebui să includă informații cu privire la riscurile financiare asociate pentru angajați, să specifice opțiunile de preluare de către angajați și să ia în considerare impactul asupra angajaților, având în vedere în mod specific egalitatea de gen.</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în consultare cu partenerii sociali și pe baza exemplelor de bune practici, ar trebui să elaboreze modele de acorduri simple, elementare și de bază privind participarea angajaților la profit, precum și orientări pentru ESSU, cu scopul de a facilita punerea în aplicare, a îmbunătăți gradul de conștientizare cu privire la ESOP și a stimula convergența schemelor de participare financiară în întreaga Uniune.</w:t>
            </w:r>
            <w:r>
              <w:t xml:space="preserve"> </w:t>
            </w:r>
            <w:r>
              <w:rPr>
                <w:b/>
                <w:i/>
              </w:rPr>
              <w:t>Modelele de acorduri și orientări ar trebui să includă informații cu privire la riscurile financiare asociate pentru angajați, să specifice opțiunile de preluare de către angajați și să ia în considerare impactul asupra angajaților, având în vedere în mod specific egalitatea de gen.</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în consultare cu partenerii sociali și pe baza exemplelor de bune practici, ar trebui să elaboreze modele de acorduri simple, elementare și de bază privind participarea angajaților la profit, precum și orientări pentru ESSU, cu scopul de a facilita punerea în aplicare, a îmbunătăți gradul de conștientizare cu privire la ESOP și a stimula convergența schemelor de participare financiară în întreaga Uniune. Modelele de acorduri și orientări ar trebui să includă informații cu privire la riscurile financiare asociate pentru angajați, să specifice opțiunile de preluare de către angajați și să ia în considerare impactul asupra angajaților, având în vedere în mod specific egalitatea de gen.</w:t>
            </w:r>
          </w:p>
        </w:tc>
        <w:tc>
          <w:tcPr>
            <w:tcW w:w="4876" w:type="dxa"/>
            <w:tcBorders>
              <w:top w:val="nil"/>
              <w:left w:val="nil"/>
              <w:bottom w:val="nil"/>
              <w:right w:val="nil"/>
            </w:tcBorders>
          </w:tcPr>
          <w:p>
            <w:pPr>
              <w:pStyle w:val="Normal6a"/>
            </w:pPr>
            <w:r>
              <w:t xml:space="preserve">Comisia, în consultare cu partenerii sociali și pe baza exemplelor de bune practici, ar trebui să elaboreze modele de acorduri simple, elementare și de bază privind participarea angajaților la profit, precum și orientări pentru ESSU, cu scopul de a facilita punerea în aplicare, a îmbunătăți gradul de conștientizare cu privire la ESOP și a stimula convergența schemelor de participare financiară în întreaga Uniune. Modelele de acorduri și orientări ar trebui să includă informații cu privire la riscurile financiare asociate pentru angajați, să specifice opțiunile de preluare de către angajați și </w:t>
            </w:r>
            <w:r>
              <w:rPr>
                <w:b/>
                <w:i/>
              </w:rPr>
              <w:t>guvernanța democratică și</w:t>
            </w:r>
            <w:r>
              <w:t xml:space="preserve"> să ia în considerare impactul asupra angajaților, având în vedere în mod specific egalitatea de 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Comisia, în consultare cu partenerii sociali și pe baza exemplelor de bune practici, ar trebui să elaboreze modele de acorduri simple, elementare și de bază privind participarea angajaților la profit, precum și orientări pentru </w:t>
            </w:r>
            <w:r>
              <w:rPr>
                <w:b/>
                <w:i/>
              </w:rPr>
              <w:t>ESSU</w:t>
            </w:r>
            <w:r>
              <w:t>, cu scopul de a facilita punerea în aplicare, a îmbunătăți gradul de conștientizare cu privire la ESOP și a stimula convergența schemelor de participare financiară în întreaga Uniune. Modelele de acorduri și orientări ar trebui să includă informații cu privire la riscurile financiare asociate pentru angajați, să specifice opțiunile de preluare de către angajați și să ia în considerare impactul asupra angajaților, având în vedere în mod specific egalitatea de gen.</w:t>
            </w:r>
          </w:p>
        </w:tc>
        <w:tc>
          <w:tcPr>
            <w:tcW w:w="4876" w:type="dxa"/>
            <w:tcBorders>
              <w:top w:val="nil"/>
              <w:left w:val="nil"/>
              <w:bottom w:val="nil"/>
              <w:right w:val="nil"/>
            </w:tcBorders>
          </w:tcPr>
          <w:p>
            <w:pPr>
              <w:pStyle w:val="Normal6a"/>
            </w:pPr>
            <w:r>
              <w:t xml:space="preserve">Comisia, în consultare cu partenerii sociali și pe baza exemplelor de bune practici, ar trebui să elaboreze modele de acorduri simple, elementare și de bază privind participarea angajaților la profit, precum și orientări pentru </w:t>
            </w:r>
            <w:r>
              <w:rPr>
                <w:b/>
                <w:i/>
              </w:rPr>
              <w:t>SES</w:t>
            </w:r>
            <w:r>
              <w:t>, cu scopul de a facilita punerea în aplicare, a îmbunătăți gradul de conștientizare cu privire la ESOP și a stimula convergența schemelor de participare financiară în întreaga Uniune. Modelele de acorduri și orientări ar trebui să includă informații cu privire la riscurile financiare asociate pentru angajați, să specifice opțiunile de preluare de către angajați și să ia în considerare impactul asupra angajaților, având în vedere în mod specific egalitatea de 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Pentru a consolida capacitatea de inovare a ESSU și pentru a accelera comercializarea rezultatelor cercetării, cadrul ar trebui să promoveze și să faciliteze parteneriatele structurate între ESSU și universități, institute de cercetare și centre de transfer de tehnologii.</w:t>
            </w:r>
            <w:r>
              <w:rPr>
                <w:b/>
                <w:i/>
              </w:rPr>
              <w:t>Astfel de parteneriate ar trebui să aibă următoarele obiective: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accelerează procesul de la laborator până la piață și sprijină crearea de societăți beneficiare;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oferă ESSU acces la infrastructuri de cercetare, laboratoare și expertiză tehnică comune;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facilitează mobilitatea cercetătorilor și a absolvenților calificați în ESSU prin programe de plasament specifice;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promovează participarea comună la programele Uniunii de finanțare a cercetării și inovării;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instituie vouchere pentru inovare sau mecanisme de sprijin similare care să le permită ESSU să achiziționeze servicii de C&amp;D și de inovare de la parteneri universitari.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Comisia ar trebui să elaboreze orientări și modele de acorduri de cooperare pentru astfel de parteneriate, asigurându-se că acestea sunt simple, transparente și echitabile pentru toate părțile implicate.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6 – paragraful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ESSU permite întreprinderilor să angajeze în mod direct lucrători în diferite state membre, fără să apeleze la agenții sau la intermediari comparabili.</w:t>
            </w:r>
            <w:r>
              <w:t xml:space="preserve"> </w:t>
            </w:r>
            <w:r>
              <w:rPr>
                <w:b/>
                <w:i/>
              </w:rPr>
              <w:t>Această dispoziție vizează reducerea sarcinilor administrative și de reglementare asociate angajării transfrontaliere, respectând totodată pe deplin legislația națională aplicabilă în domeniul muncii, al securității sociale și al ocupării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Statele membre</w:t>
            </w:r>
            <w:r>
              <w:t xml:space="preserve"> ar trebui să introducă instrumente de datorie asimilate capitalului propriu </w:t>
            </w:r>
            <w:r>
              <w:rPr>
                <w:b/>
                <w:i/>
              </w:rPr>
              <w:t>armonizate,</w:t>
            </w:r>
            <w:r>
              <w:t xml:space="preserve"> care să le permită investitorilor să investească în întreprinderi fără a dobândi drepturi de control asupra acestora (cum ar fi drepturile de participare la profit, parteneriatele tacite sau împrumuturile legate de profit). Astfel de instrumente de datorie asimilate capitalului propriu ar trebui:</w:t>
            </w:r>
          </w:p>
        </w:tc>
        <w:tc>
          <w:tcPr>
            <w:tcW w:w="4876" w:type="dxa"/>
            <w:tcBorders>
              <w:top w:val="nil"/>
              <w:left w:val="nil"/>
              <w:bottom w:val="nil"/>
              <w:right w:val="nil"/>
            </w:tcBorders>
          </w:tcPr>
          <w:p>
            <w:pPr>
              <w:pStyle w:val="Normal6a"/>
            </w:pPr>
            <w:r>
              <w:rPr>
                <w:b/>
                <w:i/>
              </w:rPr>
              <w:t>ESSU</w:t>
            </w:r>
            <w:r>
              <w:t xml:space="preserve"> ar trebui să introducă instrumente de datorie asimilate capitalului propriu care să le permită investitorilor să investească în întreprinderi fără a dobândi drepturi de control asupra acestora (cum ar fi drepturile de participare la profit, parteneriatele tacite sau împrumuturile legate de profit). Astfel de instrumente de datorie asimilate capitalului propriu ar trebui: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2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Statele membre ar trebui să introducă instrumente</w:t>
            </w:r>
            <w:r>
              <w:t xml:space="preserve"> de datorie </w:t>
            </w:r>
            <w:r>
              <w:rPr>
                <w:b/>
                <w:i/>
              </w:rPr>
              <w:t>asimilate</w:t>
            </w:r>
            <w:r>
              <w:t xml:space="preserve"> capitalului propriu </w:t>
            </w:r>
            <w:r>
              <w:rPr>
                <w:b/>
                <w:i/>
              </w:rPr>
              <w:t>armonizate</w:t>
            </w:r>
            <w:r>
              <w:t>, care să le permită investitorilor să investească în întreprinderi fără a dobândi drepturi de control asupra acestora (cum ar fi drepturile de participare la profit, parteneriatele tacite sau împrumuturile legate de profit). Astfel de instrumente de datorie asimilate capitalului propriu ar trebui:</w:t>
            </w:r>
          </w:p>
        </w:tc>
        <w:tc>
          <w:tcPr>
            <w:tcW w:w="4876" w:type="dxa"/>
            <w:tcBorders>
              <w:top w:val="nil"/>
              <w:left w:val="nil"/>
              <w:bottom w:val="nil"/>
              <w:right w:val="nil"/>
            </w:tcBorders>
          </w:tcPr>
          <w:p>
            <w:pPr>
              <w:pStyle w:val="Normal6a"/>
            </w:pPr>
            <w:r>
              <w:rPr>
                <w:b/>
                <w:i/>
              </w:rPr>
              <w:t>ESSU include un instrument</w:t>
            </w:r>
            <w:r>
              <w:t xml:space="preserve"> de datorie </w:t>
            </w:r>
            <w:r>
              <w:rPr>
                <w:b/>
                <w:i/>
              </w:rPr>
              <w:t>asimilat</w:t>
            </w:r>
            <w:r>
              <w:t xml:space="preserve"> capitalului propriu, care să le permită investitorilor să investească în întreprinderi fără a dobândi drepturi de control asupra acestora (cum ar fi drepturile de participare la profit, parteneriatele tacite sau împrumuturile legate de profit). Astfel de instrumente de datorie asimilate capitalului propriu ar trebui: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2 – liniuța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să fie create prin încheierea unui acord contractual între societate și investitor pentru un aport de capital; un astfel de acord trebuie să specifice valoarea capitalului </w:t>
            </w:r>
            <w:r>
              <w:rPr>
                <w:b/>
                <w:i/>
              </w:rPr>
              <w:t>principalul</w:t>
            </w:r>
            <w:r>
              <w:t xml:space="preserve"> investit</w:t>
            </w:r>
            <w:r>
              <w:rPr>
                <w:b/>
                <w:i/>
              </w:rPr>
              <w:t>, să includă o dată de rambursare definită și să prevadă o compensație care poate lua forma unei dobânzi fixe sau variabile sau a unei participări</w:t>
            </w:r>
            <w:r>
              <w:t xml:space="preserve"> la profit;</w:t>
            </w:r>
          </w:p>
        </w:tc>
        <w:tc>
          <w:tcPr>
            <w:tcW w:w="4876" w:type="dxa"/>
            <w:tcBorders>
              <w:top w:val="nil"/>
              <w:left w:val="nil"/>
              <w:bottom w:val="nil"/>
              <w:right w:val="nil"/>
            </w:tcBorders>
          </w:tcPr>
          <w:p>
            <w:pPr>
              <w:pStyle w:val="Normal6a"/>
            </w:pPr>
            <w:r>
              <w:rPr>
                <w:b/>
                <w:i/>
              </w:rPr>
              <w:t>–</w:t>
            </w:r>
            <w:r>
              <w:tab/>
            </w:r>
            <w:r>
              <w:t xml:space="preserve">să fie create prin încheierea unui acord contractual între societate și investitor pentru un aport de capital; un astfel de acord trebuie să specifice valoarea capitalului investit </w:t>
            </w:r>
            <w:r>
              <w:rPr>
                <w:b/>
                <w:i/>
              </w:rPr>
              <w:t>și condițiile de participare</w:t>
            </w:r>
            <w:r>
              <w:t xml:space="preserve"> la profit;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2 – liniuța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să fie create prin încheierea unui acord contractual între societate și investitor pentru un aport de capital; un astfel de acord trebuie să specifice valoarea </w:t>
            </w:r>
            <w:r>
              <w:rPr>
                <w:b/>
                <w:i/>
              </w:rPr>
              <w:t>capitalului principalul</w:t>
            </w:r>
            <w:r>
              <w:t xml:space="preserve"> investit</w:t>
            </w:r>
            <w:r>
              <w:rPr>
                <w:b/>
                <w:i/>
              </w:rPr>
              <w:t>, să includă o dată de rambursare definită și să prevadă o compensație care poate lua forma unei dobânzi fixe sau variabile sau a unei participări</w:t>
            </w:r>
            <w:r>
              <w:t xml:space="preserve"> la profit;</w:t>
            </w:r>
          </w:p>
        </w:tc>
        <w:tc>
          <w:tcPr>
            <w:tcW w:w="4876" w:type="dxa"/>
            <w:tcBorders>
              <w:top w:val="nil"/>
              <w:left w:val="nil"/>
              <w:bottom w:val="nil"/>
              <w:right w:val="nil"/>
            </w:tcBorders>
          </w:tcPr>
          <w:p>
            <w:pPr>
              <w:pStyle w:val="Normal6a"/>
            </w:pPr>
            <w:r>
              <w:t>-</w:t>
            </w:r>
            <w:r>
              <w:tab/>
            </w:r>
            <w:r>
              <w:t xml:space="preserve">să fie create prin încheierea unui acord contractual între societate și investitor pentru un aport de capital; un astfel de acord trebuie să specifice valoarea </w:t>
            </w:r>
            <w:r>
              <w:rPr>
                <w:b/>
                <w:i/>
              </w:rPr>
              <w:t>principalului</w:t>
            </w:r>
            <w:r>
              <w:t xml:space="preserve"> investit </w:t>
            </w:r>
            <w:r>
              <w:rPr>
                <w:b/>
                <w:i/>
              </w:rPr>
              <w:t>sau condițiile de participare</w:t>
            </w:r>
            <w:r>
              <w:t xml:space="preserve"> la profit;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2 – liniuța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Statele membre ar trebui să încurajeze dezvoltarea unor parteneriate strategice între ESSU și infrastructuri digitale europene, inclusiv platforme publice de cloud și rețele de inovare tehnologică, pentru a facilita scalarea rapidă și accesul la resurse critice.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spori securitatea juridică în cele 27 de jurisdicții naționale ale pieței interne și pentru a reduce barierele la intrarea pe piață în ceea ce privește investițiile în ESSU, Comisia ar trebui să faciliteze elaborarea unor modele de acte constitutive, acorduri între acționari și toate celelalte documente relevante pentru ESSU și să creeze o platformă pe care aceste modele de documente să fie puse la dispoziție în toate limbile oficiale ale Uniunii.</w:t>
            </w:r>
            <w:r>
              <w:t xml:space="preserve"> </w:t>
            </w: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spori securitatea juridică în cele 27 de jurisdicții naționale ale pieței interne și pentru a reduce barierele la intrarea pe piață în ceea ce privește investițiile în ESSU,</w:t>
            </w:r>
            <w:r>
              <w:t xml:space="preserve"> Comisia ar trebui să faciliteze elaborarea unor modele de acte constitutive, acorduri între acționari și </w:t>
            </w:r>
            <w:r>
              <w:rPr>
                <w:b/>
                <w:i/>
              </w:rPr>
              <w:t>toate celelalte</w:t>
            </w:r>
            <w:r>
              <w:t xml:space="preserve"> documente relevante pentru ESSU și să creeze o platformă pe care aceste modele de documente să fie puse la dispoziție în toate limbile oficiale ale Uniunii. .</w:t>
            </w:r>
          </w:p>
        </w:tc>
        <w:tc>
          <w:tcPr>
            <w:tcW w:w="4876" w:type="dxa"/>
            <w:tcBorders>
              <w:top w:val="nil"/>
              <w:left w:val="nil"/>
              <w:bottom w:val="nil"/>
              <w:right w:val="nil"/>
            </w:tcBorders>
          </w:tcPr>
          <w:p>
            <w:pPr>
              <w:pStyle w:val="Normal6a"/>
            </w:pPr>
            <w:r>
              <w:t xml:space="preserve">Comisia ar trebui să faciliteze elaborarea unor modele de acte constitutive </w:t>
            </w:r>
            <w:r>
              <w:rPr>
                <w:b/>
                <w:i/>
              </w:rPr>
              <w:t>standard multilingve</w:t>
            </w:r>
            <w:r>
              <w:t xml:space="preserve">, </w:t>
            </w:r>
            <w:r>
              <w:rPr>
                <w:b/>
                <w:i/>
              </w:rPr>
              <w:t>a unor</w:t>
            </w:r>
            <w:r>
              <w:t xml:space="preserve"> acorduri între acționari și </w:t>
            </w:r>
            <w:r>
              <w:rPr>
                <w:b/>
                <w:i/>
              </w:rPr>
              <w:t>a tuturor celorlalte</w:t>
            </w:r>
            <w:r>
              <w:t xml:space="preserve"> documente relevante pentru ESSU și să creeze o platformă pe care aceste modele de documente să fie puse la dispoziție în toate limbile oficiale ale Uniunii.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spori securitatea juridică în cele 27 de jurisdicții naționale ale pieței interne și pentru a reduce barierele la intrarea pe piață în ceea ce privește investițiile în ESSU,</w:t>
            </w:r>
            <w:r>
              <w:t xml:space="preserve"> Comisia ar trebui să faciliteze elaborarea unor modele de acte constitutive, acorduri între acționari și </w:t>
            </w:r>
            <w:r>
              <w:rPr>
                <w:b/>
                <w:i/>
              </w:rPr>
              <w:t>toate celelalte</w:t>
            </w:r>
            <w:r>
              <w:t xml:space="preserve"> documente relevante pentru ESSU și să creeze o platformă pe care aceste modele de documente să fie puse la dispoziție în toate limbile oficiale ale Uniunii. .</w:t>
            </w:r>
          </w:p>
        </w:tc>
        <w:tc>
          <w:tcPr>
            <w:tcW w:w="4876" w:type="dxa"/>
            <w:tcBorders>
              <w:top w:val="nil"/>
              <w:left w:val="nil"/>
              <w:bottom w:val="nil"/>
              <w:right w:val="nil"/>
            </w:tcBorders>
          </w:tcPr>
          <w:p>
            <w:pPr>
              <w:pStyle w:val="Normal6a"/>
            </w:pPr>
            <w:r>
              <w:t xml:space="preserve">Comisia ar trebui să faciliteze elaborarea unor modele de acte constitutive, </w:t>
            </w:r>
            <w:r>
              <w:rPr>
                <w:b/>
                <w:i/>
              </w:rPr>
              <w:t>a unor</w:t>
            </w:r>
            <w:r>
              <w:t xml:space="preserve"> acorduri între acționari și </w:t>
            </w:r>
            <w:r>
              <w:rPr>
                <w:b/>
                <w:i/>
              </w:rPr>
              <w:t>a tuturor celorlalte</w:t>
            </w:r>
            <w:r>
              <w:t xml:space="preserve"> documente relevante pentru ESSU și să creeze o platformă pe care aceste modele de documente </w:t>
            </w:r>
            <w:r>
              <w:rPr>
                <w:b/>
                <w:i/>
              </w:rPr>
              <w:t>și informații practice</w:t>
            </w:r>
            <w:r>
              <w:t xml:space="preserve"> să fie puse la dispoziție în toate limbile oficiale ale Uniunii.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spori securitatea juridică</w:t>
            </w:r>
            <w:r>
              <w:t xml:space="preserve"> în cele 27 de jurisdicții naționale ale pieței interne și </w:t>
            </w:r>
            <w:r>
              <w:rPr>
                <w:b/>
                <w:i/>
              </w:rPr>
              <w:t>pentru a reduce barierele la intrarea</w:t>
            </w:r>
            <w:r>
              <w:t xml:space="preserve"> pe piață </w:t>
            </w:r>
            <w:r>
              <w:rPr>
                <w:b/>
                <w:i/>
              </w:rPr>
              <w:t>în ceea ce privește</w:t>
            </w:r>
            <w:r>
              <w:t xml:space="preserve"> investițiile în ESSU, </w:t>
            </w:r>
            <w:r>
              <w:rPr>
                <w:b/>
                <w:i/>
              </w:rPr>
              <w:t>Comisia</w:t>
            </w:r>
            <w:r>
              <w:t xml:space="preserve"> ar trebui să </w:t>
            </w:r>
            <w:r>
              <w:rPr>
                <w:b/>
                <w:i/>
              </w:rPr>
              <w:t>faciliteze</w:t>
            </w:r>
            <w:r>
              <w:t xml:space="preserve"> elaborarea </w:t>
            </w:r>
            <w:r>
              <w:rPr>
                <w:b/>
                <w:i/>
              </w:rPr>
              <w:t>unor</w:t>
            </w:r>
            <w:r>
              <w:t xml:space="preserve"> modele de acte constitutive</w:t>
            </w:r>
            <w:r>
              <w:rPr>
                <w:b/>
                <w:i/>
              </w:rPr>
              <w:t>,</w:t>
            </w:r>
            <w:r>
              <w:t xml:space="preserve"> acorduri </w:t>
            </w:r>
            <w:r>
              <w:rPr>
                <w:b/>
                <w:i/>
              </w:rPr>
              <w:t>între acționari și toate celelalte documente relevante</w:t>
            </w:r>
            <w:r>
              <w:t xml:space="preserve"> pentru ESSU </w:t>
            </w:r>
            <w:r>
              <w:rPr>
                <w:b/>
                <w:i/>
              </w:rPr>
              <w:t>și să creeze</w:t>
            </w:r>
            <w:r>
              <w:t xml:space="preserve"> o platformă pe care aceste </w:t>
            </w:r>
            <w:r>
              <w:rPr>
                <w:b/>
                <w:i/>
              </w:rPr>
              <w:t>modele de documente</w:t>
            </w:r>
            <w:r>
              <w:t xml:space="preserve"> să fie puse la dispoziție </w:t>
            </w:r>
            <w:r>
              <w:rPr>
                <w:b/>
                <w:i/>
              </w:rPr>
              <w:t>în toate limbile oficiale ale Uniunii</w:t>
            </w:r>
            <w:r>
              <w:t xml:space="preserve">. </w:t>
            </w:r>
            <w:r>
              <w:rPr>
                <w:b/>
                <w:i/>
              </w:rPr>
              <w:t>.</w:t>
            </w:r>
          </w:p>
        </w:tc>
        <w:tc>
          <w:tcPr>
            <w:tcW w:w="4876" w:type="dxa"/>
            <w:tcBorders>
              <w:top w:val="nil"/>
              <w:left w:val="nil"/>
              <w:bottom w:val="nil"/>
              <w:right w:val="nil"/>
            </w:tcBorders>
          </w:tcPr>
          <w:p>
            <w:pPr>
              <w:pStyle w:val="Normal6a"/>
            </w:pPr>
            <w:r>
              <w:rPr>
                <w:b/>
                <w:i/>
              </w:rPr>
              <w:t>În vederea creșterii siguranței juridice</w:t>
            </w:r>
            <w:r>
              <w:t xml:space="preserve"> în cele 27 de jurisdicții naționale ale pieței interne și </w:t>
            </w:r>
            <w:r>
              <w:rPr>
                <w:b/>
                <w:i/>
              </w:rPr>
              <w:t>a reducerii barierelor de acces</w:t>
            </w:r>
            <w:r>
              <w:t xml:space="preserve"> pe piață </w:t>
            </w:r>
            <w:r>
              <w:rPr>
                <w:b/>
                <w:i/>
              </w:rPr>
              <w:t>pentru</w:t>
            </w:r>
            <w:r>
              <w:t xml:space="preserve"> investițiile în ESSU, </w:t>
            </w:r>
            <w:r>
              <w:rPr>
                <w:b/>
                <w:i/>
              </w:rPr>
              <w:t>statele membre</w:t>
            </w:r>
            <w:r>
              <w:t xml:space="preserve"> ar trebui să </w:t>
            </w:r>
            <w:r>
              <w:rPr>
                <w:b/>
                <w:i/>
              </w:rPr>
              <w:t>sprijine</w:t>
            </w:r>
            <w:r>
              <w:t xml:space="preserve"> elaborarea </w:t>
            </w:r>
            <w:r>
              <w:rPr>
                <w:b/>
                <w:i/>
              </w:rPr>
              <w:t>de</w:t>
            </w:r>
            <w:r>
              <w:t xml:space="preserve"> modele de acte constitutive </w:t>
            </w:r>
            <w:r>
              <w:rPr>
                <w:b/>
                <w:i/>
              </w:rPr>
              <w:t>și</w:t>
            </w:r>
            <w:r>
              <w:t xml:space="preserve"> acorduri </w:t>
            </w:r>
            <w:r>
              <w:rPr>
                <w:b/>
                <w:i/>
              </w:rPr>
              <w:t>ale acționarilor</w:t>
            </w:r>
            <w:r>
              <w:t xml:space="preserve"> pentru ESSU</w:t>
            </w:r>
            <w:r>
              <w:rPr>
                <w:b/>
                <w:i/>
              </w:rPr>
              <w:t>, în timp ce Comisia ar putea crea</w:t>
            </w:r>
            <w:r>
              <w:t xml:space="preserve"> o platformă pe care aceste </w:t>
            </w:r>
            <w:r>
              <w:rPr>
                <w:b/>
                <w:i/>
              </w:rPr>
              <w:t>documente-model</w:t>
            </w:r>
            <w:r>
              <w:t xml:space="preserve"> să fie puse la dispoziție.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spori securitatea juridică în cele 27 de jurisdicții naționale ale pieței interne și pentru a reduce barierele la intrarea pe piață în ceea ce privește investițiile în </w:t>
            </w:r>
            <w:r>
              <w:rPr>
                <w:b/>
                <w:i/>
              </w:rPr>
              <w:t>ESSU</w:t>
            </w:r>
            <w:r>
              <w:t xml:space="preserve">, Comisia ar trebui să faciliteze elaborarea unor modele de acte constitutive, acorduri între acționari și toate celelalte documente relevante pentru </w:t>
            </w:r>
            <w:r>
              <w:rPr>
                <w:b/>
                <w:i/>
              </w:rPr>
              <w:t>ESSU</w:t>
            </w:r>
            <w:r>
              <w:t xml:space="preserve"> și să creeze o platformă pe care aceste modele de documente să fie puse la dispoziție în toate limbile oficiale ale Uniunii. .</w:t>
            </w:r>
          </w:p>
        </w:tc>
        <w:tc>
          <w:tcPr>
            <w:tcW w:w="4876" w:type="dxa"/>
            <w:tcBorders>
              <w:top w:val="nil"/>
              <w:left w:val="nil"/>
              <w:bottom w:val="nil"/>
              <w:right w:val="nil"/>
            </w:tcBorders>
          </w:tcPr>
          <w:p>
            <w:pPr>
              <w:pStyle w:val="Normal6a"/>
            </w:pPr>
            <w:r>
              <w:t xml:space="preserve">Pentru a spori securitatea juridică în cele 27 de jurisdicții naționale ale pieței interne și pentru a reduce barierele la intrarea pe piață în ceea ce privește investițiile în </w:t>
            </w:r>
            <w:r>
              <w:rPr>
                <w:b/>
                <w:i/>
              </w:rPr>
              <w:t>SES</w:t>
            </w:r>
            <w:r>
              <w:t xml:space="preserve">, Comisia ar trebui să faciliteze elaborarea unor modele de acte constitutive, acorduri între acționari și toate celelalte documente relevante pentru </w:t>
            </w:r>
            <w:r>
              <w:rPr>
                <w:b/>
                <w:i/>
              </w:rPr>
              <w:t>SES</w:t>
            </w:r>
            <w:r>
              <w:t xml:space="preserve"> și să creeze o platformă pe care aceste modele de documente să fie puse la dispoziție în toate limbile oficiale ale Uniunii.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ar trebui să numească un grup de experți însărcinat cu elaborarea unor modele standardizate de acte constitutive de înaltă calitate, care să corespundă cerințelor armonizate pentru ESSU.</w:t>
            </w:r>
            <w:r>
              <w:t xml:space="preserve"> </w:t>
            </w:r>
            <w:r>
              <w:rPr>
                <w:b/>
                <w:i/>
              </w:rPr>
              <w:t>Acest grup de experți ar trebui să includă, printre alții, fondatori, investitori și reprezentanți ai sindicatelor.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w:t>
            </w:r>
            <w:r>
              <w:t xml:space="preserve"> ar trebui să </w:t>
            </w:r>
            <w:r>
              <w:rPr>
                <w:b/>
                <w:i/>
              </w:rPr>
              <w:t>numească</w:t>
            </w:r>
            <w:r>
              <w:t xml:space="preserve"> un grup de experți însărcinat cu elaborarea unor modele </w:t>
            </w:r>
            <w:r>
              <w:rPr>
                <w:b/>
                <w:i/>
              </w:rPr>
              <w:t>standardizate</w:t>
            </w:r>
            <w:r>
              <w:t xml:space="preserve"> de acte constitutive de înaltă calitate, care să corespundă cerințelor armonizate pentru ESSU. Acest grup de experți ar trebui să includă, printre alții, fondatori, investitori </w:t>
            </w:r>
            <w:r>
              <w:rPr>
                <w:b/>
                <w:i/>
              </w:rPr>
              <w:t>și reprezentanți ai sindicatelor</w:t>
            </w:r>
            <w:r>
              <w:t>.</w:t>
            </w:r>
          </w:p>
        </w:tc>
        <w:tc>
          <w:tcPr>
            <w:tcW w:w="4876" w:type="dxa"/>
            <w:tcBorders>
              <w:top w:val="nil"/>
              <w:left w:val="nil"/>
              <w:bottom w:val="nil"/>
              <w:right w:val="nil"/>
            </w:tcBorders>
          </w:tcPr>
          <w:p>
            <w:pPr>
              <w:pStyle w:val="Normal6a"/>
            </w:pPr>
            <w:r>
              <w:rPr>
                <w:b/>
                <w:i/>
              </w:rPr>
              <w:t>Statele membre</w:t>
            </w:r>
            <w:r>
              <w:t xml:space="preserve"> ar trebui să </w:t>
            </w:r>
            <w:r>
              <w:rPr>
                <w:b/>
                <w:i/>
              </w:rPr>
              <w:t>desemneze</w:t>
            </w:r>
            <w:r>
              <w:t xml:space="preserve"> un grup de experți însărcinat cu elaborarea unor modele </w:t>
            </w:r>
            <w:r>
              <w:rPr>
                <w:b/>
                <w:i/>
              </w:rPr>
              <w:t>naționale</w:t>
            </w:r>
            <w:r>
              <w:t xml:space="preserve"> de acte constitutive de înaltă calitate, care să corespundă cerințelor armonizate pentru ESSU. Acest grup de experți ar trebui să includă, printre alții, fondatori, investitori</w:t>
            </w:r>
            <w:r>
              <w:rPr>
                <w:b/>
                <w:i/>
              </w:rPr>
              <w:t>, sindicate, notari și alte autorități competente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Comisia ar trebui să numească un grup de experți însărcinat cu elaborarea unor modele standardizate de acte constitutive de înaltă calitate, care să corespundă cerințelor armonizate pentru </w:t>
            </w:r>
            <w:r>
              <w:rPr>
                <w:b/>
                <w:i/>
              </w:rPr>
              <w:t>ESSU</w:t>
            </w:r>
            <w:r>
              <w:t>. Acest grup de experți ar trebui să includă, printre alții, fondatori, investitori și reprezentanți ai sindicatelor.</w:t>
            </w:r>
          </w:p>
        </w:tc>
        <w:tc>
          <w:tcPr>
            <w:tcW w:w="4876" w:type="dxa"/>
            <w:tcBorders>
              <w:top w:val="nil"/>
              <w:left w:val="nil"/>
              <w:bottom w:val="nil"/>
              <w:right w:val="nil"/>
            </w:tcBorders>
          </w:tcPr>
          <w:p>
            <w:pPr>
              <w:pStyle w:val="Normal6a"/>
            </w:pPr>
            <w:r>
              <w:t xml:space="preserve">Comisia ar trebui să numească un grup de experți însărcinat cu elaborarea unor modele standardizate de acte constitutive de înaltă calitate, care să corespundă cerințelor armonizate pentru </w:t>
            </w:r>
            <w:r>
              <w:rPr>
                <w:b/>
                <w:i/>
              </w:rPr>
              <w:t>SES</w:t>
            </w:r>
            <w:r>
              <w:t>. Acest grup de experți ar trebui să includă, printre alții, fondatori, investitori și reprezentanți ai sindicatelor.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ar trebui să numească un grup de experți însărcinat cu elaborarea unor modele standardizate de acte constitutive de înaltă calitate, care să corespundă cerințelor armonizate pentru ESSU. Acest grup de experți ar trebui să includă, printre alții, fondatori</w:t>
            </w:r>
            <w:r>
              <w:rPr>
                <w:b/>
                <w:i/>
              </w:rPr>
              <w:t>,</w:t>
            </w:r>
            <w:r>
              <w:t xml:space="preserve"> investitori </w:t>
            </w:r>
            <w:r>
              <w:rPr>
                <w:b/>
                <w:i/>
              </w:rPr>
              <w:t>și reprezentanți ai sindicatelor</w:t>
            </w:r>
            <w:r>
              <w:t>.</w:t>
            </w:r>
          </w:p>
        </w:tc>
        <w:tc>
          <w:tcPr>
            <w:tcW w:w="4876" w:type="dxa"/>
            <w:tcBorders>
              <w:top w:val="nil"/>
              <w:left w:val="nil"/>
              <w:bottom w:val="nil"/>
              <w:right w:val="nil"/>
            </w:tcBorders>
          </w:tcPr>
          <w:p>
            <w:pPr>
              <w:pStyle w:val="Normal6a"/>
            </w:pPr>
            <w:r>
              <w:t xml:space="preserve">Comisia ar trebui să numească un grup de experți însărcinat cu elaborarea unor modele standardizate de acte constitutive de înaltă calitate, care să corespundă cerințelor armonizate pentru ESSU. Acest grup de experți ar trebui să includă, printre alții, fondatori </w:t>
            </w:r>
            <w:r>
              <w:rPr>
                <w:b/>
                <w:i/>
              </w:rPr>
              <w:t>și</w:t>
            </w:r>
            <w:r>
              <w:t xml:space="preserve"> investitori.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ar trebui să numească un alt grup de experți însărcinat cu elaborarea unor modele de acorduri standardizate, echitabile și de înaltă calitate între acționari.</w:t>
            </w:r>
            <w:r>
              <w:t xml:space="preserve"> </w:t>
            </w:r>
            <w:r>
              <w:rPr>
                <w:b/>
                <w:i/>
              </w:rPr>
              <w:t>Astfel de modele de acorduri între acționari ar trebui să asigure un echilibru între interesele fondatorilor și cele ale investitorilor.</w:t>
            </w:r>
            <w:r>
              <w:t xml:space="preserve"> </w:t>
            </w:r>
            <w:r>
              <w:rPr>
                <w:b/>
                <w:i/>
              </w:rPr>
              <w:t>Grupul de experți respectiv ar trebui să includă, printre alții, fondatori și investitori de capital de risc.</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ar trebui să numească un alt grup de experți însărcinat cu elaborarea unor modele de acorduri standardizate, echitabile și de înaltă calitate între acționari.</w:t>
            </w:r>
            <w:r>
              <w:t xml:space="preserve"> </w:t>
            </w:r>
            <w:r>
              <w:rPr>
                <w:b/>
                <w:i/>
              </w:rPr>
              <w:t>Astfel de modele de acorduri între acționari ar trebui să asigure un echilibru între interesele fondatorilor și cele ale investitorilor.</w:t>
            </w:r>
            <w:r>
              <w:t xml:space="preserve"> </w:t>
            </w:r>
            <w:r>
              <w:rPr>
                <w:b/>
                <w:i/>
              </w:rPr>
              <w:t>Grupul de experți respectiv ar trebui să includă, printre alții, fondatori și investitori de capital de risc.</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w:t>
            </w:r>
            <w:r>
              <w:t xml:space="preserve"> ar trebui să </w:t>
            </w:r>
            <w:r>
              <w:rPr>
                <w:b/>
                <w:i/>
              </w:rPr>
              <w:t>numească</w:t>
            </w:r>
            <w:r>
              <w:t xml:space="preserve"> un alt grup de experți însărcinat cu elaborarea unor modele de acorduri </w:t>
            </w:r>
            <w:r>
              <w:rPr>
                <w:b/>
                <w:i/>
              </w:rPr>
              <w:t>standardizate</w:t>
            </w:r>
            <w:r>
              <w:t xml:space="preserve">, echitabile și de înaltă calitate </w:t>
            </w:r>
            <w:r>
              <w:rPr>
                <w:b/>
                <w:i/>
              </w:rPr>
              <w:t>între acționari</w:t>
            </w:r>
            <w:r>
              <w:t xml:space="preserve">. Astfel de modele de acorduri între acționari ar trebui să asigure un echilibru între interesele fondatorilor și </w:t>
            </w:r>
            <w:r>
              <w:rPr>
                <w:b/>
                <w:i/>
              </w:rPr>
              <w:t>cele</w:t>
            </w:r>
            <w:r>
              <w:t xml:space="preserve"> ale investitorilor. </w:t>
            </w:r>
            <w:r>
              <w:rPr>
                <w:b/>
                <w:i/>
              </w:rPr>
              <w:t>Grupul</w:t>
            </w:r>
            <w:r>
              <w:t xml:space="preserve"> de experți </w:t>
            </w:r>
            <w:r>
              <w:rPr>
                <w:b/>
                <w:i/>
              </w:rPr>
              <w:t>respectiv</w:t>
            </w:r>
            <w:r>
              <w:t xml:space="preserve"> ar trebui să includă, printre alții, fondatori </w:t>
            </w:r>
            <w:r>
              <w:rPr>
                <w:b/>
                <w:i/>
              </w:rPr>
              <w:t>și</w:t>
            </w:r>
            <w:r>
              <w:t xml:space="preserve"> investitori de capital de risc.</w:t>
            </w:r>
          </w:p>
        </w:tc>
        <w:tc>
          <w:tcPr>
            <w:tcW w:w="4876" w:type="dxa"/>
            <w:tcBorders>
              <w:top w:val="nil"/>
              <w:left w:val="nil"/>
              <w:bottom w:val="nil"/>
              <w:right w:val="nil"/>
            </w:tcBorders>
          </w:tcPr>
          <w:p>
            <w:pPr>
              <w:pStyle w:val="Normal6a"/>
            </w:pPr>
            <w:r>
              <w:rPr>
                <w:b/>
                <w:i/>
              </w:rPr>
              <w:t>Statele membre</w:t>
            </w:r>
            <w:r>
              <w:t xml:space="preserve"> ar trebui să </w:t>
            </w:r>
            <w:r>
              <w:rPr>
                <w:b/>
                <w:i/>
              </w:rPr>
              <w:t>desemneze</w:t>
            </w:r>
            <w:r>
              <w:t xml:space="preserve"> un alt grup de experți însărcinat cu elaborarea unor modele </w:t>
            </w:r>
            <w:r>
              <w:rPr>
                <w:b/>
                <w:i/>
              </w:rPr>
              <w:t>naționale</w:t>
            </w:r>
            <w:r>
              <w:t xml:space="preserve"> de acorduri </w:t>
            </w:r>
            <w:r>
              <w:rPr>
                <w:b/>
                <w:i/>
              </w:rPr>
              <w:t>între acționari</w:t>
            </w:r>
            <w:r>
              <w:t xml:space="preserve">, echitabile și de înaltă calitate. Astfel de modele de acorduri între acționari ar trebui să asigure un echilibru între interesele fondatorilor și ale investitorilor. </w:t>
            </w:r>
            <w:r>
              <w:rPr>
                <w:b/>
                <w:i/>
              </w:rPr>
              <w:t>Acest grup</w:t>
            </w:r>
            <w:r>
              <w:t xml:space="preserve"> de experți ar trebui să includă, printre alții, fondatori</w:t>
            </w:r>
            <w:r>
              <w:rPr>
                <w:b/>
                <w:i/>
              </w:rPr>
              <w:t>,</w:t>
            </w:r>
            <w:r>
              <w:t xml:space="preserve"> investitori de capital de risc</w:t>
            </w:r>
            <w:r>
              <w:rPr>
                <w:b/>
                <w:i/>
              </w:rPr>
              <w:t>, notari și alte autorități competente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ar trebui să înființeze un Centru Comun de Cercetare pentru Dreptul Afacerilor European și Comparat, cu scopul de a furniza informații comparabile, cu acces liber, privind reglementările în domeniul afacerilor din statele membre, în toate limbile oficiale ale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ar trebui să înființeze un Centru Comun de Cercetare pentru Dreptul Afacerilor European și Comparat, cu scopul de a furniza informații comparabile, cu acces liber, privind reglementările în domeniul afacerilor din statele membre, în toate limbile oficiale ale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Comisia ar trebui să înființeze un Centru Comun de Cercetare pentru Dreptul Afacerilor European și Comparat, cu scopul de a furniza informații comparabile, cu acces liber, privind reglementările în domeniul afacerilor din statele membre, în toate limbile oficiale ale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conformitate cu strategia Uniunii privind extinderea participării și răspândirea excelenței prin programul Orizont Europa, măsurile ar trebui să asigure faptul că întreprinderile inovatoare stabilite în state membre cu niveluri istorice mai scăzute de acces la capitalul de risc beneficiază de oportunități de finanțare echitabile.</w:t>
            </w:r>
            <w:r>
              <w:t xml:space="preserve"> </w:t>
            </w:r>
            <w:r>
              <w:rPr>
                <w:b/>
                <w:i/>
              </w:rPr>
              <w:t>Această abordare ar reduce disparitățile structurale de la nivelul Uniunii, ar consolida coeziunea între statele membre și ar permite ESSU să se extindă, indiferent de amplasarea lor geografică.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7 – paragraful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Este esențial să existe claritate pentru investitorii europeni și cei străini, pentru ca antreprenorii să adopte cel de-al 28-lea regim, datorită normelor sale armonizate.</w:t>
            </w:r>
            <w:r>
              <w:t xml:space="preserve"> </w:t>
            </w:r>
            <w:r>
              <w:rPr>
                <w:b/>
                <w:i/>
              </w:rPr>
              <w:t>Prin urmare, efectul unui astfel de regim asupra capitalului investitorilor ar trebui calculat și evaluat ca o măsură a succesului formei societății.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Soluționarea specializată a litigiilor</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accelera soluționarea litigiilor legate de ESSU, ar trebui instituit un mecanism alternativ de soluționare specializată a litigiilor.</w:t>
            </w:r>
            <w:r>
              <w:rPr>
                <w:b/>
                <w:i/>
              </w:rPr>
              <w:t xml:space="preserve"> </w:t>
            </w:r>
            <w:r>
              <w:rPr>
                <w:b/>
                <w:i/>
              </w:rPr>
              <w:t>Participarea la acest mecanism ar trebui să fie condiționată de consimțământul părților implicate.</w:t>
            </w:r>
            <w:r>
              <w:rPr>
                <w:b/>
                <w:i/>
              </w:rPr>
              <w:t xml:space="preserve"> </w:t>
            </w:r>
            <w:r>
              <w:rPr>
                <w:b/>
                <w:i/>
              </w:rPr>
              <w:t>Litigiile legate de dreptul individual și colectiv al muncii ar trebui excluse din acest mecanism.</w:t>
            </w:r>
            <w:r>
              <w:rPr>
                <w:b/>
                <w:i/>
              </w:rPr>
              <w:t xml:space="preserve"> </w:t>
            </w:r>
            <w:r>
              <w:rPr>
                <w:b/>
                <w:i/>
              </w:rPr>
              <w:t>Competența în aceste cazuri ar trebui să fie stabilită în conformitate cu articolele 20-23 din Regulamentul (UE) nr. 1215/2012.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w:t>
            </w:r>
            <w:r>
              <w:rPr>
                <w:b/>
                <w:i/>
              </w:rPr>
              <w:t xml:space="preserve"> </w:t>
            </w:r>
            <w:r>
              <w:rPr>
                <w:b/>
                <w:i/>
              </w:rPr>
              <w:t>Aceste complete ar trebui să fie dedicate soluționării litigiilor de drept civil între societăți în legătură cu forma juridică ESSU, litigiilor care decurg din sau în legătură cu achiziționarea de ESSU sau de acțiuni în cadrul acestora, precum și litigiilor dintre o ESSU și membrii consiliului său de administrație sau de supraveghere.</w:t>
            </w:r>
            <w:r>
              <w:rPr>
                <w:b/>
                <w:i/>
              </w:rPr>
              <w:t xml:space="preserve"> </w:t>
            </w:r>
            <w:r>
              <w:rPr>
                <w:b/>
                <w:i/>
              </w:rPr>
              <w:t>Statele membre ar trebui să se asigure că procedurile în fața acestor comisii pot fi desfășurate în limba engleză, cu condiția ca părțile implicate să își dea consimțământul.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Soluționarea specializată a litigiilor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Pentru a accelera soluționarea litigiilor legate de ESSU, ar trebui instituit un mecanism alternativ de soluționare specializată a litigiilor.</w:t>
            </w:r>
            <w:r>
              <w:t xml:space="preserve"> </w:t>
            </w:r>
            <w:r>
              <w:rPr>
                <w:b/>
                <w:i/>
              </w:rPr>
              <w:t>Participarea la acest mecanism ar trebui să fie condiționată de consimțământul părților implicate.</w:t>
            </w:r>
            <w:r>
              <w:t xml:space="preserve"> </w:t>
            </w:r>
            <w:r>
              <w:rPr>
                <w:b/>
                <w:i/>
              </w:rPr>
              <w:t>Litigiile legate de dreptul individual și colectiv al muncii ar trebui excluse din acest mecanism.</w:t>
            </w:r>
            <w:r>
              <w:t xml:space="preserve"> </w:t>
            </w:r>
            <w:r>
              <w:rPr>
                <w:b/>
                <w:i/>
              </w:rPr>
              <w:t>Competența în aceste cazuri ar trebui să fie stabilită în conformitate cu articolele 20-23 din Regulamentul (UE) nr. 1215/2012.</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accelera soluționarea litigiilor legate de ESSU, </w:t>
            </w:r>
            <w:r>
              <w:rPr>
                <w:b/>
                <w:i/>
              </w:rPr>
              <w:t>ar trebui</w:t>
            </w:r>
            <w:r>
              <w:t xml:space="preserve"> instituit un mecanism alternativ de soluționare specializată a litigiilor. Participarea la acest mecanism ar trebui să fie condiționată de consimțământul părților implicate. </w:t>
            </w:r>
            <w:r>
              <w:rPr>
                <w:b/>
                <w:i/>
              </w:rPr>
              <w:t>Litigiile legate de dreptul individual și colectiv al muncii ar trebui excluse din acest mecanism.</w:t>
            </w:r>
            <w:r>
              <w:t xml:space="preserve"> </w:t>
            </w:r>
            <w:r>
              <w:rPr>
                <w:b/>
                <w:i/>
              </w:rPr>
              <w:t>Competența în aceste cazuri ar trebui să fie stabilită în conformitate cu articolele 20-23 din Regulamentul (UE) nr. 1215/2012.</w:t>
            </w:r>
          </w:p>
        </w:tc>
        <w:tc>
          <w:tcPr>
            <w:tcW w:w="4876" w:type="dxa"/>
            <w:tcBorders>
              <w:top w:val="nil"/>
              <w:left w:val="nil"/>
              <w:bottom w:val="nil"/>
              <w:right w:val="nil"/>
            </w:tcBorders>
          </w:tcPr>
          <w:p>
            <w:pPr>
              <w:pStyle w:val="Normal6a"/>
            </w:pPr>
            <w:r>
              <w:t xml:space="preserve">Pentru a accelera soluționarea litigiilor legate de ESSU, </w:t>
            </w:r>
            <w:r>
              <w:rPr>
                <w:b/>
                <w:i/>
              </w:rPr>
              <w:t>poate fi</w:t>
            </w:r>
            <w:r>
              <w:t xml:space="preserve"> instituit un mecanism alternativ de soluționare specializată a litigiilor. Participarea la acest mecanism ar trebui să fie condiționată de consimțământul părților implicate.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Pentru a accelera soluționarea litigiilor legate de </w:t>
            </w:r>
            <w:r>
              <w:rPr>
                <w:b/>
                <w:i/>
              </w:rPr>
              <w:t>ESSU</w:t>
            </w:r>
            <w:r>
              <w:t>, ar trebui instituit un mecanism alternativ de soluționare specializată a litigiilor. Participarea la acest mecanism ar trebui să fie condiționată de consimțământul părților implicate. Litigiile legate de dreptul individual și colectiv al muncii ar trebui excluse din acest mecanism. Competența în aceste cazuri ar trebui să fie stabilită în conformitate cu articolele 20-23 din Regulamentul (UE) nr. 1215/2012.</w:t>
            </w:r>
          </w:p>
        </w:tc>
        <w:tc>
          <w:tcPr>
            <w:tcW w:w="4876" w:type="dxa"/>
            <w:tcBorders>
              <w:top w:val="nil"/>
              <w:left w:val="nil"/>
              <w:bottom w:val="nil"/>
              <w:right w:val="nil"/>
            </w:tcBorders>
          </w:tcPr>
          <w:p>
            <w:pPr>
              <w:pStyle w:val="Normal6a"/>
            </w:pPr>
            <w:r>
              <w:t xml:space="preserve">Pentru a accelera soluționarea litigiilor legate de </w:t>
            </w:r>
            <w:r>
              <w:rPr>
                <w:b/>
                <w:i/>
              </w:rPr>
              <w:t>SES</w:t>
            </w:r>
            <w:r>
              <w:t>, ar trebui instituit un mecanism alternativ de soluționare specializată a litigiilor. Participarea la acest mecanism ar trebui să fie condiționată de consimțământul părților implicate. Litigiile legate de dreptul individual și colectiv al muncii ar trebui excluse din acest mecanism. Competența în aceste cazuri ar trebui să fie stabilită în conformitate cu articolele 20-23 din Regulamentul (UE) nr. 1215/2012.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w:t>
            </w:r>
            <w:r>
              <w:t xml:space="preserve"> </w:t>
            </w:r>
            <w:r>
              <w:rPr>
                <w:b/>
                <w:i/>
              </w:rPr>
              <w:t>Aceste complete ar trebui să fie dedicate soluționării litigiilor de drept civil între societăți în legătură cu forma juridică ESSU, litigiilor care decurg din sau în legătură cu achiziționarea de ESSU sau de acțiuni în cadrul acestora, precum și litigiilor dintre o ESSU și membrii consiliului său de administrație sau de supraveghere.</w:t>
            </w:r>
            <w:r>
              <w:t xml:space="preserve"> </w:t>
            </w:r>
            <w:r>
              <w:rPr>
                <w:b/>
                <w:i/>
              </w:rPr>
              <w:t>Statele membre ar trebui să se asigure că procedurile în fața acestor comisii pot fi desfășurate în limba engleză, cu condiția ca părțile implicate să își dea consimțământul.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w:t>
            </w:r>
            <w:r>
              <w:t xml:space="preserve"> </w:t>
            </w:r>
            <w:r>
              <w:rPr>
                <w:b/>
                <w:i/>
              </w:rPr>
              <w:t>Aceste complete ar trebui să fie dedicate soluționării litigiilor de drept civil între societăți în legătură cu forma juridică ESSU, litigiilor care decurg din sau în legătură cu achiziționarea de ESSU sau de acțiuni în cadrul acestora, precum și litigiilor dintre o ESSU și membrii consiliului său de administrație sau de supraveghere.</w:t>
            </w:r>
            <w:r>
              <w:t xml:space="preserve"> </w:t>
            </w:r>
            <w:r>
              <w:rPr>
                <w:b/>
                <w:i/>
              </w:rPr>
              <w:t>Statele membre ar trebui să se asigure că procedurile în fața acestor comisii pot fi desfășurate în limba engleză, cu condiția ca părțile implicate să își dea consimțământul.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w:t>
            </w:r>
            <w:r>
              <w:t xml:space="preserve"> </w:t>
            </w:r>
            <w:r>
              <w:rPr>
                <w:b/>
                <w:i/>
              </w:rPr>
              <w:t>Aceste complete ar trebui să fie dedicate soluționării litigiilor de drept civil între societăți în legătură cu forma juridică ESSU, litigiilor care decurg din sau în legătură cu achiziționarea de ESSU sau de acțiuni în cadrul acestora, precum și litigiilor dintre o ESSU și membrii consiliului său de administrație sau de supraveghere.</w:t>
            </w:r>
            <w:r>
              <w:t xml:space="preserve"> </w:t>
            </w:r>
            <w:r>
              <w:rPr>
                <w:b/>
                <w:i/>
              </w:rPr>
              <w:t>Statele membre ar trebui să se asigure că procedurile în fața acestor comisii pot fi desfășurate în limba engleză, cu condiția ca părțile implicate să își dea consimțământul.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 Aceste complete ar trebui să fie dedicate soluționării litigiilor de drept civil între societăți în legătură cu forma juridică ESSU, litigiilor care decurg din sau în legătură cu achiziționarea de ESSU sau de acțiuni în cadrul acestora, precum și litigiilor dintre o ESSU și membrii consiliului său de administrație sau de supraveghere. Statele membre ar trebui să se asigure că procedurile în fața acestor comisii pot fi desfășurate în limba engleză</w:t>
            </w:r>
            <w:r>
              <w:rPr>
                <w:b/>
                <w:i/>
              </w:rPr>
              <w:t>, cu condiția ca părțile implicate să își dea consimțământul</w:t>
            </w:r>
            <w:r>
              <w:t>.</w:t>
            </w:r>
          </w:p>
        </w:tc>
        <w:tc>
          <w:tcPr>
            <w:tcW w:w="4876" w:type="dxa"/>
            <w:tcBorders>
              <w:top w:val="nil"/>
              <w:left w:val="nil"/>
              <w:bottom w:val="nil"/>
              <w:right w:val="nil"/>
            </w:tcBorders>
          </w:tcPr>
          <w:p>
            <w:pPr>
              <w:pStyle w:val="Normal6a"/>
            </w:pPr>
            <w:r>
              <w:t xml:space="preserve">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 Aceste complete ar trebui să fie dedicate soluționării </w:t>
            </w:r>
            <w:r>
              <w:rPr>
                <w:b/>
                <w:i/>
              </w:rPr>
              <w:t>rapide și eficace a</w:t>
            </w:r>
            <w:r>
              <w:t xml:space="preserve"> litigiilor de drept civil între societăți în legătură cu forma juridică ESSU, litigiilor care decurg din sau în legătură cu achiziționarea de ESSU sau de acțiuni în cadrul acestora, precum și litigiilor dintre o ESSU și membrii consiliului său de administrație sau de supraveghere. Statele membre ar trebui să se asigure că procedurile în fața acestor comisii pot fi desfășurate</w:t>
            </w:r>
            <w:r>
              <w:rPr>
                <w:b/>
                <w:i/>
              </w:rPr>
              <w:t>, la cererea a cel puțin uneia dintre părți, și</w:t>
            </w:r>
            <w:r>
              <w:t xml:space="preserve"> în limba engleză.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Anexa I – punctul 8 – paragraful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 Aceste complete ar trebui să fie dedicate soluționării litigiilor de drept civil între societăți în legătură cu forma juridică </w:t>
            </w:r>
            <w:r>
              <w:rPr>
                <w:b/>
                <w:i/>
              </w:rPr>
              <w:t>ESSU</w:t>
            </w:r>
            <w:r>
              <w:t xml:space="preserve">, litigiilor care decurg din sau în legătură cu achiziționarea de </w:t>
            </w:r>
            <w:r>
              <w:rPr>
                <w:b/>
                <w:i/>
              </w:rPr>
              <w:t>ESSU</w:t>
            </w:r>
            <w:r>
              <w:t xml:space="preserve"> sau de acțiuni în cadrul acestora, precum și litigiilor dintre o </w:t>
            </w:r>
            <w:r>
              <w:rPr>
                <w:b/>
                <w:i/>
              </w:rPr>
              <w:t>ESSU</w:t>
            </w:r>
            <w:r>
              <w:t xml:space="preserve"> și membrii consiliului său de administrație sau de supraveghere. Statele membre ar trebui să se asigure că procedurile în fața acestor comisii pot fi desfășurate în limba engleză, cu condiția ca părțile implicate să își dea consimțământul.</w:t>
            </w:r>
          </w:p>
        </w:tc>
        <w:tc>
          <w:tcPr>
            <w:tcW w:w="4876" w:type="dxa"/>
            <w:tcBorders>
              <w:top w:val="nil"/>
              <w:left w:val="nil"/>
              <w:bottom w:val="nil"/>
              <w:right w:val="nil"/>
            </w:tcBorders>
          </w:tcPr>
          <w:p>
            <w:pPr>
              <w:pStyle w:val="Normal6a"/>
            </w:pPr>
            <w:r>
              <w:t xml:space="preserve">În plus, statele membre ar trebui să introducă un complet specializat în cadrul instanțelor lor naționale – fie un complet în cadrul unei instanțe desemnate la nivel național, fie un complet în cadrul unei instanțe specifice din fiecare entitate federală, în funcție de sistemul judiciar național în cauză. Aceste complete ar trebui să fie dedicate soluționării litigiilor de drept civil între societăți în legătură cu forma juridică </w:t>
            </w:r>
            <w:r>
              <w:rPr>
                <w:b/>
                <w:i/>
              </w:rPr>
              <w:t>SES</w:t>
            </w:r>
            <w:r>
              <w:t xml:space="preserve">, litigiilor care decurg din sau în legătură cu achiziționarea de </w:t>
            </w:r>
            <w:r>
              <w:rPr>
                <w:b/>
                <w:i/>
              </w:rPr>
              <w:t>SES</w:t>
            </w:r>
            <w:r>
              <w:t xml:space="preserve"> sau de acțiuni în cadrul acestora, precum și litigiilor dintre o </w:t>
            </w:r>
            <w:r>
              <w:rPr>
                <w:b/>
                <w:i/>
              </w:rPr>
              <w:t>SES</w:t>
            </w:r>
            <w:r>
              <w:t xml:space="preserve"> și membrii consiliului său de administrație sau de supraveghere. Statele membre ar trebui să se asigure că procedurile în fața acestor comisii pot fi desfășurate în limba engleză, cu condiția ca părțile implicate să își dea consimțământul.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170</w:t>
    </w:r>
    <w:r>
      <w:fldChar w:fldCharType="end"/>
    </w:r>
    <w:r>
      <w:tab/>
    </w:r>
    <w:r>
      <w:rPr>
        <w:rStyle w:val="HideTWBExt"/>
      </w:rPr>
      <w:t>&lt;PathFdR&gt;</w:t>
    </w:r>
    <w:r>
      <w:t>AM\1327577RO.docx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AM\1327577RO.docx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170</w:t>
    </w:r>
    <w:r>
      <w:fldChar w:fldCharType="end"/>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AM\1327577RO.docx</w:t>
    </w:r>
    <w:r>
      <w:rPr>
        <w:rStyle w:val="HideTWBExt"/>
      </w:rPr>
      <w:t>&lt;/PathFdR&gt;</w:t>
    </w:r>
    <w:r>
      <w:tab/>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170</Pages>
  <Words>37553</Words>
  <Characters>220390</Characters>
  <Application>Microsoft Office Word</Application>
  <DocSecurity>0</DocSecurity>
  <Lines>1</Lines>
  <Paragraphs>3098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245951</vt:lpwstr>
  </property>
  <property fmtid="{D5CDD505-2E9C-101B-9397-08002B2CF9AE}" pid="7" name="dmxml.render.traceId">
    <vt:lpwstr>68d5127130b70b917e69774844e939fc</vt:lpwstr>
  </property>
  <property fmtid="{D5CDD505-2E9C-101B-9397-08002B2CF9AE}" pid="8" name="FooterPath">
    <vt:lpwstr>AM\1327577RO.docx</vt:lpwstr>
  </property>
  <property fmtid="{D5CDD505-2E9C-101B-9397-08002B2CF9AE}" pid="9" name="PE Number">
    <vt:lpwstr>776.972</vt:lpwstr>
  </property>
  <property fmtid="{D5CDD505-2E9C-101B-9397-08002B2CF9AE}" pid="10" name="UID">
    <vt:lpwstr>eu.europa.europarl-DIN1-2025-0000165770_02.00-ro-02.00_text-xml</vt:lpwstr>
  </property>
</Properties>
</file>