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{JURI}</w:t>
      </w:r>
      <w:r>
        <w:t>Teisės reikalų komitetas</w:t>
      </w:r>
      <w:r>
        <w:rPr>
          <w:rStyle w:val="HideTWBExt"/>
        </w:rPr>
        <w:t>&lt;/Commission&gt;</w:t>
      </w:r>
    </w:p>
    <w:p>
      <w:pPr>
        <w:pStyle w:val="LineBottom"/>
      </w:pPr>
      <w:r>
        <w:t xml:space="preserve"> </w:t>
      </w:r>
    </w:p>
    <w:p>
      <w:pPr>
        <w:pStyle w:val="CoverReference"/>
      </w:pPr>
      <w:r>
        <w:rPr>
          <w:rStyle w:val="HideTWBExt"/>
        </w:rPr>
        <w:t>&lt;RefProc&gt;</w:t>
      </w:r>
      <w:r>
        <w:t>2025/2015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{12/11/2025}</w:t>
      </w:r>
      <w:r>
        <w:t>12.11.2025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163</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Jörgen Warborn</w:t>
      </w:r>
      <w:r>
        <w:rPr>
          <w:rStyle w:val="HideTWBExt"/>
        </w:rPr>
        <w:t>&lt;/Rapporteur&gt;</w:t>
      </w:r>
    </w:p>
    <w:p>
      <w:pPr>
        <w:pStyle w:val="CoverNormal24a"/>
      </w:pPr>
      <w:r>
        <w:rPr>
          <w:rStyle w:val="HideTWBExt"/>
        </w:rPr>
        <w:t>&lt;DocRefPE&gt;</w:t>
      </w:r>
      <w:r>
        <w:t>(PE776.862v01-00)</w:t>
      </w:r>
      <w:r>
        <w:rPr>
          <w:rStyle w:val="HideTWBExt"/>
        </w:rPr>
        <w:t>&lt;/DocRefPE&gt;</w:t>
      </w:r>
    </w:p>
    <w:p>
      <w:pPr>
        <w:pStyle w:val="CoverNormal"/>
      </w:pPr>
      <w:r>
        <w:rPr>
          <w:rStyle w:val="HideTWBExt"/>
        </w:rPr>
        <w:t>&lt;Titre&gt;</w:t>
      </w:r>
      <w:r>
        <w:t>Europos Sąjungos reglamentavimo kokybė, subsidiarumas ir proporcingumas. Pranešimas dėl geresnės teisėkūros 2023 ir 2024 m.</w:t>
      </w:r>
      <w:r>
        <w:rPr>
          <w:rStyle w:val="HideTWBExt"/>
        </w:rPr>
        <w:t>&lt;/Titre&gt;</w:t>
      </w:r>
    </w:p>
    <w:p>
      <w:pPr>
        <w:pStyle w:val="CoverNormal24a"/>
      </w:pPr>
      <w:r>
        <w:rPr>
          <w:rStyle w:val="HideTWBExt"/>
        </w:rPr>
        <w:t>&lt;DocRef&gt;</w:t>
      </w:r>
      <w:r>
        <w:t>(2025/2015(INI))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Parlamento, Europos Sąjungos Tarybos, Europos Komisijos, Europos Sąjungos Teisingumo Teismo, Europos Centrinio Banko, Europos Audito Rūmų, Europos ekonomikos ir socialinių reikalų komiteto ir Europos regionų komiteto susitarimą, kuriuo įsteigiamas Tarpinstitucinis Europos Sąjungos sutarties 13 straipsnyje nurodytų institucijų ir patariamųjų organų narių etikos standartų organas (toliau – ES tarpinstitucinis etikos organas),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2016 m. birželio 9 d. rezoliuciją dėl atviros, veiksmingos ir nepriklausomos Europos Sąjungos administracijos,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Komisijos komunikatą Europos Parlamentui, Tarybai, Europos ekonomikos ir socialinių reikalų komitetui ir Regionų komitetui „Geresnis reglamentavimas: bendromis jėgomis renkime geresnius teisės aktus“ (COM(2021)0219),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2021 m. balandžio 29 d. Komisijos komunikatą „Geresnis reglamentavimas: bendromis jėgomis renkime geresnius teisės aktus“ (COM(2021)0219),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2022 m. liepos 7 d. rezoliuciją „Geresnis reglamentavimas: bendromis jėgomis renkime geresnius teisės aktus“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OL C 47, 2023 2 7, p. 250.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2025 m. birželio 18 d. rezoliuciją dėl Komisijos 2024 m. teisinės valstybės principo taikymo ataskaitos (2024/2078(INI)),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visus ankstesnius Komisijos komunikatus dėl geresnio reglamentavimo būtinybės, siekiant užtikrinti geresnius rezultatus ES piliečių labui,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ombudsmeno tyrimą byloje 983/2025/MAS, susijusioje su tuo, kad Europos Komisija, rengdama pasiūlymą dėl teisėkūros procedūra priimamo akto dėl įmonių informacijos apie tvarumą teikimo ir įmonių tvarumo išsamaus patikrinimo, nesilaikė savo Geresnio reglamentavimo gairių,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kadangi geresnė teisėkūra yra bendras visų ES institucijų tikslas, kurio turėtų būti siekiama stiprinant skaidrumą, atskaitomybę ir institucijų ir valstybių narių, piliečių ir suinteresuotųjų šalių bendradarbiavimą bei užtikrinant visapusišką pagarbą visoms pagrindinėms europietiškoms vertybėms, įskaitant demokratiją, teisinės valstybės principą ir žmogaus teises;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norint, kad Europos Sąjungos teisės aktai piliečiams ir suinteresuotiesiems subjektams teiktų realios naudos, jie turėtų atitikti paskirtį, būti proporcingi, skaidrūs ir išsamūs;</w:t>
            </w:r>
            <w:r>
              <w:t xml:space="preserve"> </w:t>
            </w:r>
            <w:r>
              <w:rPr>
                <w:b/>
                <w:i/>
              </w:rPr>
              <w:t>kadangi geresnis reglamentavimas padeda užtikrinti, kad, atsižvelgiant į spartesnį technologinių, visuomeninių ir aplinkos pokyčių tempą, ES politika ir teisės aktai būtų orientuoti į ateitį;</w:t>
            </w:r>
            <w:r>
              <w:t xml:space="preserve"> </w:t>
            </w:r>
            <w:r>
              <w:rPr>
                <w:b/>
                <w:i/>
              </w:rPr>
              <w:t>kadangi dėl to bus vis svarbiau pasiūlymus dėl reglamentavimo priemonių grįsti faktiniais duomenimis, paremtais tinkamiausio vertinimo rezultatais bei patikimais recenzuotais moksliniais įrodymais, taip pat paisyti atsargumo principo;</w:t>
            </w:r>
            <w:r>
              <w:t xml:space="preserve"> </w:t>
            </w:r>
            <w:r>
              <w:rPr>
                <w:b/>
                <w:i/>
              </w:rPr>
              <w:t>kadangi Komisija turėtų skaidriai tvarkyti faktinius duomenis ir užtikrinti, kad jie būtų randami, prieinami, sąveikūs ir pakartotinai panaudojami;</w:t>
            </w:r>
            <w:r>
              <w:t xml:space="preserve"> </w:t>
            </w:r>
            <w:r>
              <w:rPr>
                <w:b/>
                <w:i/>
              </w:rPr>
              <w:t>kadangi kokybiška teisėkūra negali apsiriboti kiekybiniais tikslais vien tik siekiant trumpuoju laikotarpiu sumažinti naštą ir išlaidas, bet ji turėtų būti naudinga visiems kaip ilgalaikė investicija į bendrą mūsų visuomenių gerovę ir mūsų ateitį;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kadangi ES teisėkūra yra grindžiama pagarbos žmogaus orumui, laisvės, demokratijos, lygybės, teisinės valstybės ir pagarbos žmogaus teisėms vertybėmis, kaip įtvirtinta ES sutarties 2 straipsnyje;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pagal ES sutarties 5 straipsnį ES kompetencijos ribų nustatymas reglamentuojamas suteikimo principu; kadangi ES kompetencijos įgyvendinimas grindžiamas subsidiarumo ir proporcingumo principais;</w:t>
            </w:r>
          </w:p>
        </w:tc>
        <w:tc>
          <w:tcPr>
            <w:tcW w:w="4876" w:type="dxa"/>
            <w:tcBorders>
              <w:top w:val="nil"/>
              <w:left w:val="nil"/>
              <w:bottom w:val="nil"/>
              <w:right w:val="nil"/>
            </w:tcBorders>
          </w:tcPr>
          <w:p>
            <w:pPr>
              <w:pStyle w:val="Normal6a"/>
            </w:pPr>
            <w:r>
              <w:t>A.</w:t>
            </w:r>
            <w:r>
              <w:tab/>
            </w:r>
            <w:r>
              <w:t xml:space="preserve">kadangi pagal ES sutarties 5 straipsnį ES kompetencijos ribų nustatymas reglamentuojamas suteikimo principu; kadangi ES kompetencijos įgyvendinimas grindžiamas subsidiarumo ir proporcingumo principais; </w:t>
            </w:r>
            <w:r>
              <w:rPr>
                <w:b/>
                <w:i/>
              </w:rPr>
              <w:t>kadangi pagal suteikimo principą Sąjunga veikia tik neperžengdama ribų kompetencijos, kurią, siekiant Sutartyse nustatytų tikslų, jai šiose Sutartyse suteikė valstybės narės;</w:t>
            </w:r>
            <w:r>
              <w:t xml:space="preserve"> </w:t>
            </w:r>
            <w:r>
              <w:rPr>
                <w:b/>
                <w:i/>
              </w:rPr>
              <w:t>kadangi Sutartimis Sąjungai nesuteikta kompetencija priklauso valstybių narių kompetencijai;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SESV 4 straipsnyje tik plačiai apibrėžiamos pasidalijamosios ES ir valstybių narių kompetencijos sritys;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geresnė teisėkūra yra bendra ES institucijų ir valstybių narių atsakomybė, todėl reikia įsipareigoti užtikrinti skaidrumą, proporcingumą ir atskaitomybę;</w:t>
            </w:r>
          </w:p>
        </w:tc>
        <w:tc>
          <w:tcPr>
            <w:tcW w:w="4876" w:type="dxa"/>
            <w:tcBorders>
              <w:top w:val="nil"/>
              <w:left w:val="nil"/>
              <w:bottom w:val="nil"/>
              <w:right w:val="nil"/>
            </w:tcBorders>
          </w:tcPr>
          <w:p>
            <w:pPr>
              <w:pStyle w:val="Normal6a"/>
            </w:pPr>
            <w:r>
              <w:t>B.</w:t>
            </w:r>
            <w:r>
              <w:tab/>
            </w:r>
            <w:r>
              <w:t xml:space="preserve">kadangi geresnė teisėkūra yra bendra ES institucijų ir valstybių narių atsakomybė, todėl reikia įsipareigoti užtikrinti skaidrumą, proporcingumą ir atskaitomybę; </w:t>
            </w:r>
            <w:r>
              <w:rPr>
                <w:b/>
                <w:i/>
              </w:rPr>
              <w:t>kadangi šie reikalavimai kyla iš teisinės valstybės principo, kuris yra viena iš pagrindinių vertybių, įtvirtintų ES sutarties 2 straipsnyje, ir pagal kurį užtikrinama, kad visi Sąjungos veiksmai, įskaitant teisėkūros ir reguliavimo procesus, būtų grindžiami teisėtumu, skaidrumu ir veiksminga teismine peržiūra;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geresnė teisėkūra yra </w:t>
            </w:r>
            <w:r>
              <w:rPr>
                <w:b/>
                <w:i/>
              </w:rPr>
              <w:t>bendra ES institucijų ir</w:t>
            </w:r>
            <w:r>
              <w:t xml:space="preserve"> valstybių narių atsakomybė</w:t>
            </w:r>
            <w:r>
              <w:rPr>
                <w:b/>
                <w:i/>
              </w:rPr>
              <w:t>, todėl reikia įsipareigoti užtikrinti skaidrumą, proporcingumą ir atskaitomybę</w:t>
            </w:r>
            <w:r>
              <w:t>;</w:t>
            </w:r>
          </w:p>
        </w:tc>
        <w:tc>
          <w:tcPr>
            <w:tcW w:w="4876" w:type="dxa"/>
            <w:tcBorders>
              <w:top w:val="nil"/>
              <w:left w:val="nil"/>
              <w:bottom w:val="nil"/>
              <w:right w:val="nil"/>
            </w:tcBorders>
          </w:tcPr>
          <w:p>
            <w:pPr>
              <w:pStyle w:val="Normal6a"/>
            </w:pPr>
            <w:r>
              <w:t>B.</w:t>
            </w:r>
            <w:r>
              <w:tab/>
            </w:r>
            <w:r>
              <w:t xml:space="preserve">kadangi </w:t>
            </w:r>
            <w:r>
              <w:rPr>
                <w:b/>
                <w:i/>
              </w:rPr>
              <w:t>pagal ES sutarties 5 straipsnį</w:t>
            </w:r>
            <w:r>
              <w:t xml:space="preserve"> geresnė teisėkūra yra valstybių narių atsakomybė </w:t>
            </w:r>
            <w:r>
              <w:rPr>
                <w:b/>
                <w:i/>
              </w:rPr>
              <w:t>ir Sąjunga veikia tik neperžengdama ribų kompetencijos, kurią, siekiant Sutartyse nustatytų tikslų, jai šiose Sutartyse suteikė valstybės narės.</w:t>
            </w:r>
            <w:r>
              <w:t xml:space="preserve"> </w:t>
            </w:r>
            <w:r>
              <w:rPr>
                <w:b/>
                <w:i/>
              </w:rPr>
              <w:t>Sutartimis Sąjungai nepriskirta kompetencija priklauso valstybėms narėms</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geresnė teisėkūra yra bendra ES institucijų ir valstybių narių </w:t>
            </w:r>
            <w:r>
              <w:rPr>
                <w:b/>
                <w:i/>
              </w:rPr>
              <w:t>atsakomybė</w:t>
            </w:r>
            <w:r>
              <w:t xml:space="preserve">, todėl reikia </w:t>
            </w:r>
            <w:r>
              <w:rPr>
                <w:b/>
                <w:i/>
              </w:rPr>
              <w:t>įsipareigoti</w:t>
            </w:r>
            <w:r>
              <w:t xml:space="preserve"> užtikrinti skaidrumą, proporcingumą ir atskaitomybę;</w:t>
            </w:r>
          </w:p>
        </w:tc>
        <w:tc>
          <w:tcPr>
            <w:tcW w:w="4876" w:type="dxa"/>
            <w:tcBorders>
              <w:top w:val="nil"/>
              <w:left w:val="nil"/>
              <w:bottom w:val="nil"/>
              <w:right w:val="nil"/>
            </w:tcBorders>
          </w:tcPr>
          <w:p>
            <w:pPr>
              <w:pStyle w:val="Normal6a"/>
            </w:pPr>
            <w:r>
              <w:t>B.</w:t>
            </w:r>
            <w:r>
              <w:tab/>
            </w:r>
            <w:r>
              <w:t xml:space="preserve">kadangi geresnė teisėkūra yra bendra </w:t>
            </w:r>
            <w:r>
              <w:rPr>
                <w:b/>
                <w:i/>
              </w:rPr>
              <w:t>atsakomybė, grindžiama ES institucijų, taip pat</w:t>
            </w:r>
            <w:r>
              <w:t xml:space="preserve"> ES institucijų ir valstybių narių </w:t>
            </w:r>
            <w:r>
              <w:rPr>
                <w:b/>
                <w:i/>
              </w:rPr>
              <w:t>tarpinstitucinės pusiausvyros principu</w:t>
            </w:r>
            <w:r>
              <w:t xml:space="preserve">, todėl reikia </w:t>
            </w:r>
            <w:r>
              <w:rPr>
                <w:b/>
                <w:i/>
              </w:rPr>
              <w:t>bendro įsipareigojimo</w:t>
            </w:r>
            <w:r>
              <w:t xml:space="preserve"> užtikrinti skaidrumą, proporcingumą ir atskaitomybę;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geresnė teisėkūra yra </w:t>
            </w:r>
            <w:r>
              <w:rPr>
                <w:b/>
                <w:i/>
              </w:rPr>
              <w:t>bendra</w:t>
            </w:r>
            <w:r>
              <w:t xml:space="preserve"> ES institucijų ir valstybių narių atsakomybė, todėl reikia įsipareigoti užtikrinti skaidrumą, proporcingumą ir atskaitomybę;</w:t>
            </w:r>
          </w:p>
        </w:tc>
        <w:tc>
          <w:tcPr>
            <w:tcW w:w="4876" w:type="dxa"/>
            <w:tcBorders>
              <w:top w:val="nil"/>
              <w:left w:val="nil"/>
              <w:bottom w:val="nil"/>
              <w:right w:val="nil"/>
            </w:tcBorders>
          </w:tcPr>
          <w:p>
            <w:pPr>
              <w:pStyle w:val="Normal6a"/>
            </w:pPr>
            <w:r>
              <w:t>B.</w:t>
            </w:r>
            <w:r>
              <w:tab/>
            </w:r>
            <w:r>
              <w:t xml:space="preserve">kadangi geresnė teisėkūra yra ES institucijų ir valstybių narių </w:t>
            </w:r>
            <w:r>
              <w:rPr>
                <w:b/>
                <w:i/>
              </w:rPr>
              <w:t>pareiga ir bendra</w:t>
            </w:r>
            <w:r>
              <w:t> atsakomybė, todėl reikia įsipareigoti užtikrinti skaidrumą, proporcingumą</w:t>
            </w:r>
            <w:r>
              <w:rPr>
                <w:b/>
                <w:i/>
              </w:rPr>
              <w:t>, subsidiarumo principo laikymąsi</w:t>
            </w:r>
            <w:r>
              <w:t xml:space="preserve"> ir atskaitomybę;</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2024 m. liepos 18 d. išrinktoji Komisijos pirmininkė 2024–2029 m. kadencijos Europos Komisijos politinėse gairėse nurodė, kad būsimi teisės aktai taip pat turi būti supaprastinti ir parengti atsižvelgiant į mažąsias įmones ir laikantis subsidiarumo principo; kadangi ji taip pat pareiškė, kad geresnė teisėkūra turi būti bendra užduotis, apimanti visas susijusias institucijas ir visą teisėkūros procesą;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Komisija įvairiuose komunikatuose aiškiai nurodė, kad siekiant geresnės teisėkūros reikia užtikrinti, kad ES teisėkūra ir politikos formavimas būtų grindžiami patikimais faktiniais duomenimis, kad būtų įtraukti suinteresuotieji subjektai, įskaitant piliečius ir įmones, vengiama užkrauti nereikalingą naštą ir kad tai duotų apčiuopiamos ir tvarios naudos ES piliečiams;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Europos Parlamentui, kaip vienintelei tiesiogiai renkamai Sąjungos institucijai, tenka pagrindinė atsakomybė užtikrinti, kad subsidiarumo ir proporcingumo principai būtų taikomi laikantis demokratinės atskaitomybės ir piliečių interesų apsaugos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nacionaliniams parlamentams natūraliai tenka subsidiarumo principo sergėtojų vaidmuo ir jie atlieka labai svarbią funkciją užtikrinant subsidiarumo ir proporcingumo principų laikymąsi pasitelkiant tarpparlamentinį dialogą </w:t>
            </w:r>
            <w:r>
              <w:rPr>
                <w:b/>
                <w:i/>
              </w:rPr>
              <w:t>ir</w:t>
            </w:r>
            <w:r>
              <w:t xml:space="preserve"> išankstinio įspėjimo sistemą</w:t>
            </w:r>
            <w:r>
              <w:rPr>
                <w:b/>
                <w:i/>
              </w:rPr>
              <w:t>, pagal kurią nacionaliniai parlamentai ir (arba) rūmai gali</w:t>
            </w:r>
            <w:r>
              <w:t xml:space="preserve"> pateikti pagrįstą nuomonę, jei mano, kad pasiūlymas dėl teisėkūros procedūra priimamo akto neatitinka subsidiarumo principo;</w:t>
            </w:r>
          </w:p>
        </w:tc>
        <w:tc>
          <w:tcPr>
            <w:tcW w:w="4876" w:type="dxa"/>
            <w:tcBorders>
              <w:top w:val="nil"/>
              <w:left w:val="nil"/>
              <w:bottom w:val="nil"/>
              <w:right w:val="nil"/>
            </w:tcBorders>
          </w:tcPr>
          <w:p>
            <w:pPr>
              <w:pStyle w:val="Normal6a"/>
            </w:pPr>
            <w:r>
              <w:t>C.</w:t>
            </w:r>
            <w:r>
              <w:tab/>
            </w:r>
            <w:r>
              <w:t>kadangi nacionaliniams parlamentams natūraliai tenka subsidiarumo principo sergėtojų vaidmuo ir jie atlieka labai svarbią funkciją užtikrinant subsidiarumo ir proporcingumo principų laikymąsi pasitelkiant tarpparlamentinį dialogą</w:t>
            </w:r>
            <w:r>
              <w:rPr>
                <w:b/>
                <w:i/>
              </w:rPr>
              <w:t>,</w:t>
            </w:r>
            <w:r>
              <w:t xml:space="preserve"> išankstinio įspėjimo sistemą </w:t>
            </w:r>
            <w:r>
              <w:rPr>
                <w:b/>
                <w:i/>
              </w:rPr>
              <w:t>ir, kai aktualu, proaktyvų regioninių asamblėjų įtraukimą, sudarant sąlygas nacionaliniams parlamentams ir (arba) rūmams</w:t>
            </w:r>
            <w:r>
              <w:t xml:space="preserve"> pateikti pagrįstą nuomonę, jei mano, kad pasiūlymas dėl teisėkūros procedūra priimamo akto neatitinka subsidiarumo principo;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w:t>
            </w:r>
            <w:r>
              <w:rPr>
                <w:b/>
                <w:i/>
              </w:rPr>
              <w:t>nacionaliniams parlamentams natūraliai tenka subsidiarumo principo sergėtojų vaidmuo ir jie</w:t>
            </w:r>
            <w:r>
              <w:t xml:space="preserve"> atlieka labai svarbią funkciją užtikrinant subsidiarumo ir proporcingumo principų laikymąsi pasitelkiant tarpparlamentinį dialogą ir išankstinio įspėjimo sistemą, pagal kurią nacionaliniai parlamentai ir (arba) rūmai gali pateikti pagrįstą nuomonę, jei mano, kad pasiūlymas dėl teisėkūros procedūra priimamo akto neatitinka subsidiarumo principo;</w:t>
            </w:r>
          </w:p>
        </w:tc>
        <w:tc>
          <w:tcPr>
            <w:tcW w:w="4876" w:type="dxa"/>
            <w:tcBorders>
              <w:top w:val="nil"/>
              <w:left w:val="nil"/>
              <w:bottom w:val="nil"/>
              <w:right w:val="nil"/>
            </w:tcBorders>
          </w:tcPr>
          <w:p>
            <w:pPr>
              <w:pStyle w:val="Normal6a"/>
            </w:pPr>
            <w:r>
              <w:t>C.</w:t>
            </w:r>
            <w:r>
              <w:tab/>
            </w:r>
            <w:r>
              <w:t xml:space="preserve">kadangi </w:t>
            </w:r>
            <w:r>
              <w:rPr>
                <w:b/>
                <w:i/>
              </w:rPr>
              <w:t>nacionaliniai parlamentai</w:t>
            </w:r>
            <w:r>
              <w:t xml:space="preserve"> atlieka labai svarbią funkciją užtikrinant subsidiarumo ir proporcingumo principų laikymąsi pasitelkiant tarpparlamentinį dialogą ir išankstinio įspėjimo sistemą, pagal kurią nacionaliniai parlamentai ir (arba) rūmai gali pateikti pagrįstą nuomonę, jei mano, kad pasiūlymas dėl teisėkūros procedūra priimamo akto neatitinka subsidiarumo principo;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nacionaliniams parlamentams natūraliai </w:t>
            </w:r>
            <w:r>
              <w:rPr>
                <w:b/>
                <w:i/>
              </w:rPr>
              <w:t>tenka</w:t>
            </w:r>
            <w:r>
              <w:t xml:space="preserve"> subsidiarumo principo sergėtojų vaidmuo ir jie </w:t>
            </w:r>
            <w:r>
              <w:rPr>
                <w:b/>
                <w:i/>
              </w:rPr>
              <w:t>atlieka</w:t>
            </w:r>
            <w:r>
              <w:t xml:space="preserve"> labai svarbią funkciją užtikrinant subsidiarumo ir proporcingumo principų laikymąsi pasitelkiant tarpparlamentinį dialogą ir išankstinio įspėjimo sistemą, pagal kurią nacionaliniai parlamentai ir (arba) rūmai gali pateikti pagrįstą nuomonę, jei mano, kad pasiūlymas dėl teisėkūros procedūra priimamo akto neatitinka subsidiarumo principo;</w:t>
            </w:r>
          </w:p>
        </w:tc>
        <w:tc>
          <w:tcPr>
            <w:tcW w:w="4876" w:type="dxa"/>
            <w:tcBorders>
              <w:top w:val="nil"/>
              <w:left w:val="nil"/>
              <w:bottom w:val="nil"/>
              <w:right w:val="nil"/>
            </w:tcBorders>
          </w:tcPr>
          <w:p>
            <w:pPr>
              <w:pStyle w:val="Normal6a"/>
            </w:pPr>
            <w:r>
              <w:t>C.</w:t>
            </w:r>
            <w:r>
              <w:tab/>
            </w:r>
            <w:r>
              <w:t xml:space="preserve">kadangi nacionaliniams parlamentams </w:t>
            </w:r>
            <w:r>
              <w:rPr>
                <w:b/>
                <w:i/>
              </w:rPr>
              <w:t>turėtų</w:t>
            </w:r>
            <w:r>
              <w:t xml:space="preserve"> natūraliai </w:t>
            </w:r>
            <w:r>
              <w:rPr>
                <w:b/>
                <w:i/>
              </w:rPr>
              <w:t>tekti</w:t>
            </w:r>
            <w:r>
              <w:t xml:space="preserve"> subsidiarumo principo sergėtojų vaidmuo ir jie </w:t>
            </w:r>
            <w:r>
              <w:rPr>
                <w:b/>
                <w:i/>
              </w:rPr>
              <w:t>turėtų atlikti</w:t>
            </w:r>
            <w:r>
              <w:t xml:space="preserve"> labai svarbią funkciją užtikrinant subsidiarumo ir proporcingumo principų laikymąsi pasitelkiant tarpparlamentinį dialogą ir išankstinio įspėjimo sistemą, pagal kurią nacionaliniai parlamentai ir (arba) rūmai gali pateikti pagrįstą nuomonę, jei mano, kad pasiūlymas dėl teisėkūros procedūra priimamo akto neatitinka subsidiarumo principo;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neseniai Europos ombudsmenui pateiktame skunde skundo pateikėjai išreiškė susirūpinimą, kad Komisija, rengdama pasiūlymą dėl teisėkūros procedūra priimamo akto dėl įmonių informacijos apie tvarumą teikimo ir įmonių tvarumo išsamaus patikrinimo, nesilaikė savo Geresnio reglamentavimo gairių;</w:t>
            </w:r>
            <w:r>
              <w:t xml:space="preserve"> </w:t>
            </w:r>
            <w:r>
              <w:rPr>
                <w:b/>
                <w:i/>
              </w:rPr>
              <w:t>visų pirma skundo pateikėjai buvo susirūpinę dėl to, kad Komisija, prieš pateikdama direktyvos projektą, neatliko išankstinio poveikio vertinimo, įskaitant suderinamumo su klimato srities tikslais patikrinimą ir viešas konsultacijas;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pagal ES sutarties 4 straipsnį Sąjunga ir valstybės narės privalo laikytis lojalaus bendradarbiavimo principo, kad padėtų viena kitai vykdyti iš Sutarčių kylančias užduotis;</w:t>
            </w:r>
            <w:r>
              <w:t xml:space="preserve"> </w:t>
            </w:r>
            <w:r>
              <w:rPr>
                <w:b/>
                <w:i/>
              </w:rPr>
              <w:t>kadangi tai apima valstybėms narėms tenkančią užduotį imtis visų tinkamų priemonių siekiant užtikrinti Sutartimi ar Sąjungos institucijų aktais nustatomų pareigų vykdymą;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bėgant metams nacionaliniai parlamentai subsidiarumo kontrolės mechanizmu naudojosi skirtingai, o Komisija, kiek įmanoma, šį mechanizmą pritaikė taip, kad jis taptų lankstesnis;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kadangi 2025 m. lapkričio mėn. daugiau kaip šimtas autoritetingų teisės dėstytojų ir teisininkų, atlikę teisinę analizę, kuria pasidalyta su Teisės reikalų komiteto nariais, įspėjo, kad priėmus I bendrąjį rinkinį („Omnibus I“) kiltų didelė teisinių ginčų nacionaliniuose ar ES teismuose rizika ir jis galėtų tapti pavojingu precedentu Sąjungos teisėkūros ir konstituciniams procesams, turint omenyje kitus bendruosius pasiūlymus;</w:t>
            </w:r>
            <w:r>
              <w:t xml:space="preserve"> </w:t>
            </w:r>
            <w:r>
              <w:rPr>
                <w:b/>
                <w:i/>
              </w:rPr>
              <w:t>kadangi jie nurodė, kad I bendrasis rinkinys („Omnibus I“) pažeidžia ES sutarties 5 straipsnio 4 dalyje nustatytą proporcingumo principą ir kenkia konstitucinei faktiniais duomenimis grindžiamos dalyvaujamosios teisėkūros struktūrai, įtvirtintai ES sutarties 11 straipsnyje ir SESV 296 straipsnyje;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pernelyg didelė reglamentavimo našta trukdo ES įmonių konkurencingumui, inovacijoms ir augimui, o tai daro ypač žalingą poveikį mažosioms ir vidutinėms įmonėms (MVĮ);</w:t>
            </w:r>
          </w:p>
        </w:tc>
        <w:tc>
          <w:tcPr>
            <w:tcW w:w="4876" w:type="dxa"/>
            <w:tcBorders>
              <w:top w:val="nil"/>
              <w:left w:val="nil"/>
              <w:bottom w:val="nil"/>
              <w:right w:val="nil"/>
            </w:tcBorders>
          </w:tcPr>
          <w:p>
            <w:pPr>
              <w:pStyle w:val="Normal6a"/>
            </w:pPr>
            <w:r>
              <w:t>D.</w:t>
            </w:r>
            <w:r>
              <w:tab/>
            </w:r>
            <w:r>
              <w:t xml:space="preserve">kadangi pernelyg didelė reglamentavimo našta trukdo ES įmonių konkurencingumui, inovacijoms ir augimui, </w:t>
            </w:r>
            <w:r>
              <w:rPr>
                <w:b/>
                <w:i/>
              </w:rPr>
              <w:t>lemia investicijų ir darbo vietų nutekėjimą už Europos ribų ir sudaro palankesnes sąlygas trečiųjų šalių prekių ir paslaugų tiekėjų ekspansijai į bendrąją rinką,</w:t>
            </w:r>
            <w:r>
              <w:t xml:space="preserve"> o tai daro ypač žalingą poveikį mažosioms ir vidutinėms įmonėms (MVĮ);</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pernelyg didelė reglamentavimo našta </w:t>
            </w:r>
            <w:r>
              <w:rPr>
                <w:b/>
                <w:i/>
              </w:rPr>
              <w:t>trukdo</w:t>
            </w:r>
            <w:r>
              <w:t xml:space="preserve"> ES įmonių konkurencingumui, inovacijoms ir augimui, o tai daro ypač žalingą poveikį mažosioms ir vidutinėms įmonėms (MVĮ);</w:t>
            </w:r>
          </w:p>
        </w:tc>
        <w:tc>
          <w:tcPr>
            <w:tcW w:w="4876" w:type="dxa"/>
            <w:tcBorders>
              <w:top w:val="nil"/>
              <w:left w:val="nil"/>
              <w:bottom w:val="nil"/>
              <w:right w:val="nil"/>
            </w:tcBorders>
          </w:tcPr>
          <w:p>
            <w:pPr>
              <w:pStyle w:val="Normal6a"/>
            </w:pPr>
            <w:r>
              <w:t>D.</w:t>
            </w:r>
            <w:r>
              <w:tab/>
            </w:r>
            <w:r>
              <w:t xml:space="preserve">kadangi pernelyg didelė reglamentavimo našta </w:t>
            </w:r>
            <w:r>
              <w:rPr>
                <w:b/>
                <w:i/>
              </w:rPr>
              <w:t>gali sumažinti teisinį nuspėjamumą, pakenkti teisiniam tikrumui, lemti ES vidaus rinkos susiskaidymą ir trukdyti</w:t>
            </w:r>
            <w:r>
              <w:t xml:space="preserve"> ES įmonių konkurencingumui, inovacijoms ir augimui, o tai daro ypač žalingą poveikį mažosioms ir vidutinėms įmonėms (MVĮ);</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w:t>
            </w:r>
            <w:r>
              <w:rPr>
                <w:b/>
                <w:i/>
              </w:rPr>
              <w:t>pernelyg didelė</w:t>
            </w:r>
            <w:r>
              <w:t xml:space="preserve"> reglamentavimo našta </w:t>
            </w:r>
            <w:r>
              <w:rPr>
                <w:b/>
                <w:i/>
              </w:rPr>
              <w:t>trukdo</w:t>
            </w:r>
            <w:r>
              <w:t xml:space="preserve"> ES įmonių konkurencingumui, inovacijoms ir augimui</w:t>
            </w:r>
            <w:r>
              <w:rPr>
                <w:b/>
                <w:i/>
              </w:rPr>
              <w:t>, o tai daro ypač žalingą poveikį mažosioms ir vidutinėms įmonėms (MVĮ)</w:t>
            </w:r>
            <w:r>
              <w:t>;</w:t>
            </w:r>
          </w:p>
        </w:tc>
        <w:tc>
          <w:tcPr>
            <w:tcW w:w="4876" w:type="dxa"/>
            <w:tcBorders>
              <w:top w:val="nil"/>
              <w:left w:val="nil"/>
              <w:bottom w:val="nil"/>
              <w:right w:val="nil"/>
            </w:tcBorders>
          </w:tcPr>
          <w:p>
            <w:pPr>
              <w:pStyle w:val="Normal6a"/>
            </w:pPr>
            <w:r>
              <w:t>D.</w:t>
            </w:r>
            <w:r>
              <w:tab/>
            </w:r>
            <w:r>
              <w:t xml:space="preserve">kadangi reglamentavimo našta </w:t>
            </w:r>
            <w:r>
              <w:rPr>
                <w:b/>
                <w:i/>
              </w:rPr>
              <w:t>neturi be reikalo trukdyti</w:t>
            </w:r>
            <w:r>
              <w:t xml:space="preserve"> ES įmonių</w:t>
            </w:r>
            <w:r>
              <w:rPr>
                <w:b/>
                <w:i/>
              </w:rPr>
              <w:t>, ypač mažųjų ir vidutinių įmonių (MVĮ),</w:t>
            </w:r>
            <w:r>
              <w:t xml:space="preserve"> konkurencingumui, inovacijoms ir augimui;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pernelyg didelė reglamentavimo našta trukdo ES įmonių konkurencingumui, inovacijoms ir augimui</w:t>
            </w:r>
            <w:r>
              <w:rPr>
                <w:b/>
                <w:i/>
              </w:rPr>
              <w:t>, o tai daro ypač žalingą poveikį mažosioms ir vidutinėms įmonėms (MVĮ)</w:t>
            </w:r>
            <w:r>
              <w:t>;</w:t>
            </w:r>
          </w:p>
        </w:tc>
        <w:tc>
          <w:tcPr>
            <w:tcW w:w="4876" w:type="dxa"/>
            <w:tcBorders>
              <w:top w:val="nil"/>
              <w:left w:val="nil"/>
              <w:bottom w:val="nil"/>
              <w:right w:val="nil"/>
            </w:tcBorders>
          </w:tcPr>
          <w:p>
            <w:pPr>
              <w:pStyle w:val="Normal6a"/>
            </w:pPr>
            <w:r>
              <w:t>D.</w:t>
            </w:r>
            <w:r>
              <w:tab/>
            </w:r>
            <w:r>
              <w:t>kadangi pernelyg didelė reglamentavimo našta trukdo ES įmonių</w:t>
            </w:r>
            <w:r>
              <w:rPr>
                <w:b/>
                <w:i/>
              </w:rPr>
              <w:t>, ypač mažųjų ir vidutinių įmonių (MVĮ),</w:t>
            </w:r>
            <w:r>
              <w:t xml:space="preserve"> konkurencingumui, inovacijoms ir augimui;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pernelyg didelė biurokratija, nesuderinama su subsidiarumo ir proporcingumo principais, tik didina piliečių nepasitikėjimą Europos Sąjunga;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perteklinio reglamentavimo praktika kenkia ne tik vienodam</w:t>
            </w:r>
            <w:r>
              <w:t xml:space="preserve"> ES teisės aktų </w:t>
            </w:r>
            <w:r>
              <w:rPr>
                <w:b/>
                <w:i/>
              </w:rPr>
              <w:t>taikymui, bet ir</w:t>
            </w:r>
            <w:r>
              <w:t xml:space="preserve"> piliečių </w:t>
            </w:r>
            <w:r>
              <w:rPr>
                <w:b/>
                <w:i/>
              </w:rPr>
              <w:t>pasitikėjimui ES ir sukuria pernelyg didelę</w:t>
            </w:r>
            <w:r>
              <w:t xml:space="preserve"> naštą;</w:t>
            </w:r>
          </w:p>
        </w:tc>
        <w:tc>
          <w:tcPr>
            <w:tcW w:w="4876" w:type="dxa"/>
            <w:tcBorders>
              <w:top w:val="nil"/>
              <w:left w:val="nil"/>
              <w:bottom w:val="nil"/>
              <w:right w:val="nil"/>
            </w:tcBorders>
          </w:tcPr>
          <w:p>
            <w:pPr>
              <w:pStyle w:val="Normal6a"/>
            </w:pPr>
            <w:r>
              <w:t>E.</w:t>
            </w:r>
            <w:r>
              <w:tab/>
            </w:r>
            <w:r>
              <w:t xml:space="preserve">kadangi </w:t>
            </w:r>
            <w:r>
              <w:rPr>
                <w:b/>
                <w:i/>
              </w:rPr>
              <w:t>skaidrus, tikslus ir vienodas</w:t>
            </w:r>
            <w:r>
              <w:t xml:space="preserve"> ES teisės aktų </w:t>
            </w:r>
            <w:r>
              <w:rPr>
                <w:b/>
                <w:i/>
              </w:rPr>
              <w:t>taikymas yra labai svarbus siekiant užtikrinti</w:t>
            </w:r>
            <w:r>
              <w:t xml:space="preserve"> piliečių </w:t>
            </w:r>
            <w:r>
              <w:rPr>
                <w:b/>
                <w:i/>
              </w:rPr>
              <w:t>pasitikėjimą ES, nesukuriant nereikalingos naštos;</w:t>
            </w:r>
            <w:r>
              <w:t xml:space="preserve"> </w:t>
            </w:r>
            <w:r>
              <w:rPr>
                <w:b/>
                <w:i/>
              </w:rPr>
              <w:t>primena, kad pagal SESV 197 straipsnį toks įgyvendinimas turi būti laikomas valstybių narių bendro intereso reikalu;</w:t>
            </w:r>
            <w:r>
              <w:t xml:space="preserve"> </w:t>
            </w:r>
            <w:r>
              <w:rPr>
                <w:b/>
                <w:i/>
              </w:rPr>
              <w:t>kadangi valstybės narės, perkeldamos ES teisės aktus į nacionalinę teisę, turėtų vengti užkrauti nereikalingą papildomą administracinę ar reikalavimų laikymosi</w:t>
            </w:r>
            <w:r>
              <w:t xml:space="preserve"> naštą;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perteklinio reglamentavimo praktika kenkia ne tik vienodam ES teisės aktų taikymui, bet ir piliečių pasitikėjimui ES ir sukuria pernelyg didelę naštą;</w:t>
            </w:r>
          </w:p>
        </w:tc>
        <w:tc>
          <w:tcPr>
            <w:tcW w:w="4876" w:type="dxa"/>
            <w:tcBorders>
              <w:top w:val="nil"/>
              <w:left w:val="nil"/>
              <w:bottom w:val="nil"/>
              <w:right w:val="nil"/>
            </w:tcBorders>
          </w:tcPr>
          <w:p>
            <w:pPr>
              <w:pStyle w:val="Normal6a"/>
            </w:pPr>
            <w:r>
              <w:t>E.</w:t>
            </w:r>
            <w:r>
              <w:tab/>
            </w:r>
            <w:r>
              <w:t>kadangi perteklinio reglamentavimo praktika kenkia ne tik vienodam ES teisės aktų taikymui, bet ir piliečių pasitikėjimui ES ir sukuria pernelyg didelę naštą</w:t>
            </w:r>
            <w:r>
              <w:rPr>
                <w:b/>
                <w:i/>
              </w:rPr>
              <w:t>, ji taip pat sukelia papildomų išlaidų įmonėms ir vartotojams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perteklinio reglamentavimo praktika</w:t>
            </w:r>
            <w:r>
              <w:t xml:space="preserve"> kenkia </w:t>
            </w:r>
            <w:r>
              <w:rPr>
                <w:b/>
                <w:i/>
              </w:rPr>
              <w:t>ne tik</w:t>
            </w:r>
            <w:r>
              <w:t xml:space="preserve"> vienodam ES teisės aktų taikymui</w:t>
            </w:r>
            <w:r>
              <w:rPr>
                <w:b/>
                <w:i/>
              </w:rPr>
              <w:t>, bet ir piliečių pasitikėjimui ES</w:t>
            </w:r>
            <w:r>
              <w:t xml:space="preserve"> ir sukuria pernelyg didelę naštą;</w:t>
            </w:r>
          </w:p>
        </w:tc>
        <w:tc>
          <w:tcPr>
            <w:tcW w:w="4876" w:type="dxa"/>
            <w:tcBorders>
              <w:top w:val="nil"/>
              <w:left w:val="nil"/>
              <w:bottom w:val="nil"/>
              <w:right w:val="nil"/>
            </w:tcBorders>
          </w:tcPr>
          <w:p>
            <w:pPr>
              <w:pStyle w:val="Normal6a"/>
            </w:pPr>
            <w:r>
              <w:t>E.</w:t>
            </w:r>
            <w:r>
              <w:tab/>
            </w:r>
            <w:r>
              <w:t xml:space="preserve">kadangi </w:t>
            </w:r>
            <w:r>
              <w:rPr>
                <w:b/>
                <w:i/>
              </w:rPr>
              <w:t>nevienodas ES teisės įgyvendinimas</w:t>
            </w:r>
            <w:r>
              <w:t xml:space="preserve"> kenkia vienodam ES teisės aktų taikymui ir sukuria pernelyg didelę naštą;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teisinio tikrumo ir nuspėjamumo trūkumas, kurį lemia galiojančių teisės aktų pakeitimai, taip pat gali lemti nereikalingą naštą ir išlaidas;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kadangi 2021 m. Komisija pradėjo taikyti principą „kiek plius, tiek minus“, kad nauja našta, susijusi su Komisijos pasiūlymais dėl teisėkūros procedūra priimamų teisės aktų, būtų atsveriama šalinant naštą, su kuria jau susiduriama toje pačioje politikos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kadangi principas „kiek plius, tiek minus“ turėtų būti suprantamas ne kaip kiekybinis tikslas, susijęs su teisėkūros procedūra priimamais aktais, o kaip sąnaudomis grindžiamas mechanizmas, kuriuo siekiama apčiuopiamai sumažinti grynąsias reglamentavimo lemiamas sąnaudas;</w:t>
            </w:r>
            <w:r>
              <w:t xml:space="preserve"> </w:t>
            </w:r>
            <w:r>
              <w:rPr>
                <w:b/>
                <w:i/>
              </w:rPr>
              <w:t>kadangi ir toliau reikia sutelkti dėmesį į bendras administracines, reikalavimų laikymosi ir įgyvendinimo sąnaudas, su kuriomis susiduria įmonės, užtikrinant, kad bet kokie nauji įpareigojimai būtų subalansuoti panaikinant dvi esamas taisykles, lemiančias lygiavertes sąnaudas, arba supaprastinant tokias taisykles;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principas „kiek plius, tiek minus“ turėtų būti suprantamas ne kaip kiekybinis tikslas, susijęs su teisėkūros procedūra priimamais aktais, o kaip sąnaudomis grindžiamas mechanizmas, kuriuo siekiama apčiuopiamai sumažinti grynąsias reglamentavimo lemiamas sąnaudas; kadangi ir toliau reikia sutelkti dėmesį į bendras administracines, reikalavimų laikymosi ir įgyvendinimo sąnaudas, su kuriomis susiduria įmonės, užtikrinant, kad bet kokie nauji įpareigojimai būtų subalansuoti </w:t>
            </w:r>
            <w:r>
              <w:rPr>
                <w:b/>
                <w:i/>
              </w:rPr>
              <w:t>panaikinant dvi esamas taisykles, lemiančias lygiavertes sąnaudas, arba supaprastinant tokias taisykles</w:t>
            </w:r>
            <w:r>
              <w:t>;</w:t>
            </w:r>
          </w:p>
        </w:tc>
        <w:tc>
          <w:tcPr>
            <w:tcW w:w="4876" w:type="dxa"/>
            <w:tcBorders>
              <w:top w:val="nil"/>
              <w:left w:val="nil"/>
              <w:bottom w:val="nil"/>
              <w:right w:val="nil"/>
            </w:tcBorders>
          </w:tcPr>
          <w:p>
            <w:pPr>
              <w:pStyle w:val="Normal6a"/>
            </w:pPr>
            <w:r>
              <w:t>F.</w:t>
            </w:r>
            <w:r>
              <w:tab/>
            </w:r>
            <w:r>
              <w:t xml:space="preserve">kadangi </w:t>
            </w:r>
            <w:r>
              <w:rPr>
                <w:b/>
                <w:i/>
              </w:rPr>
              <w:t>Komisijos siūlomas</w:t>
            </w:r>
            <w:r>
              <w:t xml:space="preserve"> principas „kiek plius, tiek minus“ turėtų būti suprantamas ne kaip kiekybinis tikslas, susijęs su teisėkūros procedūra priimamais aktais, o kaip sąnaudomis </w:t>
            </w:r>
            <w:r>
              <w:rPr>
                <w:b/>
                <w:i/>
              </w:rPr>
              <w:t>ir nauda</w:t>
            </w:r>
            <w:r>
              <w:t xml:space="preserve"> grindžiamas mechanizmas, kuriuo siekiama apčiuopiamai sumažinti grynąsias reglamentavimo lemiamas sąnaudas </w:t>
            </w:r>
            <w:r>
              <w:rPr>
                <w:b/>
                <w:i/>
              </w:rPr>
              <w:t>ir pagerinti ES rinkos ir visuomenės veikimą</w:t>
            </w:r>
            <w:r>
              <w:t xml:space="preserve">; kadangi ir toliau reikia sutelkti dėmesį </w:t>
            </w:r>
            <w:r>
              <w:rPr>
                <w:b/>
                <w:i/>
              </w:rPr>
              <w:t>į numatomą naujų teisės aktų pridėtinę vertę ir</w:t>
            </w:r>
            <w:r>
              <w:t xml:space="preserve"> į bendras administracines, reikalavimų laikymosi ir įgyvendinimo sąnaudas, su kuriomis susiduria įmonės, užtikrinant, kad bet kokie nauji įpareigojimai būtų subalansuoti </w:t>
            </w:r>
            <w:r>
              <w:rPr>
                <w:b/>
                <w:i/>
              </w:rPr>
              <w:t>turint omenyje numatomą pridėtinę vertę susijusiems subjektams ir visai visuomenei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principas „kiek plius, tiek minus“ turėtų būti suprantamas ne kaip kiekybinis tikslas, susijęs su teisėkūros procedūra priimamais aktais, o kaip </w:t>
            </w:r>
            <w:r>
              <w:rPr>
                <w:b/>
                <w:i/>
              </w:rPr>
              <w:t>sąnaudomis</w:t>
            </w:r>
            <w:r>
              <w:t xml:space="preserve"> grindžiamas mechanizmas, kuriuo siekiama apčiuopiamai sumažinti grynąsias reglamentavimo lemiamas sąnaudas; kadangi ir toliau reikia sutelkti dėmesį į bendras administracines, reikalavimų laikymosi ir įgyvendinimo sąnaudas, su kuriomis susiduria įmonės, užtikrinant, kad bet kokie nauji įpareigojimai būtų subalansuoti panaikinant dvi esamas taisykles, lemiančias lygiavertes sąnaudas, arba supaprastinant tokias taisykles;</w:t>
            </w:r>
          </w:p>
        </w:tc>
        <w:tc>
          <w:tcPr>
            <w:tcW w:w="4876" w:type="dxa"/>
            <w:tcBorders>
              <w:top w:val="nil"/>
              <w:left w:val="nil"/>
              <w:bottom w:val="nil"/>
              <w:right w:val="nil"/>
            </w:tcBorders>
          </w:tcPr>
          <w:p>
            <w:pPr>
              <w:pStyle w:val="Normal6a"/>
            </w:pPr>
            <w:r>
              <w:t>F.</w:t>
            </w:r>
            <w:r>
              <w:tab/>
            </w:r>
            <w:r>
              <w:t xml:space="preserve">kadangi principas „kiek plius, tiek minus“ turėtų būti suprantamas ne kaip kiekybinis tikslas, susijęs su teisėkūros procedūra priimamais aktais, o kaip </w:t>
            </w:r>
            <w:r>
              <w:rPr>
                <w:b/>
                <w:i/>
              </w:rPr>
              <w:t>sąnaudų analize</w:t>
            </w:r>
            <w:r>
              <w:t xml:space="preserve"> grindžiamas </w:t>
            </w:r>
            <w:r>
              <w:rPr>
                <w:b/>
                <w:i/>
              </w:rPr>
              <w:t>kokybinis</w:t>
            </w:r>
            <w:r>
              <w:t xml:space="preserve"> mechanizmas, kuriuo siekiama apčiuopiamai sumažinti grynąsias reglamentavimo lemiamas sąnaudas; kadangi ir toliau reikia sutelkti dėmesį į bendras administracines, reikalavimų laikymosi ir įgyvendinimo sąnaudas, su kuriomis susiduria įmonės, užtikrinant, kad bet kokie nauji įpareigojimai būtų subalansuoti panaikinant dvi esamas taisykles, lemiančias lygiavertes sąnaudas, arba supaprastinant tokias taisykles;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pastarojo meto pažanga dirbtinio intelekto srityje keičia metodus, kuriais remiantis gali būti vertinama ir taikoma ES teisė, pereinant nuo ribotų žiniomis grindžiamų ekspertinių sistemų prie predikcinių ir generatyvinių mašinų mokymosi modelių;</w:t>
            </w:r>
            <w:r>
              <w:t xml:space="preserve"> </w:t>
            </w:r>
            <w:r>
              <w:rPr>
                <w:b/>
                <w:i/>
              </w:rPr>
              <w:t>kadangi tokios technologijos atveria naujų galimybių visame teisėkūros cikle, be kita ko, atliekant analizę prieš priėmimą ir poveikio prognozavimą, rengiant teisės aktus, rengiant viešas konsultacijas ir ypač vykdant stebėseną po priėmimo, o tai suteikia didelių galimybių pagerinti ES teisėkūros savalaikiškumą, tikslumą ir išsamumą;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apskritai nacionalinių parlamentų nuomonių skaičius pastaraisiais metais sumažėjo [1], o politinio dialogo su Komisija svarba nacionaliniams parlamentams padidėjo dėl aktyvesnio dalyvavimo ES sprendimų priėmimo procese ankstyvuoju etapu [1] (2025 m. rugsėjo 8 d. Komisijos 2024 m. metinė ataskaitos dėl subsidiarumo ir proporcingumo principų taikymo ir santykių su nacionaliniais parlamentais (COM(2025) 0473) 3.1 skirsnis);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geresnė teisėkūra turi pasitarnauti ES politiniams užmojams, ypač jos ilgalaikiams tikslams, pvz., socialinei pažangai ir privalomam Sąjungos poveikio klimatui neutralumo iki 2050 m. tikslui, bei prioritetiniam ilgalaikiam iki 2050 m. užsibrėžtam tikslui užtikrinti, kad piliečiai gyventų gerai pagal mūsų planetos išgales;</w:t>
            </w:r>
            <w:r>
              <w:t xml:space="preserve"> </w:t>
            </w:r>
            <w:r>
              <w:rPr>
                <w:b/>
                <w:i/>
              </w:rPr>
              <w:t>kadangi tvarumas turėtų būti kokybiškos teisėkūros kertinis akmuo, vienodą svarbą teikiant socialiniams, aplinkos ir ekonominiams aspektams;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remiantis naujausiais turimais duomenimis, ES teisės aktų skaičiaus ir įgyvendinimo aktų bei deleguotųjų aktų, priklausančių tik Europos Komisijos kompetencijai, skaičiaus santykis yra 1:30 ir kadangi šis neproporcingumas kelia susirūpinimą, ypač atsižvelgiant į subsidiarumo ir proporcingumo principų laikymąsi;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kadangi gerai atliekami ex ante ir ex post poveikio vertinimai bei viešos konsultacijos yra esminės priemonės išsamia informacija pagrįstai, geresnei, veiksmingai, atskaitingai ir skaidriai teisėkūrai užtikrinti;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kadangi Reglamentavimo patikros valdyba vertina poveikio vertinimų ir tinkamumo patikrinimų bei pagrindinių vertinimų kokybę, tokiu būdu siekdama padėti priimti politinius sprendimus;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primena, kad pagal ES sutarties 5 straipsnyje įtvirtintus subsidiarumo ir proporcingumo principus ES privalo priimti teisės aktus tik tada, kai tai būtina, ir tik tokiu mastu, koks būtinas; primena, kad šio įpareigojimo tikslas – priimti teisės aktus kuo artimesniu ES piliečiams lygmeniu, kalbant tiek apie asmenis, tiek apie įmones;</w:t>
            </w:r>
          </w:p>
        </w:tc>
        <w:tc>
          <w:tcPr>
            <w:tcW w:w="4876" w:type="dxa"/>
            <w:tcBorders>
              <w:top w:val="nil"/>
              <w:left w:val="nil"/>
              <w:bottom w:val="nil"/>
              <w:right w:val="nil"/>
            </w:tcBorders>
          </w:tcPr>
          <w:p>
            <w:pPr>
              <w:pStyle w:val="Normal6a"/>
            </w:pPr>
            <w:r>
              <w:t>1.</w:t>
            </w:r>
            <w:r>
              <w:tab/>
            </w:r>
            <w:r>
              <w:t xml:space="preserve">primena, kad pagal ES sutarties 5 straipsnyje įtvirtintus subsidiarumo ir proporcingumo principus ES privalo priimti teisės aktus tik tada, kai tai būtina, ir tik tokiu mastu, koks būtinas; </w:t>
            </w:r>
            <w:r>
              <w:rPr>
                <w:b/>
                <w:i/>
              </w:rPr>
              <w:t>pabrėžia, kad praktinis šių principų taikymas turi būti griežtas, vengiant nepagrįsto Sąjungos kompetencijos išplėtimo tose srityse, kurių klausimus geriau spręsti gali valstybės narės, ir</w:t>
            </w:r>
            <w:r>
              <w:t xml:space="preserve"> primena, kad šio įpareigojimo tikslas – priimti teisės aktus kuo artimesniu ES piliečiams lygmeniu, kalbant tiek apie asmenis, tiek apie įmones;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primena, kad pagal ES sutarties 5 straipsnyje įtvirtintus subsidiarumo ir proporcingumo principus ES </w:t>
            </w:r>
            <w:r>
              <w:rPr>
                <w:b/>
                <w:i/>
              </w:rPr>
              <w:t>privalo</w:t>
            </w:r>
            <w:r>
              <w:t xml:space="preserve"> priimti teisės aktus tik tada, kai </w:t>
            </w:r>
            <w:r>
              <w:rPr>
                <w:b/>
                <w:i/>
              </w:rPr>
              <w:t>tai būtina, ir tik tokiu mastu, koks būtinas</w:t>
            </w:r>
            <w:r>
              <w:t xml:space="preserve">; primena, kad </w:t>
            </w:r>
            <w:r>
              <w:rPr>
                <w:b/>
                <w:i/>
              </w:rPr>
              <w:t>šio įpareigojimo</w:t>
            </w:r>
            <w:r>
              <w:t xml:space="preserve"> tikslas – priimti teisės aktus kuo artimesniu ES piliečiams lygmeniu, kalbant tiek apie asmenis, tiek apie įmones;</w:t>
            </w:r>
          </w:p>
        </w:tc>
        <w:tc>
          <w:tcPr>
            <w:tcW w:w="4876" w:type="dxa"/>
            <w:tcBorders>
              <w:top w:val="nil"/>
              <w:left w:val="nil"/>
              <w:bottom w:val="nil"/>
              <w:right w:val="nil"/>
            </w:tcBorders>
          </w:tcPr>
          <w:p>
            <w:pPr>
              <w:pStyle w:val="Normal6a"/>
            </w:pPr>
            <w:r>
              <w:t>1.</w:t>
            </w:r>
            <w:r>
              <w:tab/>
            </w:r>
            <w:r>
              <w:t>primena, kad pagal ES sutarties 5 straipsnyje įtvirtintus subsidiarumo ir proporcingumo principus ES </w:t>
            </w:r>
            <w:r>
              <w:rPr>
                <w:b/>
                <w:i/>
              </w:rPr>
              <w:t>turi kompetenciją</w:t>
            </w:r>
            <w:r>
              <w:t xml:space="preserve"> priimti teisės aktus tik tada, kai </w:t>
            </w:r>
            <w:r>
              <w:rPr>
                <w:b/>
                <w:i/>
              </w:rPr>
              <w:t>tikslo neįmanoma deramai pasiekti nacionaliniu lygiu arba Sąjungos lygiu dėl jo masto arba poveikio jį pasiekti būtų geriau</w:t>
            </w:r>
            <w:r>
              <w:t xml:space="preserve">; primena, kad </w:t>
            </w:r>
            <w:r>
              <w:rPr>
                <w:b/>
                <w:i/>
              </w:rPr>
              <w:t>šios kompetencijos</w:t>
            </w:r>
            <w:r>
              <w:t xml:space="preserve"> tikslas – priimti teisės aktus kuo artimesniu ES piliečiams lygmeniu, kalbant tiek apie asmenis, tiek apie įmones</w:t>
            </w:r>
            <w:r>
              <w:rPr>
                <w:b/>
                <w:i/>
              </w:rPr>
              <w:t>, kad pirmenybė būtų teikiama teisės aktams nacionaliniu lygmeniu</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primena, kad pagal ES sutarties 5 straipsnyje įtvirtintus subsidiarumo ir proporcingumo principus ES privalo priimti teisės aktus tik tada, kai tai būtina, ir tik tokiu mastu, koks būtinas; primena, kad šio įpareigojimo tikslas – priimti teisės aktus kuo artimesniu ES piliečiams lygmeniu</w:t>
            </w:r>
            <w:r>
              <w:rPr>
                <w:b/>
                <w:i/>
              </w:rPr>
              <w:t>, kalbant tiek apie asmenis, tiek apie įmones</w:t>
            </w:r>
            <w:r>
              <w:t>;</w:t>
            </w:r>
          </w:p>
        </w:tc>
        <w:tc>
          <w:tcPr>
            <w:tcW w:w="4876" w:type="dxa"/>
            <w:tcBorders>
              <w:top w:val="nil"/>
              <w:left w:val="nil"/>
              <w:bottom w:val="nil"/>
              <w:right w:val="nil"/>
            </w:tcBorders>
          </w:tcPr>
          <w:p>
            <w:pPr>
              <w:pStyle w:val="Normal6a"/>
            </w:pPr>
            <w:r>
              <w:t>1.</w:t>
            </w:r>
            <w:r>
              <w:tab/>
            </w:r>
            <w:r>
              <w:t>primena, kad pagal ES sutarties 5 straipsnyje įtvirtintus subsidiarumo ir proporcingumo principus ES privalo priimti teisės aktus tik tada, kai tai būtina, ir tik tokiu mastu, koks būtinas; primena, kad šio įpareigojimo tikslas – priimti teisės aktus kuo artimesniu ES piliečiams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pakartoja, kad subsidiarumas ir proporcingumas turėtų būti naudojami ne reguliavimo panaikinimui pateisinti, o siekiant užtikrinti, kad ES veiksmai teiktų aiškią Europos pridėtinę vertę, visų pirma sprendžiant tarpvalstybinius uždavinius, pvz., energetikos pertvarkos, skaitmeninės pertvarkos ir socialinės įtraukties;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primena, kad subsidiarumo ir proporcingumo principai buvo įtvirtinti Mastrichto sutartimi siekiant aiškaus tikslo, t. y. nustatyti didėjančių ES galių ribas ir užtikrinti ES ir valstybių narių galių pusiausvyrą;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pabrėžia, kad šie principai yra labai svarbūs siekiant geresnės ir patikimesnės teisėkūros, nes jais užtikrinama, kad ES veiktų tik tada, kai būtina, ir tik tiek, kiek tinkama;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primena, kad vertinimas, poveikio vertinimas ir konsultacijos su suinteresuotaisiais subjektais yra pagrindiniai veiksmingo ir atsakingo reglamentavimo ramsčiai;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pažymi, kad, nepaisant to, jog Lisabonos sutartimi, t. y. šios sutarties Protokolu Nr. 2, nustatytas išankstinio įspėjimo mechanizmas, jo veiksmingumas tebėra labai ribotas;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pažymi, kad 2023 m. nacionaliniai parlamentai pateikė 22 pagrįstas nuomones, t. y. trečdaliu mažiau nei 2022 m.</w:t>
            </w:r>
            <w:r>
              <w:rPr>
                <w:b/>
                <w:i/>
              </w:rPr>
              <w:t>, o tai atitinka ilgalaikę pagrįstų nuomonių skaičiaus mažėjimo tendenciją</w:t>
            </w:r>
            <w:r>
              <w:t xml:space="preserve">; pažymi, kad </w:t>
            </w:r>
            <w:r>
              <w:rPr>
                <w:b/>
                <w:i/>
              </w:rPr>
              <w:t>tuo pat metu</w:t>
            </w:r>
            <w:r>
              <w:t xml:space="preserve"> matomas aktyvesnis nacionalinių parlamentų dalyvavimas platesniame politiniame dialoge su Komisija, t. y. dalyvavimo lygis padidėjo daugiau nei 10 proc., palyginti su 2022 m.;</w:t>
            </w:r>
          </w:p>
        </w:tc>
        <w:tc>
          <w:tcPr>
            <w:tcW w:w="4876" w:type="dxa"/>
            <w:tcBorders>
              <w:top w:val="nil"/>
              <w:left w:val="nil"/>
              <w:bottom w:val="nil"/>
              <w:right w:val="nil"/>
            </w:tcBorders>
          </w:tcPr>
          <w:p>
            <w:pPr>
              <w:pStyle w:val="Normal6a"/>
            </w:pPr>
            <w:r>
              <w:t>2.</w:t>
            </w:r>
            <w:r>
              <w:tab/>
            </w:r>
            <w:r>
              <w:t>pažymi, kad 2023 m. nacionaliniai parlamentai pateikė 22 pagrįstas nuomones, t. y. trečdaliu mažiau nei 2022 m.; pažymi, kad matomas aktyvesnis nacionalinių parlamentų dalyvavimas platesniame politiniame dialoge su Komisija, t. y. dalyvavimo lygis padidėjo daugiau nei 10 proc., palyginti su 2022 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pažymi, kad nuo Lisabonos sutarties įsigaliojimo 2009 m. nacionaliniai parlamentai pateikė tik 577 subsidiarumo patikrinimus ir pagrįstas nuomonės, 3 803 nacionalinių parlamentų pasiūlymus ir tris geltonąsias korteles, tačiau nepateikė nei vienos oranžinės kortelės;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pažymi, kad 2024 m. suėjo 15 metų nuo tada, kai įsigaliojo ir buvo pradėta taikyti Lisabonos sutartis, pagal kurią Europos Sąjungoje nustatyta aukštesnio lygio parlamentinė kontrolė ir demokratinė atskaitomybė, visų pirma taikant subsidiarumo ir proporcingumo principus;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pažymi, kad 2024 m. suėjo 15 metų nuo tada, kai įsigaliojo ir buvo pradėta taikyti Lisabonos sutartis, pagal kurią Europos Sąjungoje nustatyta aukštesnio lygio parlamentinė kontrolė ir demokratinė atskaitomybė, visų pirma taikant subsidiarumo ir proporcingumo principus;</w:t>
            </w:r>
          </w:p>
        </w:tc>
        <w:tc>
          <w:tcPr>
            <w:tcW w:w="4876" w:type="dxa"/>
            <w:tcBorders>
              <w:top w:val="nil"/>
              <w:left w:val="nil"/>
              <w:bottom w:val="nil"/>
              <w:right w:val="nil"/>
            </w:tcBorders>
          </w:tcPr>
          <w:p>
            <w:pPr>
              <w:pStyle w:val="Normal6a"/>
            </w:pPr>
            <w:r>
              <w:t>4.</w:t>
            </w:r>
            <w:r>
              <w:tab/>
            </w:r>
            <w:r>
              <w:t xml:space="preserve">pažymi, kad 2024 m. suėjo 15 metų nuo tada, kai įsigaliojo ir buvo pradėta taikyti Lisabonos sutartis, pagal kurią Europos Sąjungoje nustatyta aukštesnio lygio parlamentinė kontrolė ir demokratinė atskaitomybė, visų pirma taikant subsidiarumo ir proporcingumo principus; </w:t>
            </w:r>
            <w:r>
              <w:rPr>
                <w:b/>
                <w:i/>
              </w:rPr>
              <w:t>mano, kad, atsižvelgiant į naujus Europos iššūkius, šių principų stiprinimas tebėra labai svarbus siekiant veiksmingos ir į rezultatus orientuotos Sąjungos;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pažymi, kad 2024 m.</w:t>
            </w:r>
            <w:r>
              <w:t xml:space="preserve"> </w:t>
            </w:r>
            <w:r>
              <w:rPr>
                <w:b/>
                <w:i/>
              </w:rPr>
              <w:t>Europos Sąjungos Teisingumo Teisme pirmąjį ieškinį pateikė nacionalinio parlamento rūmai, prašydami panaikinti teisėkūros procedūra priimtą aktą dėl to, kad juo buvo viršyta ES kompetencija ir pažeistas subsidiarumo principas;</w:t>
            </w:r>
            <w:r>
              <w:t xml:space="preserve"> </w:t>
            </w:r>
            <w:r>
              <w:rPr>
                <w:b/>
                <w:i/>
              </w:rPr>
              <w:t>be to, pažymi, kad 2024 m.</w:t>
            </w:r>
            <w:r>
              <w:t xml:space="preserve"> </w:t>
            </w:r>
            <w:r>
              <w:rPr>
                <w:b/>
                <w:i/>
              </w:rPr>
              <w:t>Europos Sąjungos Teisingumo Teismas panaikino reglamento nuostatą, kuri buvo įtraukta per derybas dėl teisėkūros procedūra priimamo akto, remdamasis tuo, kad nebuvo pakankamai informacijos, kad būtų galima įvertinti ir vienareikšmiškai nustatyti jos proporcingumą;</w:t>
            </w:r>
            <w:r>
              <w:t xml:space="preserve"> </w:t>
            </w:r>
            <w:r>
              <w:rPr>
                <w:b/>
                <w:i/>
              </w:rPr>
              <w:t>atsižvelgdamas į tai, kas išdėstyta pirmiau,</w:t>
            </w:r>
            <w:r>
              <w:t xml:space="preserve"> dar kartą patvirtina, kad subsidiarumo ir proporcingumo principai tebėra labai svarbūs ES teisėtumui, ir ragina glaudžiau bendradarbiauti ir stiprinti struktūrinį dialogą su nacionaliniais parlamentais;</w:t>
            </w:r>
          </w:p>
        </w:tc>
        <w:tc>
          <w:tcPr>
            <w:tcW w:w="4876" w:type="dxa"/>
            <w:tcBorders>
              <w:top w:val="nil"/>
              <w:left w:val="nil"/>
              <w:bottom w:val="nil"/>
              <w:right w:val="nil"/>
            </w:tcBorders>
          </w:tcPr>
          <w:p>
            <w:pPr>
              <w:pStyle w:val="Normal6a"/>
            </w:pPr>
            <w:r>
              <w:t>6.</w:t>
            </w:r>
            <w:r>
              <w:tab/>
            </w:r>
            <w:r>
              <w:t>dar kartą patvirtina, kad subsidiarumo ir proporcingumo principai tebėra labai svarbūs ES teisėtumui, ir ragina glaudžiau bendradarbiauti ir stiprinti struktūrinį dialogą su nacionaliniais parlamentais;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pažymi, kad 2024 m.</w:t>
            </w:r>
            <w:r>
              <w:t xml:space="preserve"> </w:t>
            </w:r>
            <w:r>
              <w:rPr>
                <w:b/>
                <w:i/>
              </w:rPr>
              <w:t>Europos Sąjungos Teisingumo Teisme pirmąjį ieškinį pateikė nacionalinio parlamento rūmai, prašydami panaikinti teisėkūros procedūra priimtą aktą dėl to, kad juo buvo viršyta ES kompetencija ir pažeistas subsidiarumo principas;</w:t>
            </w:r>
            <w:r>
              <w:t xml:space="preserve"> </w:t>
            </w:r>
            <w:r>
              <w:rPr>
                <w:b/>
                <w:i/>
              </w:rPr>
              <w:t>be to,</w:t>
            </w:r>
            <w:r>
              <w:t xml:space="preserve"> pažymi, kad 2024 m. Europos Sąjungos Teisingumo Teismas panaikino reglamento nuostatą, kuri buvo įtraukta per derybas dėl teisėkūros procedūra priimamo akto, remdamasis tuo, kad nebuvo pakankamai informacijos, kad būtų galima įvertinti ir vienareikšmiškai nustatyti jos proporcingumą; atsižvelgdamas į tai, kas išdėstyta pirmiau, dar kartą patvirtina, kad subsidiarumo ir proporcingumo principai tebėra labai svarbūs ES teisėtumui, ir ragina glaudžiau bendradarbiauti ir stiprinti struktūrinį dialogą su nacionaliniais parlamentais;</w:t>
            </w:r>
          </w:p>
        </w:tc>
        <w:tc>
          <w:tcPr>
            <w:tcW w:w="4876" w:type="dxa"/>
            <w:tcBorders>
              <w:top w:val="nil"/>
              <w:left w:val="nil"/>
              <w:bottom w:val="nil"/>
              <w:right w:val="nil"/>
            </w:tcBorders>
          </w:tcPr>
          <w:p>
            <w:pPr>
              <w:pStyle w:val="Normal6a"/>
            </w:pPr>
            <w:r>
              <w:t>6.</w:t>
            </w:r>
            <w:r>
              <w:tab/>
            </w:r>
            <w:r>
              <w:t>pažymi, kad 2024 m. Europos Sąjungos Teisingumo Teismas panaikino reglamento nuostatą, kuri buvo įtraukta per derybas dėl teisėkūros procedūra priimamo akto, remdamasis tuo, kad nebuvo pakankamai informacijos, kad būtų galima įvertinti ir vienareikšmiškai nustatyti jos proporcingumą; atsižvelgdamas į tai, kas išdėstyta pirmiau, dar kartą patvirtina, kad subsidiarumo ir proporcingumo principai tebėra labai svarbūs ES teisėtumui, ir ragina glaudžiau bendradarbiauti ir stiprinti struktūrinį dialogą su nacionaliniais parlamentais;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pažymi, kad 2024 m. Europos Sąjungos Teisingumo Teisme pirmąjį ieškinį pateikė nacionalinio parlamento rūmai, prašydami panaikinti teisėkūros procedūra priimtą aktą dėl to, kad juo buvo viršyta ES kompetencija ir pažeistas subsidiarumo principas; be to, pažymi, kad 2024 m. Europos Sąjungos Teisingumo Teismas panaikino reglamento nuostatą, kuri buvo įtraukta per derybas dėl teisėkūros procedūra priimamo akto, remdamasis tuo, kad nebuvo pakankamai informacijos, kad būtų galima įvertinti ir vienareikšmiškai nustatyti jos proporcingumą; atsižvelgdamas į tai, kas išdėstyta pirmiau, dar kartą patvirtina, kad subsidiarumo ir proporcingumo principai tebėra labai svarbūs ES teisėtumui, ir ragina glaudžiau bendradarbiauti ir stiprinti struktūrinį dialogą su nacionaliniais parlamentais;</w:t>
            </w:r>
          </w:p>
        </w:tc>
        <w:tc>
          <w:tcPr>
            <w:tcW w:w="4876" w:type="dxa"/>
            <w:tcBorders>
              <w:top w:val="nil"/>
              <w:left w:val="nil"/>
              <w:bottom w:val="nil"/>
              <w:right w:val="nil"/>
            </w:tcBorders>
          </w:tcPr>
          <w:p>
            <w:pPr>
              <w:pStyle w:val="Normal6a"/>
            </w:pPr>
            <w:r>
              <w:t>6.</w:t>
            </w:r>
            <w:r>
              <w:tab/>
            </w:r>
            <w:r>
              <w:t>pažymi, kad 2024 m. Europos Sąjungos Teisingumo Teisme pirmąjį ieškinį</w:t>
            </w:r>
            <w:r>
              <w:rPr>
                <w:b/>
                <w:i/>
              </w:rPr>
              <w:t>, remiantis Protokolu Nr. 2,</w:t>
            </w:r>
            <w:r>
              <w:t xml:space="preserve"> pateikė nacionalinio parlamento rūmai, prašydami panaikinti teisėkūros procedūra priimtą aktą dėl to, kad juo buvo viršyta ES kompetencija ir pažeistas subsidiarumo principas; be to, pažymi, kad 2024 m. Europos Sąjungos Teisingumo Teismas panaikino reglamento nuostatą, kuri buvo įtraukta per derybas dėl teisėkūros procedūra priimamo akto, remdamasis tuo, kad nebuvo pakankamai informacijos, kad būtų galima įvertinti ir vienareikšmiškai nustatyti jos proporcingumą; atsižvelgdamas į tai, kas išdėstyta pirmiau, dar kartą patvirtina, kad subsidiarumo ir proporcingumo principai tebėra labai svarbūs ES teisėtumui, ir ragina glaudžiau bendradarbiauti ir stiprinti struktūrinį dialogą su nacionaliniais parlamentais;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ragina ankstesniu etapu, struktūriškai ir prasmingai įtraukti nacionalinius parlamentus į ES politikos formavimo ciklą, be kita ko, konsultacijų ir darbotvarkės nustatymo etapais, o ne tik Komisijai priėmus pasiūlymą;</w:t>
            </w:r>
            <w:r>
              <w:t xml:space="preserve"> </w:t>
            </w:r>
            <w:r>
              <w:rPr>
                <w:b/>
                <w:i/>
              </w:rPr>
              <w:t>pabrėžia, kad laiku suteikus nacionaliniams parlamentams galimybę susipažinti su iniciatyvų projektais, padėties analizėmis ir poveikio vertinimo medžiaga būtų galima veiksmingiau tikrinti subsidiarumo ir proporcingumo aspektus ir užtikrinti, kad nacionalinės ekspertinės žinios atsispindėtų pradiniame teisėkūros proceso etape;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pabrėžia išankstinės nacionalinių parlamentų kontrolės svarbą, be kita ko, susijusią su Europos Komisijos įgyvendinimo ir deleguotaisiais aktais, siekiant užtikrinti veiksmingą demokratinę priežiūrą bei subsidiarumo principo ir, visų pirma, proporcingumo principo, t. y. principo, kuris gali būti lengvai pažeistas priimant itin techninio pobūdžio įgyvendinimo aktus, laikymąsi;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palankiai vertina tai, kad 2024 m. Komisija gerokai patobulino nacionalinių parlamentų nuomonių ir jos atsakymų į tas nuomones viešo skelbimo procesą, sukurdama naują internetinę duomenų bazę su įvairiomis filtravimo galimybėmis;</w:t>
            </w:r>
            <w:r>
              <w:t xml:space="preserve"> </w:t>
            </w:r>
            <w:r>
              <w:rPr>
                <w:b/>
                <w:i/>
              </w:rPr>
              <w:t>be to, palankiai vertina tai, kad šis patobulinimas taip pat taikomas nuo 2014 m. gautoms nuomonėms ir atsakymams;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ragina stiprinti bendradarbiavimą su nacionaliniais parlamentais pasitelkiant struktūrinio skaitmeninio dialogo platformas, kad būtų užtikrintas savalaikis dalijimasis informacija apie naujas ES iniciatyvas;</w:t>
            </w:r>
            <w:r>
              <w:t xml:space="preserve"> </w:t>
            </w:r>
            <w:r>
              <w:rPr>
                <w:b/>
                <w:i/>
              </w:rPr>
              <w:t>pabrėžia, kad tarpparlamentiniuose mainuose turėtų dalyvauti vietos ir regionų atstovai, siekiant padidinti ES teisėkūros skaidrumą ir visuomenės prisiimamą atsakomybę vykstant ES teisėkūros procesui;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ragina apsvarstyti būdus, kaip sudaryti sąlygas nacionaliniams parlamentams atlikti proaktyvesnį vaidmenį formuojant ES politiką, be kita ko, taikant struktūrinį žaliosios kortelės mechanizmą, pagal kurį būtų galima teikti kolektyvinius pasiūlymus dėl Komisijos iniciatyvų, taikant pagrįstas ir pasiekiamas ribas;</w:t>
            </w:r>
            <w:r>
              <w:t xml:space="preserve"> </w:t>
            </w:r>
            <w:r>
              <w:rPr>
                <w:b/>
                <w:i/>
              </w:rPr>
              <w:t>pažymi, kad suteikus parlamentams daugiau galių, viršijančių reaguojamojo pobūdžio vaidmenį, būtų sustiprinta atsakomybė už ES veiksmus ir jų demokratinis legitimumas;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atkreipia dėmesį į kelių nacionalinių parlamentų, įskaitant Vokietijos Bundestagą (2021 m.), Prancūzijos Senatą (2023 m.) ir Nyderlandų Antruosius Rūmus (2022 m.), prašymus aktyviau dalyvauti tikrinant deleguotuosius ir įgyvendinimo aktus;</w:t>
            </w:r>
            <w:r>
              <w:t xml:space="preserve"> </w:t>
            </w:r>
            <w:r>
              <w:rPr>
                <w:b/>
                <w:i/>
              </w:rPr>
              <w:t>mano, kad šie prašymai atspindi teisėtą susirūpinimą dėl demokratijos trūkumo priimant ne teisėkūros procedūra priimamus aktus;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primena, kad geresnė teisėkūra grindžiama tarpinstitucine teisėkūros institucijų pusiausvyra ir bendru įsipareigojimu lojaliai ir skaidriai bendradarbiauti per visą teisėkūros ciklą;</w:t>
            </w:r>
            <w:r>
              <w:t xml:space="preserve"> </w:t>
            </w:r>
            <w:r>
              <w:rPr>
                <w:b/>
                <w:i/>
              </w:rPr>
              <w:t>pažymi, kad tai turi atsispindėti nustatant arba peržiūrint daugiamečius prioritetus ir metinėje bendroje deklaracijoje dėl metinių tarpinstitucinių prioritetų;</w:t>
            </w:r>
            <w:r>
              <w:t xml:space="preserve"> </w:t>
            </w:r>
            <w:r>
              <w:rPr>
                <w:b/>
                <w:i/>
              </w:rPr>
              <w:t>primena, kad bet kokie Komisijos ketinimai atšaukti dar nepriimtus teisėkūros procedūra priimamus aktus, kaip paskelbta jos metinėse darbo programose, turi būti tinkamai argumentuoti ir pagrįsti, sudarant sąlygas tinkamam konsultavimuisi su ES teisėkūros institucijomis;</w:t>
            </w:r>
            <w:r>
              <w:t xml:space="preserve"> </w:t>
            </w:r>
            <w:r>
              <w:rPr>
                <w:b/>
                <w:i/>
              </w:rPr>
              <w:t>atkreipia dėmesį į tai, kad per pastarąsias pasiūlymų atšaukimo procedūras nebuvo tinkamai konsultuojamasi, o tai kelia pavojų subalansuotam ES institucijų prerogatyvų įgyvendinimui, sukuria teisinį netikrumą įmonėms ir mažina paprastų žmonių pasitikėjimą ES teisėkūra;</w:t>
            </w:r>
            <w:r>
              <w:t xml:space="preserve"> </w:t>
            </w:r>
            <w:r>
              <w:rPr>
                <w:b/>
                <w:i/>
              </w:rPr>
              <w:t>todėl ragina Komisiją ankstyvuoju etapu ir per visą procedūrą, susijusią su numatomu pasiūlymų atsiėmimu, visapusiškai įtraukti Europos Parlamentą ir Tarybą;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primena, kad rėmimasis kitais teisiniais pagrindais nei įprasta teisėkūros procedūra yra kruopščiai apibrėžtas ES sutartyse;</w:t>
            </w:r>
            <w:r>
              <w:t xml:space="preserve"> </w:t>
            </w:r>
            <w:r>
              <w:rPr>
                <w:b/>
                <w:i/>
              </w:rPr>
              <w:t>įspėja dėl teisėkūros procesų, konkrečiai numatytų ekstremaliosioms situacijoms pagal SESV 122 straipsnį, naudojimo, išskyrus konkrečias situacijas, dėl kurių reikia greitai reaguoti į kylančias krizes;</w:t>
            </w:r>
            <w:r>
              <w:t xml:space="preserve"> </w:t>
            </w:r>
            <w:r>
              <w:rPr>
                <w:b/>
                <w:i/>
              </w:rPr>
              <w:t>primena ES Teisingumo Teisme nagrinėjamą ieškinį dėl pasiūlymo dėl Europos saugumo veiksmų (SAFE) panaikinimo dėl to, kad jis grindžiamas tokiu teisiniu pagrindu;</w:t>
            </w:r>
            <w:r>
              <w:t xml:space="preserve"> </w:t>
            </w:r>
            <w:r>
              <w:rPr>
                <w:b/>
                <w:i/>
              </w:rPr>
              <w:t>atsižvelgdamas į tai, dar kartą patvirtina, kad teisinio pagrindo pasirinkimas yra labai svarbus geram ES teisėkūros veikimui;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pabrėžia, kad, nepaisant bendro lojalaus bendradarbiavimo tikslo, kuriuo grindžiama ES politika ir teisėkūra, įskaitant valstybių narių vaidmenį imantis visų tinkamų priemonių, kad būtų užtikrintas pagal Sutartis ar Sąjungos institucijų aktus atsirandančių pareigų vykdymas, padėtis, susijusi su direktyvų perkėlimu laiku į nacionalinę teisę ir ES teisės įgyvendinimu, vis dar labai skiriasi;</w:t>
            </w:r>
            <w:r>
              <w:t xml:space="preserve"> </w:t>
            </w:r>
            <w:r>
              <w:rPr>
                <w:b/>
                <w:i/>
              </w:rPr>
              <w:t>ragina toliau remti valstybių narių administracinių ir techninių pajėgumų stiprinimą šioje srityje ir primygtinai ragina Komisiją garantuoti ryžtingą vykdymo užtikrinimą, kai bendradarbiavimas nesėkmingas;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pripažįsta esminį teisėsaugos vaidmenį užtikrinant teisinės valstybės principo laikymąsi ir pagrindinių teisių apsaugą;</w:t>
            </w:r>
            <w:r>
              <w:t xml:space="preserve"> </w:t>
            </w:r>
            <w:r>
              <w:rPr>
                <w:b/>
                <w:i/>
              </w:rPr>
              <w:t>ragina valstybes nares užtikrinti, kad bet kokios konstitucinės ar teisėkūros reformos, darančios poveikį valdžių atskyrimui, visiškai atitiktų ES pagrindines vertybes ir teisinius principus, taip pat ragina visapusiškai naudoti ES teisinės valstybės priemonių rinkinį, nes tokios reformos turėtų didžiulių pasekmių ES sanglaudai ir piliečių gyvenimui;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6e.</w:t>
            </w:r>
            <w:r>
              <w:tab/>
            </w:r>
            <w:r>
              <w:rPr>
                <w:b/>
                <w:i/>
              </w:rPr>
              <w:t>labai palankiai vertina ES tarpinstitucinio etikos organo įsteigimą ir ragina visapusiškai ir veiksmingai juo naudotis siekiant skatinti bendrą sąžiningumo ir etikos kultūrą visose Europos Sąjungos institucijose;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6f.</w:t>
            </w:r>
            <w:r>
              <w:tab/>
            </w:r>
            <w:r>
              <w:rPr>
                <w:b/>
                <w:i/>
              </w:rPr>
              <w:t>atkreipia dėmesį į tai, kad buvo nustatyti dialogai įgyvendinimo klausimais, kuriuos vykdo Europos Komisija ir kurie yra jos pastangų užtikrinti skaidrumą ir dalyvaujamąją demokratiją siekiant geresnės teisėkūros dalis;</w:t>
            </w:r>
            <w:r>
              <w:t xml:space="preserve"> </w:t>
            </w:r>
            <w:r>
              <w:rPr>
                <w:b/>
                <w:i/>
              </w:rPr>
              <w:t>apskritai skatina iniciatyvas, kuriomis skatinamas prasmingas pilietinės visuomenės ir įmonių dalyvavimas formuojant politiką;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pabrėžia, kad, nepaisant pažangos, padarytos įgyvendinant geresnio reglamentavimo darbotvarkę, ES teisės aktai vis dar sukuria pernelyg didelę reglamentavimo naštą;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nepaisant pažangos, padarytos įgyvendinant geresnio reglamentavimo darbotvarkę, ES teisės aktai vis dar sukuria pernelyg didelę reglamentavimo naštą;</w:t>
            </w:r>
          </w:p>
        </w:tc>
        <w:tc>
          <w:tcPr>
            <w:tcW w:w="4876" w:type="dxa"/>
            <w:tcBorders>
              <w:top w:val="nil"/>
              <w:left w:val="nil"/>
              <w:bottom w:val="nil"/>
              <w:right w:val="nil"/>
            </w:tcBorders>
          </w:tcPr>
          <w:p>
            <w:pPr>
              <w:pStyle w:val="Normal6a"/>
            </w:pPr>
            <w:r>
              <w:t>7.</w:t>
            </w:r>
            <w:r>
              <w:tab/>
            </w:r>
            <w:r>
              <w:t xml:space="preserve">pabrėžia, kad, nepaisant pažangos, padarytos įgyvendinant geresnio reglamentavimo darbotvarkę, ES teisės aktai vis dar sukuria pernelyg didelę </w:t>
            </w:r>
            <w:r>
              <w:rPr>
                <w:b/>
                <w:i/>
              </w:rPr>
              <w:t>ir neproporcingą</w:t>
            </w:r>
            <w:r>
              <w:t xml:space="preserve"> reglamentavimo naštą </w:t>
            </w:r>
            <w:r>
              <w:rPr>
                <w:b/>
                <w:i/>
              </w:rPr>
              <w:t>įmonėms, viešosioms intitucijoms ir visuomenei</w:t>
            </w:r>
            <w:r>
              <w:t xml:space="preserve">; </w:t>
            </w:r>
            <w:r>
              <w:rPr>
                <w:b/>
                <w:i/>
              </w:rPr>
              <w:t>pabrėžia, kad reikia griežčiau taikyti principą „kiek plius, tiek minus“ ir griežčiau kontroliuoti administracines ir reikalavimų laikymosi išlaidas, ypač MVĮ ir ūkininkams;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pabrėžia, kad, nepaisant pažangos, padarytos įgyvendinant geresnio reglamentavimo darbotvarkę, </w:t>
            </w:r>
            <w:r>
              <w:rPr>
                <w:b/>
                <w:i/>
              </w:rPr>
              <w:t>ES teisės aktai vis dar sukuria pernelyg didelę reglamentavimo naštą</w:t>
            </w:r>
            <w:r>
              <w:t>;</w:t>
            </w:r>
          </w:p>
        </w:tc>
        <w:tc>
          <w:tcPr>
            <w:tcW w:w="4876" w:type="dxa"/>
            <w:tcBorders>
              <w:top w:val="nil"/>
              <w:left w:val="nil"/>
              <w:bottom w:val="nil"/>
              <w:right w:val="nil"/>
            </w:tcBorders>
          </w:tcPr>
          <w:p>
            <w:pPr>
              <w:pStyle w:val="Normal6a"/>
            </w:pPr>
            <w:r>
              <w:t>7.</w:t>
            </w:r>
            <w:r>
              <w:tab/>
            </w:r>
            <w:r>
              <w:t xml:space="preserve">pabrėžia, kad, nepaisant pažangos, padarytos įgyvendinant geresnio reglamentavimo darbotvarkę, </w:t>
            </w:r>
            <w:r>
              <w:rPr>
                <w:b/>
                <w:i/>
              </w:rPr>
              <w:t>galima padaryti patobulinimų siekiant užtikrinti, kad ES teisėkūros procesas būtų skaidresnis, įtraukesnis, kiek tai susiję su visų suinteresuotųjų subjektų indėliu, ir lengviau stebimas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pabrėžia</w:t>
            </w:r>
            <w:r>
              <w:t xml:space="preserve">, kad, nepaisant </w:t>
            </w:r>
            <w:r>
              <w:rPr>
                <w:b/>
                <w:i/>
              </w:rPr>
              <w:t>pažangos, padarytos įgyvendinant</w:t>
            </w:r>
            <w:r>
              <w:t xml:space="preserve"> geresnio reglamentavimo darbotvarkę, ES teisės </w:t>
            </w:r>
            <w:r>
              <w:rPr>
                <w:b/>
                <w:i/>
              </w:rPr>
              <w:t>aktai vis dar sukuria</w:t>
            </w:r>
            <w:r>
              <w:t xml:space="preserve"> pernelyg </w:t>
            </w:r>
            <w:r>
              <w:rPr>
                <w:b/>
                <w:i/>
              </w:rPr>
              <w:t>didelę</w:t>
            </w:r>
            <w:r>
              <w:t xml:space="preserve"> reglamentavimo </w:t>
            </w:r>
            <w:r>
              <w:rPr>
                <w:b/>
                <w:i/>
              </w:rPr>
              <w:t>naštą</w:t>
            </w:r>
            <w:r>
              <w:t>;</w:t>
            </w:r>
          </w:p>
        </w:tc>
        <w:tc>
          <w:tcPr>
            <w:tcW w:w="4876" w:type="dxa"/>
            <w:tcBorders>
              <w:top w:val="nil"/>
              <w:left w:val="nil"/>
              <w:bottom w:val="nil"/>
              <w:right w:val="nil"/>
            </w:tcBorders>
          </w:tcPr>
          <w:p>
            <w:pPr>
              <w:pStyle w:val="Normal6a"/>
            </w:pPr>
            <w:r>
              <w:t>7.</w:t>
            </w:r>
            <w:r>
              <w:tab/>
            </w:r>
            <w:r>
              <w:rPr>
                <w:b/>
                <w:i/>
              </w:rPr>
              <w:t>apgailestauja</w:t>
            </w:r>
            <w:r>
              <w:t xml:space="preserve">, kad, nepaisant </w:t>
            </w:r>
            <w:r>
              <w:rPr>
                <w:b/>
                <w:i/>
              </w:rPr>
              <w:t>tam tikrų deklaracijų ir pažadų, kuriuos Komisija pateikė įgyvendindama</w:t>
            </w:r>
            <w:r>
              <w:t xml:space="preserve"> geresnio reglamentavimo darbotvarkę, ES teisės </w:t>
            </w:r>
            <w:r>
              <w:rPr>
                <w:b/>
                <w:i/>
              </w:rPr>
              <w:t>aktais ir toliau sukuriama</w:t>
            </w:r>
            <w:r>
              <w:t xml:space="preserve"> pernelyg </w:t>
            </w:r>
            <w:r>
              <w:rPr>
                <w:b/>
                <w:i/>
              </w:rPr>
              <w:t>didelė</w:t>
            </w:r>
            <w:r>
              <w:t xml:space="preserve"> reglamentavimo </w:t>
            </w:r>
            <w:r>
              <w:rPr>
                <w:b/>
                <w:i/>
              </w:rPr>
              <w:t>ir biurokratinė našta</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ragina Komisiją ir teisėkūros institucijas sistemingai taikyti gerus teisės aktų rengimo metodus ir vartoti aiškią ir prieinamą teisinę kalbą, užtikrinant ES acquis nuoseklumą ir vengiant dubliavimosi ar prieštaravimų, dėl kurių atsiranda nereikalingas kompleksiškumas ir trukdoma įgyvendinimui;</w:t>
            </w:r>
            <w:r>
              <w:t xml:space="preserve"> </w:t>
            </w:r>
            <w:r>
              <w:rPr>
                <w:b/>
                <w:i/>
              </w:rPr>
              <w:t>pakartoja, kad aiškus ir nuoseklus aktų rengimas didina teisinį tikrumą ir mažina administracinę naštą piliečiams, įmonėms ir viešojo administravimo institucijoms;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primena, kad Komisija savo 2016 m. komunikate jau pabrėžė, kad svarbu aktyviai įtraukti piliečius ir suinteresuotuosius subjektus ir būti atviriems jų atsiliepimams visais proceso etapais – nuo pirmosios idėjos iki tada, kai Komisija pateikia pasiūlymą, ir galiausiai iki teisės aktų priėmimo ir jų vertinimo;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ragina Komisiją pasiūlyti tikslines mokymo programas ir prieinamus išteklius nacionaliniams parlamentams, kad būtų sustiprinti jų gebėjimai analizuoti ir vertinti ES pasiūlymų dėl teisėkūros procedūra priimamų aktų poveikį, taip skatinant labiau informacija pagrįstas, savalaikes ir konstruktyvias diskusijas nacionaliniu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pakartoja kelių pilietinės visuomenės organizacijų šių metų pradžioje Europos ombudsmenei pateiktame skunde išreikštą susirūpinimą dėl to, kad Komisija tariamai nesilaikė savo Geresnio reglamentavimo gairių rengdama pasiūlymą dėl teisėkūros procedūra priimamo akto dėl įmonių informacijos apie tvarumą teikimo ir įmonių tvarumo išsamaus patikrinimo;</w:t>
            </w:r>
            <w:r>
              <w:t xml:space="preserve"> </w:t>
            </w:r>
            <w:r>
              <w:rPr>
                <w:b/>
                <w:i/>
              </w:rPr>
              <w:t>šiuo atžvilgiu atkreipia dėmesį į tai, kad Ombudsmenė oficialiai pareiškė, jog ji nėra įsitikinusi, kad Komisija pateikė tinkamas priežastis, kuriomis būtų galima pagrįsti, kodėl neatliktas poveikio vertinimas, viešos konsultacijos ir suderinamumo su klimato srities tikslais patikrinimas;</w:t>
            </w:r>
            <w:r>
              <w:t xml:space="preserve"> </w:t>
            </w:r>
            <w:r>
              <w:rPr>
                <w:b/>
                <w:i/>
              </w:rPr>
              <w:t>palankiai vertina Ombudsmenės pradėtą tyrimą ir atkreipia dėmesį į tai, kad atliekant šį tyrimą jau nustatytos galimos problemos, susijusios su tuo, kaip Komisija, prieš paskelbdama pasiūlymą, surengė tarnybų tarpusavio konsultacijas;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primena, kad teisės aktais užtikrinamas teisinis tikrumas, jų prieinamumas ir nuspėjamumas yra pagrindiniai iš teisinės valstybės principo kylantys reikalavimai;</w:t>
            </w:r>
            <w:r>
              <w:t xml:space="preserve"> </w:t>
            </w:r>
            <w:r>
              <w:rPr>
                <w:b/>
                <w:i/>
              </w:rPr>
              <w:t>ragina Komisiją ir teisėkūros institucijas užtikrinti, kad geresnio reglamentavimo priemonėmis, įskaitant poveikio vertinimus, konsultacijas ir vertinimą, būtų prisidedama siekiant tikslo, kad ES teisės aktai būtų aiškesni, nuoseklesni ir labiau nuspėjami;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mano, kad norint pasiekti geresnio reglamentavimo darbotvarkės tikslus reikia gerinti poveikio vertinimų kokybę ir naudojimą; ypač atkreipia dėmesį į </w:t>
            </w:r>
            <w:r>
              <w:rPr>
                <w:b/>
                <w:i/>
              </w:rPr>
              <w:t>problemą</w:t>
            </w:r>
            <w:r>
              <w:t xml:space="preserve">, kad poveikio </w:t>
            </w:r>
            <w:r>
              <w:rPr>
                <w:b/>
                <w:i/>
              </w:rPr>
              <w:t>vertinimuose daugiausia dėmesio skiriama tik pasiūlymams dėl</w:t>
            </w:r>
            <w:r>
              <w:t xml:space="preserve"> teisėkūros </w:t>
            </w:r>
            <w:r>
              <w:rPr>
                <w:b/>
                <w:i/>
              </w:rPr>
              <w:t>procedūra priimamų aktų – tokiems, kokie jie buvo pateikimo momentu, – ir dažnai jie nėra tinkamai įvertinami juos priėmus arba įgyvendinant</w:t>
            </w:r>
            <w:r>
              <w:t>;</w:t>
            </w:r>
          </w:p>
        </w:tc>
        <w:tc>
          <w:tcPr>
            <w:tcW w:w="4876" w:type="dxa"/>
            <w:tcBorders>
              <w:top w:val="nil"/>
              <w:left w:val="nil"/>
              <w:bottom w:val="nil"/>
              <w:right w:val="nil"/>
            </w:tcBorders>
          </w:tcPr>
          <w:p>
            <w:pPr>
              <w:pStyle w:val="Normal6a"/>
            </w:pPr>
            <w:r>
              <w:t>8.</w:t>
            </w:r>
            <w:r>
              <w:tab/>
            </w:r>
            <w:r>
              <w:t xml:space="preserve">mano, kad norint pasiekti geresnio reglamentavimo darbotvarkės tikslus reikia gerinti poveikio vertinimų kokybę ir naudojimą; ypač atkreipia dėmesį į </w:t>
            </w:r>
            <w:r>
              <w:rPr>
                <w:b/>
                <w:i/>
              </w:rPr>
              <w:t>tai</w:t>
            </w:r>
            <w:r>
              <w:t xml:space="preserve">, kad poveikio </w:t>
            </w:r>
            <w:r>
              <w:rPr>
                <w:b/>
                <w:i/>
              </w:rPr>
              <w:t>vertinimai turėtų būti grindžiami informacija, gauta vykdant išsamias ir viešas konsultacijas, kuriomis užtikrinamas visapusiškas demokratinis dalyvavimas aktyviai ieškant įvairių nuomonių;</w:t>
            </w:r>
            <w:r>
              <w:t xml:space="preserve"> </w:t>
            </w:r>
            <w:r>
              <w:rPr>
                <w:b/>
                <w:i/>
              </w:rPr>
              <w:t>pabrėžia, kad pasiūlymai turėtų būti pateikiami neatlikus išsamaus poveikio vertinimo tik labai retais atvejais ir kad pernelyg dažnai taikomos skubos procedūros, o tai kenkia faktiniais duomenimis grindžiamam politikos formavimui;</w:t>
            </w:r>
            <w:r>
              <w:t xml:space="preserve"> </w:t>
            </w:r>
            <w:r>
              <w:rPr>
                <w:b/>
                <w:i/>
              </w:rPr>
              <w:t>pažymi, kad 2023 m. 59 įprastos</w:t>
            </w:r>
            <w:r>
              <w:t xml:space="preserve"> teisėkūros </w:t>
            </w:r>
            <w:r>
              <w:rPr>
                <w:b/>
                <w:i/>
              </w:rPr>
              <w:t>procedūros dokumentai iš 130 buvo paskelbti be poveikio vertinimo, o 2024 m. be poveikio vertinimo buvo paskelbti 26 įprastos teisėkūros procedūros dokumentai iš 31;</w:t>
            </w:r>
            <w:r>
              <w:t xml:space="preserve"> </w:t>
            </w:r>
            <w:r>
              <w:rPr>
                <w:b/>
                <w:i/>
              </w:rPr>
              <w:t>be to, susirūpinęs pažymi, kad laikotarpiu nuo 2024 m. gruodžio 1 d. iki 2025 m. rugsėjo 26 d. Komisija paskelbė 80 įprastos teisėkūros procedūros dokumentų ir tik prie 18 iš jų buvo pridėti poveikio vertinimai, kurių bendras skaičius siekė 12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mano, kad norint pasiekti geresnio reglamentavimo darbotvarkės tikslus reikia gerinti poveikio vertinimų kokybę ir naudojimą; ypač atkreipia dėmesį į problemą, kad poveikio vertinimuose daugiausia dėmesio skiriama tik pasiūlymams dėl teisėkūros procedūra priimamų aktų – tokiems, kokie jie buvo pateikimo momentu, – ir dažnai jie nėra tinkamai įvertinami juos priėmus arba įgyvendinant;</w:t>
            </w:r>
          </w:p>
        </w:tc>
        <w:tc>
          <w:tcPr>
            <w:tcW w:w="4876" w:type="dxa"/>
            <w:tcBorders>
              <w:top w:val="nil"/>
              <w:left w:val="nil"/>
              <w:bottom w:val="nil"/>
              <w:right w:val="nil"/>
            </w:tcBorders>
          </w:tcPr>
          <w:p>
            <w:pPr>
              <w:pStyle w:val="Normal6a"/>
            </w:pPr>
            <w:r>
              <w:t>8.</w:t>
            </w:r>
            <w:r>
              <w:tab/>
            </w:r>
            <w:r>
              <w:rPr>
                <w:b/>
                <w:i/>
              </w:rPr>
              <w:t>pabrėžia, kad pagal gero valdymo principus Komisija, prieš imdamasi bet kokios teisėkūros iniciatyvos, privalo atlikti poveikio vertinimą, kad įvertintų galimas siūlomo teisės akto ekonomines, socialines ir aplinkosaugines pasekmes;</w:t>
            </w:r>
            <w:r>
              <w:t xml:space="preserve"> </w:t>
            </w:r>
            <w:r>
              <w:rPr>
                <w:b/>
                <w:i/>
              </w:rPr>
              <w:t>teigia, kad Komisija vis dažniau nusprendžia neatlikti poveikio vertinimo dėl pasiūlymo skubumo ar pobūdžio;</w:t>
            </w:r>
            <w:r>
              <w:t xml:space="preserve"> </w:t>
            </w:r>
            <w:r>
              <w:rPr>
                <w:b/>
                <w:i/>
              </w:rPr>
              <w:t>mano, kad neturėtų būti leidžiama neatlikti poveikio vertinimo;</w:t>
            </w:r>
            <w:r>
              <w:t xml:space="preserve"> </w:t>
            </w:r>
            <w:r>
              <w:rPr>
                <w:b/>
                <w:i/>
              </w:rPr>
              <w:t>be to, mano, kad šis poveikio vertinimas turėtų atspindėti padėtį visose valstybėse narėse;</w:t>
            </w:r>
            <w:r>
              <w:t xml:space="preserve"> mano, kad norint pasiekti geresnio reglamentavimo darbotvarkės tikslus reikia gerinti poveikio vertinimų kokybę ir naudojimą; ypač atkreipia dėmesį į problemą, kad poveikio vertinimuose daugiausia dėmesio skiriama tik pasiūlymams dėl teisėkūros procedūra priimamų aktų – tokiems, kokie jie buvo pateikimo momentu, – ir dažnai jie nėra tinkamai įvertinami juos priėmus arba įgyvendinant;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mano, kad norint pasiekti geresnio reglamentavimo darbotvarkės tikslus reikia gerinti poveikio vertinimų kokybę ir naudojimą; ypač atkreipia dėmesį į problemą, kad poveikio vertinimuose daugiausia dėmesio skiriama tik pasiūlymams dėl teisėkūros procedūra priimamų aktų – tokiems, kokie jie buvo pateikimo momentu, – ir dažnai jie nėra tinkamai įvertinami juos priėmus arba įgyvendinant;</w:t>
            </w:r>
          </w:p>
        </w:tc>
        <w:tc>
          <w:tcPr>
            <w:tcW w:w="4876" w:type="dxa"/>
            <w:tcBorders>
              <w:top w:val="nil"/>
              <w:left w:val="nil"/>
              <w:bottom w:val="nil"/>
              <w:right w:val="nil"/>
            </w:tcBorders>
          </w:tcPr>
          <w:p>
            <w:pPr>
              <w:pStyle w:val="Normal6a"/>
            </w:pPr>
            <w:r>
              <w:t>8.</w:t>
            </w:r>
            <w:r>
              <w:tab/>
            </w:r>
            <w:r>
              <w:t xml:space="preserve">mano, kad norint pasiekti geresnio reglamentavimo darbotvarkės tikslus reikia gerinti poveikio vertinimų kokybę ir naudojimą </w:t>
            </w:r>
            <w:r>
              <w:rPr>
                <w:b/>
                <w:i/>
              </w:rPr>
              <w:t>bei užtikrinti jų nešališkumą</w:t>
            </w:r>
            <w:r>
              <w:t>; ypač atkreipia dėmesį į problemą, kad poveikio vertinimuose daugiausia dėmesio skiriama tik pasiūlymams dėl teisėkūros procedūra priimamų aktų – tokiems, kokie jie buvo pateikimo momentu, – ir dažnai jie nėra tinkamai įvertinami juos priėmus arba įgyvendinant;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mano, kad norint pasiekti geresnio reglamentavimo darbotvarkės tikslus reikia </w:t>
            </w:r>
            <w:r>
              <w:rPr>
                <w:b/>
                <w:i/>
              </w:rPr>
              <w:t>gerinti</w:t>
            </w:r>
            <w:r>
              <w:t xml:space="preserve"> poveikio vertinimų kokybę ir naudojimą; ypač atkreipia dėmesį į problemą, kad poveikio vertinimuose daugiausia dėmesio skiriama tik pasiūlymams dėl teisėkūros procedūra priimamų aktų – tokiems, kokie jie buvo pateikimo momentu, – ir dažnai jie nėra tinkamai įvertinami juos priėmus arba įgyvendinant;</w:t>
            </w:r>
          </w:p>
        </w:tc>
        <w:tc>
          <w:tcPr>
            <w:tcW w:w="4876" w:type="dxa"/>
            <w:tcBorders>
              <w:top w:val="nil"/>
              <w:left w:val="nil"/>
              <w:bottom w:val="nil"/>
              <w:right w:val="nil"/>
            </w:tcBorders>
          </w:tcPr>
          <w:p>
            <w:pPr>
              <w:pStyle w:val="Normal6a"/>
            </w:pPr>
            <w:r>
              <w:t>8.</w:t>
            </w:r>
            <w:r>
              <w:tab/>
            </w:r>
            <w:r>
              <w:t xml:space="preserve">mano, kad norint pasiekti geresnio reglamentavimo darbotvarkės tikslus reikia </w:t>
            </w:r>
            <w:r>
              <w:rPr>
                <w:b/>
                <w:i/>
              </w:rPr>
              <w:t>žymiai pagerinti</w:t>
            </w:r>
            <w:r>
              <w:t xml:space="preserve"> poveikio vertinimų kokybę ir naudojimą; ypač atkreipia dėmesį į problemą, kad poveikio vertinimuose daugiausia dėmesio skiriama tik pasiūlymams dėl teisėkūros procedūra priimamų aktų – tokiems, kokie jie buvo pateikimo momentu, – ir dažnai jie nėra tinkamai įvertinami juos priėmus arba įgyvendinant;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ragina užtikrinti, kad būtų atliekami visų be išimties aktų poveikio vertinimai;</w:t>
            </w:r>
            <w:r>
              <w:t xml:space="preserve"> </w:t>
            </w:r>
            <w:r>
              <w:rPr>
                <w:b/>
                <w:i/>
              </w:rPr>
              <w:t>apgailestauja, kad praeityje poveikio vertinimas nebuvo atliktas svarstant ne vieną politiškai opų pasiūlymą;</w:t>
            </w:r>
            <w:r>
              <w:t xml:space="preserve"> </w:t>
            </w:r>
            <w:r>
              <w:rPr>
                <w:b/>
                <w:i/>
              </w:rPr>
              <w:t>primena, kad Parlamentas yra ne kartą atlikęs savo poveikio vertinimus vietoj Komisijos;</w:t>
            </w:r>
            <w:r>
              <w:t xml:space="preserve"> </w:t>
            </w:r>
            <w:r>
              <w:rPr>
                <w:b/>
                <w:i/>
              </w:rPr>
              <w:t>vis dėlto primena, kad poveikio vertinimai padeda gauti informacijos, tačiau nepakeičia politinių sprendimų priėmimo;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pabrėžia, kad reikia užtikrinti didesnį poveikio vertinimų autorių ir poveikio vertinimuose padarytų prielaidų skaidrumą;</w:t>
            </w:r>
            <w:r>
              <w:t xml:space="preserve"> </w:t>
            </w:r>
            <w:r>
              <w:rPr>
                <w:b/>
                <w:i/>
              </w:rPr>
              <w:t>pabrėžia, kad reikia atlikti visų abiejų teisėkūros institucijų priimtų teisės aktų poveikio vertinimus, taip pat tinkamus Sąjungos iniciatyvų ex post vertinimus;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primena, jog Parlamentas yra įsteigęs specialų Poveikio vertinimo ir Europos pridėtinės vertės direktoratą, kad galėtų atlikti ex ante ir ex post poveikio vertinimus bei prisidėti prie įrodymais pagrįstos politikos formavimo;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ragina Komisiją labiau naudotis ex post poveikio vertinimais, siekiant įsitikinti, ar teisės aktai veiksmingi;</w:t>
            </w:r>
            <w:r>
              <w:t xml:space="preserve"> </w:t>
            </w:r>
            <w:r>
              <w:rPr>
                <w:b/>
                <w:i/>
              </w:rPr>
              <w:t>akcentuoja principo „pirmiausia įvertinti“ svarbą užtikrinant, kad su ateities politikos ciklu susiję veiksmai būtų grindžiami praeityje išmoktomis pamokomis;</w:t>
            </w:r>
            <w:r>
              <w:t xml:space="preserve"> </w:t>
            </w:r>
            <w:r>
              <w:rPr>
                <w:b/>
                <w:i/>
              </w:rPr>
              <w:t>reiškia rimtą susirūpinimą dėl stiprėjančios tendencijos poveikio ir kitą vertinimą atlikti vienu metu, nors vertinimo rezultatais turėtų būti remiamasi atliekant bet kokią teisės aktų peržiūrą;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pabrėžia, kad </w:t>
            </w:r>
            <w:r>
              <w:rPr>
                <w:b/>
                <w:i/>
              </w:rPr>
              <w:t>kartu su visomis pagrindinėmis</w:t>
            </w:r>
            <w:r>
              <w:t xml:space="preserve"> teisėkūros ir politikos </w:t>
            </w:r>
            <w:r>
              <w:rPr>
                <w:b/>
                <w:i/>
              </w:rPr>
              <w:t>iniciatyvomis turėtų būti pateikiama</w:t>
            </w:r>
            <w:r>
              <w:t xml:space="preserve"> sąnaudų ir naudos </w:t>
            </w:r>
            <w:r>
              <w:rPr>
                <w:b/>
                <w:i/>
              </w:rPr>
              <w:t>analizė</w:t>
            </w:r>
            <w:r>
              <w:t xml:space="preserve">; mano, kad </w:t>
            </w:r>
            <w:r>
              <w:rPr>
                <w:b/>
                <w:i/>
              </w:rPr>
              <w:t>tokia analizė yra būtina</w:t>
            </w:r>
            <w:r>
              <w:t xml:space="preserve"> siekiant formuoti įrodymais grindžiamą politiką ir išsaugoti piliečių ir įmonių pasitikėjimą ES teisės aktais; </w:t>
            </w:r>
            <w:r>
              <w:rPr>
                <w:b/>
                <w:i/>
              </w:rPr>
              <w:t>mano</w:t>
            </w:r>
            <w:r>
              <w:t xml:space="preserve">, kad tais atvejais, kai </w:t>
            </w:r>
            <w:r>
              <w:rPr>
                <w:b/>
                <w:i/>
              </w:rPr>
              <w:t>poveikio vertinimas neatliekamas, vėliau turi būti parengta</w:t>
            </w:r>
            <w:r>
              <w:t xml:space="preserve"> sąnaudų ir naudos </w:t>
            </w:r>
            <w:r>
              <w:rPr>
                <w:b/>
                <w:i/>
              </w:rPr>
              <w:t>analizė ir ji turi būti pridedama prie pasiūlymo</w:t>
            </w:r>
            <w:r>
              <w:t>;</w:t>
            </w:r>
          </w:p>
        </w:tc>
        <w:tc>
          <w:tcPr>
            <w:tcW w:w="4876" w:type="dxa"/>
            <w:tcBorders>
              <w:top w:val="nil"/>
              <w:left w:val="nil"/>
              <w:bottom w:val="nil"/>
              <w:right w:val="nil"/>
            </w:tcBorders>
          </w:tcPr>
          <w:p>
            <w:pPr>
              <w:pStyle w:val="Normal6a"/>
            </w:pPr>
            <w:r>
              <w:t>9.</w:t>
            </w:r>
            <w:r>
              <w:tab/>
            </w:r>
            <w:r>
              <w:t xml:space="preserve">pabrėžia, kad </w:t>
            </w:r>
            <w:r>
              <w:rPr>
                <w:b/>
                <w:i/>
              </w:rPr>
              <w:t>prie visų pagrindinių</w:t>
            </w:r>
            <w:r>
              <w:t xml:space="preserve"> teisėkūros ir politikos </w:t>
            </w:r>
            <w:r>
              <w:rPr>
                <w:b/>
                <w:i/>
              </w:rPr>
              <w:t>iniciatyvų turi būti pridėtos išsamios</w:t>
            </w:r>
            <w:r>
              <w:t xml:space="preserve"> sąnaudų ir naudos </w:t>
            </w:r>
            <w:r>
              <w:rPr>
                <w:b/>
                <w:i/>
              </w:rPr>
              <w:t>analizės, įskaitant jų socialinį, ekonominį poveikį ir poveikį aplinkai</w:t>
            </w:r>
            <w:r>
              <w:t xml:space="preserve">; mano, kad </w:t>
            </w:r>
            <w:r>
              <w:rPr>
                <w:b/>
                <w:i/>
              </w:rPr>
              <w:t>tokios analizės yra būtinos</w:t>
            </w:r>
            <w:r>
              <w:t xml:space="preserve"> siekiant formuoti įrodymais grindžiamą politiką ir išsaugoti </w:t>
            </w:r>
            <w:r>
              <w:rPr>
                <w:b/>
                <w:i/>
              </w:rPr>
              <w:t>teisinį tikrumą ir</w:t>
            </w:r>
            <w:r>
              <w:t xml:space="preserve"> piliečių ir įmonių pasitikėjimą ES teisės aktais; </w:t>
            </w:r>
            <w:r>
              <w:rPr>
                <w:b/>
                <w:i/>
              </w:rPr>
              <w:t>laikosi nuomonės</w:t>
            </w:r>
            <w:r>
              <w:t xml:space="preserve">, kad tais atvejais, kai </w:t>
            </w:r>
            <w:r>
              <w:rPr>
                <w:b/>
                <w:i/>
              </w:rPr>
              <w:t>tokia pradinė analizė nebuvo atlikta, Komisija, prieš peržiūrėdama ar konsoliduodama teisės aktus, turi parengti ex post</w:t>
            </w:r>
            <w:r>
              <w:t xml:space="preserve"> sąnaudų ir naudos </w:t>
            </w:r>
            <w:r>
              <w:rPr>
                <w:b/>
                <w:i/>
              </w:rPr>
              <w:t>analizę, kad būtų užtikrinti informacija pagrįsti ir proporcingi sprendimai</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pabrėžia, kad kartu su visomis pagrindinėmis teisėkūros ir politikos iniciatyvomis turėtų būti pateikiama sąnaudų ir naudos analizė; mano, kad tokia analizė yra būtina siekiant formuoti įrodymais grindžiamą politiką ir išsaugoti piliečių ir įmonių pasitikėjimą ES teisės aktais; mano, kad tais atvejais, kai poveikio vertinimas neatliekamas, vėliau turi būti parengta sąnaudų ir naudos analizė ir ji turi būti pridedama prie pasiūlymo;</w:t>
            </w:r>
          </w:p>
        </w:tc>
        <w:tc>
          <w:tcPr>
            <w:tcW w:w="4876" w:type="dxa"/>
            <w:tcBorders>
              <w:top w:val="nil"/>
              <w:left w:val="nil"/>
              <w:bottom w:val="nil"/>
              <w:right w:val="nil"/>
            </w:tcBorders>
          </w:tcPr>
          <w:p>
            <w:pPr>
              <w:pStyle w:val="Normal6a"/>
            </w:pPr>
            <w:r>
              <w:t>9.</w:t>
            </w:r>
            <w:r>
              <w:tab/>
            </w:r>
            <w:r>
              <w:t>pabrėžia, kad kartu su visomis pagrindinėmis teisėkūros ir politikos iniciatyvomis turėtų būti pateikiama sąnaudų ir naudos analizė</w:t>
            </w:r>
            <w:r>
              <w:rPr>
                <w:b/>
                <w:i/>
              </w:rPr>
              <w:t> plačiąja prasme, tinkamai atsižvelgiant į visuomeninius ir aplinkos apsaugos tikslus bei viešąjį interesą</w:t>
            </w:r>
            <w:r>
              <w:t>; mano, kad tokia analizė yra būtina siekiant formuoti įrodymais grindžiamą politiką ir išsaugoti piliečių ir įmonių pasitikėjimą ES teisės aktais; mano, kad tais atvejais, kai poveikio vertinimas neatliekamas, vėliau turi būti parengta sąnaudų ir naudos analizė ir ji turi būti pridedama prie pasiūlymo;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pabrėžia, kad kartu su visomis pagrindinėmis teisėkūros ir politikos iniciatyvomis turėtų būti pateikiama sąnaudų ir naudos analizė; mano, kad tokia analizė yra būtina siekiant formuoti įrodymais grindžiamą politiką ir išsaugoti piliečių ir įmonių pasitikėjimą ES teisės aktais; </w:t>
            </w:r>
            <w:r>
              <w:rPr>
                <w:b/>
                <w:i/>
              </w:rPr>
              <w:t>mano, kad tais atvejais, kai poveikio vertinimas neatliekamas, vėliau turi būti parengta sąnaudų ir naudos analizė ir ji turi būti pridedama prie pasiūlymo;</w:t>
            </w:r>
          </w:p>
        </w:tc>
        <w:tc>
          <w:tcPr>
            <w:tcW w:w="4876" w:type="dxa"/>
            <w:tcBorders>
              <w:top w:val="nil"/>
              <w:left w:val="nil"/>
              <w:bottom w:val="nil"/>
              <w:right w:val="nil"/>
            </w:tcBorders>
          </w:tcPr>
          <w:p>
            <w:pPr>
              <w:pStyle w:val="Normal6a"/>
            </w:pPr>
            <w:r>
              <w:t>9.</w:t>
            </w:r>
            <w:r>
              <w:tab/>
            </w:r>
            <w:r>
              <w:t xml:space="preserve">pabrėžia, kad kartu su visomis pagrindinėmis teisėkūros ir politikos iniciatyvomis turėtų būti pateikiama </w:t>
            </w:r>
            <w:r>
              <w:rPr>
                <w:b/>
                <w:i/>
              </w:rPr>
              <w:t>ir</w:t>
            </w:r>
            <w:r>
              <w:t xml:space="preserve"> sąnaudų</w:t>
            </w:r>
            <w:r>
              <w:rPr>
                <w:b/>
                <w:i/>
              </w:rPr>
              <w:t>,</w:t>
            </w:r>
            <w:r>
              <w:t xml:space="preserve"> ir naudos </w:t>
            </w:r>
            <w:r>
              <w:rPr>
                <w:b/>
                <w:i/>
              </w:rPr>
              <w:t>analizė;</w:t>
            </w:r>
            <w:r>
              <w:t xml:space="preserve"> </w:t>
            </w:r>
            <w:r>
              <w:rPr>
                <w:b/>
                <w:i/>
              </w:rPr>
              <w:t>pabrėžia, kad tokiais atvejais taip pat turi būti atlikta naudos ir rizikos</w:t>
            </w:r>
            <w:r>
              <w:t> analizė; mano, kad tokia analizė yra būtina siekiant formuoti įrodymais grindžiamą politiką ir išsaugoti piliečių ir įmonių pasitikėjimą ES teisės aktais;</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pabrėžia, kad kartu su visomis pagrindinėmis teisėkūros ir politikos iniciatyvomis turėtų būti pateikiama sąnaudų ir naudos analizė; mano, kad tokia analizė yra būtina siekiant formuoti įrodymais grindžiamą politiką ir išsaugoti piliečių ir įmonių pasitikėjimą ES teisės aktais; mano, kad tais atvejais, kai poveikio vertinimas neatliekamas, vėliau turi būti parengta sąnaudų ir naudos analizė ir ji turi būti pridedama prie pasiūlymo;</w:t>
            </w:r>
          </w:p>
        </w:tc>
        <w:tc>
          <w:tcPr>
            <w:tcW w:w="4876" w:type="dxa"/>
            <w:tcBorders>
              <w:top w:val="nil"/>
              <w:left w:val="nil"/>
              <w:bottom w:val="nil"/>
              <w:right w:val="nil"/>
            </w:tcBorders>
          </w:tcPr>
          <w:p>
            <w:pPr>
              <w:pStyle w:val="Normal6a"/>
            </w:pPr>
            <w:r>
              <w:t>9.</w:t>
            </w:r>
            <w:r>
              <w:tab/>
            </w:r>
            <w:r>
              <w:t xml:space="preserve">pabrėžia, kad kartu su visomis pagrindinėmis teisėkūros ir politikos iniciatyvomis turėtų būti pateikiama sąnaudų ir naudos </w:t>
            </w:r>
            <w:r>
              <w:rPr>
                <w:b/>
                <w:i/>
              </w:rPr>
              <w:t>Europos konkiurencingui ir inovacijoms</w:t>
            </w:r>
            <w:r>
              <w:t xml:space="preserve"> analizė</w:t>
            </w:r>
            <w:r>
              <w:rPr>
                <w:b/>
                <w:i/>
              </w:rPr>
              <w:t> </w:t>
            </w:r>
            <w:r>
              <w:t>; mano, kad tokia analizė yra būtina siekiant formuoti įrodymais grindžiamą politiką ir išsaugoti piliečių ir įmonių pasitikėjimą ES teisės aktais; mano, kad tais atvejais, kai poveikio vertinimas neatliekamas, vėliau turi būti parengta sąnaudų ir naudos analizė ir ji turi būti pridedama prie pasiūlymo;</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pabrėžia, kad kartu su visomis pagrindinėmis teisėkūros ir politikos iniciatyvomis turėtų būti </w:t>
            </w:r>
            <w:r>
              <w:rPr>
                <w:b/>
                <w:i/>
              </w:rPr>
              <w:t>pateikiama sąnaudų ir naudos analizė</w:t>
            </w:r>
            <w:r>
              <w:t xml:space="preserve">; mano, kad tokia analizė yra būtina siekiant formuoti įrodymais grindžiamą politiką ir išsaugoti piliečių </w:t>
            </w:r>
            <w:r>
              <w:rPr>
                <w:b/>
                <w:i/>
              </w:rPr>
              <w:t>ir įmonių</w:t>
            </w:r>
            <w:r>
              <w:t xml:space="preserve"> pasitikėjimą ES teisės aktais; </w:t>
            </w:r>
            <w:r>
              <w:rPr>
                <w:b/>
                <w:i/>
              </w:rPr>
              <w:t>mano, kad tais atvejais, kai</w:t>
            </w:r>
            <w:r>
              <w:t xml:space="preserve"> poveikio </w:t>
            </w:r>
            <w:r>
              <w:rPr>
                <w:b/>
                <w:i/>
              </w:rPr>
              <w:t>vertinimas neatliekamas, vėliau turi būti parengta sąnaudų ir naudos analizė ir ji turi būti pridedama prie pasiūlymo</w:t>
            </w:r>
            <w:r>
              <w:t>;</w:t>
            </w:r>
          </w:p>
        </w:tc>
        <w:tc>
          <w:tcPr>
            <w:tcW w:w="4876" w:type="dxa"/>
            <w:tcBorders>
              <w:top w:val="nil"/>
              <w:left w:val="nil"/>
              <w:bottom w:val="nil"/>
              <w:right w:val="nil"/>
            </w:tcBorders>
          </w:tcPr>
          <w:p>
            <w:pPr>
              <w:pStyle w:val="Normal6a"/>
            </w:pPr>
            <w:r>
              <w:t>9.</w:t>
            </w:r>
            <w:r>
              <w:tab/>
            </w:r>
            <w:r>
              <w:t xml:space="preserve">pabrėžia, kad kartu su visomis pagrindinėmis teisėkūros ir politikos iniciatyvomis turėtų būti </w:t>
            </w:r>
            <w:r>
              <w:rPr>
                <w:b/>
                <w:i/>
              </w:rPr>
              <w:t>pateikiamas poveikio vertinimas</w:t>
            </w:r>
            <w:r>
              <w:t xml:space="preserve">; mano, kad tokia analizė yra būtina siekiant formuoti įrodymais grindžiamą politiką ir išsaugoti piliečių pasitikėjimą ES teisės aktais; </w:t>
            </w:r>
            <w:r>
              <w:rPr>
                <w:b/>
                <w:i/>
              </w:rPr>
              <w:t>pabrėžia, kad suvokiant bendrųjų rinkinių („Omnibus“) priėmimo procedūrų neatidėliotinumą neturėtų būti atsisakyta atlikti</w:t>
            </w:r>
            <w:r>
              <w:t xml:space="preserve"> poveikio </w:t>
            </w:r>
            <w:r>
              <w:rPr>
                <w:b/>
                <w:i/>
              </w:rPr>
              <w:t>vertinimus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abejoja dėl bendrojo dokumentų rinkinio, kaip teisėkūros metodo, naudojimo siekiant supaprastinti esamą ES reglamentavimo sistemą;</w:t>
            </w:r>
            <w:r>
              <w:t xml:space="preserve"> </w:t>
            </w:r>
            <w:r>
              <w:rPr>
                <w:b/>
                <w:i/>
              </w:rPr>
              <w:t>atkreipia dėmesį į tai, kad šis metodas turėtų būti taikomas tik techniniam konsolidavimui, o ne galiojančių įvairių sričių teisės aktų esminiam keitimui;</w:t>
            </w:r>
            <w:r>
              <w:t xml:space="preserve"> </w:t>
            </w:r>
            <w:r>
              <w:rPr>
                <w:b/>
                <w:i/>
              </w:rPr>
              <w:t>atkreipia dėmesį į daugelio teisės ekspertų išreikštą susirūpinimą, kad pirmasis ir kiti bendrieji dokumentų rinkiniai tampa pageidautina visapusiškos reguliavimo panaikinimo darbotvarkės įgyvendinimo priemone, kartu apeinant procedūrinį vientisumą ir sukeliant prieštaravimus pagrindiniams ES konstituciniams principams;</w:t>
            </w:r>
            <w:r>
              <w:t xml:space="preserve"> </w:t>
            </w:r>
            <w:r>
              <w:rPr>
                <w:b/>
                <w:i/>
              </w:rPr>
              <w:t>sutinka su teisės ekspertais, kurie nurodė, kad I bendrasis dokumentų rinkinys („Omnibus I“) pažeidžia ES sutarties 5 straipsnio 4 dalyje nustatytą proporcingumo principą ir kenkia konstitucinei faktiniais duomenimis grindžiamos dalyvaujamosios teisėkūros struktūrai, įtvirtintai ES sutarties 11 straipsnyje ir SESV 296 straipsnyje;</w:t>
            </w:r>
            <w:r>
              <w:t xml:space="preserve"> </w:t>
            </w:r>
            <w:r>
              <w:rPr>
                <w:b/>
                <w:i/>
              </w:rPr>
              <w:t>ragina Komisiją tinkamai atsižvelgti į šias teisines atsakomąsias priemones ir nuodugniai iš naujo įvertinti tokio bendrojo dokumentų rinkinio metodo naudojimą, be kita ko, ateityje;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primena, jog poreikis priimti naujus teisės aktus neturėtų automatiškai reikšti, kad galiojantys teisės aktai nebereikalingi;</w:t>
            </w:r>
            <w:r>
              <w:t xml:space="preserve"> </w:t>
            </w:r>
            <w:r>
              <w:rPr>
                <w:b/>
                <w:i/>
              </w:rPr>
              <w:t>atsižvelgdamas į tai laikosi nuomonės, kad, norint išvengti netikėtų pasekmių ir nepageidaujamo poveikio, taip pat turi būti atliktas išsamus poveikio vertinimas dėl kiekvieno galimo panaikinimo;</w:t>
            </w:r>
            <w:r>
              <w:t xml:space="preserve"> </w:t>
            </w:r>
            <w:r>
              <w:rPr>
                <w:b/>
                <w:i/>
              </w:rPr>
              <w:t>ragina užtikrinti, kad šis požiūris būtų grindžiamas skaidria ir įrodymais pagrįsta metodika, kurią taikant proporcingai atsižvelgiama į visus tvarumo aspektus tiek naudos, tiek sąnaudų požiūriu, įskaitant reikalavimų nesilaikymo ir neveikimo sąnaudas, taip pat atsižvelgiant į administracinį ar ekonominį poveikį, kartu visapusiškai paisant ES acquis ir jos socialinio poveikio, poveikio aplinkai ir visuomenės sveikatai;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Ilhan Kyuchyuk, Ewa Kopacz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dar kartą ragina integruoti vaiko teises į ES teisės aktus, į poveikio vertinimo priemonių rinkinį įtraukiant vaiko teisių testą, kuriuo būtų užtikrinta, kad būtų įvertintas visų ES pasiūlymų dėl teisėkūros procedūra priimamų aktų galimas poveikis vaiko teisėms, nustatytos paveiktos sritys ir prireikus numatytas alternatyvių priemonių vertinimas;</w:t>
            </w:r>
            <w:r>
              <w:t xml:space="preserve"> </w:t>
            </w:r>
            <w:r>
              <w:rPr>
                <w:b/>
                <w:i/>
              </w:rPr>
              <w:t>pabrėžia, kad į šį procesą turėtų būti įtraukta ES vaikų dalyvavimo platforma, taip siekiant sustiprinti vaikų balsą sprendimų priėmimo procese;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pabrėžia, jog Komisija turi sistemingai informuoti Europos Parlamentą ir su juo konsultuotis per visą teisėkūros ciklą, kad būtų užtikrinta demokratinė atskaitomybė, institucinė pusiausvyra ir skaidrumas formuojant ES politiką;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pripažįsta, kad sunku užtikrinti efektyvų dabartinių mechanizmų, kuriais siekiama kontroliuoti teisėkūros sukuriamą naštą, pvz., principo</w:t>
            </w:r>
            <w:r>
              <w:t xml:space="preserve"> „kiek plius, tiek minus“, </w:t>
            </w:r>
            <w:r>
              <w:rPr>
                <w:b/>
                <w:i/>
              </w:rPr>
              <w:t>veikimą, nes trūksta tinkamų ex post vertinimų, kiek tai susiję su faktinėmis</w:t>
            </w:r>
            <w:r>
              <w:t xml:space="preserve"> teisės aktų </w:t>
            </w:r>
            <w:r>
              <w:rPr>
                <w:b/>
                <w:i/>
              </w:rPr>
              <w:t>lemiamomis sąnaudomis;</w:t>
            </w:r>
            <w:r>
              <w:t xml:space="preserve"> </w:t>
            </w:r>
            <w:r>
              <w:rPr>
                <w:b/>
                <w:i/>
              </w:rPr>
              <w:t>be to, mano, kad veiksmingų mechanizmų, kuriais būtų siekiama pašalinti pasenusias ar perteklines priemones, nebuvimas yra rimtas trūkumas</w:t>
            </w:r>
            <w:r>
              <w:t>;</w:t>
            </w:r>
          </w:p>
        </w:tc>
        <w:tc>
          <w:tcPr>
            <w:tcW w:w="4876" w:type="dxa"/>
            <w:tcBorders>
              <w:top w:val="nil"/>
              <w:left w:val="nil"/>
              <w:bottom w:val="nil"/>
              <w:right w:val="nil"/>
            </w:tcBorders>
          </w:tcPr>
          <w:p>
            <w:pPr>
              <w:pStyle w:val="Normal6a"/>
            </w:pPr>
            <w:r>
              <w:t>10.</w:t>
            </w:r>
            <w:r>
              <w:tab/>
            </w:r>
            <w:r>
              <w:rPr>
                <w:b/>
                <w:i/>
              </w:rPr>
              <w:t>atkreipia dėmesį į principą</w:t>
            </w:r>
            <w:r>
              <w:t xml:space="preserve"> „kiek plius, tiek minus“, </w:t>
            </w:r>
            <w:r>
              <w:rPr>
                <w:b/>
                <w:i/>
              </w:rPr>
              <w:t>pagal kurį atsiradusią naują naštą Komisija siekia atsverti atlaisvindama piliečius ir įmones nuo atitinkamos ES lygmens naštos toje pačioje politikos srityje;</w:t>
            </w:r>
            <w:r>
              <w:t xml:space="preserve"> </w:t>
            </w:r>
            <w:r>
              <w:rPr>
                <w:b/>
                <w:i/>
              </w:rPr>
              <w:t>apgailestauja, kad Komisija ėmėsi vienašališkai taikyti šį principą, neatlikusi išankstinio poveikio vertinimo ir nesurengusi konsultacijų;</w:t>
            </w:r>
            <w:r>
              <w:t xml:space="preserve"> </w:t>
            </w:r>
            <w:r>
              <w:rPr>
                <w:b/>
                <w:i/>
              </w:rPr>
              <w:t>pabrėžia, kad dėl šio principo įgyvendinimo neturėtų nukentėti politiniai imperatyvai arba geresnio reguliavimo tikslai, taip pat pabrėžia, kad dėl jo neturėtų būti priimami mechaniški ar matematiniai sprendimai dėl</w:t>
            </w:r>
            <w:r>
              <w:t xml:space="preserve"> teisės aktų </w:t>
            </w:r>
            <w:r>
              <w:rPr>
                <w:b/>
                <w:i/>
              </w:rPr>
              <w:t>panaikinimo, nukentėti jų standartai ar daromas atgrasomasis poveikis teisėkūros srityje;</w:t>
            </w:r>
            <w:r>
              <w:t xml:space="preserve"> </w:t>
            </w:r>
            <w:r>
              <w:rPr>
                <w:b/>
                <w:i/>
              </w:rPr>
              <w:t>primena, jog būtinybė priimti naujus teisės aktus neturėtų automatiškai reikšti, kad galiojantys teisės aktai nebereikalingi;</w:t>
            </w:r>
            <w:r>
              <w:t xml:space="preserve"> </w:t>
            </w:r>
            <w:r>
              <w:rPr>
                <w:b/>
                <w:i/>
              </w:rPr>
              <w:t>ragina šį principą paremti skaidria ir įrodymais pagrįsta metodika, proporcingai atsižvelgiant į visus tvarumo aspektus tiek naudos, tiek sąnaudų požiūriu, įskaitant reikalavimų nesilaikymo ir neveikimo sąnaudas</w:t>
            </w:r>
            <w:r>
              <w:t xml:space="preserve">; </w:t>
            </w:r>
            <w:r>
              <w:rPr>
                <w:b/>
                <w:i/>
              </w:rPr>
              <w:t>atitinkamai ragina Komisiją prieš taikant šį principą viešai paskelbti skaičiuoklę „kiek plius, tiek minus“;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pripažįsta, kad sunku užtikrinti efektyvų dabartinių mechanizmų, kuriais siekiama kontroliuoti teisėkūros sukuriamą naštą, pvz., principo „kiek plius, tiek minus“, veikimą, nes trūksta tinkamų ex post vertinimų, kiek tai susiję su faktinėmis teisės aktų lemiamomis sąnaudomis; be to, mano, kad veiksmingų mechanizmų, kuriais būtų siekiama pašalinti pasenusias ar perteklines priemones, nebuvimas yra rimtas trūkumas;</w:t>
            </w:r>
          </w:p>
        </w:tc>
        <w:tc>
          <w:tcPr>
            <w:tcW w:w="4876" w:type="dxa"/>
            <w:tcBorders>
              <w:top w:val="nil"/>
              <w:left w:val="nil"/>
              <w:bottom w:val="nil"/>
              <w:right w:val="nil"/>
            </w:tcBorders>
          </w:tcPr>
          <w:p>
            <w:pPr>
              <w:pStyle w:val="Normal6a"/>
            </w:pPr>
            <w:r>
              <w:t>10.</w:t>
            </w:r>
            <w:r>
              <w:tab/>
            </w:r>
            <w:r>
              <w:t xml:space="preserve">pripažįsta, kad sunku užtikrinti efektyvų dabartinių mechanizmų, kuriais siekiama kontroliuoti teisėkūros sukuriamą naštą, pvz., principo „kiek plius, tiek minus“, veikimą, nes trūksta tinkamų ex post vertinimų, kiek tai susiję su faktinėmis teisės aktų lemiamomis sąnaudomis; be to, mano, kad veiksmingų mechanizmų, kuriais būtų siekiama pašalinti pasenusias ar perteklines priemones, nebuvimas yra rimtas trūkumas; </w:t>
            </w:r>
            <w:r>
              <w:rPr>
                <w:b/>
                <w:i/>
              </w:rPr>
              <w:t>pabrėžia, kad ši spraga ypač akivaizdi deleguotųjų ir įgyvendinimo aktų, kurie priimami neatlikus sisteminės jų būtinumo ir proporcingumo peržiūros, atveju;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pripažįsta, kad sunku užtikrinti efektyvų dabartinių mechanizmų, kuriais siekiama kontroliuoti teisėkūros sukuriamą naštą, pvz., principo „kiek plius, tiek minus“, veikimą, nes trūksta tinkamų ex post vertinimų</w:t>
            </w:r>
            <w:r>
              <w:rPr>
                <w:b/>
                <w:i/>
              </w:rPr>
              <w:t>, kiek tai susiję su faktinėmis</w:t>
            </w:r>
            <w:r>
              <w:t xml:space="preserve"> teisės aktų </w:t>
            </w:r>
            <w:r>
              <w:rPr>
                <w:b/>
                <w:i/>
              </w:rPr>
              <w:t>lemiamomis sąnaudomis</w:t>
            </w:r>
            <w:r>
              <w:t>; be to, mano, kad veiksmingų mechanizmų, kuriais būtų siekiama pašalinti pasenusias ar perteklines priemones, nebuvimas yra rimtas trūkumas;</w:t>
            </w:r>
          </w:p>
        </w:tc>
        <w:tc>
          <w:tcPr>
            <w:tcW w:w="4876" w:type="dxa"/>
            <w:tcBorders>
              <w:top w:val="nil"/>
              <w:left w:val="nil"/>
              <w:bottom w:val="nil"/>
              <w:right w:val="nil"/>
            </w:tcBorders>
          </w:tcPr>
          <w:p>
            <w:pPr>
              <w:pStyle w:val="Normal6a"/>
            </w:pPr>
            <w:r>
              <w:t>10.</w:t>
            </w:r>
            <w:r>
              <w:tab/>
            </w:r>
            <w:r>
              <w:t xml:space="preserve">pripažįsta, kad sunku užtikrinti efektyvų dabartinių mechanizmų, kuriais siekiama kontroliuoti teisėkūros sukuriamą naštą, pvz., principo „kiek plius, tiek minus“, veikimą, nes trūksta tinkamų ex post vertinimų </w:t>
            </w:r>
            <w:r>
              <w:rPr>
                <w:b/>
                <w:i/>
              </w:rPr>
              <w:t>ir kyla rizika pakenkti</w:t>
            </w:r>
            <w:r>
              <w:t xml:space="preserve"> teisės aktų </w:t>
            </w:r>
            <w:r>
              <w:rPr>
                <w:b/>
                <w:i/>
              </w:rPr>
              <w:t>tikslams</w:t>
            </w:r>
            <w:r>
              <w:t xml:space="preserve">; be to, mano, kad veiksmingų mechanizmų, kuriais būtų siekiama pašalinti pasenusias ar perteklines priemones, nebuvimas yra rimtas trūkumas; </w:t>
            </w:r>
            <w:r>
              <w:rPr>
                <w:b/>
                <w:i/>
              </w:rPr>
              <w:t>pabrėžia, jog reikia sutelkti dėmesį į ES teisės aktų tobulinimą siekiant užtikrinti, kad jie ir toliau atitiktų savo paskirtį, o ne siekti reguliavimo panaikinimo kaip savaiminio tikslo;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pripažįsta, kad sunku užtikrinti efektyvų dabartinių mechanizmų, kuriais siekiama kontroliuoti teisėkūros sukuriamą naštą, pvz., principo „kiek plius, tiek minus“, veikimą, nes trūksta tinkamų ex post vertinimų, kiek tai susiję su faktinėmis teisės aktų lemiamomis sąnaudomis; be to, mano, kad veiksmingų mechanizmų, kuriais būtų siekiama pašalinti pasenusias ar perteklines priemones, nebuvimas yra rimtas trūkumas;</w:t>
            </w:r>
          </w:p>
        </w:tc>
        <w:tc>
          <w:tcPr>
            <w:tcW w:w="4876" w:type="dxa"/>
            <w:tcBorders>
              <w:top w:val="nil"/>
              <w:left w:val="nil"/>
              <w:bottom w:val="nil"/>
              <w:right w:val="nil"/>
            </w:tcBorders>
          </w:tcPr>
          <w:p>
            <w:pPr>
              <w:pStyle w:val="Normal6a"/>
            </w:pPr>
            <w:r>
              <w:t>10.</w:t>
            </w:r>
            <w:r>
              <w:tab/>
            </w:r>
            <w:r>
              <w:t xml:space="preserve">pripažįsta, kad sunku užtikrinti efektyvų dabartinių mechanizmų, kuriais siekiama kontroliuoti teisėkūros sukuriamą naštą, pvz., principo „kiek plius, tiek minus“, veikimą, nes trūksta tinkamų </w:t>
            </w:r>
            <w:r>
              <w:rPr>
                <w:b/>
                <w:i/>
              </w:rPr>
              <w:t>standartizuotų</w:t>
            </w:r>
            <w:r>
              <w:t xml:space="preserve"> ex post vertinimų, kiek tai susiję su faktinėmis teisės aktų lemiamomis sąnaudomis; be to, mano, kad veiksmingų mechanizmų, kuriais būtų siekiama pašalinti pasenusias ar perteklines priemones, nebuvimas yra rimtas trūkumas</w:t>
            </w:r>
            <w:r>
              <w:rPr>
                <w:b/>
                <w:i/>
              </w:rPr>
              <w:t>, darantis didelį poveikį teisiniam tikrumui ir vidaus rinkos veikimui</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pripažįsta, kad sunku užtikrinti efektyvų dabartinių mechanizmų, kuriais siekiama kontroliuoti teisėkūros sukuriamą naštą, pvz., principo „kiek plius, tiek minus“, veikimą, nes trūksta tinkamų ex post vertinimų, kiek tai susiję su faktinėmis teisės aktų lemiamomis sąnaudomis; be to, mano, kad veiksmingų mechanizmų, kuriais būtų siekiama pašalinti pasenusias ar perteklines priemones, nebuvimas yra rimtas trūkumas;</w:t>
            </w:r>
          </w:p>
        </w:tc>
        <w:tc>
          <w:tcPr>
            <w:tcW w:w="4876" w:type="dxa"/>
            <w:tcBorders>
              <w:top w:val="nil"/>
              <w:left w:val="nil"/>
              <w:bottom w:val="nil"/>
              <w:right w:val="nil"/>
            </w:tcBorders>
          </w:tcPr>
          <w:p>
            <w:pPr>
              <w:pStyle w:val="Normal6a"/>
            </w:pPr>
            <w:r>
              <w:t>10.</w:t>
            </w:r>
            <w:r>
              <w:tab/>
            </w:r>
            <w:r>
              <w:t xml:space="preserve">pripažįsta, kad sunku užtikrinti efektyvų dabartinių mechanizmų, kuriais siekiama kontroliuoti teisėkūros sukuriamą naštą, pvz., principo „kiek plius, tiek minus“, veikimą, nes trūksta tinkamų ex post vertinimų, kiek tai susiję su faktinėmis teisės aktų lemiamomis sąnaudomis; be to, mano, kad veiksmingų </w:t>
            </w:r>
            <w:r>
              <w:rPr>
                <w:b/>
                <w:i/>
              </w:rPr>
              <w:t>peržiūros ir vertinimo</w:t>
            </w:r>
            <w:r>
              <w:t xml:space="preserve"> mechanizmų, kuriais</w:t>
            </w:r>
            <w:r>
              <w:rPr>
                <w:b/>
                <w:i/>
              </w:rPr>
              <w:t>, be kita ko,</w:t>
            </w:r>
            <w:r>
              <w:t xml:space="preserve"> būtų siekiama pašalinti pasenusias ar perteklines priemones, nebuvimas yra rimtas trūkumas;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pripažįsta, kad sunku užtikrinti efektyvų dabartinių mechanizmų, kuriais siekiama kontroliuoti teisėkūros sukuriamą naštą, pvz., principo „kiek plius, tiek minus“, veikimą, nes trūksta tinkamų ex post vertinimų, kiek tai susiję su faktinėmis teisės aktų lemiamomis sąnaudomis; be to, mano, kad veiksmingų mechanizmų, kuriais būtų siekiama pašalinti pasenusias ar perteklines priemones, nebuvimas yra rimtas trūkumas;</w:t>
            </w:r>
          </w:p>
        </w:tc>
        <w:tc>
          <w:tcPr>
            <w:tcW w:w="4876" w:type="dxa"/>
            <w:tcBorders>
              <w:top w:val="nil"/>
              <w:left w:val="nil"/>
              <w:bottom w:val="nil"/>
              <w:right w:val="nil"/>
            </w:tcBorders>
          </w:tcPr>
          <w:p>
            <w:pPr>
              <w:pStyle w:val="Normal6a"/>
            </w:pPr>
            <w:r>
              <w:t>10.</w:t>
            </w:r>
            <w:r>
              <w:tab/>
            </w:r>
            <w:r>
              <w:t xml:space="preserve">pripažįsta, kad sunku užtikrinti efektyvų dabartinių mechanizmų, kuriais siekiama kontroliuoti teisėkūros sukuriamą naštą, pvz., principo „kiek plius, tiek minus“, veikimą, nes trūksta tinkamų ex post vertinimų, kiek tai susiję su faktinėmis teisės aktų lemiamomis sąnaudomis </w:t>
            </w:r>
            <w:r>
              <w:rPr>
                <w:b/>
                <w:i/>
              </w:rPr>
              <w:t>bei rezultatais</w:t>
            </w:r>
            <w:r>
              <w:t>; be to, mano, kad veiksmingų mechanizmų, kuriais būtų siekiama pašalinti pasenusias ar perteklines priemones, nebuvimas yra rimtas trūkumas;</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palankiai vertina Komisijos naštos mažinimo tikslus kaip žingsnius siekiant pažangesnio reglamentavimo;</w:t>
            </w:r>
            <w:r>
              <w:t xml:space="preserve"> </w:t>
            </w:r>
            <w:r>
              <w:rPr>
                <w:b/>
                <w:i/>
              </w:rPr>
              <w:t>vis dėlto pabrėžia, kad tokios iniciatyvos turi būti griežtai testuojamos nepalankiausiomis sąlygomis, taip siekiant užtikrinti, kad supaprastinimas nepakenktų politikos tikslams;</w:t>
            </w:r>
            <w:r>
              <w:t xml:space="preserve"> </w:t>
            </w:r>
            <w:r>
              <w:rPr>
                <w:b/>
                <w:i/>
              </w:rPr>
              <w:t>primena, kad sistemingas, įrodymais pagrįstas teisės aktų vertinimas, kaip numatyta geresnio reglamentavimo priemonių rinkinyje, turi išlikti šio proceso kertiniu akmeniu;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pažymi, kad mechanizmas „kiek plius, tiek minus“ taikomas tik pagrindiniams teisėkūros procedūra priimtiems aktams;</w:t>
            </w:r>
            <w:r>
              <w:t xml:space="preserve"> </w:t>
            </w:r>
            <w:r>
              <w:rPr>
                <w:b/>
                <w:i/>
              </w:rPr>
              <w:t>tai neapima su deleguotaisiais ir įgyvendinimo aktais susijusių išlaidų;</w:t>
            </w:r>
            <w:r>
              <w:t xml:space="preserve"> </w:t>
            </w:r>
            <w:r>
              <w:rPr>
                <w:b/>
                <w:i/>
              </w:rPr>
              <w:t>todėl ragina Komisiją įtraukti šias išlaidas į bendrą reglamentavimo naštos vertinimą;</w:t>
            </w:r>
            <w:r>
              <w:t xml:space="preserve"> </w:t>
            </w:r>
            <w:r>
              <w:rPr>
                <w:b/>
                <w:i/>
              </w:rPr>
              <w:t>primena sprendimą C-286/14, kuriame Teisingumo Teismas pabrėžė poveikio vertinimo svarbą ir deleguotiesiems aktams;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rekomenduoja drausmingiau ir proporcingiau naudoti deleguotuosius ir įgyvendinimo aktus, užtikrinant, kad 2 lygio priemonės apsiribotų tikrai techniniais aspektais, būtinais 1 lygio aktams taikyti, ir nekeistų esminių politikos elementų;</w:t>
            </w:r>
            <w:r>
              <w:t xml:space="preserve"> </w:t>
            </w:r>
            <w:r>
              <w:rPr>
                <w:b/>
                <w:i/>
              </w:rPr>
              <w:t>pabrėžia, kad svarbu 2 lygmens aktams taikyti skaidrias procedūras, nustatant aiškius terminus, kad teisėkūros institucijos turėtų pakankamai laiko svariam ir veiksmingam tikrinimui atlikti;</w:t>
            </w:r>
            <w:r>
              <w:t xml:space="preserve"> </w:t>
            </w:r>
            <w:r>
              <w:rPr>
                <w:b/>
                <w:i/>
              </w:rPr>
              <w:t>ragina šias priemones paskelbti gerokai iš anksto, kad suinteresuotieji subjektai galėtų pasirengti laikytis reikalavimų;</w:t>
            </w:r>
            <w:r>
              <w:t xml:space="preserve"> </w:t>
            </w:r>
            <w:r>
              <w:rPr>
                <w:b/>
                <w:i/>
              </w:rPr>
              <w:t>primygtinai reikalauja, kad, kai įmanoma, tokios priemonės būtų prieinamos prieš įsigaliojant 1 lygio teisės aktams arba tuo pačiu metu, taip siekiant užtikrinti teisinį tikrumą ir įgyvendinamumą;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ragina Komisiją toliau stiprinti pastangas siekiant sumažinti teisės aktais piliečiams ir įmonėms nustatytus įpareigojimus; mano, kad dabartinis požiūris „kiek plius, tiek minus“ šiuo atžvilgiu yra </w:t>
            </w:r>
            <w:r>
              <w:rPr>
                <w:b/>
                <w:i/>
              </w:rPr>
              <w:t>nepakankamas</w:t>
            </w:r>
            <w:r>
              <w:t xml:space="preserve">; todėl ragina nustatyti </w:t>
            </w:r>
            <w:r>
              <w:rPr>
                <w:b/>
                <w:i/>
              </w:rPr>
              <w:t>principą „vienas plius, du minus“, kad būtų</w:t>
            </w:r>
            <w:r>
              <w:t xml:space="preserve"> iš tiesų </w:t>
            </w:r>
            <w:r>
              <w:rPr>
                <w:b/>
                <w:i/>
              </w:rPr>
              <w:t>palengvinta</w:t>
            </w:r>
            <w:r>
              <w:t xml:space="preserve"> reglamentavimo </w:t>
            </w:r>
            <w:r>
              <w:rPr>
                <w:b/>
                <w:i/>
              </w:rPr>
              <w:t>našta, o ne tik išlaikytas reglamentavimo status quo</w:t>
            </w:r>
            <w:r>
              <w:t xml:space="preserve">; laikosi nuomonės, kad </w:t>
            </w:r>
            <w:r>
              <w:rPr>
                <w:b/>
                <w:i/>
              </w:rPr>
              <w:t>principo „vienas plius, du minus“ nustatymas turėtų apimti aiškią metodiką ir nepriklausomą</w:t>
            </w:r>
            <w:r>
              <w:t xml:space="preserve"> stebėsenos </w:t>
            </w:r>
            <w:r>
              <w:rPr>
                <w:b/>
                <w:i/>
              </w:rPr>
              <w:t>mechanizmą, kad būtų galima sumažinti grynąsias reglamentavimo lemiamas sąnaudas</w:t>
            </w:r>
            <w:r>
              <w:t xml:space="preserve">; </w:t>
            </w:r>
            <w:r>
              <w:rPr>
                <w:b/>
                <w:i/>
              </w:rPr>
              <w:t>ragina stiprinti Reglamentavimo patikros valdybos vaidmenį šioje srityje;</w:t>
            </w:r>
          </w:p>
        </w:tc>
        <w:tc>
          <w:tcPr>
            <w:tcW w:w="4876" w:type="dxa"/>
            <w:tcBorders>
              <w:top w:val="nil"/>
              <w:left w:val="nil"/>
              <w:bottom w:val="nil"/>
              <w:right w:val="nil"/>
            </w:tcBorders>
          </w:tcPr>
          <w:p>
            <w:pPr>
              <w:pStyle w:val="Normal6a"/>
            </w:pPr>
            <w:r>
              <w:t>11.</w:t>
            </w:r>
            <w:r>
              <w:tab/>
            </w:r>
            <w:r>
              <w:t xml:space="preserve">ragina Komisiją toliau stiprinti pastangas siekiant sumažinti teisės aktais piliečiams ir įmonėms nustatytus įpareigojimus; mano, kad dabartinis požiūris „kiek plius, tiek minus“ šiuo atžvilgiu yra </w:t>
            </w:r>
            <w:r>
              <w:rPr>
                <w:b/>
                <w:i/>
              </w:rPr>
              <w:t>nederamas</w:t>
            </w:r>
            <w:r>
              <w:t xml:space="preserve">; todėl ragina nustatyti </w:t>
            </w:r>
            <w:r>
              <w:rPr>
                <w:b/>
                <w:i/>
              </w:rPr>
              <w:t>subalansuotą požiūrį į teisėkūrą, siekiant</w:t>
            </w:r>
            <w:r>
              <w:t xml:space="preserve"> iš tiesų </w:t>
            </w:r>
            <w:r>
              <w:rPr>
                <w:b/>
                <w:i/>
              </w:rPr>
              <w:t>palengvinti</w:t>
            </w:r>
            <w:r>
              <w:t xml:space="preserve"> reglamentavimo </w:t>
            </w:r>
            <w:r>
              <w:rPr>
                <w:b/>
                <w:i/>
              </w:rPr>
              <w:t>naštą ir suteikti naudos įmonėms ir piliečiams</w:t>
            </w:r>
            <w:r>
              <w:t xml:space="preserve">; laikosi nuomonės, kad </w:t>
            </w:r>
            <w:r>
              <w:rPr>
                <w:b/>
                <w:i/>
              </w:rPr>
              <w:t>tam reikia aiškios metodikos ir nepriklausomo bei skaidraus</w:t>
            </w:r>
            <w:r>
              <w:t xml:space="preserve"> stebėsenos </w:t>
            </w:r>
            <w:r>
              <w:rPr>
                <w:b/>
                <w:i/>
              </w:rPr>
              <w:t>mechanizmo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Komisiją toliau stiprinti pastangas siekiant sumažinti teisės aktais piliečiams ir įmonėms nustatytus įpareigojimus; mano, kad dabartinis požiūris „kiek plius, tiek minus“ šiuo atžvilgiu yra nepakankamas; todėl ragina nustatyti principą „vienas plius, du minus“, kad būtų iš tiesų palengvinta reglamentavimo našta, o ne tik išlaikytas reglamentavimo status quo; laikosi nuomonės, kad principo „vienas plius, du minus“ nustatymas turėtų apimti aiškią metodiką ir nepriklausomą stebėsenos mechanizmą, kad būtų galima sumažinti grynąsias reglamentavimo lemiamas sąnaudas; ragina stiprinti Reglamentavimo patikros valdybos vaidmenį šioje srityje;</w:t>
            </w:r>
          </w:p>
        </w:tc>
        <w:tc>
          <w:tcPr>
            <w:tcW w:w="4876" w:type="dxa"/>
            <w:tcBorders>
              <w:top w:val="nil"/>
              <w:left w:val="nil"/>
              <w:bottom w:val="nil"/>
              <w:right w:val="nil"/>
            </w:tcBorders>
          </w:tcPr>
          <w:p>
            <w:pPr>
              <w:pStyle w:val="Normal6a"/>
            </w:pPr>
            <w:r>
              <w:t>11.</w:t>
            </w:r>
            <w:r>
              <w:tab/>
            </w:r>
            <w:r>
              <w:t xml:space="preserve">ragina Komisiją toliau stiprinti pastangas siekiant sumažinti teisės aktais piliečiams ir įmonėms nustatytus įpareigojimus; mano, kad dabartinis požiūris „kiek plius, tiek minus“ šiuo atžvilgiu yra nepakankamas; todėl ragina nustatyti principą „vienas plius, du minus“, kad būtų iš tiesų palengvinta reglamentavimo našta, o ne tik išlaikytas reglamentavimo status quo; laikosi nuomonės, kad principo „vienas plius, du minus“ nustatymas turėtų apimti aiškią metodiką ir nepriklausomą stebėsenos mechanizmą, kad būtų galima sumažinti grynąsias reglamentavimo lemiamas sąnaudas; ragina stiprinti Reglamentavimo patikros valdybos vaidmenį šioje srityje </w:t>
            </w:r>
            <w:r>
              <w:rPr>
                <w:b/>
                <w:i/>
              </w:rPr>
              <w:t>ir į poveikio vertinimus sistemingai įtraukti deleguotuosius ir įgyvendinimo aktus</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ragina Komisiją toliau </w:t>
            </w:r>
            <w:r>
              <w:rPr>
                <w:b/>
                <w:i/>
              </w:rPr>
              <w:t>stiprinti pastangas</w:t>
            </w:r>
            <w:r>
              <w:t xml:space="preserve"> siekiant sumažinti </w:t>
            </w:r>
            <w:r>
              <w:rPr>
                <w:b/>
                <w:i/>
              </w:rPr>
              <w:t>teisės aktais</w:t>
            </w:r>
            <w:r>
              <w:t xml:space="preserve"> piliečiams ir įmonėms </w:t>
            </w:r>
            <w:r>
              <w:rPr>
                <w:b/>
                <w:i/>
              </w:rPr>
              <w:t>nustatytus</w:t>
            </w:r>
            <w:r>
              <w:t xml:space="preserve"> įpareigojimus</w:t>
            </w:r>
            <w:r>
              <w:rPr>
                <w:b/>
                <w:i/>
              </w:rPr>
              <w:t>;</w:t>
            </w:r>
            <w:r>
              <w:t xml:space="preserve"> </w:t>
            </w:r>
            <w:r>
              <w:rPr>
                <w:b/>
                <w:i/>
              </w:rPr>
              <w:t>mano, kad dabartinis požiūris</w:t>
            </w:r>
            <w:r>
              <w:t xml:space="preserve"> „kiek plius, tiek minus“ </w:t>
            </w:r>
            <w:r>
              <w:rPr>
                <w:b/>
                <w:i/>
              </w:rPr>
              <w:t>šiuo atžvilgiu yra nepakankamas;</w:t>
            </w:r>
            <w:r>
              <w:t xml:space="preserve"> </w:t>
            </w:r>
            <w:r>
              <w:rPr>
                <w:b/>
                <w:i/>
              </w:rPr>
              <w:t>todėl ragina nustatyti principą „vienas plius, du minus“, kad būtų iš tiesų palengvinta reglamentavimo našta, o ne tik išlaikytas reglamentavimo status quo; laikosi nuomonės, kad principo „vienas plius, du minus“ nustatymas turėtų apimti aiškią metodiką ir nepriklausomą stebėsenos mechanizmą, kad būtų galima sumažinti grynąsias reglamentavimo lemiamas sąnaudas</w:t>
            </w:r>
            <w:r>
              <w:t>; ragina stiprinti Reglamentavimo patikros valdybos vaidmenį šioje srityje;</w:t>
            </w:r>
          </w:p>
        </w:tc>
        <w:tc>
          <w:tcPr>
            <w:tcW w:w="4876" w:type="dxa"/>
            <w:tcBorders>
              <w:top w:val="nil"/>
              <w:left w:val="nil"/>
              <w:bottom w:val="nil"/>
              <w:right w:val="nil"/>
            </w:tcBorders>
          </w:tcPr>
          <w:p>
            <w:pPr>
              <w:pStyle w:val="Normal6a"/>
            </w:pPr>
            <w:r>
              <w:t>11.</w:t>
            </w:r>
            <w:r>
              <w:tab/>
            </w:r>
            <w:r>
              <w:t xml:space="preserve">ragina Komisiją toliau </w:t>
            </w:r>
            <w:r>
              <w:rPr>
                <w:b/>
                <w:i/>
              </w:rPr>
              <w:t>labiau stengtis</w:t>
            </w:r>
            <w:r>
              <w:t xml:space="preserve"> siekiant sumažinti piliečiams ir įmonėms </w:t>
            </w:r>
            <w:r>
              <w:rPr>
                <w:b/>
                <w:i/>
              </w:rPr>
              <w:t>taikomus reguliavimo</w:t>
            </w:r>
            <w:r>
              <w:t xml:space="preserve"> įpareigojimus </w:t>
            </w:r>
            <w:r>
              <w:rPr>
                <w:b/>
                <w:i/>
              </w:rPr>
              <w:t>ir pagerinti ES teisės aktų kokybę ir veiksmingumą užtikrinant, kad reguliavimo priemonės būtų proporcingos, pagrįstos įrodymais ir teiktų aiškią pridėtinę vertę piliečiams ir įmonėms;</w:t>
            </w:r>
            <w:r>
              <w:t xml:space="preserve"> </w:t>
            </w:r>
            <w:r>
              <w:rPr>
                <w:b/>
                <w:i/>
              </w:rPr>
              <w:t>pabrėžia, kad daugiausia dėmesio turėtų būti skiriama nereikalingos administracinės naštos mažinimui, kartu išlaikant aukštą socialinės, aplinkos ir vartotojų apsaugos lygį;</w:t>
            </w:r>
            <w:r>
              <w:t xml:space="preserve"> </w:t>
            </w:r>
            <w:r>
              <w:rPr>
                <w:b/>
                <w:i/>
              </w:rPr>
              <w:t>nepritaria minčiai nustatyti savavališkus kiekybinius tikslus, pvz., principą</w:t>
            </w:r>
            <w:r>
              <w:t xml:space="preserve"> „kiek plius, tiek minus“</w:t>
            </w:r>
            <w:r>
              <w:rPr>
                <w:b/>
                <w:i/>
              </w:rPr>
              <w:t>, nes tai gali pakenkti Sąjungos politikos tikslams</w:t>
            </w:r>
            <w:r>
              <w:t>; ragina stiprinti Reglamentavimo patikros valdybos vaidmenį šioje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ragina Komisiją toliau stiprinti pastangas siekiant sumažinti teisės aktais piliečiams ir įmonėms nustatytus įpareigojimus; mano, kad dabartinis požiūris „kiek plius, tiek minus“ šiuo atžvilgiu yra nepakankamas; todėl ragina nustatyti principą „vienas plius, du minus“, kad būtų iš tiesų palengvinta reglamentavimo našta, o ne tik išlaikytas reglamentavimo status quo; laikosi nuomonės, kad principo „vienas plius, du minus“ nustatymas turėtų apimti aiškią metodiką ir nepriklausomą stebėsenos mechanizmą, kad būtų galima sumažinti grynąsias reglamentavimo lemiamas sąnaudas; </w:t>
            </w:r>
            <w:r>
              <w:rPr>
                <w:b/>
                <w:i/>
              </w:rPr>
              <w:t>ragina stiprinti Reglamentavimo patikros valdybos vaidmenį šioje srityje;</w:t>
            </w:r>
          </w:p>
        </w:tc>
        <w:tc>
          <w:tcPr>
            <w:tcW w:w="4876" w:type="dxa"/>
            <w:tcBorders>
              <w:top w:val="nil"/>
              <w:left w:val="nil"/>
              <w:bottom w:val="nil"/>
              <w:right w:val="nil"/>
            </w:tcBorders>
          </w:tcPr>
          <w:p>
            <w:pPr>
              <w:pStyle w:val="Normal6a"/>
            </w:pPr>
            <w:r>
              <w:t>11.</w:t>
            </w:r>
            <w:r>
              <w:tab/>
            </w:r>
            <w:r>
              <w:t>ragina Komisiją toliau stiprinti pastangas siekiant sumažinti teisės aktais piliečiams ir įmonėms nustatytus įpareigojimus; mano, kad dabartinis požiūris „kiek plius, tiek minus“ šiuo atžvilgiu yra nepakankamas; todėl ragina nustatyti principą „vienas plius, du minus“, kad būtų iš tiesų palengvinta reglamentavimo našta, o ne tik išlaikytas reglamentavimo status quo; laikosi nuomonės, kad principo „vienas plius, du minus“ nustatymas turėtų apimti aiškią metodiką</w:t>
            </w:r>
            <w:r>
              <w:rPr>
                <w:b/>
                <w:i/>
              </w:rPr>
              <w:t>, skaidrius rodiklius</w:t>
            </w:r>
            <w:r>
              <w:t xml:space="preserve"> ir nepriklausomą stebėsenos mechanizmą</w:t>
            </w:r>
            <w:r>
              <w:rPr>
                <w:b/>
                <w:i/>
              </w:rPr>
              <w:t>, kartu su Reguliavimo patikros valdybos vaidmens stiprinimu</w:t>
            </w:r>
            <w:r>
              <w:t>, kad būtų galima sumažinti grynąsias reglamentavimo lemiamas sąnaudas;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Komisiją toliau stiprinti pastangas siekiant sumažinti teisės aktais piliečiams ir įmonėms nustatytus įpareigojimus; mano, kad dabartinis požiūris „kiek plius, tiek minus“ šiuo atžvilgiu yra nepakankamas; todėl ragina nustatyti principą „vienas plius, du minus“, kad būtų iš tiesų palengvinta reglamentavimo našta, o ne tik išlaikytas reglamentavimo status quo; laikosi nuomonės, kad principo „vienas plius, du minus“ nustatymas turėtų apimti aiškią metodiką ir nepriklausomą stebėsenos mechanizmą, kad būtų galima sumažinti grynąsias reglamentavimo lemiamas sąnaudas; ragina stiprinti Reglamentavimo patikros valdybos vaidmenį šioje srityje;</w:t>
            </w:r>
          </w:p>
        </w:tc>
        <w:tc>
          <w:tcPr>
            <w:tcW w:w="4876" w:type="dxa"/>
            <w:tcBorders>
              <w:top w:val="nil"/>
              <w:left w:val="nil"/>
              <w:bottom w:val="nil"/>
              <w:right w:val="nil"/>
            </w:tcBorders>
          </w:tcPr>
          <w:p>
            <w:pPr>
              <w:pStyle w:val="Normal6a"/>
            </w:pPr>
            <w:r>
              <w:t>11.</w:t>
            </w:r>
            <w:r>
              <w:tab/>
            </w:r>
            <w:r>
              <w:t xml:space="preserve">ragina Komisiją toliau stiprinti pastangas siekiant sumažinti teisės aktais piliečiams ir įmonėms nustatytus įpareigojimus; mano, kad dabartinis požiūris „kiek plius, tiek minus“ šiuo atžvilgiu yra </w:t>
            </w:r>
            <w:r>
              <w:rPr>
                <w:b/>
                <w:i/>
              </w:rPr>
              <w:t>toli gražu</w:t>
            </w:r>
            <w:r>
              <w:t xml:space="preserve"> nepakankamas; todėl ragina nustatyti principą „vienas plius, du minus“, kad būtų iš tiesų palengvinta reglamentavimo našta, o ne tik išlaikytas reglamentavimo status quo; laikosi nuomonės, kad principo „vienas plius, du minus“ nustatymas turėtų apimti aiškią metodiką ir nepriklausomą stebėsenos mechanizmą, kad būtų galima sumažinti grynąsias reglamentavimo lemiamas sąnaudas; ragina stiprinti Reglamentavimo patikros valdybos vaidmenį šioje srityje;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atkreipia dėmesį į Reglamentavimo patikros valdybos dalyvavimą atliekant poveikio vertinimus, tinkamumo patikrinimus ir pagrindinius esamų teisės aktų vertinimus;</w:t>
            </w:r>
            <w:r>
              <w:t xml:space="preserve"> </w:t>
            </w:r>
            <w:r>
              <w:rPr>
                <w:b/>
                <w:i/>
              </w:rPr>
              <w:t>tačiau pažymi, kad turėtų būti užtikrinamas gerokai didesnis Reglamentavimo patikros valdybos skaidrumas susitikimų su suinteresuotosiomis šalimis, vertinimų, rekomendacijų ir nuomonių požiūriu;</w:t>
            </w:r>
            <w:r>
              <w:t xml:space="preserve"> </w:t>
            </w:r>
            <w:r>
              <w:rPr>
                <w:b/>
                <w:i/>
              </w:rPr>
              <w:t>pabrėžia, kad dėl valdybos darbo galiausiai neturėtų nukentėti Komisijos gebėjimas teikti pasiūlymus dėl teisės aktų arba nepagrįstai vėluoti pasiūlymų dėl teisės aktų priėmimas;</w:t>
            </w:r>
            <w:r>
              <w:t xml:space="preserve"> </w:t>
            </w:r>
            <w:r>
              <w:rPr>
                <w:b/>
                <w:i/>
              </w:rPr>
              <w:t>mano, kad visos valdybos nuomonės visada be išimčių turėtų būti viešinamos iš karto, kai tik yra priimamos;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mano, kad tais atvejais, kai Reglamentavimo patikros valdyba pateikia neigiamą nuomonę dėl poveikio vertinimo, ypač kai nustatomos didelės konkurencingumo problemos, Parlamentas turėtų būti tinkamai ir laiku informuojamas, kad galėtų atlikti peržiūrą ir nuspręsti, ar toliau nagrinėti pasiūlymą, ar jį atmesti;</w:t>
            </w:r>
          </w:p>
        </w:tc>
        <w:tc>
          <w:tcPr>
            <w:tcW w:w="4876" w:type="dxa"/>
            <w:tcBorders>
              <w:top w:val="nil"/>
              <w:left w:val="nil"/>
              <w:bottom w:val="nil"/>
              <w:right w:val="nil"/>
            </w:tcBorders>
          </w:tcPr>
          <w:p>
            <w:pPr>
              <w:pStyle w:val="Normal6a"/>
            </w:pPr>
            <w:r>
              <w:t>12.</w:t>
            </w:r>
            <w:r>
              <w:tab/>
            </w:r>
            <w:r>
              <w:t xml:space="preserve">mano, kad tais atvejais, kai Reglamentavimo patikros valdyba pateikia neigiamą nuomonę dėl poveikio vertinimo, ypač kai nustatomos didelės konkurencingumo problemos, Parlamentas turėtų būti tinkamai ir laiku informuojamas, kad galėtų atlikti peržiūrą ir nuspręsti, ar toliau nagrinėti pasiūlymą, ar jį atmesti; </w:t>
            </w:r>
            <w:r>
              <w:rPr>
                <w:b/>
                <w:i/>
              </w:rPr>
              <w:t>ragina užtikrinti didesnį Reglamentavimo patikros valdybos skaidrumą, įskaitant greitesnį jos nuomonių paskelbimą ir didesnį aiškumą dėl tolesnių veiksmų, susijusių su jos rekomendacijomis;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mano, kad tais atvejais, kai Reglamentavimo patikros valdyba pateikia neigiamą nuomonę dėl poveikio vertinimo, </w:t>
            </w:r>
            <w:r>
              <w:rPr>
                <w:b/>
                <w:i/>
              </w:rPr>
              <w:t>ypač kai nustatomos didelės konkurencingumo problemos,</w:t>
            </w:r>
            <w:r>
              <w:t xml:space="preserve"> Parlamentas turėtų būti tinkamai ir laiku informuojamas</w:t>
            </w:r>
            <w:r>
              <w:rPr>
                <w:b/>
                <w:i/>
              </w:rPr>
              <w:t>, kad galėtų</w:t>
            </w:r>
            <w:r>
              <w:t xml:space="preserve"> atlikti </w:t>
            </w:r>
            <w:r>
              <w:rPr>
                <w:b/>
                <w:i/>
              </w:rPr>
              <w:t>peržiūrą ir nuspręsti, ar toliau nagrinėti pasiūlymą, ar jį atmesti</w:t>
            </w:r>
            <w:r>
              <w:t>;</w:t>
            </w:r>
          </w:p>
        </w:tc>
        <w:tc>
          <w:tcPr>
            <w:tcW w:w="4876" w:type="dxa"/>
            <w:tcBorders>
              <w:top w:val="nil"/>
              <w:left w:val="nil"/>
              <w:bottom w:val="nil"/>
              <w:right w:val="nil"/>
            </w:tcBorders>
          </w:tcPr>
          <w:p>
            <w:pPr>
              <w:pStyle w:val="Normal6a"/>
            </w:pPr>
            <w:r>
              <w:t>12.</w:t>
            </w:r>
            <w:r>
              <w:tab/>
            </w:r>
            <w:r>
              <w:t>mano, kad tais atvejais, kai Reglamentavimo patikros valdyba pateikia neigiamą nuomonę dėl poveikio vertinimo, Parlamentas turėtų būti tinkamai ir laiku informuojamas</w:t>
            </w:r>
            <w:r>
              <w:rPr>
                <w:b/>
                <w:i/>
              </w:rPr>
              <w:t>;</w:t>
            </w:r>
            <w:r>
              <w:t xml:space="preserve"> </w:t>
            </w:r>
            <w:r>
              <w:rPr>
                <w:b/>
                <w:i/>
              </w:rPr>
              <w:t>ragina Komisiją apsvarstyti, kaip būtų galima patobulinti Reglamentavimo patikros valdybos įgaliojimus ir procedūras, siekiant užtikrinti, kad jos nuomonės teiktų informaciją, o ne trukdytų teisėkūros institucijoms</w:t>
            </w:r>
            <w:r>
              <w:t xml:space="preserve"> atlikti </w:t>
            </w:r>
            <w:r>
              <w:rPr>
                <w:b/>
                <w:i/>
              </w:rPr>
              <w:t>savo vaidmenį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mano, kad tais atvejais, kai Reglamentavimo patikros valdyba pateikia neigiamą nuomonę dėl poveikio vertinimo</w:t>
            </w:r>
            <w:r>
              <w:rPr>
                <w:b/>
                <w:i/>
              </w:rPr>
              <w:t>, ypač kai nustatomos didelės konkurencingumo problemos</w:t>
            </w:r>
            <w:r>
              <w:t>, Parlamentas turėtų būti tinkamai ir laiku informuojamas, kad galėtų atlikti peržiūrą ir nuspręsti, ar toliau nagrinėti pasiūlymą, ar jį atmesti;</w:t>
            </w:r>
          </w:p>
        </w:tc>
        <w:tc>
          <w:tcPr>
            <w:tcW w:w="4876" w:type="dxa"/>
            <w:tcBorders>
              <w:top w:val="nil"/>
              <w:left w:val="nil"/>
              <w:bottom w:val="nil"/>
              <w:right w:val="nil"/>
            </w:tcBorders>
          </w:tcPr>
          <w:p>
            <w:pPr>
              <w:pStyle w:val="Normal6a"/>
            </w:pPr>
            <w:r>
              <w:t>12.</w:t>
            </w:r>
            <w:r>
              <w:tab/>
            </w:r>
            <w:r>
              <w:t>mano, kad tais atvejais, kai Reglamentavimo patikros valdyba pateikia neigiamą nuomonę dėl poveikio vertinimo, Parlamentas turėtų būti tinkamai ir laiku informuojamas, kad galėtų atlikti peržiūrą ir nuspręsti, ar toliau nagrinėti pasiūlymą, ar jį atmesti;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mano, kad tais atvejais, kai Reglamentavimo patikros valdyba pateikia neigiamą nuomonę dėl poveikio vertinimo, ypač kai nustatomos didelės konkurencingumo problemos, Parlamentas turėtų būti tinkamai </w:t>
            </w:r>
            <w:r>
              <w:rPr>
                <w:b/>
                <w:i/>
              </w:rPr>
              <w:t>ir laiku</w:t>
            </w:r>
            <w:r>
              <w:t xml:space="preserve"> informuojamas, kad galėtų atlikti peržiūrą ir nuspręsti, ar toliau nagrinėti pasiūlymą, ar jį atmesti;</w:t>
            </w:r>
          </w:p>
        </w:tc>
        <w:tc>
          <w:tcPr>
            <w:tcW w:w="4876" w:type="dxa"/>
            <w:tcBorders>
              <w:top w:val="nil"/>
              <w:left w:val="nil"/>
              <w:bottom w:val="nil"/>
              <w:right w:val="nil"/>
            </w:tcBorders>
          </w:tcPr>
          <w:p>
            <w:pPr>
              <w:pStyle w:val="Normal6a"/>
            </w:pPr>
            <w:r>
              <w:t>12.</w:t>
            </w:r>
            <w:r>
              <w:tab/>
            </w:r>
            <w:r>
              <w:t xml:space="preserve">mano, kad tais atvejais, kai Reglamentavimo patikros valdyba pateikia neigiamą nuomonę dėl poveikio vertinimo, ypač kai nustatomos didelės konkurencingumo problemos, Parlamentas turėtų būti tinkamai </w:t>
            </w:r>
            <w:r>
              <w:rPr>
                <w:b/>
                <w:i/>
              </w:rPr>
              <w:t>per pagrįstą laikotarpį</w:t>
            </w:r>
            <w:r>
              <w:t xml:space="preserve"> informuojamas, kad galėtų atlikti peržiūrą ir nuspręsti, ar toliau nagrinėti pasiūlymą, ar jį atmesti;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atkreipia dėmesį į neigiamą NVO vaidmenį ES teisėkūros procese, ypač tokiose srityse kaip klimato ir energetikos politika;</w:t>
            </w:r>
            <w:r>
              <w:t xml:space="preserve"> </w:t>
            </w:r>
            <w:r>
              <w:rPr>
                <w:b/>
                <w:i/>
              </w:rPr>
              <w:t>pabrėžia, kad būtina užtikrinti visišką skaidrumą Komisijai finansuojant lobistinę veiklą, nukreiptą į kitas ES institucijas, visų pirma Europos Parlamentą;</w:t>
            </w:r>
            <w:r>
              <w:t xml:space="preserve"> </w:t>
            </w:r>
            <w:r>
              <w:rPr>
                <w:b/>
                <w:i/>
              </w:rPr>
              <w:t>pabrėžia CONT komiteto Tikrinimo darbo grupės svarbą atskleidžiant NVO veiklos, kurios metu per konsultacijas ar vykdant patariamąsias funkcijas daromas poveikis ES teisėkūrai, finansavimo šaltinius;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ragina Europos Parlamentą atlikti svarbesnį vaidmenį atliekant ES teisės aktų ex post vertinimą ir stebint principo „kiek plius, tiek minus“ įgyvendinimą, užtikrinant, kad supaprastinimo pastangos nepakenktų piliečių teisėms, darbuotojų apsaugai ar aplinkos apsaugos standartams;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ragina Komisiją išnagrinėti būdus, kaip toliau stiprinti Reglamentavimo patikros valdybos nepriklausomumą ir pajėgumus, be kita ko, užtikrinant, kad jai būtų suteikta pakankamai išteklių didesnei Komisijos iniciatyvų daliai peržiūrėti;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pažymi, kad Komisijos atliekamam metiniam naštos tyrimui tenka pagrindinis vaidmuo stebint pažangą, daromą siekiant mažinti naštą;</w:t>
            </w:r>
            <w:r>
              <w:t xml:space="preserve"> </w:t>
            </w:r>
            <w:r>
              <w:rPr>
                <w:b/>
                <w:i/>
              </w:rPr>
              <w:t>vis dėlto</w:t>
            </w:r>
            <w:r>
              <w:t xml:space="preserve"> pabrėžia, kad, siekiant užtikrinti atskaitomybę ir palyginamumą įvairiose politikos srityse, būtinas didesnis apskaičiavimo ir metodikos, naudojamos </w:t>
            </w:r>
            <w:r>
              <w:rPr>
                <w:b/>
                <w:i/>
              </w:rPr>
              <w:t>sąnaudoms ir</w:t>
            </w:r>
            <w:r>
              <w:t xml:space="preserve"> kaupiamajam poveikiui įvertinti, skaidrumas;</w:t>
            </w:r>
          </w:p>
        </w:tc>
        <w:tc>
          <w:tcPr>
            <w:tcW w:w="4876" w:type="dxa"/>
            <w:tcBorders>
              <w:top w:val="nil"/>
              <w:left w:val="nil"/>
              <w:bottom w:val="nil"/>
              <w:right w:val="nil"/>
            </w:tcBorders>
          </w:tcPr>
          <w:p>
            <w:pPr>
              <w:pStyle w:val="Normal6a"/>
            </w:pPr>
            <w:r>
              <w:t>13.</w:t>
            </w:r>
            <w:r>
              <w:tab/>
            </w:r>
            <w:r>
              <w:t>pabrėžia, kad, siekiant užtikrinti atskaitomybę ir palyginamumą įvairiose politikos srityse, būtinas didesnis apskaičiavimo ir metodikos, naudojamos kaupiamajam poveikiui įvertinti, skaidrumas;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pažymi, kad nacionaliniai parlamentai neturi kompetencijos atlikti išankstinių Europos Komisijos priimtų deleguotųjų ir įgyvendinimo aktų patikrų;</w:t>
            </w:r>
            <w:r>
              <w:t xml:space="preserve"> </w:t>
            </w:r>
            <w:r>
              <w:rPr>
                <w:b/>
                <w:i/>
              </w:rPr>
              <w:t>toks trūkumas kelia susirūpinimą dėl proporcingumo principo apsaugos, ypač tose srityse, kurioms būdingos priemonės, dėl kurių gali būti pažeistas proporcingumo principas, ypač techniškai itin sudėtingose srityse, kuriose pagrindiniame akte nustatytų įgaliojimų viršijimo rizika yra didesnė;</w:t>
            </w:r>
            <w:r>
              <w:t xml:space="preserve"> </w:t>
            </w:r>
            <w:r>
              <w:rPr>
                <w:b/>
                <w:i/>
              </w:rPr>
              <w:t>primena, kad savo sprendime C-14/18 Teisingumo Teismas pakartojo, jog svarbu laikytis proporcingumo principo visais reguliavimo proceso etapais, įskaitant įgyvendinimą;</w:t>
            </w:r>
            <w:r>
              <w:t xml:space="preserve"> </w:t>
            </w:r>
            <w:r>
              <w:rPr>
                <w:b/>
                <w:i/>
              </w:rPr>
              <w:t>ragina Europos Komisiją stiprinti šių aktų demokratinės ir apskaitos kontrolės mechanizmus;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ragina Komisiją reguliariai taikyti procedūros sustabdymo mechanizmą tais atvejais, kai įsigaliojantys teisės aktai ar reglamentai gali kelti grėsmę Europos konkurencingumui strateginiuose ekonomikos sektoriuose, o jų įgyvendinimo išlaidos gerokai viršija galimą jų taikymo naudą;</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palankiai vertina M. Draghi idėją parengti bendrą aiškią metodiką, pagal kurią būtų kiekybiškai įvertinamos naujų teisės aktų išlaidos, ir mano, kad Komisija turėtų parengti tokią metodiką;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ragina Komisiją sukurti išankstinio pranešimo nacionaliniams parlamentams apie deleguotuosius ir įgyvendinimo aktus sistemą, panašią į tą, kuri numatyta teisėkūros procedūra priimamiems aktams;</w:t>
            </w:r>
            <w:r>
              <w:t xml:space="preserve"> </w:t>
            </w:r>
            <w:r>
              <w:rPr>
                <w:b/>
                <w:i/>
              </w:rPr>
              <w:t>ragina užtikrinti, kad pagal šią sistemą nacionaliniai parlamentai galėtų teikti pastabas dėl proporcingumo ir nacionalinio poveikio prieš juos galutinai patvirtinant;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pažymi, kad pareiga teikti ataskaitas dažnai lemia dideles administracines sąnaudas įmonėms, ypač MVĮ;</w:t>
            </w:r>
            <w:r>
              <w:t xml:space="preserve"> </w:t>
            </w:r>
            <w:r>
              <w:rPr>
                <w:b/>
                <w:i/>
              </w:rPr>
              <w:t>mano, kad tokios pareigos turėtų būti pripažintos bendrojo intereso paslauga;</w:t>
            </w:r>
            <w:r>
              <w:t xml:space="preserve"> </w:t>
            </w:r>
            <w:r>
              <w:rPr>
                <w:b/>
                <w:i/>
              </w:rPr>
              <w:t>todėl ragina Komisiją įvertinti galimybę sukurti mechanizmus, pagal kuriuos įmonės galėtų gauti finansinę kompensaciją už privalomas ataskaitų teikimo užduotis;</w:t>
            </w:r>
            <w:r>
              <w:t xml:space="preserve"> </w:t>
            </w:r>
            <w:r>
              <w:rPr>
                <w:b/>
                <w:i/>
              </w:rPr>
              <w:t>ragina Komisiją pateikti ataskaitą, kurioje būtų nurodytos pareigų teikti ataskaitas rūšys, kurioms tokios kompensavimo sistemos galėtų būti tinkamos;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pažymi, kad pareiga teikti ataskaitas dažnai lemia dideles administracines sąnaudas įmonėms, ypač MVĮ; mano, kad tokios pareigos turėtų būti </w:t>
            </w:r>
            <w:r>
              <w:rPr>
                <w:b/>
                <w:i/>
              </w:rPr>
              <w:t>pripažintos bendrojo intereso paslauga;</w:t>
            </w:r>
            <w:r>
              <w:t xml:space="preserve"> </w:t>
            </w:r>
            <w:r>
              <w:rPr>
                <w:b/>
                <w:i/>
              </w:rPr>
              <w:t>todėl ragina Komisiją įvertinti galimybę sukurti mechanizmus, pagal kuriuos įmonės galėtų gauti finansinę kompensaciją už privalomas ataskaitų teikimo užduotis</w:t>
            </w:r>
            <w:r>
              <w:t xml:space="preserve">; </w:t>
            </w:r>
            <w:r>
              <w:rPr>
                <w:b/>
                <w:i/>
              </w:rPr>
              <w:t>ragina Komisiją pateikti ataskaitą, kurioje būtų nurodytos pareigų teikti ataskaitas rūšys, kurioms tokios kompensavimo sistemos galėtų būti tinkamos;</w:t>
            </w:r>
          </w:p>
        </w:tc>
        <w:tc>
          <w:tcPr>
            <w:tcW w:w="4876" w:type="dxa"/>
            <w:tcBorders>
              <w:top w:val="nil"/>
              <w:left w:val="nil"/>
              <w:bottom w:val="nil"/>
              <w:right w:val="nil"/>
            </w:tcBorders>
          </w:tcPr>
          <w:p>
            <w:pPr>
              <w:pStyle w:val="Normal6a"/>
            </w:pPr>
            <w:r>
              <w:t>14.</w:t>
            </w:r>
            <w:r>
              <w:tab/>
            </w:r>
            <w:r>
              <w:t xml:space="preserve">pažymi, kad pareiga teikti ataskaitas dažnai lemia dideles administracines sąnaudas įmonėms, ypač MVĮ; mano, kad tokios pareigos turėtų būti </w:t>
            </w:r>
            <w:r>
              <w:rPr>
                <w:b/>
                <w:i/>
              </w:rPr>
              <w:t>panaikintos, bent jau MVĮ atveju</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pažymi, kad pareiga teikti ataskaitas dažnai lemia dideles administracines sąnaudas įmonėms, ypač MVĮ; mano, kad tokios pareigos turėtų būti pripažintos bendrojo intereso paslauga; todėl ragina Komisiją įvertinti galimybę sukurti mechanizmus, pagal kuriuos įmonės galėtų gauti finansinę kompensaciją už privalomas ataskaitų teikimo užduotis; ragina Komisiją pateikti ataskaitą, kurioje būtų nurodytos pareigų teikti ataskaitas rūšys, kurioms tokios kompensavimo sistemos galėtų būti tinkamos;</w:t>
            </w:r>
          </w:p>
        </w:tc>
        <w:tc>
          <w:tcPr>
            <w:tcW w:w="4876" w:type="dxa"/>
            <w:tcBorders>
              <w:top w:val="nil"/>
              <w:left w:val="nil"/>
              <w:bottom w:val="nil"/>
              <w:right w:val="nil"/>
            </w:tcBorders>
          </w:tcPr>
          <w:p>
            <w:pPr>
              <w:pStyle w:val="Normal6a"/>
            </w:pPr>
            <w:r>
              <w:t>14.</w:t>
            </w:r>
            <w:r>
              <w:tab/>
            </w:r>
            <w:r>
              <w:t xml:space="preserve">pažymi, kad pareiga teikti ataskaitas dažnai lemia dideles administracines sąnaudas įmonėms, ypač MVĮ; mano, kad tokios pareigos turėtų būti pripažintos bendrojo intereso paslauga; todėl ragina Komisiją įvertinti galimybę sukurti mechanizmus, pagal kuriuos įmonės galėtų </w:t>
            </w:r>
            <w:r>
              <w:rPr>
                <w:b/>
                <w:i/>
              </w:rPr>
              <w:t>iš Europos Sąjungos biudžeto</w:t>
            </w:r>
            <w:r>
              <w:t xml:space="preserve"> gauti finansinę kompensaciją už privalomas ataskaitų teikimo užduotis; ragina Komisiją pateikti ataskaitą, kurioje būtų nurodytos pareigų teikti ataskaitas rūšys, kurioms tokios kompensavimo sistemos galėtų būti tinkamos;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pažymi, kad </w:t>
            </w:r>
            <w:r>
              <w:rPr>
                <w:b/>
                <w:i/>
              </w:rPr>
              <w:t>pareiga teikti ataskaitas dažnai lemia dideles administracines sąnaudas įmonėms, ypač MVĮ</w:t>
            </w:r>
            <w:r>
              <w:t xml:space="preserve">; mano, kad tokios pareigos turėtų būti </w:t>
            </w:r>
            <w:r>
              <w:rPr>
                <w:b/>
                <w:i/>
              </w:rPr>
              <w:t>pripažintos bendrojo intereso paslauga;</w:t>
            </w:r>
            <w:r>
              <w:t xml:space="preserve"> </w:t>
            </w:r>
            <w:r>
              <w:rPr>
                <w:b/>
                <w:i/>
              </w:rPr>
              <w:t>todėl ragina Komisiją įvertinti galimybę sukurti mechanizmus, pagal kuriuos įmonės galėtų gauti finansinę kompensaciją už privalomas</w:t>
            </w:r>
            <w:r>
              <w:t xml:space="preserve"> ataskaitų </w:t>
            </w:r>
            <w:r>
              <w:rPr>
                <w:b/>
                <w:i/>
              </w:rPr>
              <w:t>teikimo užduotis;</w:t>
            </w:r>
            <w:r>
              <w:t xml:space="preserve"> </w:t>
            </w:r>
            <w:r>
              <w:rPr>
                <w:b/>
                <w:i/>
              </w:rPr>
              <w:t>ragina Komisiją pateikti ataskaitą, kurioje būtų nurodytos pareigų</w:t>
            </w:r>
            <w:r>
              <w:t xml:space="preserve"> teikti ataskaitas </w:t>
            </w:r>
            <w:r>
              <w:rPr>
                <w:b/>
                <w:i/>
              </w:rPr>
              <w:t>rūšys, kurioms tokios kompensavimo sistemos galėtų būti tinkamos</w:t>
            </w:r>
            <w:r>
              <w:t>;</w:t>
            </w:r>
          </w:p>
        </w:tc>
        <w:tc>
          <w:tcPr>
            <w:tcW w:w="4876" w:type="dxa"/>
            <w:tcBorders>
              <w:top w:val="nil"/>
              <w:left w:val="nil"/>
              <w:bottom w:val="nil"/>
              <w:right w:val="nil"/>
            </w:tcBorders>
          </w:tcPr>
          <w:p>
            <w:pPr>
              <w:pStyle w:val="Normal6a"/>
            </w:pPr>
            <w:r>
              <w:t>14.</w:t>
            </w:r>
            <w:r>
              <w:tab/>
            </w:r>
            <w:r>
              <w:t xml:space="preserve">pažymi, kad </w:t>
            </w:r>
            <w:r>
              <w:rPr>
                <w:b/>
                <w:i/>
              </w:rPr>
              <w:t>dėl besidubliuojančių ataskaitų teikimo pareigų įmonės gali patirti didelių administracinių išlaidų</w:t>
            </w:r>
            <w:r>
              <w:t xml:space="preserve">; mano, kad tokios pareigos turėtų būti </w:t>
            </w:r>
            <w:r>
              <w:rPr>
                <w:b/>
                <w:i/>
              </w:rPr>
              <w:t>supaprastintos ir kad turėtų būti teikiama didesnė parama</w:t>
            </w:r>
            <w:r>
              <w:t xml:space="preserve"> ataskaitų </w:t>
            </w:r>
            <w:r>
              <w:rPr>
                <w:b/>
                <w:i/>
              </w:rPr>
              <w:t>skaitmeninimui;</w:t>
            </w:r>
            <w:r>
              <w:t xml:space="preserve"> </w:t>
            </w:r>
            <w:r>
              <w:rPr>
                <w:b/>
                <w:i/>
              </w:rPr>
              <w:t>vis dėlto, pripažįsta, kad svarbu faktiškai</w:t>
            </w:r>
            <w:r>
              <w:t xml:space="preserve"> teikti ataskaitas </w:t>
            </w:r>
            <w:r>
              <w:rPr>
                <w:b/>
                <w:i/>
              </w:rPr>
              <w:t>siekiant sekti teisėtus viešosios politikos tikslus ir užtikrinti teisės aktų vykdymą, ir pabrėžia, kad bet kokie ataskaitų teikimo sistemų pakeitimai neturėtų kenkti galiojantiems teisės aktams, lemti reguliavimo panaikinimo ar susilpninti jo vykdymo užtikrinimo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ragina Komisiją pagal principą „iš apačios į viršų“ sistemingai integruoti duomenis apie tai, kaip piliečiai suvokia, supranta ir praktiškai naudojasi savo teisėmis, įskaitant jų patirtį, susijusią su vykdymo užtikrinimo ir teisių gynimo mechanizmais;</w:t>
            </w:r>
            <w:r>
              <w:t xml:space="preserve"> </w:t>
            </w:r>
            <w:r>
              <w:rPr>
                <w:b/>
                <w:i/>
              </w:rPr>
              <w:t>ragina šį aspektą geriau atspindėti Geresnio reglamentavimo gairėse ir Geresnio reglamentavimo priemonių rinkinyje, kad būtų sustiprintas įrodymais grindžiamas vykdymo užtikrinimas ir sudarytos sąlygos Parlamentui veiksmingiau, žvelgiant iš piliečių perspektyvos, tikrinti Komisijos veiksmus;</w:t>
            </w:r>
            <w:r>
              <w:t xml:space="preserve"> </w:t>
            </w:r>
            <w:r>
              <w:rPr>
                <w:b/>
                <w:i/>
              </w:rPr>
              <w:t>ragina Komisiją ir teisėkūros institucijas didinti praktinį ES teisės aktų taikymą kiekviename politikos ciklo etape, be kita ko, užtikrinant tikrą piliečių dalyvavimą rengiant politiką, į naudotoją orientuotą teisės aktų projektų rengimą, naudotojų atliekamą jų tikrinimą ir konsultacijas pasibaigus teisėkūros procesui;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pabrėžia skaitmeninimo ir skaitmeninių procesų svarbą didinant skaidrumą ir sudarant palankesnes sąlygas konsultacijoms su suinteresuotaisiais subjektais ir nacionaliniais parlamentais, nes tai suteikia naują aspektą subsidiarumo ir proporcingumo principų taikymui mažinant biurokratiją ir užtikrinant, kad informacija būtų prieinamesnė;</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ragina dažniau taikyti tokius procesus kaip vertinimas ir Reglamentavimo kokybės ir rezultatų programa (REFIT), kuriais siekiama supaprastinti teisės aktus;</w:t>
            </w:r>
            <w:r>
              <w:t xml:space="preserve"> </w:t>
            </w:r>
            <w:r>
              <w:rPr>
                <w:b/>
                <w:i/>
              </w:rPr>
              <w:t>taip pat mano, kad įvairūs teisėkūros metodai, kurie galėtų padėti įgyvendinti pasenusias ar perteklines priemones, yra nepakankamai naudojami arba, kai naudojami, naudojami prastai;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ragina Komisiją iki 2026 m. nustatyti įpareigojimą rengti kiekvieno ES teisėkūros procedūra priimamo akto santrauką piliečiams visomis oficialiosiomis kalbomis, kurioje būtų aiškiai nurodytas to akto tikslas, teisės, pareigos ir numatomas poveikis, kad ES teisė taptų prieinamesnė ir suprantamesnė piliečiams;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primena, kad M. Draghi pranešime </w:t>
            </w:r>
            <w:r>
              <w:rPr>
                <w:b/>
                <w:i/>
              </w:rPr>
              <w:t>pabrėžiama, jog taisyklių supaprastinimas yra vienas iš trijų visa pagrindinių tikslų siekiant</w:t>
            </w:r>
            <w:r>
              <w:t xml:space="preserve"> atnaujintos Europos partnerystės</w:t>
            </w:r>
            <w:r>
              <w:rPr>
                <w:vertAlign w:val="superscript"/>
              </w:rPr>
              <w:t>7</w:t>
            </w:r>
            <w:r>
              <w:t>; be to, primena, kad E. Lettos pranešime taip pat pabrėžiama, kad reglamentais turėtų būti palengvinta ekonominė veikla ir inovacijos bendrojoje rinkoje, o ne joms trukdoma</w:t>
            </w:r>
            <w:r>
              <w:rPr>
                <w:vertAlign w:val="superscript"/>
              </w:rPr>
              <w:t>8</w:t>
            </w:r>
            <w:r>
              <w:t>;</w:t>
            </w:r>
          </w:p>
        </w:tc>
        <w:tc>
          <w:tcPr>
            <w:tcW w:w="4876" w:type="dxa"/>
            <w:tcBorders>
              <w:top w:val="nil"/>
              <w:left w:val="nil"/>
              <w:bottom w:val="nil"/>
              <w:right w:val="nil"/>
            </w:tcBorders>
          </w:tcPr>
          <w:p>
            <w:pPr>
              <w:pStyle w:val="Normal6a"/>
            </w:pPr>
            <w:r>
              <w:t>15.</w:t>
            </w:r>
            <w:r>
              <w:tab/>
            </w:r>
            <w:r>
              <w:t>primena, kad M. Draghi pranešime</w:t>
            </w:r>
            <w:r>
              <w:rPr>
                <w:b/>
                <w:i/>
              </w:rPr>
              <w:t>, be kitų svarbesnių visa apimančių</w:t>
            </w:r>
            <w:r>
              <w:t xml:space="preserve"> atnaujintos Europos partnerystės</w:t>
            </w:r>
            <w:r>
              <w:rPr>
                <w:vertAlign w:val="superscript"/>
              </w:rPr>
              <w:t>7</w:t>
            </w:r>
            <w:r>
              <w:t xml:space="preserve"> </w:t>
            </w:r>
            <w:r>
              <w:rPr>
                <w:b/>
                <w:i/>
              </w:rPr>
              <w:t>tikslų, pabrėžiamas besidubliuojančių taisyklių supaprastinimas, nes jos prisideda prie Europos konkurencingumo</w:t>
            </w:r>
            <w:r>
              <w:t>; be to, primena, kad E. Lettos pranešime taip pat pabrėžiama, kad reglamentais turėtų būti palengvinta ekonominė veikla ir inovacijos bendrojoje rinkoje, o ne joms trukdoma</w:t>
            </w:r>
            <w:r>
              <w:rPr>
                <w:vertAlign w:val="superscript"/>
              </w:rPr>
              <w:t>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Draghi M., „Europos konkurencingumo ateitis: Europos konkurencingumo strategija“, Europos Komisija, 2024 m. rugsėjo 9 d., A dalis, p. 67–68.</w:t>
            </w:r>
          </w:p>
        </w:tc>
        <w:tc>
          <w:tcPr>
            <w:tcW w:w="4876" w:type="dxa"/>
            <w:tcBorders>
              <w:top w:val="nil"/>
              <w:left w:val="nil"/>
              <w:bottom w:val="nil"/>
              <w:right w:val="nil"/>
            </w:tcBorders>
          </w:tcPr>
          <w:p>
            <w:pPr>
              <w:pStyle w:val="Normal6a"/>
            </w:pPr>
            <w:r>
              <w:rPr>
                <w:vertAlign w:val="superscript"/>
              </w:rPr>
              <w:t>7</w:t>
            </w:r>
            <w:r>
              <w:t xml:space="preserve"> </w:t>
            </w:r>
            <w:r>
              <w:t>Draghi M., „Europos konkurencingumo ateitis: Europos konkurencingumo strategija“, Europos Komisija, 2024 m. rugsėjo 9 d., A dalis, p. 67–68.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Letta Enrico, „Daug daugiau nei rinka“, Europos Vadovų Taryba, 2024 m. balandžio mėn., p. 130.</w:t>
            </w:r>
          </w:p>
        </w:tc>
        <w:tc>
          <w:tcPr>
            <w:tcW w:w="4876" w:type="dxa"/>
            <w:tcBorders>
              <w:top w:val="nil"/>
              <w:left w:val="nil"/>
              <w:bottom w:val="nil"/>
              <w:right w:val="nil"/>
            </w:tcBorders>
          </w:tcPr>
          <w:p>
            <w:pPr>
              <w:pStyle w:val="Normal6a"/>
            </w:pPr>
            <w:r>
              <w:rPr>
                <w:vertAlign w:val="superscript"/>
              </w:rPr>
              <w:t>8</w:t>
            </w:r>
            <w:r>
              <w:t xml:space="preserve"> </w:t>
            </w:r>
            <w:r>
              <w:t>Letta Enrico, „Daug daugiau nei rinka“, Europos Vadovų Taryba, 2024 m. balandžio mėn., p. 130.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apgailestauja dėl to, kad Komisijos reguliavimo panaikinimo iniciatyvų ir projektų, kuriais siekiama supaprastinti galiojančius teisės aktus, taikymo sritis iki šiol buvo ribota;</w:t>
            </w:r>
            <w:r>
              <w:t xml:space="preserve"> </w:t>
            </w:r>
            <w:r>
              <w:rPr>
                <w:b/>
                <w:i/>
              </w:rPr>
              <w:t>ragina Komisiją imtis ryžtingesnių ir drąsesnių reguliavimo panaikinimo veiksmų, ypač tokiose srityse kaip klimato, energetikos ir skaitmeninė politika;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palankiai vertina tai, kad 2023 m. pradėta nauja poveikio MVĮ ir konkurencingumo patikra, kuri tapo privalomu poveikio vertinimų priedu; palankiai vertina Komisijos pirmininkės Ursulos von der Leyen įsipareigojimą, kad ši nauja poveikio MVĮ ir konkurencingumo patikra padės išvengti reglamentavimo naštos ir kartu išlaikyti aukštus standartus; pažymi, kad dabar turi </w:t>
            </w:r>
            <w:r>
              <w:rPr>
                <w:b/>
                <w:i/>
              </w:rPr>
              <w:t>būti imamasi veiksmų šiam įsipareigojimui vykdyti</w:t>
            </w:r>
            <w:r>
              <w:t>;</w:t>
            </w:r>
          </w:p>
        </w:tc>
        <w:tc>
          <w:tcPr>
            <w:tcW w:w="4876" w:type="dxa"/>
            <w:tcBorders>
              <w:top w:val="nil"/>
              <w:left w:val="nil"/>
              <w:bottom w:val="nil"/>
              <w:right w:val="nil"/>
            </w:tcBorders>
          </w:tcPr>
          <w:p>
            <w:pPr>
              <w:pStyle w:val="Normal6a"/>
            </w:pPr>
            <w:r>
              <w:t>16.</w:t>
            </w:r>
            <w:r>
              <w:tab/>
            </w:r>
            <w:r>
              <w:t xml:space="preserve">palankiai vertina tai, kad 2023 m. pradėta nauja poveikio MVĮ ir konkurencingumo patikra, kuri tapo privalomu poveikio vertinimų priedu; palankiai vertina Komisijos pirmininkės Ursulos von der Leyen įsipareigojimą, kad ši nauja poveikio MVĮ ir konkurencingumo patikra padės išvengti reglamentavimo naštos ir kartu išlaikyti aukštus </w:t>
            </w:r>
            <w:r>
              <w:rPr>
                <w:b/>
                <w:i/>
              </w:rPr>
              <w:t>aplinkos apsaugos, socialinius ir vartotojų apsaugos</w:t>
            </w:r>
            <w:r>
              <w:t xml:space="preserve"> standartus; pažymi, kad </w:t>
            </w:r>
            <w:r>
              <w:rPr>
                <w:b/>
                <w:i/>
              </w:rPr>
              <w:t>veiksmai</w:t>
            </w:r>
            <w:r>
              <w:t xml:space="preserve"> dabar turi </w:t>
            </w:r>
            <w:r>
              <w:rPr>
                <w:b/>
                <w:i/>
              </w:rPr>
              <w:t>atitikti žodžius, kuriais daugiausia dėmesio skiriama paramai MVĮ, ir suteikti joms priemonių ES tikslams pasiekti, o ne skatinti aklai naikinti reguliavimą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palankiai vertina tai, kad 2023 m. pradėta nauja poveikio MVĮ ir konkurencingumo patikra, kuri tapo privalomu poveikio vertinimų priedu; palankiai vertina Komisijos pirmininkės Ursulos von der Leyen įsipareigojimą, kad ši nauja poveikio MVĮ ir konkurencingumo patikra padės išvengti reglamentavimo naštos ir kartu išlaikyti aukštus standartus; pažymi, kad dabar turi būti imamasi veiksmų šiam įsipareigojimui vykdyti;</w:t>
            </w:r>
          </w:p>
        </w:tc>
        <w:tc>
          <w:tcPr>
            <w:tcW w:w="4876" w:type="dxa"/>
            <w:tcBorders>
              <w:top w:val="nil"/>
              <w:left w:val="nil"/>
              <w:bottom w:val="nil"/>
              <w:right w:val="nil"/>
            </w:tcBorders>
          </w:tcPr>
          <w:p>
            <w:pPr>
              <w:pStyle w:val="Normal6a"/>
            </w:pPr>
            <w:r>
              <w:t>16.</w:t>
            </w:r>
            <w:r>
              <w:tab/>
            </w:r>
            <w:r>
              <w:t xml:space="preserve">palankiai vertina tai, kad 2023 m. pradėta nauja poveikio MVĮ ir konkurencingumo patikra, kuri tapo privalomu poveikio vertinimų priedu; palankiai vertina Komisijos pirmininkės Ursulos von der Leyen įsipareigojimą, kad ši nauja poveikio MVĮ ir konkurencingumo patikra padės išvengti reglamentavimo naštos ir kartu išlaikyti aukštus standartus; pažymi, kad dabar turi būti imamasi veiksmų šiam įsipareigojimui vykdyti; </w:t>
            </w:r>
            <w:r>
              <w:rPr>
                <w:b/>
                <w:i/>
              </w:rPr>
              <w:t>laikosi nuomonės, kad kasmet reikėtų atlikti vertinimą siekiant nustatyti, ar įsipareigojimas įvykdytas;</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pakartoja, kad svarbu laikytis principo „visų pirma galvokime apie mažuosius“, nes tai yra geresnio reglamentavimo kertinis akmuo, užtikrinant, kad į MVĮ poreikius ir pajėgumus būtų sistemingai atsižvelgiama kiekviename politikos ciklo etape – nuo rengimo iki įgyvendinimo ir vertinimo;</w:t>
            </w:r>
          </w:p>
        </w:tc>
        <w:tc>
          <w:tcPr>
            <w:tcW w:w="4876" w:type="dxa"/>
            <w:tcBorders>
              <w:top w:val="nil"/>
              <w:left w:val="nil"/>
              <w:bottom w:val="nil"/>
              <w:right w:val="nil"/>
            </w:tcBorders>
          </w:tcPr>
          <w:p>
            <w:pPr>
              <w:pStyle w:val="Normal6a"/>
            </w:pPr>
            <w:r>
              <w:t>17.</w:t>
            </w:r>
            <w:r>
              <w:tab/>
            </w:r>
            <w:r>
              <w:t xml:space="preserve">pakartoja, kad svarbu laikytis principo „visų pirma galvokime apie mažuosius“, nes tai yra geresnio reglamentavimo kertinis akmuo, užtikrinant, kad į MVĮ poreikius ir pajėgumus būtų sistemingai atsižvelgiama kiekviename politikos ciklo etape – nuo rengimo iki įgyvendinimo ir vertinimo; </w:t>
            </w:r>
            <w:r>
              <w:rPr>
                <w:b/>
                <w:i/>
              </w:rPr>
              <w:t>pabrėžia, kad svarbu nustatyti priežastinį ryšį tarp reguliavimo nuostatų, įmonių elgesio ir naudos naudotojams, taip pat įvertinti galimas nenumatytas pasekmes ir neproporcingą reikalavimų laikymosi naštą MVĮ;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patvirtina, jog siekiant stiprinti Europos konkurencingumą ir suverenumą reikia priešintis išorės spaudimui, kuriuo siekiama susilpninti ES teisinę sistemą;</w:t>
            </w:r>
            <w:r>
              <w:t xml:space="preserve"> </w:t>
            </w:r>
            <w:r>
              <w:rPr>
                <w:b/>
                <w:i/>
              </w:rPr>
              <w:t>atsižvelgdamas į tai, mano, kad paskelbtas neseniai priimto Dirbtinio intelekto akto taikymo testavimas nepalankiausiomis sąlygomis atrodo per ankstyvas;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palankiai vertina ir skatina platesnį apribotos bandomosios reglamentavimo aplinkos naudojimą į ateitį orientuotuose sektoriuose (pvz., dirbtinio intelekto, švarių technologijų ir skaitmeninių paslaugų), siekiant remti inovacijas, mažinti reikalavimų laikymosi išlaidas ir užtikrinti teisinį tikrumą MVĮ;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palankiai vertina Komisijos įsipareigojimą</w:t>
            </w:r>
            <w:r>
              <w:t xml:space="preserve"> 25 proc. sumažinti pareigų teikti ataskaitas mastą</w:t>
            </w:r>
            <w:r>
              <w:rPr>
                <w:b/>
                <w:i/>
              </w:rPr>
              <w:t>, tačiau pabrėžia, kad šis tikslas turi būti platesnio užmojo;</w:t>
            </w:r>
            <w:r>
              <w:t xml:space="preserve"> </w:t>
            </w:r>
            <w:r>
              <w:rPr>
                <w:b/>
                <w:i/>
              </w:rPr>
              <w:t>todėl palankiai vertina tai, kad įtrauktas</w:t>
            </w:r>
            <w:r>
              <w:t xml:space="preserve"> MVĮ administracinių sąnaudų ir ataskaitų teikimo </w:t>
            </w:r>
            <w:r>
              <w:rPr>
                <w:b/>
                <w:i/>
              </w:rPr>
              <w:t>masto sumažinimas, siekiantis 35 proc.</w:t>
            </w:r>
            <w:r>
              <w:t xml:space="preserve">; be to, primena, kad ataskaitų teikimas sudaro tik nedidelę visos reglamentavimo naštos dalį, kuri taip pat apima administracines, įgyvendinimo ir reikalavimų laikymosi sąnaudas; </w:t>
            </w:r>
            <w:r>
              <w:rPr>
                <w:b/>
                <w:i/>
              </w:rPr>
              <w:t>todėl</w:t>
            </w:r>
            <w:r>
              <w:t xml:space="preserve"> pažymi, kad Komisijos </w:t>
            </w:r>
            <w:r>
              <w:rPr>
                <w:b/>
                <w:i/>
              </w:rPr>
              <w:t>25 proc. tikslas</w:t>
            </w:r>
            <w:r>
              <w:t xml:space="preserve"> turėtų būti </w:t>
            </w:r>
            <w:r>
              <w:rPr>
                <w:b/>
                <w:i/>
              </w:rPr>
              <w:t>vertinamas</w:t>
            </w:r>
            <w:r>
              <w:t xml:space="preserve"> atsižvelgiant į </w:t>
            </w:r>
            <w:r>
              <w:rPr>
                <w:b/>
                <w:i/>
              </w:rPr>
              <w:t>platesnio masto tikslą sumažinti</w:t>
            </w:r>
            <w:r>
              <w:t xml:space="preserve"> bendras sąnaudas ir sudėtingumą</w:t>
            </w:r>
            <w:r>
              <w:rPr>
                <w:b/>
                <w:i/>
              </w:rPr>
              <w:t>;</w:t>
            </w:r>
            <w:r>
              <w:t xml:space="preserve"> </w:t>
            </w:r>
            <w:r>
              <w:rPr>
                <w:b/>
                <w:i/>
              </w:rPr>
              <w:t>taigi</w:t>
            </w:r>
            <w:r>
              <w:t xml:space="preserve">, ragina </w:t>
            </w:r>
            <w:r>
              <w:rPr>
                <w:b/>
                <w:i/>
              </w:rPr>
              <w:t>laikytis platesnio užmojo požiūrio, kuriuo būtų siekiama 30 proc. sumažinti visas</w:t>
            </w:r>
            <w:r>
              <w:t xml:space="preserve"> reglamentavimo </w:t>
            </w:r>
            <w:r>
              <w:rPr>
                <w:b/>
                <w:i/>
              </w:rPr>
              <w:t>lemiamas sąnaudas, o MVĮ ir veiklą plečiančių įmonių atvejų tokias sąnaudas sumažinti 35 proc.</w:t>
            </w:r>
            <w:r>
              <w:t>;</w:t>
            </w:r>
          </w:p>
        </w:tc>
        <w:tc>
          <w:tcPr>
            <w:tcW w:w="4876" w:type="dxa"/>
            <w:tcBorders>
              <w:top w:val="nil"/>
              <w:left w:val="nil"/>
              <w:bottom w:val="nil"/>
              <w:right w:val="nil"/>
            </w:tcBorders>
          </w:tcPr>
          <w:p>
            <w:pPr>
              <w:pStyle w:val="Normal6a"/>
            </w:pPr>
            <w:r>
              <w:t>18.</w:t>
            </w:r>
            <w:r>
              <w:tab/>
            </w:r>
            <w:r>
              <w:rPr>
                <w:b/>
                <w:i/>
              </w:rPr>
              <w:t>yra susirūpinęs dėl to, kad Komisija griežtai ir skaičių išraiška įsipareigojo</w:t>
            </w:r>
            <w:r>
              <w:t xml:space="preserve"> 25 proc. sumažinti pareigų teikti ataskaitas mastą </w:t>
            </w:r>
            <w:r>
              <w:rPr>
                <w:b/>
                <w:i/>
              </w:rPr>
              <w:t>ir įtraukė tikslą 35 proc. sumažinti</w:t>
            </w:r>
            <w:r>
              <w:t xml:space="preserve"> MVĮ administracinių sąnaudų ir ataskaitų teikimo </w:t>
            </w:r>
            <w:r>
              <w:rPr>
                <w:b/>
                <w:i/>
              </w:rPr>
              <w:t>mastą;</w:t>
            </w:r>
            <w:r>
              <w:t xml:space="preserve"> </w:t>
            </w:r>
            <w:r>
              <w:rPr>
                <w:b/>
                <w:i/>
              </w:rPr>
              <w:t>atkreipia dėmesį į tai, kad siekiant supaprastinimo visų pirma reikia sutelkti dėmesį į pažangias įgyvendinimo strategijas, laikantis pragmatiško, teisiškai pagrįsto ir veiksmingo požiūrio į tam tikros įmonėms, ypač MVĮ, tenkančios administracinės naštos mažinimą, ir kuo labiau supaprastinti sutartų taisyklių įgyvendinimą</w:t>
            </w:r>
            <w:r>
              <w:t xml:space="preserve">; be to, primena, kad ataskaitų teikimas sudaro tik nedidelę visos reglamentavimo naštos dalį, kuri taip pat apima administracines, įgyvendinimo ir reikalavimų laikymosi sąnaudas; pažymi, kad </w:t>
            </w:r>
            <w:r>
              <w:rPr>
                <w:b/>
                <w:i/>
              </w:rPr>
              <w:t>dėl šios priežasties visi</w:t>
            </w:r>
            <w:r>
              <w:t xml:space="preserve"> Komisijos </w:t>
            </w:r>
            <w:r>
              <w:rPr>
                <w:b/>
                <w:i/>
              </w:rPr>
              <w:t>supaprastinimo tikslai</w:t>
            </w:r>
            <w:r>
              <w:t xml:space="preserve"> turėtų būti </w:t>
            </w:r>
            <w:r>
              <w:rPr>
                <w:b/>
                <w:i/>
              </w:rPr>
              <w:t>vertinami</w:t>
            </w:r>
            <w:r>
              <w:t xml:space="preserve"> atsižvelgiant į </w:t>
            </w:r>
            <w:r>
              <w:rPr>
                <w:b/>
                <w:i/>
              </w:rPr>
              <w:t>platesnius tikslus mažinti</w:t>
            </w:r>
            <w:r>
              <w:t xml:space="preserve"> bendras sąnaudas ir sudėtingumą</w:t>
            </w:r>
            <w:r>
              <w:rPr>
                <w:b/>
                <w:i/>
              </w:rPr>
              <w:t>, taip pat toliau derinti nacionalines taisykles, nemažinant reguliavimo ir neapribojant ES acquis;</w:t>
            </w:r>
            <w:r>
              <w:t xml:space="preserve"> </w:t>
            </w:r>
            <w:r>
              <w:rPr>
                <w:b/>
                <w:i/>
              </w:rPr>
              <w:t>atsižvelgdamas į tai</w:t>
            </w:r>
            <w:r>
              <w:t xml:space="preserve">, ragina </w:t>
            </w:r>
            <w:r>
              <w:rPr>
                <w:b/>
                <w:i/>
              </w:rPr>
              <w:t>Komisiją imtis tolesnių veiksmų ir įgyvendinti tris Ateičiai tinkamo</w:t>
            </w:r>
            <w:r>
              <w:t xml:space="preserve"> reglamentavimo </w:t>
            </w:r>
            <w:r>
              <w:rPr>
                <w:b/>
                <w:i/>
              </w:rPr>
              <w:t>platformos 2024 m. rekomendacijas dėl automatizuoto informacijos apie tvarumą teikimo, priemonių, kuriomis siekiama išvengti nereikalingo ir (arba) dvigubo informacijos teikimo, ir su tvarumu susijusios informacijos atskleidimo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palankiai vertina</w:t>
            </w:r>
            <w:r>
              <w:t xml:space="preserve"> Komisijos įsipareigojimą 25 proc. sumažinti pareigų teikti ataskaitas mastą, tačiau pabrėžia, kad šis tikslas </w:t>
            </w:r>
            <w:r>
              <w:rPr>
                <w:b/>
                <w:i/>
              </w:rPr>
              <w:t>turi būti platesnio užmojo;</w:t>
            </w:r>
            <w:r>
              <w:t xml:space="preserve"> </w:t>
            </w:r>
            <w:r>
              <w:rPr>
                <w:b/>
                <w:i/>
              </w:rPr>
              <w:t>todėl palankiai vertina tai</w:t>
            </w:r>
            <w:r>
              <w:t>, kad įtrauktas MVĮ administracinių sąnaudų ir ataskaitų teikimo masto sumažinimas, siekiantis 35 proc.; be to, primena, kad ataskaitų teikimas sudaro tik nedidelę visos reglamentavimo naštos dalį, kuri taip pat apima administracines, įgyvendinimo ir reikalavimų laikymosi sąnaudas</w:t>
            </w:r>
            <w:r>
              <w:rPr>
                <w:b/>
                <w:i/>
              </w:rPr>
              <w:t>;</w:t>
            </w:r>
            <w:r>
              <w:t xml:space="preserve"> </w:t>
            </w:r>
            <w:r>
              <w:rPr>
                <w:b/>
                <w:i/>
              </w:rPr>
              <w:t>todėl pažymi, kad Komisijos 25 proc. tikslas</w:t>
            </w:r>
            <w:r>
              <w:t xml:space="preserve"> turėtų būti </w:t>
            </w:r>
            <w:r>
              <w:rPr>
                <w:b/>
                <w:i/>
              </w:rPr>
              <w:t>vertinamas atsižvelgiant į</w:t>
            </w:r>
            <w:r>
              <w:t xml:space="preserve"> platesnio masto </w:t>
            </w:r>
            <w:r>
              <w:rPr>
                <w:b/>
                <w:i/>
              </w:rPr>
              <w:t>tikslą</w:t>
            </w:r>
            <w:r>
              <w:t xml:space="preserve"> sumažinti bendras sąnaudas ir sudėtingumą</w:t>
            </w:r>
            <w:r>
              <w:rPr>
                <w:b/>
                <w:i/>
              </w:rPr>
              <w:t>;</w:t>
            </w:r>
            <w:r>
              <w:t xml:space="preserve"> </w:t>
            </w:r>
            <w:r>
              <w:rPr>
                <w:b/>
                <w:i/>
              </w:rPr>
              <w:t>taigi, ragina laikytis platesnio užmojo požiūrio</w:t>
            </w:r>
            <w:r>
              <w:t xml:space="preserve">, </w:t>
            </w:r>
            <w:r>
              <w:rPr>
                <w:b/>
                <w:i/>
              </w:rPr>
              <w:t>kuriuo būtų siekiama 30 proc. sumažinti visas reglamentavimo lemiamas sąnaudas, o</w:t>
            </w:r>
            <w:r>
              <w:t xml:space="preserve"> MVĮ ir veiklą plečiančių įmonių atvejų </w:t>
            </w:r>
            <w:r>
              <w:rPr>
                <w:b/>
                <w:i/>
              </w:rPr>
              <w:t>tokias sąnaudas sumažinti 35 proc.</w:t>
            </w:r>
            <w:r>
              <w:t>;</w:t>
            </w:r>
          </w:p>
        </w:tc>
        <w:tc>
          <w:tcPr>
            <w:tcW w:w="4876" w:type="dxa"/>
            <w:tcBorders>
              <w:top w:val="nil"/>
              <w:left w:val="nil"/>
              <w:bottom w:val="nil"/>
              <w:right w:val="nil"/>
            </w:tcBorders>
          </w:tcPr>
          <w:p>
            <w:pPr>
              <w:pStyle w:val="Normal6a"/>
            </w:pPr>
            <w:r>
              <w:t>18.</w:t>
            </w:r>
            <w:r>
              <w:tab/>
            </w:r>
            <w:r>
              <w:rPr>
                <w:b/>
                <w:i/>
              </w:rPr>
              <w:t>atkreipia dėmesį į</w:t>
            </w:r>
            <w:r>
              <w:t xml:space="preserve"> Komisijos įsipareigojimą 25 proc. sumažinti pareigų teikti ataskaitas mastą, tačiau pabrėžia, kad šis tikslas </w:t>
            </w:r>
            <w:r>
              <w:rPr>
                <w:b/>
                <w:i/>
              </w:rPr>
              <w:t>neturi kenkti skaidrumui ir tikrinimui;</w:t>
            </w:r>
            <w:r>
              <w:t xml:space="preserve"> </w:t>
            </w:r>
            <w:r>
              <w:rPr>
                <w:b/>
                <w:i/>
              </w:rPr>
              <w:t>taip pat pažymi</w:t>
            </w:r>
            <w:r>
              <w:t>, kad įtrauktas MVĮ administracinių sąnaudų ir ataskaitų teikimo masto sumažinimas, siekiantis 35 proc.; be to, primena, kad ataskaitų teikimas sudaro tik nedidelę visos reglamentavimo naštos dalį, kuri taip pat apima administracines, įgyvendinimo ir reikalavimų laikymosi sąnaudas</w:t>
            </w:r>
            <w:r>
              <w:rPr>
                <w:b/>
                <w:i/>
              </w:rPr>
              <w:t>, – į tai</w:t>
            </w:r>
            <w:r>
              <w:t xml:space="preserve"> turėtų būti </w:t>
            </w:r>
            <w:r>
              <w:rPr>
                <w:b/>
                <w:i/>
              </w:rPr>
              <w:t>atsižvelgta žvelgiant iš</w:t>
            </w:r>
            <w:r>
              <w:t xml:space="preserve"> platesnio masto </w:t>
            </w:r>
            <w:r>
              <w:rPr>
                <w:b/>
                <w:i/>
              </w:rPr>
              <w:t>tikslo</w:t>
            </w:r>
            <w:r>
              <w:t xml:space="preserve"> sumažinti bendras sąnaudas ir sudėtingumą</w:t>
            </w:r>
            <w:r>
              <w:rPr>
                <w:b/>
                <w:i/>
              </w:rPr>
              <w:t>, visų pirma</w:t>
            </w:r>
            <w:r>
              <w:t>, MVĮ ir veiklą plečiančių įmonių atvejų;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palankiai vertina Komisijos įsipareigojimą 25 proc. sumažinti pareigų teikti ataskaitas mastą, tačiau pabrėžia, kad šis tikslas turi būti platesnio užmojo; todėl palankiai vertina tai, kad įtrauktas MVĮ administracinių sąnaudų ir ataskaitų teikimo masto sumažinimas, siekiantis 35 proc.; be to, primena, kad ataskaitų teikimas sudaro tik nedidelę visos reglamentavimo naštos dalį, kuri taip pat apima administracines, įgyvendinimo ir reikalavimų laikymosi sąnaudas; todėl pažymi, kad Komisijos 25 proc. tikslas turėtų būti vertinamas atsižvelgiant į platesnio masto tikslą sumažinti bendras sąnaudas ir sudėtingumą; taigi, ragina laikytis platesnio užmojo požiūrio, kuriuo būtų siekiama 30 proc. sumažinti visas reglamentavimo lemiamas sąnaudas, o MVĮ ir veiklą plečiančių įmonių atvejų tokias sąnaudas sumažinti 35 proc.;</w:t>
            </w:r>
          </w:p>
        </w:tc>
        <w:tc>
          <w:tcPr>
            <w:tcW w:w="4876" w:type="dxa"/>
            <w:tcBorders>
              <w:top w:val="nil"/>
              <w:left w:val="nil"/>
              <w:bottom w:val="nil"/>
              <w:right w:val="nil"/>
            </w:tcBorders>
          </w:tcPr>
          <w:p>
            <w:pPr>
              <w:pStyle w:val="Normal6a"/>
            </w:pPr>
            <w:r>
              <w:t>18.</w:t>
            </w:r>
            <w:r>
              <w:tab/>
            </w:r>
            <w:r>
              <w:t>palankiai vertina Komisijos įsipareigojimą 25 proc. sumažinti pareigų teikti ataskaitas mastą, tačiau pabrėžia, kad šis tikslas turi būti platesnio užmojo; todėl palankiai vertina tai, kad įtrauktas MVĮ administracinių sąnaudų ir ataskaitų teikimo masto sumažinimas, siekiantis 35 proc.; be to, primena, kad ataskaitų teikimas sudaro tik nedidelę visos reglamentavimo naštos dalį, kuri taip pat apima administracines, įgyvendinimo ir reikalavimų laikymosi sąnaudas; todėl pažymi, kad Komisijos 25 proc. tikslas turėtų būti vertinamas atsižvelgiant į platesnio masto tikslą sumažinti bendras sąnaudas ir sudėtingumą; taigi, ragina laikytis platesnio užmojo požiūrio, kuriuo būtų siekiama 30 proc. sumažinti visas reglamentavimo lemiamas sąnaudas, o MVĮ ir veiklą plečiančių įmonių atvejų tokias sąnaudas sumažinti 35 proc.</w:t>
            </w:r>
            <w:r>
              <w:rPr>
                <w:b/>
                <w:i/>
              </w:rPr>
              <w:t>, įskaitant bandomąjį inovacijoms palankaus reglamentavimo bandymą, siekiant ankstyvaisiais teisėkūros etapais nustatyti kliūtis startuoliams ir naujoms technologijoms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palankiai vertina Komisijos įsipareigojimą 25 proc. sumažinti pareigų teikti ataskaitas mastą, tačiau pabrėžia, kad šis tikslas turi būti platesnio užmojo; todėl palankiai vertina tai, kad įtrauktas MVĮ administracinių sąnaudų ir ataskaitų teikimo masto sumažinimas, siekiantis 35 proc.; be to, primena, kad ataskaitų teikimas sudaro tik nedidelę visos reglamentavimo naštos dalį, kuri taip pat apima administracines, įgyvendinimo ir reikalavimų laikymosi sąnaudas; todėl pažymi, kad Komisijos 25 proc. tikslas turėtų būti vertinamas atsižvelgiant į platesnio masto tikslą sumažinti bendras sąnaudas ir sudėtingumą; taigi, ragina laikytis platesnio užmojo požiūrio, kuriuo būtų siekiama </w:t>
            </w:r>
            <w:r>
              <w:rPr>
                <w:b/>
                <w:i/>
              </w:rPr>
              <w:t>30</w:t>
            </w:r>
            <w:r>
              <w:t xml:space="preserve"> proc. sumažinti visas reglamentavimo lemiamas sąnaudas, o MVĮ ir veiklą plečiančių įmonių atvejų tokias sąnaudas sumažinti </w:t>
            </w:r>
            <w:r>
              <w:rPr>
                <w:b/>
                <w:i/>
              </w:rPr>
              <w:t>35</w:t>
            </w:r>
            <w:r>
              <w:t xml:space="preserve"> proc.;</w:t>
            </w:r>
          </w:p>
        </w:tc>
        <w:tc>
          <w:tcPr>
            <w:tcW w:w="4876" w:type="dxa"/>
            <w:tcBorders>
              <w:top w:val="nil"/>
              <w:left w:val="nil"/>
              <w:bottom w:val="nil"/>
              <w:right w:val="nil"/>
            </w:tcBorders>
          </w:tcPr>
          <w:p>
            <w:pPr>
              <w:pStyle w:val="Normal6a"/>
            </w:pPr>
            <w:r>
              <w:t>18.</w:t>
            </w:r>
            <w:r>
              <w:tab/>
            </w:r>
            <w:r>
              <w:t xml:space="preserve">palankiai vertina Komisijos įsipareigojimą 25 proc. sumažinti pareigų teikti ataskaitas mastą, tačiau pabrėžia, kad šis tikslas turi būti platesnio užmojo; todėl palankiai vertina tai, kad įtrauktas MVĮ administracinių sąnaudų ir ataskaitų teikimo masto sumažinimas, siekiantis 35 proc.; be to, primena, kad ataskaitų teikimas sudaro tik nedidelę visos reglamentavimo naštos dalį, kuri taip pat apima administracines, įgyvendinimo ir reikalavimų laikymosi sąnaudas; todėl pažymi, kad Komisijos 25 proc. tikslas turėtų būti vertinamas atsižvelgiant į platesnio masto tikslą sumažinti bendras sąnaudas ir sudėtingumą; taigi, ragina laikytis platesnio užmojo požiūrio, kuriuo būtų siekiama </w:t>
            </w:r>
            <w:r>
              <w:rPr>
                <w:b/>
                <w:i/>
              </w:rPr>
              <w:t>45</w:t>
            </w:r>
            <w:r>
              <w:t xml:space="preserve"> proc. sumažinti visas reglamentavimo lemiamas sąnaudas, o MVĮ ir veiklą plečiančių įmonių atvejų tokias sąnaudas sumažinti </w:t>
            </w:r>
            <w:r>
              <w:rPr>
                <w:b/>
                <w:i/>
              </w:rPr>
              <w:t>50</w:t>
            </w:r>
            <w:r>
              <w:t xml:space="preserve"> proc.;</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be to, palankiai vertina tai, kad paskirtas už įgyvendinimą, supaprastinimą ir tarpinstitucinius ryšius atsakingas pirmininko pavaduotojas;</w:t>
            </w:r>
            <w:r>
              <w:t xml:space="preserve"> </w:t>
            </w:r>
            <w:r>
              <w:rPr>
                <w:b/>
                <w:i/>
              </w:rPr>
              <w:t>palankiai vertina tai, kad rengiami dialogai įgyvendinimo klausimais, ir ragina reguliariai tikrinti Sąjungos acquis tikrąją padėtį ir atlikti testavimą nepalankiausiomis sąlygomis, kad būtų galima įvertinti bendrą poveikį konkurencingumui, inovacijoms ir MVĮ ir nustatyti veiksmingo supaprastinimo galimybes;</w:t>
            </w:r>
            <w:r>
              <w:t xml:space="preserve"> </w:t>
            </w:r>
            <w:r>
              <w:rPr>
                <w:b/>
                <w:i/>
              </w:rPr>
              <w:t>atsižvelgdamas į tai pabrėžia, kad svarbu atlikti išsamius poveikio vertinimus, sistemingai integruojant tinkamumo patikras, konkurencingumo patikras ir poveikio MVĮ tyrimus;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ragina Komisiją ir valstybes nares sistemingai integruoti konkurencingumo aspektus į supaprastinimo iniciatyvas, užtikrinant, kad administracinės procedūros, darančios poveikį piliečiams ir įmonėms, būtų supaprastintos nepakenkiant esminėms apsaugos priemonėms;</w:t>
            </w:r>
            <w:r>
              <w:t xml:space="preserve"> </w:t>
            </w:r>
            <w:r>
              <w:rPr>
                <w:b/>
                <w:i/>
              </w:rPr>
              <w:t>pabrėžia, kad sumažinus nereikalingą biurokratiją, išplėtus skaitmeninius sprendimus ir pagerinus tarpusavio pripažinimą galima sumažinti reikalavimų laikymosi išlaidas, palengvinti judumą ir sustiprinti bendrosios rinkos konkurencingumą ir patrauklumą;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pabrėžia, kad reglamentavimo supaprastinimas turi būti vykdomas laikantis konstitucinių ribų ir grindžiamas tinkamais poveikio vertinimais ir viešomis konsultacijomis pagal 2016 m. Komisijos ir teisėkūros institucijų pasirašytą Tarpinstitucinį susitarimą;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mano, kad siekiant supaprastinimo, susijusio su konkurencingumu ir tolesne vidaus rinkos integracija, reikia visa apimančio požiūrio į atitinkamus ES ir nacionalinės teisės aktus;</w:t>
            </w:r>
            <w:r>
              <w:t xml:space="preserve"> </w:t>
            </w:r>
            <w:r>
              <w:rPr>
                <w:b/>
                <w:i/>
              </w:rPr>
              <w:t>atkreipia dėmesį į tai, kad skirtingų valstybių narių nacionalinių taisyklių skirtumai taip pat gali lemti teisinį netikrumą ir papildomas administracines išlaidas;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atsižvelgdamas į tai, ragina Komisiją pateikti visų galiojančių finansinių ir nefinansinių teisės aktų ir administracinių pareigų įmonėms pagal Europos teisę, taip pat pareigų pagal nacionalines bendrovių teisės taisykles apžvalgą;</w:t>
            </w:r>
            <w:r>
              <w:t xml:space="preserve"> </w:t>
            </w:r>
            <w:r>
              <w:rPr>
                <w:b/>
                <w:i/>
              </w:rPr>
              <w:t>ragina, kad žemėlapis būtų išsamaus vertinimo pagrindas, be kita ko, atsižvelgiant į sąnaudas ir naudą, skirtingus viešuosius interesus, kuriems naudingi teisės aktai, teisės aktų dubliavimąsi, taip pat suvienodinimo ir suderinimo galimybes;</w:t>
            </w:r>
            <w:r>
              <w:t xml:space="preserve"> </w:t>
            </w:r>
            <w:r>
              <w:rPr>
                <w:b/>
                <w:i/>
              </w:rPr>
              <w:t>prašo Komisijos pasinaudoti šiuo vertinimu ir prireikus bei faktiškai dalyvaujant visiems atitinkamiems subjektams ir suinteresuotiesiems subjektams, taip pat remiantis tinkamu poveikio vertinimu, pateikti pasiūlymų dėl pasenusių nuostatų atnaujinimo ir nepagrįstų kliūčių šalinimo proporcingomis priemonėmis, kad būtų pasiekta aukštynkryptė konvergencija;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pabrėžia, kad skaitmeninės priemonės ir dirbtiniu intelektu grindžiami sprendimai turi didelį potencialą padėti supaprastinti reikalavimų laikymąsi ir sumažinti reglamentavimo lemiamas sąnaudas; mano, kad reikia išsamiau ištirti galimus skaitmeninių priemonių pajėgumus pateikti geresnius ir greitesnius sprendimus šioje srityje;</w:t>
            </w:r>
          </w:p>
        </w:tc>
        <w:tc>
          <w:tcPr>
            <w:tcW w:w="4876" w:type="dxa"/>
            <w:tcBorders>
              <w:top w:val="nil"/>
              <w:left w:val="nil"/>
              <w:bottom w:val="nil"/>
              <w:right w:val="nil"/>
            </w:tcBorders>
          </w:tcPr>
          <w:p>
            <w:pPr>
              <w:pStyle w:val="Normal6a"/>
            </w:pPr>
            <w:r>
              <w:t>19.</w:t>
            </w:r>
            <w:r>
              <w:tab/>
            </w:r>
            <w:r>
              <w:t xml:space="preserve">pabrėžia, kad skaitmeninės priemonės ir dirbtiniu intelektu grindžiami sprendimai turi didelį potencialą padėti supaprastinti reikalavimų laikymąsi ir sumažinti reglamentavimo lemiamas sąnaudas; mano, kad reikia išsamiau ištirti galimus skaitmeninių priemonių pajėgumus pateikti geresnius ir greitesnius sprendimus šioje srityje; </w:t>
            </w:r>
            <w:r>
              <w:rPr>
                <w:b/>
                <w:i/>
              </w:rPr>
              <w:t>ragina Komisiją išbandyti ir diegti naujas dirbtinio intelekto priemones, įskaitant didžiuosius kalbos modelius, kuriuos papildytų paieška papildytas generavimas, siekiant padidinti ES teisės įgyvendinimo stebėsenos veiksmingumą ir tikslumą, kad būtų galima greičiau nustatyti reikalavimų nesilaikymo atvejus, laiku reaguoti į skundus ir aktyviai spręsti kylančias problemas;</w:t>
            </w:r>
            <w:r>
              <w:t xml:space="preserve"> </w:t>
            </w:r>
            <w:r>
              <w:rPr>
                <w:b/>
                <w:i/>
              </w:rPr>
              <w:t>primena, kad veiksmingam diegimui reikalingos patikimos prieigos prie duomenų strategijos, parengtos nuo tada, kai priimami nauji teisės aktai;</w:t>
            </w:r>
            <w:r>
              <w:t xml:space="preserve"> </w:t>
            </w:r>
            <w:r>
              <w:rPr>
                <w:b/>
                <w:i/>
              </w:rPr>
              <w:t>pabrėžia, kad bet koks dirbtinio intelekto naudojimas ES teisės įgyvendinimui stebėti turi būti vykdomas svariai prižiūrint žmogui;</w:t>
            </w:r>
            <w:r>
              <w:t xml:space="preserve"> </w:t>
            </w:r>
            <w:r>
              <w:rPr>
                <w:b/>
                <w:i/>
              </w:rPr>
              <w:t>pabrėžia, kad tokios sistemos turi ir toliau visiškai atitikti ES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pabrėžia, kad skaitmeninės priemonės ir dirbtiniu intelektu grindžiami sprendimai turi didelį potencialą padėti supaprastinti reikalavimų laikymąsi ir sumažinti reglamentavimo lemiamas sąnaudas; mano, kad reikia išsamiau ištirti galimus skaitmeninių priemonių pajėgumus pateikti geresnius ir greitesnius sprendimus šioje srityje;</w:t>
            </w:r>
          </w:p>
        </w:tc>
        <w:tc>
          <w:tcPr>
            <w:tcW w:w="4876" w:type="dxa"/>
            <w:tcBorders>
              <w:top w:val="nil"/>
              <w:left w:val="nil"/>
              <w:bottom w:val="nil"/>
              <w:right w:val="nil"/>
            </w:tcBorders>
          </w:tcPr>
          <w:p>
            <w:pPr>
              <w:pStyle w:val="Normal6a"/>
            </w:pPr>
            <w:r>
              <w:t>19.</w:t>
            </w:r>
            <w:r>
              <w:tab/>
            </w:r>
            <w:r>
              <w:t xml:space="preserve">pabrėžia, kad skaitmeninės priemonės ir dirbtiniu intelektu grindžiami sprendimai turi didelį potencialą padėti supaprastinti reikalavimų laikymąsi ir sumažinti reglamentavimo lemiamas sąnaudas; mano, kad reikia išsamiau ištirti galimus skaitmeninių priemonių pajėgumus pateikti geresnius ir greitesnius sprendimus šioje srityje; </w:t>
            </w:r>
            <w:r>
              <w:rPr>
                <w:b/>
                <w:i/>
              </w:rPr>
              <w:t>pabrėžia, jog tam reikia stiprinti gebėjimus ir imtis papildomų priemonių, kad visų dydžių įmonės, administracijos ir namų ūkiai turėtų reikiamą skaitmeninę infrastruktūrą, o piliečiai įgytų skaitmeninių įgūdžių;</w:t>
            </w:r>
            <w:r>
              <w:t xml:space="preserve"> </w:t>
            </w:r>
            <w:r>
              <w:rPr>
                <w:b/>
                <w:i/>
              </w:rPr>
              <w:t>ypač pabrėžia visuotinės prieigos prie e. teisingumo svarbą;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pabrėžia, kad skaitmeninės priemonės ir dirbtiniu intelektu grindžiami sprendimai turi didelį potencialą padėti supaprastinti reikalavimų laikymąsi ir sumažinti reglamentavimo lemiamas sąnaudas; mano, kad reikia išsamiau ištirti galimus skaitmeninių priemonių pajėgumus pateikti geresnius ir greitesnius sprendimus šioje srityje;</w:t>
            </w:r>
          </w:p>
        </w:tc>
        <w:tc>
          <w:tcPr>
            <w:tcW w:w="4876" w:type="dxa"/>
            <w:tcBorders>
              <w:top w:val="nil"/>
              <w:left w:val="nil"/>
              <w:bottom w:val="nil"/>
              <w:right w:val="nil"/>
            </w:tcBorders>
          </w:tcPr>
          <w:p>
            <w:pPr>
              <w:pStyle w:val="Normal6a"/>
            </w:pPr>
            <w:r>
              <w:t>19.</w:t>
            </w:r>
            <w:r>
              <w:tab/>
            </w:r>
            <w:r>
              <w:t xml:space="preserve">pabrėžia, kad skaitmeninės priemonės ir dirbtiniu intelektu grindžiami sprendimai turi didelį potencialą padėti supaprastinti reikalavimų laikymąsi ir sumažinti reglamentavimo lemiamas sąnaudas; mano, kad reikia išsamiau ištirti galimus skaitmeninių priemonių pajėgumus pateikti geresnius ir greitesnius sprendimus šioje srityje; </w:t>
            </w:r>
            <w:r>
              <w:rPr>
                <w:b/>
                <w:i/>
              </w:rPr>
              <w:t>įskaitant inovacijoms palankų reglamentavimą, pvz., apribotos bandomosios aplinkos metodus;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pabrėžia, kad skaitmeninės priemonės ir dirbtiniu intelektu grindžiami sprendimai turi didelį potencialą padėti supaprastinti reikalavimų laikymąsi ir sumažinti reglamentavimo lemiamas sąnaudas; mano, kad reikia išsamiau ištirti galimus skaitmeninių priemonių pajėgumus pateikti geresnius ir greitesnius sprendimus šioje srityje;</w:t>
            </w:r>
          </w:p>
        </w:tc>
        <w:tc>
          <w:tcPr>
            <w:tcW w:w="4876" w:type="dxa"/>
            <w:tcBorders>
              <w:top w:val="nil"/>
              <w:left w:val="nil"/>
              <w:bottom w:val="nil"/>
              <w:right w:val="nil"/>
            </w:tcBorders>
          </w:tcPr>
          <w:p>
            <w:pPr>
              <w:pStyle w:val="Normal6a"/>
            </w:pPr>
            <w:r>
              <w:t>19.</w:t>
            </w:r>
            <w:r>
              <w:tab/>
            </w:r>
            <w:r>
              <w:t>pabrėžia, kad skaitmeninės priemonės ir dirbtiniu intelektu grindžiami sprendimai turi didelį potencialą padėti supaprastinti reikalavimų laikymąsi ir sumažinti reglamentavimo lemiamas sąnaudas; mano, kad reikia išsamiau ištirti galimus skaitmeninių priemonių pajėgumus pateikti geresnius ir greitesnius sprendimus šioje srityje</w:t>
            </w:r>
            <w:r>
              <w:rPr>
                <w:b/>
                <w:i/>
              </w:rPr>
              <w:t>, o esamus neseniai priimtus teisės aktus būtina įgyvendinti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ragina Komisiją parengti atvirojo kodo skaitmenines suvestines, kad piliečiai, MVĮ ir suinteresuotieji subjektai galėtų tikruoju laiku stebėti teisėkūros pažangą, išlaidas ir supaprastinimo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įspėja dėl nuolatinio perteklinio reglamentavimo, kurį sukuria valstybės narės, perkeldamos direktyvas į nacionalinę teisę;</w:t>
            </w:r>
            <w:r>
              <w:t xml:space="preserve"> </w:t>
            </w:r>
            <w:r>
              <w:rPr>
                <w:b/>
                <w:i/>
              </w:rPr>
              <w:t>primygtinai ragina valstybes nares susilaikyti nuo tokios perteklinio reglamentavimo praktikos ir ragina Komisiją nustatyti tokios praktikos atvejus ir paskelbti apie juos savo metinėse įgyvendinimo ataskaitose;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įspėja dėl nuolatinio perteklinio reglamentavimo, kurį sukuria valstybės narės, perkeldamos direktyvas į nacionalinę teisę; primygtinai ragina valstybes nares susilaikyti nuo tokios perteklinio reglamentavimo praktikos ir ragina Komisiją </w:t>
            </w:r>
            <w:r>
              <w:rPr>
                <w:b/>
                <w:i/>
              </w:rPr>
              <w:t>nustatyti tokios</w:t>
            </w:r>
            <w:r>
              <w:t xml:space="preserve"> praktikos </w:t>
            </w:r>
            <w:r>
              <w:rPr>
                <w:b/>
                <w:i/>
              </w:rPr>
              <w:t>atvejus ir paskelbti apie juos savo metinėse įgyvendinimo ataskaitose</w:t>
            </w:r>
            <w:r>
              <w:t>;</w:t>
            </w:r>
          </w:p>
        </w:tc>
        <w:tc>
          <w:tcPr>
            <w:tcW w:w="4876" w:type="dxa"/>
            <w:tcBorders>
              <w:top w:val="nil"/>
              <w:left w:val="nil"/>
              <w:bottom w:val="nil"/>
              <w:right w:val="nil"/>
            </w:tcBorders>
          </w:tcPr>
          <w:p>
            <w:pPr>
              <w:pStyle w:val="Normal6a"/>
            </w:pPr>
            <w:r>
              <w:t>20.</w:t>
            </w:r>
            <w:r>
              <w:tab/>
            </w:r>
            <w:r>
              <w:t xml:space="preserve">įspėja dėl nuolatinio perteklinio reglamentavimo, kurį sukuria valstybės narės, perkeldamos direktyvas į nacionalinę teisę; primygtinai ragina valstybes nares susilaikyti nuo tokios perteklinio reglamentavimo praktikos ir </w:t>
            </w:r>
            <w:r>
              <w:rPr>
                <w:b/>
                <w:i/>
              </w:rPr>
              <w:t>primygtinai</w:t>
            </w:r>
            <w:r>
              <w:t xml:space="preserve"> ragina Komisiją </w:t>
            </w:r>
            <w:r>
              <w:rPr>
                <w:b/>
                <w:i/>
              </w:rPr>
              <w:t>sukurti perkėlimo į nacionalinę teisę stebėsenos ir vertinimo mechanizmą, kasmet skelbiant gerosios ir blogosios</w:t>
            </w:r>
            <w:r>
              <w:t xml:space="preserve"> praktikos </w:t>
            </w:r>
            <w:r>
              <w:rPr>
                <w:b/>
                <w:i/>
              </w:rPr>
              <w:t>pavyzdžius, kad būtų užkirstas kelias pertekliniam reglamentavimui ir užtikrintas vienodas ES teisės taikymas;</w:t>
            </w:r>
            <w:r>
              <w:t xml:space="preserve"> </w:t>
            </w:r>
            <w:r>
              <w:rPr>
                <w:b/>
                <w:i/>
              </w:rPr>
              <w:t>ragina valstybes nares bendradarbiauti ir dalyvauti keičiantis geriausios praktikos pavyzdžiais, kad direktyvų įgyvendinimas būtų proporcingas ir veiksmingas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įspėja dėl nuolatinio perteklinio reglamentavimo, kurį sukuria valstybės narės, perkeldamos direktyvas į nacionalinę teisę; primygtinai ragina valstybes nares susilaikyti nuo tokios perteklinio reglamentavimo praktikos ir ragina Komisiją nustatyti tokios praktikos atvejus ir paskelbti apie juos savo metinėse įgyvendinimo ataskaitose;</w:t>
            </w:r>
          </w:p>
        </w:tc>
        <w:tc>
          <w:tcPr>
            <w:tcW w:w="4876" w:type="dxa"/>
            <w:tcBorders>
              <w:top w:val="nil"/>
              <w:left w:val="nil"/>
              <w:bottom w:val="nil"/>
              <w:right w:val="nil"/>
            </w:tcBorders>
          </w:tcPr>
          <w:p>
            <w:pPr>
              <w:pStyle w:val="Normal6a"/>
            </w:pPr>
            <w:r>
              <w:t>20.</w:t>
            </w:r>
            <w:r>
              <w:tab/>
            </w:r>
            <w:r>
              <w:t xml:space="preserve">įspėja dėl nuolatinio perteklinio reglamentavimo, kurį sukuria valstybės narės, perkeldamos direktyvas į nacionalinę teisę; primygtinai ragina valstybes nares susilaikyti nuo tokios perteklinio reglamentavimo praktikos ir ragina Komisiją nustatyti tokios praktikos atvejus ir paskelbti apie juos savo metinėse įgyvendinimo ataskaitose; </w:t>
            </w:r>
            <w:r>
              <w:rPr>
                <w:b/>
                <w:i/>
              </w:rPr>
              <w:t>be to, ragina Komisiją stebėti deleguotųjų ir įgyvendinimo aktų rengimą ir patikrinti, ar jais neprisidedama prie perteklinio reglamentavimo nustatant pernelyg išsamius ar norminamuosius reikalavimus;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įspėja dėl nuolatinio perteklinio reglamentavimo, kurį sukuria valstybės narės, perkeldamos direktyvas į nacionalinę teisę;</w:t>
            </w:r>
            <w:r>
              <w:t xml:space="preserve"> primygtinai ragina valstybes nares </w:t>
            </w:r>
            <w:r>
              <w:rPr>
                <w:b/>
                <w:i/>
              </w:rPr>
              <w:t>susilaikyti nuo tokios perteklinio reglamentavimo praktikos</w:t>
            </w:r>
            <w:r>
              <w:t xml:space="preserve"> ir ragina Komisiją nustatyti tokios praktikos atvejus ir paskelbti apie juos savo metinėse įgyvendinimo ataskaitose;</w:t>
            </w:r>
          </w:p>
        </w:tc>
        <w:tc>
          <w:tcPr>
            <w:tcW w:w="4876" w:type="dxa"/>
            <w:tcBorders>
              <w:top w:val="nil"/>
              <w:left w:val="nil"/>
              <w:bottom w:val="nil"/>
              <w:right w:val="nil"/>
            </w:tcBorders>
          </w:tcPr>
          <w:p>
            <w:pPr>
              <w:pStyle w:val="Normal6a"/>
            </w:pPr>
            <w:r>
              <w:t>20.</w:t>
            </w:r>
            <w:r>
              <w:tab/>
            </w:r>
            <w:r>
              <w:t xml:space="preserve">primygtinai ragina valstybes nares </w:t>
            </w:r>
            <w:r>
              <w:rPr>
                <w:b/>
                <w:i/>
              </w:rPr>
              <w:t>nevėluoti į nacionalinę teisę perkelti direktyvų, perkelti jas visas ir tiksliai,</w:t>
            </w:r>
            <w:r>
              <w:t xml:space="preserve"> ir ragina Komisiją nustatyti </w:t>
            </w:r>
            <w:r>
              <w:rPr>
                <w:b/>
                <w:i/>
              </w:rPr>
              <w:t>visus</w:t>
            </w:r>
            <w:r>
              <w:t xml:space="preserve"> tokios praktikos atvejus ir paskelbti apie juos savo metinėse įgyvendinimo ataskaitose;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ragina Komisiją ir valstybes nares spręsti reglamentavimo susiskaidymo problemą, darančią poveikį MVĮ bendrojoje rinkoje, įskaitant nereikalingus nacionalinius formalumus, ir pirmenybę teikti tarpusavio pripažinimo ir sąveikumo sistemoms;</w:t>
            </w:r>
            <w:r>
              <w:t xml:space="preserve"> </w:t>
            </w:r>
            <w:r>
              <w:rPr>
                <w:b/>
                <w:i/>
              </w:rPr>
              <w:t>ragina Komisiją ir valstybes nares mažinti nacionalinius administracinius skirtumus, kurie trukdo MVĮ dalyvauti bendrojoje rinkoje;</w:t>
            </w:r>
            <w:r>
              <w:t xml:space="preserve"> </w:t>
            </w:r>
            <w:r>
              <w:rPr>
                <w:b/>
                <w:i/>
              </w:rPr>
              <w:t>pabrėžia, kad svarbu stiprinti tarpusavio pripažinimą ir derinimą siekiant supaprastinti patekimą į ES rinkas;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ragina Komisiją peržiūrėti teisėkūros procedūra priimamų aktų ir deleguotųjų bei įgyvendinimo aktų pusiausvyrą ir imtis veiksmų dėl jų perteklinės gamybos, užtikrinant, kad jų naudojimas išliktų proporcingas ir nepakenktų reguliavimo proceso demokratiniam teisėtumui;</w:t>
            </w:r>
            <w:r>
              <w:t xml:space="preserve"> </w:t>
            </w:r>
            <w:r>
              <w:rPr>
                <w:b/>
                <w:i/>
              </w:rPr>
              <w:t>ragina apsvarstyti galimybę persvarstyti Reglamentą (ES) Nr. 182/2011 ir nuostatas dėl deleguotųjų ir įgyvendinimo aktų, kad būtų sustiprinta parlamentinė kontrolė ir skaidrumas;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pripažįsta, jog reikia nuosekliai ir veiksmingai perkelti ES teisės aktus į visų valstybių narių nacionalinę teisę, kad būtų užtikrintas teisinis tikrumas ir vienodos sąlygos siekiant geresnės padėties;</w:t>
            </w:r>
            <w:r>
              <w:t xml:space="preserve"> </w:t>
            </w:r>
            <w:r>
              <w:rPr>
                <w:b/>
                <w:i/>
              </w:rPr>
              <w:t>pabrėžia, kad perteklinio reglamentavimo sąvoka neturėtų būti piktnaudžiaujama siekiant atgrasyti valstybes nares išlaikyti arba nustatyti aukštesnius socialinius, aplinkos ar vartotojų apsaugos standartus;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ragina, kad visapusiška konkurencingumo patikra taptų įprasta praktika, įskaitant pagrindinių teisės aktų rinkinių bendro poveikio vertinimą, o ne atskirų aktų vertinimą atskirai;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779.632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86</w:t>
    </w:r>
    <w:r>
      <w:fldChar w:fldCharType="end"/>
    </w:r>
    <w:r>
      <w:t>/</w:t>
    </w:r>
    <w:r>
      <w:fldChar w:fldCharType="begin"/>
    </w:r>
    <w:r>
      <w:instrText xml:space="preserve"> NUMPAGES </w:instrText>
    </w:r>
    <w:r>
      <w:fldChar w:fldCharType="separate"/>
    </w:r>
    <w:r>
      <w:t>87</w:t>
    </w:r>
    <w:r>
      <w:fldChar w:fldCharType="end"/>
    </w:r>
    <w:r>
      <w:tab/>
    </w:r>
    <w:r>
      <w:rPr>
        <w:rStyle w:val="HideTWBExt"/>
      </w:rPr>
      <w:t>&lt;PathFdR&gt;</w:t>
    </w:r>
    <w:r>
      <w:t>AM\1331961LT.docx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AM\1331961LT.docx</w:t>
    </w:r>
    <w:r>
      <w:rPr>
        <w:rStyle w:val="HideTWBExt"/>
      </w:rPr>
      <w:t>&lt;/PathFdR&gt;</w:t>
    </w:r>
    <w:r>
      <w:tab/>
    </w:r>
    <w:r>
      <w:fldChar w:fldCharType="begin"/>
    </w:r>
    <w:r>
      <w:instrText xml:space="preserve"> PAGE </w:instrText>
    </w:r>
    <w:r>
      <w:fldChar w:fldCharType="separate"/>
    </w:r>
    <w:r>
      <w:t>87</w:t>
    </w:r>
    <w:r>
      <w:fldChar w:fldCharType="end"/>
    </w:r>
    <w:r>
      <w:t>/</w:t>
    </w:r>
    <w:r>
      <w:fldChar w:fldCharType="begin"/>
    </w:r>
    <w:r>
      <w:instrText xml:space="preserve"> NUMPAGES </w:instrText>
    </w:r>
    <w:r>
      <w:fldChar w:fldCharType="separate"/>
    </w:r>
    <w:r>
      <w:t>87</w:t>
    </w:r>
    <w:r>
      <w:fldChar w:fldCharType="end"/>
    </w:r>
    <w:r>
      <w:tab/>
    </w:r>
    <w:r>
      <w:t>PE</w:t>
    </w:r>
    <w:r>
      <w:rPr>
        <w:rStyle w:val="HideTWBExt"/>
      </w:rPr>
      <w:t>&lt;NoPE&gt;</w:t>
    </w:r>
    <w:r>
      <w:t>779.632</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AM\1331961LT.docx</w:t>
    </w:r>
    <w:r>
      <w:rPr>
        <w:rStyle w:val="HideTWBExt"/>
      </w:rPr>
      <w:t>&lt;/PathFdR&gt;</w:t>
    </w:r>
    <w:r>
      <w:tab/>
    </w:r>
    <w:r>
      <w:tab/>
    </w:r>
    <w:r>
      <w:t>PE</w:t>
    </w:r>
    <w:r>
      <w:rPr>
        <w:rStyle w:val="HideTWBExt"/>
      </w:rPr>
      <w:t>&lt;NoPE&gt;</w:t>
    </w:r>
    <w:r>
      <w:t>779.632</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87</Pages>
  <Words>16077</Words>
  <Characters>110543</Characters>
  <Application>Microsoft Office Word</Application>
  <DocSecurity>0</DocSecurity>
  <Lines>1</Lines>
  <Paragraphs>1432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1331961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297523</vt:lpwstr>
  </property>
  <property fmtid="{D5CDD505-2E9C-101B-9397-08002B2CF9AE}" pid="7" name="dmxml.render.traceId">
    <vt:lpwstr>692982597bf5176c954f454468ca4627</vt:lpwstr>
  </property>
  <property fmtid="{D5CDD505-2E9C-101B-9397-08002B2CF9AE}" pid="8" name="FooterPath">
    <vt:lpwstr>AM\1331961LT.docx</vt:lpwstr>
  </property>
  <property fmtid="{D5CDD505-2E9C-101B-9397-08002B2CF9AE}" pid="9" name="PE Number">
    <vt:lpwstr>779.632</vt:lpwstr>
  </property>
  <property fmtid="{D5CDD505-2E9C-101B-9397-08002B2CF9AE}" pid="10" name="UID">
    <vt:lpwstr>eu.europa.europarl-DIN1-2025-0000218342_01.00-lt-01.00_text-xml</vt:lpwstr>
  </property>
</Properties>
</file>