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0D4DD1" w:rsidRPr="00D4637E" w14:paraId="3FF94CA0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94C9D" w14:textId="77777777" w:rsidR="00FC57E7" w:rsidRPr="00D4637E" w:rsidRDefault="009A5F7F">
            <w:pPr>
              <w:pStyle w:val="EPName"/>
            </w:pPr>
            <w:r w:rsidRPr="00D4637E">
              <w:t>Parlament Europejski</w:t>
            </w:r>
          </w:p>
          <w:p w14:paraId="3FF94C9E" w14:textId="77777777" w:rsidR="00FC57E7" w:rsidRPr="00D4637E" w:rsidRDefault="009A5F7F">
            <w:pPr>
              <w:pStyle w:val="EPTerm"/>
            </w:pPr>
            <w:r w:rsidRPr="00D4637E"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FF94C9F" w14:textId="401B7319" w:rsidR="00FC57E7" w:rsidRPr="00D4637E" w:rsidRDefault="00362E35">
            <w:pPr>
              <w:pStyle w:val="EPLogo"/>
            </w:pPr>
            <w:r w:rsidRPr="00D4637E">
              <w:rPr>
                <w:noProof/>
              </w:rPr>
              <w:drawing>
                <wp:inline distT="0" distB="0" distL="0" distR="0" wp14:anchorId="3FF95669" wp14:editId="2773A323">
                  <wp:extent cx="1160145" cy="641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45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F94CA1" w14:textId="77777777" w:rsidR="00FC57E7" w:rsidRPr="00D4637E" w:rsidRDefault="009A5F7F">
      <w:pPr>
        <w:pStyle w:val="LineTop"/>
      </w:pPr>
      <w:r w:rsidRPr="00D4637E">
        <w:t xml:space="preserve"> </w:t>
      </w:r>
    </w:p>
    <w:p w14:paraId="3FF94CA2" w14:textId="77777777" w:rsidR="00FC57E7" w:rsidRPr="00D4637E" w:rsidRDefault="009A5F7F">
      <w:pPr>
        <w:pStyle w:val="EPBody"/>
      </w:pPr>
      <w:r w:rsidRPr="00D4637E">
        <w:rPr>
          <w:rStyle w:val="HideTWBExt"/>
          <w:rFonts w:eastAsia="Times New Roman"/>
          <w:i w:val="0"/>
        </w:rPr>
        <w:t>&lt;Commission&gt;</w:t>
      </w:r>
      <w:r w:rsidRPr="00D4637E">
        <w:rPr>
          <w:rStyle w:val="HideTWBInt"/>
          <w:i w:val="0"/>
        </w:rPr>
        <w:t>{JURI}</w:t>
      </w:r>
      <w:r w:rsidRPr="00D4637E">
        <w:t>Komisja Prawna</w:t>
      </w:r>
      <w:r w:rsidRPr="00D4637E">
        <w:rPr>
          <w:rStyle w:val="HideTWBExt"/>
          <w:rFonts w:eastAsia="Times New Roman"/>
          <w:i w:val="0"/>
        </w:rPr>
        <w:t>&lt;/Commission&gt;</w:t>
      </w:r>
    </w:p>
    <w:p w14:paraId="3FF94CA3" w14:textId="77777777" w:rsidR="00FC57E7" w:rsidRPr="00D4637E" w:rsidRDefault="009A5F7F">
      <w:pPr>
        <w:pStyle w:val="LineBottom"/>
      </w:pPr>
      <w:r w:rsidRPr="00D4637E">
        <w:t xml:space="preserve"> </w:t>
      </w:r>
    </w:p>
    <w:p w14:paraId="3FF94CA4" w14:textId="77777777" w:rsidR="00FC57E7" w:rsidRPr="00D4637E" w:rsidRDefault="009A5F7F">
      <w:pPr>
        <w:pStyle w:val="CoverReference"/>
      </w:pPr>
      <w:r w:rsidRPr="00D4637E">
        <w:rPr>
          <w:rStyle w:val="HideTWBExt"/>
          <w:rFonts w:eastAsia="Times New Roman"/>
          <w:b w:val="0"/>
        </w:rPr>
        <w:t>&lt;RefProc&gt;</w:t>
      </w:r>
      <w:r w:rsidRPr="00D4637E">
        <w:t>2025/2015</w:t>
      </w:r>
      <w:r w:rsidRPr="00D4637E">
        <w:rPr>
          <w:rStyle w:val="HideTWBExt"/>
          <w:rFonts w:eastAsia="Times New Roman"/>
          <w:b w:val="0"/>
        </w:rPr>
        <w:t>&lt;/RefProc&gt;&lt;RefTypeProc&gt;</w:t>
      </w:r>
      <w:r w:rsidRPr="00D4637E">
        <w:t>(INI)</w:t>
      </w:r>
      <w:r w:rsidRPr="00D4637E">
        <w:rPr>
          <w:rStyle w:val="HideTWBExt"/>
          <w:rFonts w:eastAsia="Times New Roman"/>
          <w:b w:val="0"/>
        </w:rPr>
        <w:t>&lt;/RefTypeProc&gt;</w:t>
      </w:r>
    </w:p>
    <w:p w14:paraId="3FF94CA5" w14:textId="77777777" w:rsidR="00FC57E7" w:rsidRPr="00D4637E" w:rsidRDefault="009A5F7F">
      <w:pPr>
        <w:pStyle w:val="CoverDate"/>
      </w:pPr>
      <w:r w:rsidRPr="00D4637E">
        <w:rPr>
          <w:rStyle w:val="HideTWBExt"/>
        </w:rPr>
        <w:t>&lt;Date&gt;</w:t>
      </w:r>
      <w:r w:rsidRPr="00D4637E">
        <w:rPr>
          <w:rStyle w:val="HideTWBInt"/>
        </w:rPr>
        <w:t>{12/11/2025}</w:t>
      </w:r>
      <w:r w:rsidRPr="00D4637E">
        <w:t>12.11.2025</w:t>
      </w:r>
      <w:r w:rsidRPr="00D4637E">
        <w:rPr>
          <w:rStyle w:val="HideTWBExt"/>
        </w:rPr>
        <w:t>&lt;/Date&gt;</w:t>
      </w:r>
    </w:p>
    <w:p w14:paraId="3FF94CA6" w14:textId="77777777" w:rsidR="00FC57E7" w:rsidRPr="00D4637E" w:rsidRDefault="009A5F7F">
      <w:pPr>
        <w:pStyle w:val="CoverDocType"/>
      </w:pPr>
      <w:r w:rsidRPr="00D4637E">
        <w:rPr>
          <w:rStyle w:val="HideTWBExt"/>
          <w:b w:val="0"/>
        </w:rPr>
        <w:t>&lt;TypeAM&gt;</w:t>
      </w:r>
      <w:r w:rsidRPr="00D4637E">
        <w:t>POPRAWKI</w:t>
      </w:r>
      <w:r w:rsidRPr="00D4637E">
        <w:rPr>
          <w:rStyle w:val="HideTWBExt"/>
          <w:b w:val="0"/>
        </w:rPr>
        <w:t>&lt;/TypeAM&gt;</w:t>
      </w:r>
    </w:p>
    <w:p w14:paraId="3FF94CA7" w14:textId="77777777" w:rsidR="00FC57E7" w:rsidRPr="00D4637E" w:rsidRDefault="009A5F7F">
      <w:pPr>
        <w:pStyle w:val="CoverDocType24a"/>
      </w:pPr>
      <w:r w:rsidRPr="00D4637E">
        <w:rPr>
          <w:rStyle w:val="HideTWBExt"/>
          <w:rFonts w:eastAsia="Times New Roman"/>
          <w:b w:val="0"/>
        </w:rPr>
        <w:t>&lt;RangeAM&gt;</w:t>
      </w:r>
      <w:r w:rsidRPr="00D4637E">
        <w:t>1-163</w:t>
      </w:r>
      <w:r w:rsidRPr="00D4637E">
        <w:rPr>
          <w:rStyle w:val="HideTWBExt"/>
          <w:rFonts w:eastAsia="Times New Roman"/>
          <w:b w:val="0"/>
        </w:rPr>
        <w:t>&lt;/RangeAM&gt;</w:t>
      </w:r>
    </w:p>
    <w:p w14:paraId="3FF94CA8" w14:textId="77777777" w:rsidR="00FC57E7" w:rsidRPr="00D4637E" w:rsidRDefault="009A5F7F">
      <w:pPr>
        <w:pStyle w:val="CoverBold"/>
      </w:pPr>
      <w:r w:rsidRPr="00D4637E">
        <w:rPr>
          <w:rStyle w:val="HideTWBExt"/>
          <w:b w:val="0"/>
        </w:rPr>
        <w:t>&lt;TitreType&gt;</w:t>
      </w:r>
      <w:r w:rsidRPr="00D4637E">
        <w:t>Projekt sprawozdania</w:t>
      </w:r>
      <w:r w:rsidRPr="00D4637E">
        <w:rPr>
          <w:rStyle w:val="HideTWBExt"/>
          <w:b w:val="0"/>
        </w:rPr>
        <w:t>&lt;/TitreType&gt;</w:t>
      </w:r>
    </w:p>
    <w:p w14:paraId="3FF94CA9" w14:textId="77777777" w:rsidR="00FC57E7" w:rsidRPr="00D4637E" w:rsidRDefault="009A5F7F">
      <w:pPr>
        <w:pStyle w:val="CoverBold"/>
      </w:pPr>
      <w:r w:rsidRPr="00D4637E">
        <w:rPr>
          <w:rStyle w:val="HideTWBExt"/>
          <w:b w:val="0"/>
        </w:rPr>
        <w:t>&lt;Rapporteur&gt;</w:t>
      </w:r>
      <w:r w:rsidRPr="00D4637E">
        <w:t>Jörgen Warborn</w:t>
      </w:r>
      <w:r w:rsidRPr="00D4637E">
        <w:rPr>
          <w:rStyle w:val="HideTWBExt"/>
          <w:b w:val="0"/>
        </w:rPr>
        <w:t>&lt;/Rapporteur&gt;</w:t>
      </w:r>
    </w:p>
    <w:p w14:paraId="3FF94CAA" w14:textId="77777777" w:rsidR="00FC57E7" w:rsidRPr="00D4637E" w:rsidRDefault="009A5F7F">
      <w:pPr>
        <w:pStyle w:val="CoverNormal24a"/>
      </w:pPr>
      <w:r w:rsidRPr="00D4637E">
        <w:rPr>
          <w:rStyle w:val="HideTWBExt"/>
        </w:rPr>
        <w:t>&lt;DocRefPE&gt;</w:t>
      </w:r>
      <w:r w:rsidRPr="00D4637E">
        <w:t>(PE776.862v01-00)</w:t>
      </w:r>
      <w:r w:rsidRPr="00D4637E">
        <w:rPr>
          <w:rStyle w:val="HideTWBExt"/>
        </w:rPr>
        <w:t>&lt;/DocRefPE&gt;</w:t>
      </w:r>
    </w:p>
    <w:p w14:paraId="3FF94CAB" w14:textId="77777777" w:rsidR="00FC57E7" w:rsidRPr="00D4637E" w:rsidRDefault="009A5F7F">
      <w:pPr>
        <w:pStyle w:val="CoverNormal"/>
      </w:pPr>
      <w:r w:rsidRPr="00D4637E">
        <w:rPr>
          <w:rStyle w:val="HideTWBExt"/>
        </w:rPr>
        <w:t>&lt;Titre&gt;</w:t>
      </w:r>
      <w:r w:rsidRPr="00D4637E">
        <w:t>Sprawność regulacyjna Unii Europejskiej oraz pomocniczość i proporcjonalność – sprawozdanie w sprawie lepszego stanowienia prawa obejmujące lata 2023 i 2024</w:t>
      </w:r>
      <w:r w:rsidRPr="00D4637E">
        <w:rPr>
          <w:rStyle w:val="HideTWBExt"/>
        </w:rPr>
        <w:t>&lt;/Titre&gt;</w:t>
      </w:r>
    </w:p>
    <w:p w14:paraId="3FF94CAC" w14:textId="77777777" w:rsidR="00FC57E7" w:rsidRPr="00D4637E" w:rsidRDefault="009A5F7F">
      <w:pPr>
        <w:pStyle w:val="CoverNormal24a"/>
      </w:pPr>
      <w:r w:rsidRPr="00D4637E">
        <w:rPr>
          <w:rStyle w:val="HideTWBExt"/>
        </w:rPr>
        <w:t>&lt;DocRef&gt;</w:t>
      </w:r>
      <w:r w:rsidRPr="00D4637E">
        <w:t>(2025/2015(INI))</w:t>
      </w:r>
      <w:r w:rsidRPr="00D4637E">
        <w:rPr>
          <w:rStyle w:val="HideTWBExt"/>
        </w:rPr>
        <w:t>&lt;/DocRef&gt;</w:t>
      </w:r>
    </w:p>
    <w:p w14:paraId="3FF94CAD" w14:textId="77777777" w:rsidR="00FC57E7" w:rsidRPr="00D4637E" w:rsidRDefault="009A5F7F">
      <w:r w:rsidRPr="00D4637E">
        <w:br w:type="page"/>
      </w:r>
      <w:r w:rsidRPr="00D4637E">
        <w:lastRenderedPageBreak/>
        <w:t>AM_Com_NonLegReport</w:t>
      </w:r>
    </w:p>
    <w:p w14:paraId="4674AD3C" w14:textId="3DEF5665" w:rsidR="000D4DD1" w:rsidRPr="00D4637E" w:rsidRDefault="009A5F7F" w:rsidP="000D4DD1">
      <w:pPr>
        <w:pStyle w:val="AmNumberTabs"/>
      </w:pPr>
      <w:r w:rsidRPr="00D4637E">
        <w:br w:type="page"/>
      </w:r>
      <w:r w:rsidR="000D4DD1" w:rsidRPr="00D4637E">
        <w:rPr>
          <w:rStyle w:val="HideTWBExt"/>
          <w:b w:val="0"/>
        </w:rPr>
        <w:lastRenderedPageBreak/>
        <w:t>&lt;RepeatBlock-Amend&gt;&lt;Amend&gt;</w:t>
      </w:r>
      <w:r w:rsidR="000D4DD1" w:rsidRPr="00D4637E">
        <w:t>Poprawka</w:t>
      </w:r>
      <w:r w:rsidR="000D4DD1" w:rsidRPr="00D4637E">
        <w:tab/>
      </w:r>
      <w:r w:rsidR="000D4DD1" w:rsidRPr="00D4637E">
        <w:tab/>
      </w:r>
      <w:r w:rsidR="000D4DD1" w:rsidRPr="00D4637E">
        <w:rPr>
          <w:rStyle w:val="HideTWBExt"/>
          <w:b w:val="0"/>
        </w:rPr>
        <w:t>&lt;NumAm&gt;</w:t>
      </w:r>
      <w:r w:rsidR="000D4DD1" w:rsidRPr="00D4637E">
        <w:t>1</w:t>
      </w:r>
      <w:r w:rsidR="000D4DD1" w:rsidRPr="00D4637E">
        <w:rPr>
          <w:rStyle w:val="HideTWBExt"/>
          <w:b w:val="0"/>
        </w:rPr>
        <w:t>&lt;/NumAm&gt;</w:t>
      </w:r>
    </w:p>
    <w:p w14:paraId="0526A4F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3692C31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7520CE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1C6272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4 a (nowe)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F5E6A8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8DB36" w14:textId="77777777" w:rsidR="000D4DD1" w:rsidRPr="00D4637E" w:rsidRDefault="000D4DD1" w:rsidP="00660527"/>
        </w:tc>
      </w:tr>
      <w:tr w:rsidR="000D4DD1" w:rsidRPr="00D4637E" w14:paraId="1D785A7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8A01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197C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E75B66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3C21A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A39BC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Porozumienie między Parlamentem Europejskim, Radą Unii Europejskiej, Komisją Europejską, Trybunałem Sprawiedliwości Unii Europejskiej, Europejskim Bankiem Centralnym, Europejskim Trybunałem Obrachunkowym, Europejskim Komitetem Ekonomiczno-Społecznym i Europejskim Komitetem Regionów ustanawiające międzyinstytucjonalny organ ds. norm etycznych dla członków instytucji i organów doradczych (zwany dalej „międzyinstytucjonalnym organem ds. etyki”) wymienionych w art. 13 Traktatu o Unii Europejskiej;</w:t>
            </w:r>
          </w:p>
        </w:tc>
      </w:tr>
    </w:tbl>
    <w:p w14:paraId="64E3E78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636433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3FFF86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</w:t>
      </w:r>
      <w:r w:rsidRPr="00D4637E">
        <w:rPr>
          <w:rStyle w:val="HideTWBExt"/>
          <w:b w:val="0"/>
        </w:rPr>
        <w:t>&lt;/NumAm&gt;</w:t>
      </w:r>
    </w:p>
    <w:p w14:paraId="0DE95F6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4CFD15E2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243D4C6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EA9DCD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5893B5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4 a (nowe)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0E663D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6EE71" w14:textId="77777777" w:rsidR="000D4DD1" w:rsidRPr="00D4637E" w:rsidRDefault="000D4DD1" w:rsidP="00660527"/>
        </w:tc>
      </w:tr>
      <w:tr w:rsidR="000D4DD1" w:rsidRPr="00D4637E" w14:paraId="5BB10A0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0A2B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02DF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8D278A8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A23C1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A76F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swoją rezolucję z dnia 9 czerwca 2016 r. w sprawie otwartej, efektywnej i niezależnej administracji Unii Europejskiej,</w:t>
            </w:r>
          </w:p>
        </w:tc>
      </w:tr>
    </w:tbl>
    <w:p w14:paraId="3D6BB533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8133C3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2FC233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</w:t>
      </w:r>
      <w:r w:rsidRPr="00D4637E">
        <w:rPr>
          <w:rStyle w:val="HideTWBExt"/>
          <w:b w:val="0"/>
        </w:rPr>
        <w:t>&lt;/NumAm&gt;</w:t>
      </w:r>
    </w:p>
    <w:p w14:paraId="3DE0A8B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6EB527E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6C7D3C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B15636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4 b (nowe)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E13133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3FB0D" w14:textId="77777777" w:rsidR="000D4DD1" w:rsidRPr="00D4637E" w:rsidRDefault="000D4DD1" w:rsidP="00660527"/>
        </w:tc>
      </w:tr>
      <w:tr w:rsidR="000D4DD1" w:rsidRPr="00D4637E" w14:paraId="793E0F8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5EC30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2F64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6846D2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687CE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4DB0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komunikat Komisji do Parlamentu Europejskiego, Rady, Europejskiego Komitetu Ekonomiczno-Społecznego i Komitetu Regionów pt. „Lepsze stanowienie prawa: połączenie sił na rzecz stanowienia lepszego prawa” (COM(2021)0219);</w:t>
            </w:r>
          </w:p>
        </w:tc>
      </w:tr>
    </w:tbl>
    <w:p w14:paraId="315CF69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66CF53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D6EB61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</w:t>
      </w:r>
      <w:r w:rsidRPr="00D4637E">
        <w:rPr>
          <w:rStyle w:val="HideTWBExt"/>
          <w:b w:val="0"/>
        </w:rPr>
        <w:t>&lt;/NumAm&gt;</w:t>
      </w:r>
    </w:p>
    <w:p w14:paraId="6B4D786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16103F7D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086069D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5CA19C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54ACC1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7 a (nowe)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6D993F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56E00" w14:textId="77777777" w:rsidR="000D4DD1" w:rsidRPr="00D4637E" w:rsidRDefault="000D4DD1" w:rsidP="00660527"/>
        </w:tc>
      </w:tr>
      <w:tr w:rsidR="000D4DD1" w:rsidRPr="00D4637E" w14:paraId="6B927CB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E841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F04A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C4B8EF8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86B7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F004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komunikat Komisji z dnia 29 kwietnia 2021 r. pt. „Lepsze stanowienie prawa: połączenie sił na rzecz stanowienia lepszego prawa” (COM(2021)0219),</w:t>
            </w:r>
          </w:p>
        </w:tc>
      </w:tr>
    </w:tbl>
    <w:p w14:paraId="29B8A9B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C54BC5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4CD6FB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</w:t>
      </w:r>
      <w:r w:rsidRPr="00D4637E">
        <w:rPr>
          <w:rStyle w:val="HideTWBExt"/>
          <w:b w:val="0"/>
        </w:rPr>
        <w:t>&lt;/NumAm&gt;</w:t>
      </w:r>
    </w:p>
    <w:p w14:paraId="2844181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575D6CA5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361DCF8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0B05DB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9081B3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7 b (nowe)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661E2F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999E6" w14:textId="77777777" w:rsidR="000D4DD1" w:rsidRPr="00D4637E" w:rsidRDefault="000D4DD1" w:rsidP="00660527"/>
        </w:tc>
      </w:tr>
      <w:tr w:rsidR="000D4DD1" w:rsidRPr="00D4637E" w14:paraId="0B9E3A40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C485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EFC3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3DFE4C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D5755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C268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swoją rezolucję z dnia 7 lipca 2022 r. w sprawie lepszego stanowienia prawa: połączenie sił na rzecz stanowienia lepszego prawa</w:t>
            </w:r>
            <w:r w:rsidRPr="00D4637E">
              <w:rPr>
                <w:b/>
                <w:i/>
                <w:vertAlign w:val="superscript"/>
              </w:rPr>
              <w:t>1a</w:t>
            </w:r>
            <w:r w:rsidRPr="00D4637E">
              <w:rPr>
                <w:b/>
                <w:i/>
              </w:rPr>
              <w:t>,</w:t>
            </w:r>
          </w:p>
        </w:tc>
      </w:tr>
      <w:tr w:rsidR="000D4DD1" w:rsidRPr="00D4637E" w14:paraId="3962FDD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8CCB6" w14:textId="77777777" w:rsidR="000D4DD1" w:rsidRPr="00D4637E" w:rsidRDefault="000D4DD1" w:rsidP="0066052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225DA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_________________</w:t>
            </w:r>
          </w:p>
        </w:tc>
      </w:tr>
      <w:tr w:rsidR="000D4DD1" w:rsidRPr="00D4637E" w14:paraId="51BEA6D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07B7E" w14:textId="77777777" w:rsidR="000D4DD1" w:rsidRPr="00D4637E" w:rsidRDefault="000D4DD1" w:rsidP="0066052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E6391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  <w:vertAlign w:val="superscript"/>
              </w:rPr>
              <w:t xml:space="preserve">1a </w:t>
            </w:r>
            <w:r w:rsidRPr="00D4637E">
              <w:rPr>
                <w:b/>
                <w:i/>
              </w:rPr>
              <w:t>Dz.U. C 47 z 7.2.2023, s. 250.</w:t>
            </w:r>
          </w:p>
        </w:tc>
      </w:tr>
    </w:tbl>
    <w:p w14:paraId="1A14496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751859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D7CFC6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</w:t>
      </w:r>
      <w:r w:rsidRPr="00D4637E">
        <w:rPr>
          <w:rStyle w:val="HideTWBExt"/>
          <w:b w:val="0"/>
        </w:rPr>
        <w:t>&lt;/NumAm&gt;</w:t>
      </w:r>
    </w:p>
    <w:p w14:paraId="5EEB198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C407A9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0AC8F9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70D29F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9 a (nowe)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2842A7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F8C40" w14:textId="77777777" w:rsidR="000D4DD1" w:rsidRPr="00D4637E" w:rsidRDefault="000D4DD1" w:rsidP="00660527"/>
        </w:tc>
      </w:tr>
      <w:tr w:rsidR="000D4DD1" w:rsidRPr="00D4637E" w14:paraId="5938F75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E38C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4F57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AE1782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6D2FF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9788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swoją rezolucję z dnia 18 czerwca 2025 r. w sprawie sprawozdania Komisji na temat praworządności z 2024 r.(2024/2078(INI));</w:t>
            </w:r>
          </w:p>
        </w:tc>
      </w:tr>
    </w:tbl>
    <w:p w14:paraId="16CA86D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2A2F14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4828B1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</w:t>
      </w:r>
      <w:r w:rsidRPr="00D4637E">
        <w:rPr>
          <w:rStyle w:val="HideTWBExt"/>
          <w:b w:val="0"/>
        </w:rPr>
        <w:t>&lt;/NumAm&gt;</w:t>
      </w:r>
    </w:p>
    <w:p w14:paraId="3F1E4D2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0883285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AB0450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7554E8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10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82F31A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245DE" w14:textId="77777777" w:rsidR="000D4DD1" w:rsidRPr="00D4637E" w:rsidRDefault="000D4DD1" w:rsidP="00660527"/>
        </w:tc>
      </w:tr>
      <w:tr w:rsidR="000D4DD1" w:rsidRPr="00D4637E" w14:paraId="3BDEE6E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0FC5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D1DD8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69569D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DC48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wszystkie wcześniejsze komunikaty Komisji na temat potrzeby lepszego stanowienia prawa w celu uzyskania lepszych wyników na rzecz obywateli UE,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92BE2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skreśla się</w:t>
            </w:r>
          </w:p>
        </w:tc>
      </w:tr>
    </w:tbl>
    <w:p w14:paraId="5D098CA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264F9B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F88BB5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lastRenderedPageBreak/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</w:t>
      </w:r>
      <w:r w:rsidRPr="00D4637E">
        <w:rPr>
          <w:rStyle w:val="HideTWBExt"/>
          <w:b w:val="0"/>
        </w:rPr>
        <w:t>&lt;/NumAm&gt;</w:t>
      </w:r>
    </w:p>
    <w:p w14:paraId="3B88969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02069E97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52FEB80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0E6049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349DF0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Umocowanie 12 a (nowe)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D59891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D0946" w14:textId="77777777" w:rsidR="000D4DD1" w:rsidRPr="00D4637E" w:rsidRDefault="000D4DD1" w:rsidP="00660527"/>
        </w:tc>
      </w:tr>
      <w:tr w:rsidR="000D4DD1" w:rsidRPr="00D4637E" w14:paraId="4791FD0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CF5D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04C0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FA4337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54791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64D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–</w:t>
            </w:r>
            <w:r w:rsidRPr="00D4637E">
              <w:rPr>
                <w:b/>
                <w:i/>
              </w:rPr>
              <w:tab/>
              <w:t>uwzględniając dochodzenie Europejskiego Rzecznika Praw Obywatelskich w sprawie 983/2025/MAS dotyczącej nieprzestrzegania przez Komisję Europejską wytycznych dotyczących lepszego stanowienia prawa podczas przygotowywania wniosku ustawodawczego w sprawie sprawozdawczości przedsiębiorstw w zakresie zrównoważonego rozwoju i należytej staranności,</w:t>
            </w:r>
          </w:p>
        </w:tc>
      </w:tr>
    </w:tbl>
    <w:p w14:paraId="29565DC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157779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3D1AA1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</w:t>
      </w:r>
      <w:r w:rsidRPr="00D4637E">
        <w:rPr>
          <w:rStyle w:val="HideTWBExt"/>
          <w:b w:val="0"/>
        </w:rPr>
        <w:t>&lt;/NumAm&gt;</w:t>
      </w:r>
    </w:p>
    <w:p w14:paraId="6D77D6D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297A4B8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3AF535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81C919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-A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8BCB8B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9F9B0" w14:textId="77777777" w:rsidR="000D4DD1" w:rsidRPr="00D4637E" w:rsidRDefault="000D4DD1" w:rsidP="00660527"/>
        </w:tc>
      </w:tr>
      <w:tr w:rsidR="000D4DD1" w:rsidRPr="00D4637E" w14:paraId="1312C87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828C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0B594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76C9E38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0F43D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6A9CC" w14:textId="1BAF87CE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-A.</w:t>
            </w:r>
            <w:r w:rsidR="008070D0" w:rsidRPr="00D4637E">
              <w:rPr>
                <w:b/>
                <w:i/>
              </w:rPr>
              <w:t xml:space="preserve"> </w:t>
            </w:r>
            <w:r w:rsidRPr="00D4637E">
              <w:rPr>
                <w:b/>
                <w:i/>
              </w:rPr>
              <w:t>mając na uwadze, że lepsze stanowienie prawa jest wspólnym celem wszystkich instytucji UE i należy go osiągnąć przez zwiększenie przejrzystości, odpowiedzialności i współpracy między instytucjami, państwami członkowskimi, obywatelami oraz zainteresowanymi stronami, przy jednoczesnym zapewnieniu pełnego poszanowania wszystkich podstawowych wartości europejskich, w tym demokracji, praworządności i praw człowieka;</w:t>
            </w:r>
          </w:p>
        </w:tc>
      </w:tr>
    </w:tbl>
    <w:p w14:paraId="1CFEC38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49EFAC3" w14:textId="77777777" w:rsidR="000D4DD1" w:rsidRPr="00D4637E" w:rsidRDefault="000D4DD1" w:rsidP="000D4DD1">
      <w:r w:rsidRPr="00D4637E">
        <w:rPr>
          <w:rStyle w:val="HideTWBExt"/>
        </w:rPr>
        <w:lastRenderedPageBreak/>
        <w:t>&lt;/Amend&gt;</w:t>
      </w:r>
    </w:p>
    <w:p w14:paraId="36396D3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</w:t>
      </w:r>
      <w:r w:rsidRPr="00D4637E">
        <w:rPr>
          <w:rStyle w:val="HideTWBExt"/>
          <w:b w:val="0"/>
        </w:rPr>
        <w:t>&lt;/NumAm&gt;</w:t>
      </w:r>
    </w:p>
    <w:p w14:paraId="542016A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6E11AA3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6BB8D2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423834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-A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C260D4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F769B" w14:textId="77777777" w:rsidR="000D4DD1" w:rsidRPr="00D4637E" w:rsidRDefault="000D4DD1" w:rsidP="00660527"/>
        </w:tc>
      </w:tr>
      <w:tr w:rsidR="000D4DD1" w:rsidRPr="00D4637E" w14:paraId="3D9A79A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7FEB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4570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9C288C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9258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07DB0" w14:textId="37F9A09C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-Aa.</w:t>
            </w:r>
            <w:r w:rsidR="008070D0" w:rsidRPr="00D4637E">
              <w:rPr>
                <w:b/>
                <w:i/>
              </w:rPr>
              <w:t xml:space="preserve"> </w:t>
            </w:r>
            <w:r w:rsidRPr="00D4637E">
              <w:rPr>
                <w:b/>
                <w:i/>
              </w:rPr>
              <w:t>mając na uwadze, że aby skutecznie przynosić korzyści obywatelom i zainteresowanym stronom, europejskie prawodawstwo powinno być przydatne, proporcjonalne, jasne, przejrzyste i kompleksowe; mając na uwadze, że lepsze stanowienie prawa pomaga zapewnić ukierunkowanie polityki i prawodawstwa UE na przyszłość, z uwzględnieniem szybszego tempa rozwoju technologicznego, społecznego i środowiskowego; mając na uwadze, że w związku z tym coraz ważniejsze będzie popieranie wniosków regulacyjnych dowodami opartymi na najwłaściwszych ocenach i wiarygodnych recenzowanych dowodach naukowych, a także przestrzeganie zasady ostrożności; mając na uwadze, że Komisja powinna w sposób przejrzysty zarządzać dowodami oraz zapewnić, by były one możliwe do znalezienia, dostępne, interoperacyjne i możliwe do wielokrotnego zastosowania; mając na uwadze, że wysokiej jakości stanowienie prawa nie może ograniczać się do celów ilościowych dotyczących jedynie krótkoterminowych obciążeń i redukcji kosztów, ale powinno przynosić wszystkim korzyści, jako długoterminowa inwestycja we wspólny dobrobyt naszych społeczeństw i naszą przyszłość;</w:t>
            </w:r>
          </w:p>
        </w:tc>
      </w:tr>
    </w:tbl>
    <w:p w14:paraId="67060AD7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DDABE0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45BAEB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</w:t>
      </w:r>
      <w:r w:rsidRPr="00D4637E">
        <w:rPr>
          <w:rStyle w:val="HideTWBExt"/>
          <w:b w:val="0"/>
        </w:rPr>
        <w:t>&lt;/NumAm&gt;</w:t>
      </w:r>
    </w:p>
    <w:p w14:paraId="7C4AE4C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6037334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0B62EC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82DBD9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-A 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A1EC01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0461D" w14:textId="77777777" w:rsidR="000D4DD1" w:rsidRPr="00D4637E" w:rsidRDefault="000D4DD1" w:rsidP="00660527"/>
        </w:tc>
      </w:tr>
      <w:tr w:rsidR="000D4DD1" w:rsidRPr="00D4637E" w14:paraId="64D6B70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B3DF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60FB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D14B8C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85A91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72A0B" w14:textId="1B3621CA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-Ab.</w:t>
            </w:r>
            <w:r w:rsidR="008070D0" w:rsidRPr="00D4637E">
              <w:rPr>
                <w:b/>
                <w:i/>
              </w:rPr>
              <w:t xml:space="preserve"> </w:t>
            </w:r>
            <w:r w:rsidRPr="00D4637E">
              <w:rPr>
                <w:b/>
                <w:i/>
              </w:rPr>
              <w:t>mając na uwadze, że zgodnie z art. 2 TUE proces kształtowania prawa UE opiera się na wartościach poszanowania godności osoby ludzkiej, wolności, demokracji, równości, państwa prawnego, jak również poszanowania praw człowieka;</w:t>
            </w:r>
          </w:p>
        </w:tc>
      </w:tr>
    </w:tbl>
    <w:p w14:paraId="1F01301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B9DAF3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D3A2C31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</w:t>
      </w:r>
      <w:r w:rsidRPr="00D4637E">
        <w:rPr>
          <w:rStyle w:val="HideTWBExt"/>
          <w:b w:val="0"/>
        </w:rPr>
        <w:t>&lt;/NumAm&gt;</w:t>
      </w:r>
    </w:p>
    <w:p w14:paraId="3BBE3CE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0C3423F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753B83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1CE930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A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786CE1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C7D12" w14:textId="77777777" w:rsidR="000D4DD1" w:rsidRPr="00D4637E" w:rsidRDefault="000D4DD1" w:rsidP="00660527"/>
        </w:tc>
      </w:tr>
      <w:tr w:rsidR="000D4DD1" w:rsidRPr="00D4637E" w14:paraId="6642A43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E1FA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2145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84B7DC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3D48A" w14:textId="77777777" w:rsidR="000D4DD1" w:rsidRPr="00D4637E" w:rsidRDefault="000D4DD1" w:rsidP="00660527">
            <w:pPr>
              <w:pStyle w:val="Normal6a"/>
            </w:pPr>
            <w:r w:rsidRPr="00D4637E">
              <w:t>A.</w:t>
            </w:r>
            <w:r w:rsidRPr="00D4637E">
              <w:tab/>
              <w:t>mając na uwadze, że zgodnie z art. 5 TUE granice kompetencji Unii wyznacza zasada przyznania; mając na uwadze, że wykonywanie kompetencji UE podlega zasadom pomocniczości i proporcjonalności;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D68D5" w14:textId="77777777" w:rsidR="000D4DD1" w:rsidRPr="00D4637E" w:rsidRDefault="000D4DD1" w:rsidP="00660527">
            <w:pPr>
              <w:pStyle w:val="Normal6a"/>
            </w:pPr>
            <w:r w:rsidRPr="00D4637E">
              <w:t>A.</w:t>
            </w:r>
            <w:r w:rsidRPr="00D4637E">
              <w:tab/>
              <w:t xml:space="preserve">mając na uwadze, że zgodnie z art. 5 TUE granice kompetencji Unii wyznacza zasada przyznania; mając na uwadze, że wykonywanie kompetencji UE podlega zasadom pomocniczości i proporcjonalności; </w:t>
            </w:r>
            <w:r w:rsidRPr="00D4637E">
              <w:rPr>
                <w:b/>
                <w:i/>
              </w:rPr>
              <w:t>mając na uwadze, że zgodnie z zasadą przyznania Unia działa wyłącznie w granicach kompetencji przyznanych jej przez państwa członkowskie w Traktatach do osiągnięcia określonych w nich celów;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>mając na uwadze, że kompetencje nieprzyznane Unii w Traktatach należą do państw członkowskich;</w:t>
            </w:r>
          </w:p>
        </w:tc>
      </w:tr>
    </w:tbl>
    <w:p w14:paraId="232549A9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6887905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EE2F52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</w:t>
      </w:r>
      <w:r w:rsidRPr="00D4637E">
        <w:rPr>
          <w:rStyle w:val="HideTWBExt"/>
          <w:b w:val="0"/>
        </w:rPr>
        <w:t>&lt;/NumAm&gt;</w:t>
      </w:r>
    </w:p>
    <w:p w14:paraId="03E4784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6EE7B0E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&lt;/RepeatBlock-By&gt;</w:t>
      </w:r>
    </w:p>
    <w:p w14:paraId="4979AD8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C0430A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A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C4D1E4B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C1BA4" w14:textId="77777777" w:rsidR="000D4DD1" w:rsidRPr="00D4637E" w:rsidRDefault="000D4DD1" w:rsidP="00660527"/>
        </w:tc>
      </w:tr>
      <w:tr w:rsidR="000D4DD1" w:rsidRPr="00D4637E" w14:paraId="1D3E102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01A8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6B3D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176209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F7CB7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067A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Aa.</w:t>
            </w:r>
            <w:r w:rsidRPr="00D4637E">
              <w:rPr>
                <w:b/>
                <w:i/>
              </w:rPr>
              <w:tab/>
              <w:t>mając na uwadze, że kompetencje dzielone między UE a państwami członkowskimi określono jedynie w sposób ogólny w art. 4 TFUE;</w:t>
            </w:r>
          </w:p>
        </w:tc>
      </w:tr>
    </w:tbl>
    <w:p w14:paraId="3BCD9C19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9EA30F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776047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</w:t>
      </w:r>
      <w:r w:rsidRPr="00D4637E">
        <w:rPr>
          <w:rStyle w:val="HideTWBExt"/>
          <w:b w:val="0"/>
        </w:rPr>
        <w:t>&lt;/NumAm&gt;</w:t>
      </w:r>
    </w:p>
    <w:p w14:paraId="7595E7B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12E7A1A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B30C6C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9459A1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B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D91473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5B5ED" w14:textId="77777777" w:rsidR="000D4DD1" w:rsidRPr="00D4637E" w:rsidRDefault="000D4DD1" w:rsidP="00660527"/>
        </w:tc>
      </w:tr>
      <w:tr w:rsidR="000D4DD1" w:rsidRPr="00D4637E" w14:paraId="76A82D3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7295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A707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6C14B4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B571F" w14:textId="77777777" w:rsidR="000D4DD1" w:rsidRPr="00D4637E" w:rsidRDefault="000D4DD1" w:rsidP="00660527">
            <w:pPr>
              <w:pStyle w:val="Normal6a"/>
            </w:pPr>
            <w:r w:rsidRPr="00D4637E">
              <w:t>B.</w:t>
            </w:r>
            <w:r w:rsidRPr="00D4637E">
              <w:tab/>
              <w:t>mając na uwadze, że lepsze stanowienie prawa, wymagające zaangażowania na rzecz przejrzystości, proporcjonalności i rozliczalności, jest wspólnym obowiązkiem instytucji UE i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A0651" w14:textId="77777777" w:rsidR="000D4DD1" w:rsidRPr="00D4637E" w:rsidRDefault="000D4DD1" w:rsidP="00660527">
            <w:pPr>
              <w:pStyle w:val="Normal6a"/>
            </w:pPr>
            <w:r w:rsidRPr="00D4637E">
              <w:t>B.</w:t>
            </w:r>
            <w:r w:rsidRPr="00D4637E">
              <w:tab/>
              <w:t xml:space="preserve">mając na uwadze, że lepsze stanowienie prawa, wymagające zaangażowania na rzecz przejrzystości, proporcjonalności i rozliczalności, jest wspólnym obowiązkiem instytucji UE i państw członkowskich; </w:t>
            </w:r>
            <w:r w:rsidRPr="00D4637E">
              <w:rPr>
                <w:b/>
                <w:i/>
              </w:rPr>
              <w:t>mając na uwadze, że wymogi te wynikają z zasady praworządności, jednej z podstawowych wartości zapisanych w art. 2 TUE, która gwarantuje, aby wszelkie działania Unii, w tym procesy legislacyjne i regulacyjne, opierały się na legalności, przejrzystości i skutecznej kontroli sądowej;</w:t>
            </w:r>
          </w:p>
        </w:tc>
      </w:tr>
    </w:tbl>
    <w:p w14:paraId="10710A4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BA5185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9D8816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</w:t>
      </w:r>
      <w:r w:rsidRPr="00D4637E">
        <w:rPr>
          <w:rStyle w:val="HideTWBExt"/>
          <w:b w:val="0"/>
        </w:rPr>
        <w:t>&lt;/NumAm&gt;</w:t>
      </w:r>
    </w:p>
    <w:p w14:paraId="51E9CCE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Ton Diepeveen</w:t>
      </w:r>
      <w:r w:rsidRPr="00D4637E">
        <w:rPr>
          <w:rStyle w:val="HideTWBExt"/>
          <w:b w:val="0"/>
        </w:rPr>
        <w:t>&lt;/Members&gt;</w:t>
      </w:r>
    </w:p>
    <w:p w14:paraId="1166640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0183D8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CFD4DD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B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58E180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01D39" w14:textId="77777777" w:rsidR="000D4DD1" w:rsidRPr="00D4637E" w:rsidRDefault="000D4DD1" w:rsidP="00660527"/>
        </w:tc>
      </w:tr>
      <w:tr w:rsidR="000D4DD1" w:rsidRPr="00D4637E" w14:paraId="787EB61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CBC5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2B38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D2F184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C349F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B.</w:t>
            </w:r>
            <w:r w:rsidRPr="00D4637E">
              <w:tab/>
              <w:t xml:space="preserve">mając na uwadze, że lepsze stanowienie prawa, </w:t>
            </w:r>
            <w:r w:rsidRPr="00D4637E">
              <w:rPr>
                <w:b/>
                <w:bCs/>
                <w:i/>
                <w:iCs/>
              </w:rPr>
              <w:t>wymagające zaangażowania na rzecz przejrzystości, proporcjonalności i rozliczalności,</w:t>
            </w:r>
            <w:r w:rsidRPr="00D4637E">
              <w:t xml:space="preserve"> jest </w:t>
            </w:r>
            <w:r w:rsidRPr="00D4637E">
              <w:rPr>
                <w:b/>
                <w:bCs/>
                <w:i/>
                <w:iCs/>
              </w:rPr>
              <w:t>wspólnym</w:t>
            </w:r>
            <w:r w:rsidRPr="00D4637E">
              <w:t xml:space="preserve"> obowiązkiem </w:t>
            </w:r>
            <w:r w:rsidRPr="00D4637E">
              <w:rPr>
                <w:b/>
                <w:bCs/>
                <w:i/>
                <w:iCs/>
              </w:rPr>
              <w:t>instytucji UE i</w:t>
            </w:r>
            <w:r w:rsidRPr="00D4637E">
              <w:t xml:space="preserve">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B8E4E" w14:textId="77777777" w:rsidR="000D4DD1" w:rsidRPr="00D4637E" w:rsidRDefault="000D4DD1" w:rsidP="00660527">
            <w:pPr>
              <w:pStyle w:val="Normal6a"/>
            </w:pPr>
            <w:r w:rsidRPr="00D4637E">
              <w:t>B.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bCs/>
                <w:i/>
                <w:iCs/>
              </w:rPr>
              <w:t>zgodnie z art. 5 TUE</w:t>
            </w:r>
            <w:r w:rsidRPr="00D4637E">
              <w:t xml:space="preserve"> lepsze stanowienie prawa jest obowiązkiem państw członkowskich, </w:t>
            </w:r>
            <w:r w:rsidRPr="00D4637E">
              <w:rPr>
                <w:b/>
                <w:bCs/>
                <w:i/>
                <w:iCs/>
              </w:rPr>
              <w:t>a Unia ma działać wyłącznie w granicach kompetencji przyznanych jej przez państwa członkowskie w Traktatach w celu osiągnięcia określonych w nich celów</w:t>
            </w:r>
            <w:r w:rsidRPr="00D4637E">
              <w:t xml:space="preserve">; </w:t>
            </w:r>
            <w:r w:rsidRPr="00D4637E">
              <w:rPr>
                <w:b/>
                <w:i/>
              </w:rPr>
              <w:t>kompetencje nieprzyznane Unii w Traktatach należą do państw członkowskich;</w:t>
            </w:r>
          </w:p>
        </w:tc>
      </w:tr>
    </w:tbl>
    <w:p w14:paraId="22C45D9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{NL}</w:t>
      </w:r>
      <w:r w:rsidRPr="00D4637E">
        <w:t>nl</w:t>
      </w:r>
      <w:r w:rsidRPr="00D4637E">
        <w:rPr>
          <w:rStyle w:val="HideTWBExt"/>
        </w:rPr>
        <w:t>&lt;/Original&gt;</w:t>
      </w:r>
    </w:p>
    <w:p w14:paraId="62479AA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F718A6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16</w:t>
      </w:r>
      <w:r w:rsidRPr="00D4637E">
        <w:rPr>
          <w:rStyle w:val="HideTWBExt"/>
          <w:b w:val="0"/>
        </w:rPr>
        <w:t>&lt;/NumAm&gt;</w:t>
      </w:r>
    </w:p>
    <w:p w14:paraId="21D8726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07A9CE7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8622DB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9802C0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B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850988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5057F" w14:textId="77777777" w:rsidR="000D4DD1" w:rsidRPr="00D4637E" w:rsidRDefault="000D4DD1" w:rsidP="00660527"/>
        </w:tc>
      </w:tr>
      <w:tr w:rsidR="000D4DD1" w:rsidRPr="00D4637E" w14:paraId="7B6772E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8402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1A1C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96A6BE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0098B" w14:textId="77777777" w:rsidR="000D4DD1" w:rsidRPr="00D4637E" w:rsidRDefault="000D4DD1" w:rsidP="00660527">
            <w:pPr>
              <w:pStyle w:val="Normal6a"/>
            </w:pPr>
            <w:r w:rsidRPr="00D4637E">
              <w:t>B.</w:t>
            </w:r>
            <w:r w:rsidRPr="00D4637E">
              <w:tab/>
              <w:t>mając na uwadze, że lepsze stanowienie prawa, wymagające zaangażowania na rzecz przejrzystości, proporcjonalności i rozliczalności, jest wspólnym obowiązkiem instytucji UE i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AFCA0" w14:textId="77777777" w:rsidR="000D4DD1" w:rsidRPr="00D4637E" w:rsidRDefault="000D4DD1" w:rsidP="00660527">
            <w:pPr>
              <w:pStyle w:val="Normal6a"/>
            </w:pPr>
            <w:r w:rsidRPr="00D4637E">
              <w:t>B.</w:t>
            </w:r>
            <w:r w:rsidRPr="00D4637E">
              <w:tab/>
              <w:t xml:space="preserve">mając na uwadze, że lepsze stanowienie prawa, wymagające </w:t>
            </w:r>
            <w:r w:rsidRPr="00D4637E">
              <w:rPr>
                <w:b/>
                <w:i/>
              </w:rPr>
              <w:t xml:space="preserve">wspólnego </w:t>
            </w:r>
            <w:r w:rsidRPr="00D4637E">
              <w:t xml:space="preserve">zaangażowania na rzecz przejrzystości, proporcjonalności i rozliczalności, jest wspólnym obowiązkiem </w:t>
            </w:r>
            <w:r w:rsidRPr="00D4637E">
              <w:rPr>
                <w:b/>
                <w:i/>
              </w:rPr>
              <w:t xml:space="preserve">opartym na zasadzie równowagi międzyinstytucjonalnej między instytucjami UE, a także </w:t>
            </w:r>
            <w:r w:rsidRPr="00D4637E">
              <w:t>instytucji UE i państw członkowskich;</w:t>
            </w:r>
          </w:p>
        </w:tc>
      </w:tr>
    </w:tbl>
    <w:p w14:paraId="12B963D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D38056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8D12DC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17</w:t>
      </w:r>
      <w:r w:rsidRPr="00D4637E">
        <w:rPr>
          <w:rStyle w:val="HideTWBExt"/>
          <w:b w:val="0"/>
        </w:rPr>
        <w:t>&lt;/NumAm&gt;</w:t>
      </w:r>
    </w:p>
    <w:p w14:paraId="1BD5B47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7077E64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2CB325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8567AE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B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728333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51D0B" w14:textId="77777777" w:rsidR="000D4DD1" w:rsidRPr="00D4637E" w:rsidRDefault="000D4DD1" w:rsidP="00660527"/>
        </w:tc>
      </w:tr>
      <w:tr w:rsidR="000D4DD1" w:rsidRPr="00D4637E" w14:paraId="5A3E546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2C24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478E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D5EDF7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A1A77" w14:textId="77777777" w:rsidR="000D4DD1" w:rsidRPr="00D4637E" w:rsidRDefault="000D4DD1" w:rsidP="00660527">
            <w:pPr>
              <w:pStyle w:val="Normal6a"/>
            </w:pPr>
            <w:r w:rsidRPr="00D4637E">
              <w:t>B.</w:t>
            </w:r>
            <w:r w:rsidRPr="00D4637E">
              <w:tab/>
              <w:t xml:space="preserve">mając na uwadze, że lepsze stanowienie prawa, wymagające zaangażowania na rzecz przejrzystości, </w:t>
            </w:r>
            <w:r w:rsidRPr="00D4637E">
              <w:lastRenderedPageBreak/>
              <w:t>proporcjonalności i rozliczalności, jest wspólnym obowiązkiem instytucji UE i państw członkowskich;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60F89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B.</w:t>
            </w:r>
            <w:r w:rsidRPr="00D4637E">
              <w:tab/>
              <w:t xml:space="preserve">mając na uwadze, że lepsze stanowienie prawa, wymagające zaangażowania na rzecz przejrzystości, </w:t>
            </w:r>
            <w:r w:rsidRPr="00D4637E">
              <w:lastRenderedPageBreak/>
              <w:t>proporcjonalności</w:t>
            </w:r>
            <w:r w:rsidRPr="00D4637E">
              <w:rPr>
                <w:b/>
                <w:i/>
              </w:rPr>
              <w:t>, przestrzegania zasady pomocniczości</w:t>
            </w:r>
            <w:r w:rsidRPr="00D4637E">
              <w:t xml:space="preserve"> i rozliczalności, jest </w:t>
            </w:r>
            <w:r w:rsidRPr="00D4637E">
              <w:rPr>
                <w:b/>
                <w:i/>
              </w:rPr>
              <w:t>zarówno zobowiązaniem, jak i</w:t>
            </w:r>
            <w:r w:rsidRPr="00D4637E">
              <w:t xml:space="preserve"> wspólnym obowiązkiem instytucji UE i państw członkowskich;</w:t>
            </w:r>
          </w:p>
        </w:tc>
      </w:tr>
    </w:tbl>
    <w:p w14:paraId="7BB00397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2A86A18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34A0B87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18</w:t>
      </w:r>
      <w:r w:rsidRPr="00D4637E">
        <w:rPr>
          <w:rStyle w:val="HideTWBExt"/>
          <w:b w:val="0"/>
        </w:rPr>
        <w:t>&lt;/NumAm&gt;</w:t>
      </w:r>
    </w:p>
    <w:p w14:paraId="0AA900D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Jörgen Warborn</w:t>
      </w:r>
      <w:r w:rsidRPr="00D4637E">
        <w:rPr>
          <w:rStyle w:val="HideTWBExt"/>
          <w:b w:val="0"/>
        </w:rPr>
        <w:t>&lt;/Members&gt;</w:t>
      </w:r>
    </w:p>
    <w:p w14:paraId="109277A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E03F31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8919B8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B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6A2F2F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7C87B" w14:textId="77777777" w:rsidR="000D4DD1" w:rsidRPr="00D4637E" w:rsidRDefault="000D4DD1" w:rsidP="00660527"/>
        </w:tc>
      </w:tr>
      <w:tr w:rsidR="000D4DD1" w:rsidRPr="00D4637E" w14:paraId="668FD4C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0F21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3FA8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71501C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2C32A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5F92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Ba.</w:t>
            </w:r>
            <w:r w:rsidRPr="00D4637E">
              <w:rPr>
                <w:b/>
                <w:i/>
              </w:rPr>
              <w:tab/>
              <w:t>mając na uwadze, że w swoich Wytycznych politycznych na następną kadencję Komisji Europejskiej 2024–2029 z dnia 18 lipca 2024 r. prezydent elekt stwierdziła, że „[p]rzyszłe prawodawstwo należy również uprościć i dopasować z myślą o małych  przedsiębiorstwach i w duchu zasady pomocniczości”; mając na uwadze, że stwierdziła ona również, że „[l]epsze stanowienie prawa musi być jednak wspólnym zadaniem – realizowanym z udziałem wszystkich zaangażowanych instytucji i z uwzględnieniem całego procesu legislacyjnego”;</w:t>
            </w:r>
          </w:p>
        </w:tc>
      </w:tr>
    </w:tbl>
    <w:p w14:paraId="0BF2CFC5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D19782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11F33F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19</w:t>
      </w:r>
      <w:r w:rsidRPr="00D4637E">
        <w:rPr>
          <w:rStyle w:val="HideTWBExt"/>
          <w:b w:val="0"/>
        </w:rPr>
        <w:t>&lt;/NumAm&gt;</w:t>
      </w:r>
    </w:p>
    <w:p w14:paraId="351996F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31C28FAD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100EADE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E331AE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99C573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B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66BA27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B2C33" w14:textId="77777777" w:rsidR="000D4DD1" w:rsidRPr="00D4637E" w:rsidRDefault="000D4DD1" w:rsidP="00660527"/>
        </w:tc>
      </w:tr>
      <w:tr w:rsidR="000D4DD1" w:rsidRPr="00D4637E" w14:paraId="12627FB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414C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E11E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204DDC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9BE55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7A79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Ba.</w:t>
            </w:r>
            <w:r w:rsidRPr="00D4637E">
              <w:rPr>
                <w:b/>
                <w:i/>
              </w:rPr>
              <w:tab/>
              <w:t xml:space="preserve">mając na uwadze, że Komisja wyraźnie stwierdziła w swoich różnych </w:t>
            </w:r>
            <w:r w:rsidRPr="00D4637E">
              <w:rPr>
                <w:b/>
                <w:i/>
              </w:rPr>
              <w:lastRenderedPageBreak/>
              <w:t>komunikatach, iż lepsze stanowienie prawa wymaga zapewnienia, aby prawo UE i kształtowanie polityki opierały się na rzetelnych dowodach, angażowały zainteresowane strony, w tym obywateli i przedsiębiorstwa, unikały nakładania niepotrzebnych obciążeń oraz przynosiły namacalne i trwałe korzyści dla obywateli UE;</w:t>
            </w:r>
          </w:p>
        </w:tc>
      </w:tr>
    </w:tbl>
    <w:p w14:paraId="3FBC6B7D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A7478B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592796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20</w:t>
      </w:r>
      <w:r w:rsidRPr="00D4637E">
        <w:rPr>
          <w:rStyle w:val="HideTWBExt"/>
          <w:b w:val="0"/>
        </w:rPr>
        <w:t>&lt;/NumAm&gt;</w:t>
      </w:r>
    </w:p>
    <w:p w14:paraId="5F47E1B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63AB3B5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B1151B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279187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B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E7D4AA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CB3E0" w14:textId="77777777" w:rsidR="000D4DD1" w:rsidRPr="00D4637E" w:rsidRDefault="000D4DD1" w:rsidP="00660527"/>
        </w:tc>
      </w:tr>
      <w:tr w:rsidR="000D4DD1" w:rsidRPr="00D4637E" w14:paraId="69D0C35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5BDEF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46EF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FE83CC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34F8E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FB7B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Ba.</w:t>
            </w:r>
            <w:r w:rsidRPr="00D4637E">
              <w:rPr>
                <w:b/>
                <w:i/>
              </w:rPr>
              <w:tab/>
              <w:t>mając na uwadze, że Parlament Europejski, jako jedyna instytucja Unii wybierana w wyborach bezpośrednich, ponosi główną odpowiedzialność za zapewnienie stosowania zasad pomocniczości i proporcjonalności w sposób zgodny z demokratyczną rozliczalnością i ochroną interesów obywateli;</w:t>
            </w:r>
          </w:p>
        </w:tc>
      </w:tr>
    </w:tbl>
    <w:p w14:paraId="4B716355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7FC8C1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731DCF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21</w:t>
      </w:r>
      <w:r w:rsidRPr="00D4637E">
        <w:rPr>
          <w:rStyle w:val="HideTWBExt"/>
          <w:b w:val="0"/>
        </w:rPr>
        <w:t>&lt;/NumAm&gt;</w:t>
      </w:r>
    </w:p>
    <w:p w14:paraId="5EF63C0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2769CC0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0C43F0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3B36C6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C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C8416E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36CDC" w14:textId="77777777" w:rsidR="000D4DD1" w:rsidRPr="00D4637E" w:rsidRDefault="000D4DD1" w:rsidP="00660527"/>
        </w:tc>
      </w:tr>
      <w:tr w:rsidR="000D4DD1" w:rsidRPr="00D4637E" w14:paraId="5D99112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F73B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7C8A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219632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3A2EA" w14:textId="77777777" w:rsidR="000D4DD1" w:rsidRPr="00D4637E" w:rsidRDefault="000D4DD1" w:rsidP="00660527">
            <w:pPr>
              <w:pStyle w:val="Normal6a"/>
            </w:pPr>
            <w:r w:rsidRPr="00D4637E">
              <w:t>C.</w:t>
            </w:r>
            <w:r w:rsidRPr="00D4637E">
              <w:tab/>
              <w:t xml:space="preserve">mając na uwadze, że parlamenty narodowe są naturalnymi strażnikami zasady pomocniczości i odgrywają kluczową rolę w zapewnianiu zgodności z zasadami pomocniczości i </w:t>
            </w:r>
            <w:r w:rsidRPr="00D4637E">
              <w:lastRenderedPageBreak/>
              <w:t xml:space="preserve">proporcjonalności poprzez dialog międzyparlamentarny i system wczesnego ostrzegania, </w:t>
            </w:r>
            <w:r w:rsidRPr="00D4637E">
              <w:rPr>
                <w:b/>
                <w:i/>
              </w:rPr>
              <w:t xml:space="preserve">który </w:t>
            </w:r>
            <w:r w:rsidRPr="00D4637E">
              <w:t>umożliwia parlamentom narodowym lub izbom krajowym przedstawienie uzasadnionych opinii, jeżeli uważają, że wniosek ustawodawczy nie jest zgodny z zasadą pomocniczości;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DC91E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C.</w:t>
            </w:r>
            <w:r w:rsidRPr="00D4637E">
              <w:tab/>
              <w:t xml:space="preserve">mając na uwadze, że parlamenty narodowe są naturalnymi strażnikami zasady pomocniczości i odgrywają kluczową rolę w zapewnianiu zgodności z zasadami pomocniczości i </w:t>
            </w:r>
            <w:r w:rsidRPr="00D4637E">
              <w:lastRenderedPageBreak/>
              <w:t xml:space="preserve">proporcjonalności poprzez dialog międzyparlamentarny i system wczesnego ostrzegania </w:t>
            </w:r>
            <w:r w:rsidRPr="00D4637E">
              <w:rPr>
                <w:b/>
                <w:i/>
              </w:rPr>
              <w:t>oraz w stosownych przypadkach proaktywne włączenie zgromadzeń regionalnych</w:t>
            </w:r>
            <w:r w:rsidRPr="00D4637E">
              <w:t xml:space="preserve">, </w:t>
            </w:r>
            <w:r w:rsidRPr="00D4637E">
              <w:rPr>
                <w:b/>
                <w:i/>
              </w:rPr>
              <w:t xml:space="preserve">co </w:t>
            </w:r>
            <w:r w:rsidRPr="00D4637E">
              <w:t>umożliwia parlamentom narodowym lub izbom krajowym przedstawienie uzasadnionych opinii, jeżeli uważają, że wniosek ustawodawczy nie jest zgodny z zasadą pomocniczości;</w:t>
            </w:r>
          </w:p>
        </w:tc>
      </w:tr>
    </w:tbl>
    <w:p w14:paraId="12FCE406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AC4776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4798A3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22</w:t>
      </w:r>
      <w:r w:rsidRPr="00D4637E">
        <w:rPr>
          <w:rStyle w:val="HideTWBExt"/>
          <w:b w:val="0"/>
        </w:rPr>
        <w:t>&lt;/NumAm&gt;</w:t>
      </w:r>
    </w:p>
    <w:p w14:paraId="15B907C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66CFB7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DF7123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A81AA4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C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0C4FE0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D7240" w14:textId="77777777" w:rsidR="000D4DD1" w:rsidRPr="00D4637E" w:rsidRDefault="000D4DD1" w:rsidP="00660527"/>
        </w:tc>
      </w:tr>
      <w:tr w:rsidR="000D4DD1" w:rsidRPr="00D4637E" w14:paraId="2C54E36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156D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D2DD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C2E286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5C7A1" w14:textId="77777777" w:rsidR="000D4DD1" w:rsidRPr="00D4637E" w:rsidRDefault="000D4DD1" w:rsidP="00660527">
            <w:pPr>
              <w:pStyle w:val="Normal6a"/>
            </w:pPr>
            <w:r w:rsidRPr="00D4637E">
              <w:t>C.</w:t>
            </w:r>
            <w:r w:rsidRPr="00D4637E">
              <w:tab/>
              <w:t xml:space="preserve">mając na uwadze, że parlamenty narodowe </w:t>
            </w:r>
            <w:r w:rsidRPr="00D4637E">
              <w:rPr>
                <w:b/>
                <w:i/>
              </w:rPr>
              <w:t xml:space="preserve">są naturalnymi strażnikami zasady pomocniczości i </w:t>
            </w:r>
            <w:r w:rsidRPr="00D4637E">
              <w:t>odgrywają kluczową rolę w zapewnianiu zgodności z zasadami pomocniczości i proporcjonalności poprzez dialog międzyparlamentarny i system wczesnego ostrzegania, który umożliwia parlamentom narodowym lub izbom krajowym przedstawienie uzasadnionych opinii, jeżeli uważają, że wniosek ustawodawczy nie jest zgodny z zasadą pomocniczości;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84F12" w14:textId="77777777" w:rsidR="000D4DD1" w:rsidRPr="00D4637E" w:rsidRDefault="000D4DD1" w:rsidP="00660527">
            <w:pPr>
              <w:pStyle w:val="Normal6a"/>
            </w:pPr>
            <w:r w:rsidRPr="00D4637E">
              <w:t>C.</w:t>
            </w:r>
            <w:r w:rsidRPr="00D4637E">
              <w:tab/>
              <w:t>mając na uwadze, że parlamenty narodowe odgrywają kluczową rolę w zapewnianiu zgodności z zasadami pomocniczości i proporcjonalności poprzez dialog międzyparlamentarny i system wczesnego ostrzegania, który umożliwia parlamentom narodowym lub izbom krajowym przedstawienie uzasadnionych opinii, jeżeli uważają, że wniosek ustawodawczy nie jest zgodny z zasadą pomocniczości;</w:t>
            </w:r>
          </w:p>
        </w:tc>
      </w:tr>
    </w:tbl>
    <w:p w14:paraId="71CFC59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ADCF09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32A1C17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23</w:t>
      </w:r>
      <w:r w:rsidRPr="00D4637E">
        <w:rPr>
          <w:rStyle w:val="HideTWBExt"/>
          <w:b w:val="0"/>
        </w:rPr>
        <w:t>&lt;/NumAm&gt;</w:t>
      </w:r>
    </w:p>
    <w:p w14:paraId="5184567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5CF6620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31BB35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8BBA95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C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D84172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BF99F" w14:textId="77777777" w:rsidR="000D4DD1" w:rsidRPr="00D4637E" w:rsidRDefault="000D4DD1" w:rsidP="00660527"/>
        </w:tc>
      </w:tr>
      <w:tr w:rsidR="000D4DD1" w:rsidRPr="00D4637E" w14:paraId="091C499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736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0208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C72B1A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FCCF8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C.</w:t>
            </w:r>
            <w:r w:rsidRPr="00D4637E">
              <w:tab/>
              <w:t xml:space="preserve">mając na uwadze, że parlamenty narodowe </w:t>
            </w:r>
            <w:r w:rsidRPr="00D4637E">
              <w:rPr>
                <w:b/>
                <w:i/>
              </w:rPr>
              <w:t xml:space="preserve">są </w:t>
            </w:r>
            <w:r w:rsidRPr="00D4637E">
              <w:t>naturalnymi strażnikami zasady pomocniczości i odgrywają kluczową rolę w zapewnianiu zgodności z zasadami pomocniczości i proporcjonalności poprzez dialog międzyparlamentarny i system wczesnego ostrzegania, który umożliwia parlamentom narodowym lub izbom krajowym przedstawienie uzasadnionych opinii, jeżeli uważają, że wniosek ustawodawczy nie jest zgodny z zasadą pomocniczości;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718E4" w14:textId="77777777" w:rsidR="000D4DD1" w:rsidRPr="00D4637E" w:rsidRDefault="000D4DD1" w:rsidP="00660527">
            <w:pPr>
              <w:pStyle w:val="Normal6a"/>
            </w:pPr>
            <w:r w:rsidRPr="00D4637E">
              <w:t>C.</w:t>
            </w:r>
            <w:r w:rsidRPr="00D4637E">
              <w:tab/>
              <w:t xml:space="preserve">mając na uwadze, że parlamenty narodowe </w:t>
            </w:r>
            <w:r w:rsidRPr="00D4637E">
              <w:rPr>
                <w:b/>
                <w:i/>
              </w:rPr>
              <w:t xml:space="preserve">powinny być </w:t>
            </w:r>
            <w:r w:rsidRPr="00D4637E">
              <w:t>naturalnymi strażnikami zasady pomocniczości i odgrywają kluczową rolę w zapewnianiu zgodności z zasadami pomocniczości i proporcjonalności poprzez dialog międzyparlamentarny i system wczesnego ostrzegania, który umożliwia parlamentom narodowym lub izbom krajowym przedstawienie uzasadnionych opinii, jeżeli uważają, że wniosek ustawodawczy nie jest zgodny z zasadą pomocniczości;</w:t>
            </w:r>
          </w:p>
        </w:tc>
      </w:tr>
    </w:tbl>
    <w:p w14:paraId="471630C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95B203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F430277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24</w:t>
      </w:r>
      <w:r w:rsidRPr="00D4637E">
        <w:rPr>
          <w:rStyle w:val="HideTWBExt"/>
          <w:b w:val="0"/>
        </w:rPr>
        <w:t>&lt;/NumAm&gt;</w:t>
      </w:r>
    </w:p>
    <w:p w14:paraId="38C26AC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1587C63D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14CCD97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1C08D9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305ADE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C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9652E8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C7585" w14:textId="77777777" w:rsidR="000D4DD1" w:rsidRPr="00D4637E" w:rsidRDefault="000D4DD1" w:rsidP="00660527"/>
        </w:tc>
      </w:tr>
      <w:tr w:rsidR="000D4DD1" w:rsidRPr="00D4637E" w14:paraId="5F73B16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7E31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0AE1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6293665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9785C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B4741" w14:textId="4FDB0F0C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Ca.</w:t>
            </w:r>
            <w:r w:rsidRPr="00D4637E">
              <w:rPr>
                <w:b/>
                <w:i/>
              </w:rPr>
              <w:tab/>
              <w:t>mając na uwadze, że w niedawnej skardze do Europejskiego Rzecznika Praw Obywatelskich s</w:t>
            </w:r>
            <w:r w:rsidR="008070D0" w:rsidRPr="00D4637E">
              <w:rPr>
                <w:b/>
                <w:i/>
              </w:rPr>
              <w:t>k</w:t>
            </w:r>
            <w:r w:rsidRPr="00D4637E">
              <w:rPr>
                <w:b/>
                <w:i/>
              </w:rPr>
              <w:t>arżący wyrazili obawy, że Komisja nie przestrzegała wytycznych dotyczących lepszego stanowienia prawa podczas przygotowywania wniosku ustawodawczego w sprawie  sprawozdawczości przedsiębiorstw w zakresie zrównoważonego rozwoju i należytej staranności; w szczególności skarżący zwrócili uwagę, że przed przedstawieniem projektu dyrektywy Komisja nie przeprowadziła uprzedniej oceny skutków, w tym oceny zgodności klimatycznej i konsultacji publicznych;</w:t>
            </w:r>
          </w:p>
        </w:tc>
      </w:tr>
    </w:tbl>
    <w:p w14:paraId="661899D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8D3463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F09E11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25</w:t>
      </w:r>
      <w:r w:rsidRPr="00D4637E">
        <w:rPr>
          <w:rStyle w:val="HideTWBExt"/>
          <w:b w:val="0"/>
        </w:rPr>
        <w:t>&lt;/NumAm&gt;</w:t>
      </w:r>
    </w:p>
    <w:p w14:paraId="290DCFC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11E7FE2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C0CD16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2C9B2E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C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5BAC65C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1565B" w14:textId="77777777" w:rsidR="000D4DD1" w:rsidRPr="00D4637E" w:rsidRDefault="000D4DD1" w:rsidP="00660527"/>
        </w:tc>
      </w:tr>
      <w:tr w:rsidR="000D4DD1" w:rsidRPr="00D4637E" w14:paraId="3104814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8A770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C62B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A67A0B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FE5AC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AB46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Ca.</w:t>
            </w:r>
            <w:r w:rsidRPr="00D4637E">
              <w:rPr>
                <w:b/>
                <w:i/>
              </w:rPr>
              <w:tab/>
              <w:t>mając na uwadze, że zgodnie z art. 4 TUE Unia i państwa członkowskie są związane zasadą lojalnej współpracy i udzielają sobie wzajemnego wsparcia w wykonywaniu zadań wynikających z Traktatów; mając na uwadze, że obejmuje to zadanie państw członkowskich polegające na stosowaniu wszelkich właściwych środków w celu zapewnienia wypełnienia zobowiązań wynikających z Traktatów lub z aktów instytucji Unii;</w:t>
            </w:r>
          </w:p>
        </w:tc>
      </w:tr>
    </w:tbl>
    <w:p w14:paraId="348E843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A743BF4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2D3F30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26</w:t>
      </w:r>
      <w:r w:rsidRPr="00D4637E">
        <w:rPr>
          <w:rStyle w:val="HideTWBExt"/>
          <w:b w:val="0"/>
        </w:rPr>
        <w:t>&lt;/NumAm&gt;</w:t>
      </w:r>
    </w:p>
    <w:p w14:paraId="081F6B2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385D6FB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3935EB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7A5D59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C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B504BB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0001C2" w14:textId="77777777" w:rsidR="000D4DD1" w:rsidRPr="00D4637E" w:rsidRDefault="000D4DD1" w:rsidP="00660527"/>
        </w:tc>
      </w:tr>
      <w:tr w:rsidR="000D4DD1" w:rsidRPr="00D4637E" w14:paraId="6B52F8AB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575F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B26F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7EBE5F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AACA2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DAE13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Ca.</w:t>
            </w:r>
            <w:r w:rsidRPr="00D4637E">
              <w:tab/>
            </w:r>
            <w:r w:rsidRPr="00D4637E">
              <w:rPr>
                <w:b/>
                <w:i/>
              </w:rPr>
              <w:t>mając na uwadze, że przez lata parlamenty krajowe w różnym stopniu korzystały z mechanizmu kontroli pomocniczości, a Komisja dostosowała go w miarę możliwości, aby był bardziej elastyczny;</w:t>
            </w:r>
          </w:p>
        </w:tc>
      </w:tr>
    </w:tbl>
    <w:p w14:paraId="7FE2377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2477421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C99D6E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27</w:t>
      </w:r>
      <w:r w:rsidRPr="00D4637E">
        <w:rPr>
          <w:rStyle w:val="HideTWBExt"/>
          <w:b w:val="0"/>
        </w:rPr>
        <w:t>&lt;/NumAm&gt;</w:t>
      </w:r>
    </w:p>
    <w:p w14:paraId="54D6473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3B76E704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5B895CB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FB6D7A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47B450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C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C18CC2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516CE" w14:textId="77777777" w:rsidR="000D4DD1" w:rsidRPr="00D4637E" w:rsidRDefault="000D4DD1" w:rsidP="00660527"/>
        </w:tc>
      </w:tr>
      <w:tr w:rsidR="000D4DD1" w:rsidRPr="00D4637E" w14:paraId="4084DF2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DD76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D6A5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ECDDB78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27FD7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F214F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Cb.</w:t>
            </w:r>
            <w:r w:rsidRPr="00D4637E">
              <w:rPr>
                <w:b/>
                <w:i/>
              </w:rPr>
              <w:tab/>
              <w:t>mając na uwadze, że w listopadzie 2025 r. ponad stu uznanych profesorów prawa i prawników ostrzegło w analizie prawnej przekazanej członkom Komisji Prawnej, iż przyjęcie aktu Omnibus I wiązałoby się z dużym ryzykiem podważenia go przed sądami krajowymi lub sądami UE, a także mogłoby stanowić niebezpieczny precedens dla procesów legislacyjnych i konstytucyjnych Unii w kontekście innych podobnych wniosków; wskazują oni, że Omnibus I narusza zasadę proporcjonalności określoną w art. 5 ust. 4 TUE oraz podważa konstytucyjną strukturę stanowienia prawa opartego na dowodach i partycypacji, zagwarantowaną w art. 11 TUE i art. 296 TFUE;</w:t>
            </w:r>
          </w:p>
        </w:tc>
      </w:tr>
    </w:tbl>
    <w:p w14:paraId="2A69698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9023F34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C533622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28</w:t>
      </w:r>
      <w:r w:rsidRPr="00D4637E">
        <w:rPr>
          <w:rStyle w:val="HideTWBExt"/>
          <w:b w:val="0"/>
        </w:rPr>
        <w:t>&lt;/NumAm&gt;</w:t>
      </w:r>
    </w:p>
    <w:p w14:paraId="1F50BC2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774FCDB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B937DE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4520F8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D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36D5B1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9F374" w14:textId="77777777" w:rsidR="000D4DD1" w:rsidRPr="00D4637E" w:rsidRDefault="000D4DD1" w:rsidP="00660527"/>
        </w:tc>
      </w:tr>
      <w:tr w:rsidR="000D4DD1" w:rsidRPr="00D4637E" w14:paraId="33EF36B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D6DA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4A51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884C0D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28A2D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 xml:space="preserve">mając na uwadze, że nadmierne obciążenia regulacyjne obniżają konkurencyjność, innowacyjność </w:t>
            </w:r>
            <w:r w:rsidRPr="00D4637E">
              <w:rPr>
                <w:b/>
                <w:i/>
              </w:rPr>
              <w:t>oraz</w:t>
            </w:r>
            <w:r w:rsidRPr="00D4637E">
              <w:t xml:space="preserve"> hamują rozwój przedsiębiorstw w UE, co wpływa szczególnie źle na małe i średnie przedsiębiorstwa (MŚP);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BEB0B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>mając na uwadze, że nadmierne obciążenia regulacyjne obniżają konkurencyjność, innowacyjność</w:t>
            </w:r>
            <w:r w:rsidRPr="00D4637E">
              <w:rPr>
                <w:b/>
                <w:i/>
              </w:rPr>
              <w:t>,</w:t>
            </w:r>
            <w:r w:rsidRPr="00D4637E">
              <w:t xml:space="preserve"> hamują rozwój przedsiębiorstw w UE</w:t>
            </w:r>
            <w:r w:rsidRPr="00D4637E">
              <w:rPr>
                <w:b/>
                <w:i/>
              </w:rPr>
              <w:t>, prowadzą do odpływu inwestycji i miejsc pracy poza Europę oraz ułatwiają ekspansję dostawców towarów i usług z państw trzecich na jednolitym rynku</w:t>
            </w:r>
            <w:r w:rsidRPr="00D4637E">
              <w:t>, co wpływa szczególnie źle na małe i średnie przedsiębiorstwa (MŚP);</w:t>
            </w:r>
          </w:p>
        </w:tc>
      </w:tr>
    </w:tbl>
    <w:p w14:paraId="07E7BD26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60500CA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678AB3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29</w:t>
      </w:r>
      <w:r w:rsidRPr="00D4637E">
        <w:rPr>
          <w:rStyle w:val="HideTWBExt"/>
          <w:b w:val="0"/>
        </w:rPr>
        <w:t>&lt;/NumAm&gt;</w:t>
      </w:r>
    </w:p>
    <w:p w14:paraId="2E4E06A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0262C13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19B0E7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486702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D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B61643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A5EBD" w14:textId="77777777" w:rsidR="000D4DD1" w:rsidRPr="00D4637E" w:rsidRDefault="000D4DD1" w:rsidP="00660527"/>
        </w:tc>
      </w:tr>
      <w:tr w:rsidR="000D4DD1" w:rsidRPr="00D4637E" w14:paraId="2161C7F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D2BA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0719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EFD3B3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0B448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 xml:space="preserve">mając na uwadze, że nadmierne obciążenia regulacyjne </w:t>
            </w:r>
            <w:r w:rsidRPr="00D4637E">
              <w:rPr>
                <w:b/>
                <w:bCs/>
                <w:i/>
                <w:iCs/>
              </w:rPr>
              <w:t>obniżają</w:t>
            </w:r>
            <w:r w:rsidRPr="00D4637E">
              <w:t xml:space="preserve"> konkurencyjność, innowacyjność oraz </w:t>
            </w:r>
            <w:r w:rsidRPr="00D4637E">
              <w:rPr>
                <w:b/>
                <w:bCs/>
                <w:i/>
                <w:iCs/>
              </w:rPr>
              <w:t>hamują</w:t>
            </w:r>
            <w:r w:rsidRPr="00D4637E">
              <w:t xml:space="preserve"> rozwój przedsiębiorstw w UE, co wpływa szczególnie źle na małe i średnie przedsiębiorstwa (MŚP);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1036D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 xml:space="preserve">mając na uwadze, że nadmierne obciążenia regulacyjne </w:t>
            </w:r>
            <w:r w:rsidRPr="00D4637E">
              <w:rPr>
                <w:b/>
                <w:i/>
              </w:rPr>
              <w:t>mogą ograniczyć przewidywalność prawa, podważyć pewność prawa, doprowadzić do fragmentacji rynku wewnętrznego UE, obniżyć</w:t>
            </w:r>
            <w:r w:rsidRPr="00D4637E">
              <w:t xml:space="preserve"> konkurencyjność, innowacyjność oraz </w:t>
            </w:r>
            <w:r w:rsidRPr="00D4637E">
              <w:rPr>
                <w:b/>
                <w:bCs/>
                <w:i/>
                <w:iCs/>
              </w:rPr>
              <w:t>hamować</w:t>
            </w:r>
            <w:r w:rsidRPr="00D4637E">
              <w:t xml:space="preserve"> rozwój przedsiębiorstw w UE, co wpływa szczególnie źle na małe i średnie przedsiębiorstwa (MŚP);</w:t>
            </w:r>
          </w:p>
        </w:tc>
      </w:tr>
    </w:tbl>
    <w:p w14:paraId="43D4DBC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57FF7F3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AC8543E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30</w:t>
      </w:r>
      <w:r w:rsidRPr="00D4637E">
        <w:rPr>
          <w:rStyle w:val="HideTWBExt"/>
          <w:b w:val="0"/>
        </w:rPr>
        <w:t>&lt;/NumAm&gt;</w:t>
      </w:r>
    </w:p>
    <w:p w14:paraId="6254952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61EBEA9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29282E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9B3F98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D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753370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7CF29" w14:textId="77777777" w:rsidR="000D4DD1" w:rsidRPr="00D4637E" w:rsidRDefault="000D4DD1" w:rsidP="00660527"/>
        </w:tc>
      </w:tr>
      <w:tr w:rsidR="000D4DD1" w:rsidRPr="00D4637E" w14:paraId="21C652A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3E1C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9C3B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4C8EE9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E4861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i/>
              </w:rPr>
              <w:t xml:space="preserve">nadmierne </w:t>
            </w:r>
            <w:r w:rsidRPr="00D4637E">
              <w:t xml:space="preserve">obciążenia regulacyjne </w:t>
            </w:r>
            <w:r w:rsidRPr="00D4637E">
              <w:rPr>
                <w:b/>
                <w:i/>
              </w:rPr>
              <w:t xml:space="preserve">obniżają konkurencyjność, innowacyjność </w:t>
            </w:r>
            <w:r w:rsidRPr="00D4637E">
              <w:t xml:space="preserve">oraz </w:t>
            </w:r>
            <w:r w:rsidRPr="00D4637E">
              <w:rPr>
                <w:b/>
                <w:i/>
              </w:rPr>
              <w:t xml:space="preserve">hamują rozwój </w:t>
            </w:r>
            <w:r w:rsidRPr="00D4637E">
              <w:t xml:space="preserve">przedsiębiorstw w UE, </w:t>
            </w:r>
            <w:r w:rsidRPr="00D4637E">
              <w:rPr>
                <w:b/>
                <w:i/>
              </w:rPr>
              <w:t xml:space="preserve">co wpływa szczególnie źle na małe i średnie przedsiębiorstwa </w:t>
            </w:r>
            <w:r w:rsidRPr="00D4637E">
              <w:t>(MŚP);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B9E69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 xml:space="preserve">mając na uwadze, że obciążenia regulacyjne </w:t>
            </w:r>
            <w:r w:rsidRPr="00D4637E">
              <w:rPr>
                <w:b/>
                <w:i/>
              </w:rPr>
              <w:t xml:space="preserve">nie mogą nadmiernie obniżać konkurencyjności, innowacyjności </w:t>
            </w:r>
            <w:r w:rsidRPr="00D4637E">
              <w:t xml:space="preserve">oraz </w:t>
            </w:r>
            <w:r w:rsidRPr="00D4637E">
              <w:rPr>
                <w:b/>
                <w:i/>
              </w:rPr>
              <w:t xml:space="preserve">hamować rozwoju </w:t>
            </w:r>
            <w:r w:rsidRPr="00D4637E">
              <w:t xml:space="preserve">przedsiębiorstw w UE, </w:t>
            </w:r>
            <w:r w:rsidRPr="00D4637E">
              <w:rPr>
                <w:b/>
                <w:i/>
              </w:rPr>
              <w:t xml:space="preserve">w szczególności małych i średnich przedsiębiorstw </w:t>
            </w:r>
            <w:r w:rsidRPr="00D4637E">
              <w:t>(MŚP);</w:t>
            </w:r>
          </w:p>
        </w:tc>
      </w:tr>
    </w:tbl>
    <w:p w14:paraId="5B753B5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B73676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283DB0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31</w:t>
      </w:r>
      <w:r w:rsidRPr="00D4637E">
        <w:rPr>
          <w:rStyle w:val="HideTWBExt"/>
          <w:b w:val="0"/>
        </w:rPr>
        <w:t>&lt;/NumAm&gt;</w:t>
      </w:r>
    </w:p>
    <w:p w14:paraId="7777B67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469F381D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65387E6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3556B3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EFFE3B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D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AA34C0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0CF08" w14:textId="77777777" w:rsidR="000D4DD1" w:rsidRPr="00D4637E" w:rsidRDefault="000D4DD1" w:rsidP="00660527"/>
        </w:tc>
      </w:tr>
      <w:tr w:rsidR="000D4DD1" w:rsidRPr="00D4637E" w14:paraId="2EC17D7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8BEED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152C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BC23808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77B6C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 xml:space="preserve">mając na uwadze, że nadmierne obciążenia regulacyjne obniżają konkurencyjność, innowacyjność oraz hamują rozwój przedsiębiorstw w UE, </w:t>
            </w:r>
            <w:r w:rsidRPr="00D4637E">
              <w:rPr>
                <w:b/>
                <w:i/>
              </w:rPr>
              <w:t xml:space="preserve">co wpływa szczególnie źle na małe i średnie przedsiębiorstwa </w:t>
            </w:r>
            <w:r w:rsidRPr="00D4637E">
              <w:t>(MŚP);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6D0B9" w14:textId="77777777" w:rsidR="000D4DD1" w:rsidRPr="00D4637E" w:rsidRDefault="000D4DD1" w:rsidP="00660527">
            <w:pPr>
              <w:pStyle w:val="Normal6a"/>
            </w:pPr>
            <w:r w:rsidRPr="00D4637E">
              <w:t>D.</w:t>
            </w:r>
            <w:r w:rsidRPr="00D4637E">
              <w:tab/>
              <w:t xml:space="preserve">mając na uwadze, że nadmierne obciążenia regulacyjne obniżają konkurencyjność, innowacyjność oraz hamują rozwój przedsiębiorstw w UE, </w:t>
            </w:r>
            <w:r w:rsidRPr="00D4637E">
              <w:rPr>
                <w:b/>
                <w:i/>
              </w:rPr>
              <w:t xml:space="preserve">w szczególności małych i średnich przedsiębiorstw </w:t>
            </w:r>
            <w:r w:rsidRPr="00D4637E">
              <w:t>(MŚP);</w:t>
            </w:r>
          </w:p>
        </w:tc>
      </w:tr>
    </w:tbl>
    <w:p w14:paraId="34EC30D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419BEA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BE4A88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32</w:t>
      </w:r>
      <w:r w:rsidRPr="00D4637E">
        <w:rPr>
          <w:rStyle w:val="HideTWBExt"/>
          <w:b w:val="0"/>
        </w:rPr>
        <w:t>&lt;/NumAm&gt;</w:t>
      </w:r>
    </w:p>
    <w:p w14:paraId="4E21B0A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7D84168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F60CA3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F39F74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D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137AF3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0E03E" w14:textId="77777777" w:rsidR="000D4DD1" w:rsidRPr="00D4637E" w:rsidRDefault="000D4DD1" w:rsidP="00660527"/>
        </w:tc>
      </w:tr>
      <w:tr w:rsidR="000D4DD1" w:rsidRPr="00D4637E" w14:paraId="0D1C174B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9EB8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E9C3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0DF2095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650E5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20F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Da.</w:t>
            </w:r>
            <w:r w:rsidRPr="00D4637E">
              <w:rPr>
                <w:b/>
                <w:i/>
              </w:rPr>
              <w:tab/>
              <w:t>mając na uwadze, że nadmierna biurokracja niezgodna z zasadami pomocniczości i proporcjonalności jedynie pogłębia nieufność obywateli wobec Unii Europejskiej;</w:t>
            </w:r>
          </w:p>
        </w:tc>
      </w:tr>
    </w:tbl>
    <w:p w14:paraId="6AF1DC3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B999C3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D7F0E5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33</w:t>
      </w:r>
      <w:r w:rsidRPr="00D4637E">
        <w:rPr>
          <w:rStyle w:val="HideTWBExt"/>
          <w:b w:val="0"/>
        </w:rPr>
        <w:t>&lt;/NumAm&gt;</w:t>
      </w:r>
    </w:p>
    <w:p w14:paraId="7E55C5B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3B8FF55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CC328D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601FEE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E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FFF461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D562A" w14:textId="77777777" w:rsidR="000D4DD1" w:rsidRPr="00D4637E" w:rsidRDefault="000D4DD1" w:rsidP="00660527"/>
        </w:tc>
      </w:tr>
      <w:tr w:rsidR="000D4DD1" w:rsidRPr="00D4637E" w14:paraId="48D3749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119C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7BCD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3E689F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DB14E" w14:textId="77777777" w:rsidR="000D4DD1" w:rsidRPr="00D4637E" w:rsidRDefault="000D4DD1" w:rsidP="00660527">
            <w:pPr>
              <w:pStyle w:val="Normal6a"/>
            </w:pPr>
            <w:r w:rsidRPr="00D4637E">
              <w:t>E.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i/>
              </w:rPr>
              <w:t xml:space="preserve">praktyki nadmiernie rygorystycznego wdrażania podważają nie tylko </w:t>
            </w:r>
            <w:r w:rsidRPr="00D4637E">
              <w:t xml:space="preserve">jednolite stosowanie </w:t>
            </w:r>
            <w:r w:rsidRPr="00D4637E">
              <w:rPr>
                <w:b/>
                <w:i/>
              </w:rPr>
              <w:t xml:space="preserve">prawodawstwa UE, ale także zaufanie </w:t>
            </w:r>
            <w:r w:rsidRPr="00D4637E">
              <w:t xml:space="preserve">obywateli do UE, </w:t>
            </w:r>
            <w:r w:rsidRPr="00D4637E">
              <w:rPr>
                <w:b/>
                <w:i/>
              </w:rPr>
              <w:t>a ponadto tworzą nadmierne obciążenia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7EA5B" w14:textId="77777777" w:rsidR="000D4DD1" w:rsidRPr="00D4637E" w:rsidRDefault="000D4DD1" w:rsidP="00660527">
            <w:pPr>
              <w:pStyle w:val="Normal6a"/>
            </w:pPr>
            <w:r w:rsidRPr="00D4637E">
              <w:t>E.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i/>
              </w:rPr>
              <w:t xml:space="preserve">przejrzyste, odpowiednie i </w:t>
            </w:r>
            <w:r w:rsidRPr="00D4637E">
              <w:t xml:space="preserve">jednolite stosowanie </w:t>
            </w:r>
            <w:r w:rsidRPr="00D4637E">
              <w:rPr>
                <w:b/>
                <w:i/>
              </w:rPr>
              <w:t xml:space="preserve">przepisów UE jest kluczowe do zapewnienia zaufania </w:t>
            </w:r>
            <w:r w:rsidRPr="00D4637E">
              <w:t xml:space="preserve">obywateli do UE </w:t>
            </w:r>
            <w:r w:rsidRPr="00D4637E">
              <w:rPr>
                <w:b/>
                <w:i/>
              </w:rPr>
              <w:t>oraz musi przebiegać bez tworzenia nadmiernych obciążeń;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>mając na uwadze</w:t>
            </w:r>
            <w:r w:rsidRPr="00D4637E">
              <w:t xml:space="preserve">, </w:t>
            </w:r>
            <w:r w:rsidRPr="00D4637E">
              <w:rPr>
                <w:b/>
                <w:i/>
              </w:rPr>
              <w:t xml:space="preserve">że zgodnie z art. 197 TFUE takie wdrażanie należy uważać za sprawę leżącą we wspólnym interesie państw </w:t>
            </w:r>
            <w:r w:rsidRPr="00D4637E">
              <w:rPr>
                <w:b/>
                <w:i/>
              </w:rPr>
              <w:lastRenderedPageBreak/>
              <w:t>członkowskich</w:t>
            </w:r>
            <w:r w:rsidRPr="00D4637E">
              <w:t>;</w:t>
            </w:r>
            <w:r w:rsidRPr="00D4637E">
              <w:rPr>
                <w:b/>
                <w:i/>
              </w:rPr>
              <w:t xml:space="preserve"> mając na wadze, że przy transpozycji prawodawstwa UE państwa członkowskie powinny unikać nakładania zbędnych dodatkowych obciążeń administracyjnych lub regulacyjnych;</w:t>
            </w:r>
          </w:p>
        </w:tc>
      </w:tr>
    </w:tbl>
    <w:p w14:paraId="4E487C16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DCD3547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0D3544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34</w:t>
      </w:r>
      <w:r w:rsidRPr="00D4637E">
        <w:rPr>
          <w:rStyle w:val="HideTWBExt"/>
          <w:b w:val="0"/>
        </w:rPr>
        <w:t>&lt;/NumAm&gt;</w:t>
      </w:r>
    </w:p>
    <w:p w14:paraId="6655DCF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070A1AF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9BA250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52BD54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E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E946B2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14301" w14:textId="77777777" w:rsidR="000D4DD1" w:rsidRPr="00D4637E" w:rsidRDefault="000D4DD1" w:rsidP="00660527"/>
        </w:tc>
      </w:tr>
      <w:tr w:rsidR="000D4DD1" w:rsidRPr="00D4637E" w14:paraId="405AE5A0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ED52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46F9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2502FA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8143F" w14:textId="77777777" w:rsidR="000D4DD1" w:rsidRPr="00D4637E" w:rsidRDefault="000D4DD1" w:rsidP="00660527">
            <w:pPr>
              <w:pStyle w:val="Normal6a"/>
            </w:pPr>
            <w:r w:rsidRPr="00D4637E">
              <w:t>E.</w:t>
            </w:r>
            <w:r w:rsidRPr="00D4637E">
              <w:tab/>
              <w:t>mając na uwadze, że praktyki nadmiernie rygorystycznego wdrażania podważają nie tylko jednolite stosowanie prawodawstwa UE, ale także zaufanie obywateli do UE, a ponadto tworzą nadmierne obciążenia;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DAF04" w14:textId="77777777" w:rsidR="000D4DD1" w:rsidRPr="00D4637E" w:rsidRDefault="000D4DD1" w:rsidP="00660527">
            <w:pPr>
              <w:pStyle w:val="Normal6a"/>
            </w:pPr>
            <w:r w:rsidRPr="00D4637E">
              <w:t>E.</w:t>
            </w:r>
            <w:r w:rsidRPr="00D4637E">
              <w:tab/>
              <w:t xml:space="preserve">mając na uwadze, że praktyki nadmiernie rygorystycznego wdrażania podważają nie tylko jednolite stosowanie prawodawstwa UE, ale także zaufanie obywateli do UE, a ponadto tworzą nadmierne obciążenia </w:t>
            </w:r>
            <w:r w:rsidRPr="00D4637E">
              <w:rPr>
                <w:b/>
                <w:i/>
              </w:rPr>
              <w:t>oraz generują dodatkowe koszty dla przedsiębiorstw i konsumentów</w:t>
            </w:r>
            <w:r w:rsidRPr="00D4637E">
              <w:t>;</w:t>
            </w:r>
          </w:p>
        </w:tc>
      </w:tr>
    </w:tbl>
    <w:p w14:paraId="4940F59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5C1B1047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6463D9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35</w:t>
      </w:r>
      <w:r w:rsidRPr="00D4637E">
        <w:rPr>
          <w:rStyle w:val="HideTWBExt"/>
          <w:b w:val="0"/>
        </w:rPr>
        <w:t>&lt;/NumAm&gt;</w:t>
      </w:r>
    </w:p>
    <w:p w14:paraId="2FB676E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05FCE8C5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527A876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1A9A9A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4DF263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E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28A980C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9FA0D" w14:textId="77777777" w:rsidR="000D4DD1" w:rsidRPr="00D4637E" w:rsidRDefault="000D4DD1" w:rsidP="00660527"/>
        </w:tc>
      </w:tr>
      <w:tr w:rsidR="000D4DD1" w:rsidRPr="00D4637E" w14:paraId="208392C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7B73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D5F7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73AA0C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2813B" w14:textId="77777777" w:rsidR="000D4DD1" w:rsidRPr="00D4637E" w:rsidRDefault="000D4DD1" w:rsidP="00660527">
            <w:pPr>
              <w:pStyle w:val="Normal6a"/>
            </w:pPr>
            <w:r w:rsidRPr="00D4637E">
              <w:t>E.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i/>
              </w:rPr>
              <w:t xml:space="preserve">praktyki nadmiernie rygorystycznego wdrażania podważają nie tylko </w:t>
            </w:r>
            <w:r w:rsidRPr="00D4637E">
              <w:t>jednolite stosowanie prawodawstwa UE</w:t>
            </w:r>
            <w:r w:rsidRPr="00D4637E">
              <w:rPr>
                <w:b/>
                <w:i/>
              </w:rPr>
              <w:t xml:space="preserve">, ale także zaufanie obywateli do UE, a ponadto tworzą </w:t>
            </w:r>
            <w:r w:rsidRPr="00D4637E">
              <w:t>nadmierne obciążenia;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4A353" w14:textId="77777777" w:rsidR="000D4DD1" w:rsidRPr="00D4637E" w:rsidRDefault="000D4DD1" w:rsidP="00660527">
            <w:pPr>
              <w:pStyle w:val="Normal6a"/>
            </w:pPr>
            <w:r w:rsidRPr="00D4637E">
              <w:t>E.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i/>
              </w:rPr>
              <w:t xml:space="preserve">nierówne wdrażanie prawa UE podważa </w:t>
            </w:r>
            <w:r w:rsidRPr="00D4637E">
              <w:t xml:space="preserve">jednolite stosowanie prawodawstwa UE </w:t>
            </w:r>
            <w:r w:rsidRPr="00D4637E">
              <w:rPr>
                <w:b/>
                <w:i/>
              </w:rPr>
              <w:t xml:space="preserve">i tworzy </w:t>
            </w:r>
            <w:r w:rsidRPr="00D4637E">
              <w:t>nadmierne obciążenia;</w:t>
            </w:r>
          </w:p>
        </w:tc>
      </w:tr>
    </w:tbl>
    <w:p w14:paraId="4F362B1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C20BBF1" w14:textId="77777777" w:rsidR="000D4DD1" w:rsidRPr="00D4637E" w:rsidRDefault="000D4DD1" w:rsidP="000D4DD1">
      <w:r w:rsidRPr="00D4637E">
        <w:rPr>
          <w:rStyle w:val="HideTWBExt"/>
        </w:rPr>
        <w:lastRenderedPageBreak/>
        <w:t>&lt;/Amend&gt;</w:t>
      </w:r>
    </w:p>
    <w:p w14:paraId="0BFFFD4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36</w:t>
      </w:r>
      <w:r w:rsidRPr="00D4637E">
        <w:rPr>
          <w:rStyle w:val="HideTWBExt"/>
          <w:b w:val="0"/>
        </w:rPr>
        <w:t>&lt;/NumAm&gt;</w:t>
      </w:r>
    </w:p>
    <w:p w14:paraId="76A4126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0F6337E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C63CF1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C0D689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E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8AA8E4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28023" w14:textId="77777777" w:rsidR="000D4DD1" w:rsidRPr="00D4637E" w:rsidRDefault="000D4DD1" w:rsidP="00660527"/>
        </w:tc>
      </w:tr>
      <w:tr w:rsidR="000D4DD1" w:rsidRPr="00D4637E" w14:paraId="19E71A7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182F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A7F6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2BB505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F24F7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9FA7C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Ea.</w:t>
            </w:r>
            <w:r w:rsidRPr="00D4637E">
              <w:rPr>
                <w:b/>
                <w:i/>
              </w:rPr>
              <w:tab/>
              <w:t>mając na uwadze, że brak pewności prawa i przewidywalności wynikający ze zmian w obowiązującym prawodawstwie może również prowadzić do niepotrzebnych obciążeń i kosztów;</w:t>
            </w:r>
          </w:p>
        </w:tc>
      </w:tr>
    </w:tbl>
    <w:p w14:paraId="07053B80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EC84B94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424E06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37</w:t>
      </w:r>
      <w:r w:rsidRPr="00D4637E">
        <w:rPr>
          <w:rStyle w:val="HideTWBExt"/>
          <w:b w:val="0"/>
        </w:rPr>
        <w:t>&lt;/NumAm&gt;</w:t>
      </w:r>
    </w:p>
    <w:p w14:paraId="25C2169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21E8FDF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263AA2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48431B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E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59D869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47AF3" w14:textId="77777777" w:rsidR="000D4DD1" w:rsidRPr="00D4637E" w:rsidRDefault="000D4DD1" w:rsidP="00660527"/>
        </w:tc>
      </w:tr>
      <w:tr w:rsidR="000D4DD1" w:rsidRPr="00D4637E" w14:paraId="3790A01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1C95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5F12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52B5C5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A33D9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3ED17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Eb.</w:t>
            </w:r>
            <w:r w:rsidRPr="00D4637E">
              <w:rPr>
                <w:b/>
                <w:i/>
              </w:rPr>
              <w:tab/>
              <w:t>mając na uwadze, że Komisja wprowadziła w 2021 r. zasadę „jedno więcej – jedno mniej”, która ma na celu rekompensowanie nowych obciążeń wynikających z wniosków ustawodawczych Komisji poprzez proporcjonalne zmniejszanie obciążeń już istniejących w tym samym obszarze polityki;</w:t>
            </w:r>
          </w:p>
        </w:tc>
      </w:tr>
    </w:tbl>
    <w:p w14:paraId="1B82D019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4761C0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639804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38</w:t>
      </w:r>
      <w:r w:rsidRPr="00D4637E">
        <w:rPr>
          <w:rStyle w:val="HideTWBExt"/>
          <w:b w:val="0"/>
        </w:rPr>
        <w:t>&lt;/NumAm&gt;</w:t>
      </w:r>
    </w:p>
    <w:p w14:paraId="16FBF9E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5BAF6E3B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7424C0A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1006E4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892C9D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&lt;Article&gt;</w:t>
      </w:r>
      <w:r w:rsidRPr="00D4637E">
        <w:t>Motyw F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291A4D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64493" w14:textId="77777777" w:rsidR="000D4DD1" w:rsidRPr="00D4637E" w:rsidRDefault="000D4DD1" w:rsidP="00660527"/>
        </w:tc>
      </w:tr>
      <w:tr w:rsidR="000D4DD1" w:rsidRPr="00D4637E" w14:paraId="37B8D6F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D224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989C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A29B39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C8D70" w14:textId="21DD1D52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F.</w:t>
            </w:r>
            <w:r w:rsidRPr="00D4637E">
              <w:rPr>
                <w:b/>
                <w:i/>
              </w:rPr>
              <w:tab/>
              <w:t>mając na uwadze, że zasady „jedno więcej – dwa mniej” nie należy rozumieć jako celu liczbowego dla aktów ustawodawczych, lecz raczej jako mechanizm oparty na kosztach mający na celu osiągnięcie wymiernej redukcji netto kosztów regulacyjnych;</w:t>
            </w:r>
            <w:r w:rsidR="008070D0" w:rsidRPr="00D4637E">
              <w:rPr>
                <w:b/>
                <w:i/>
              </w:rPr>
              <w:t xml:space="preserve"> </w:t>
            </w:r>
            <w:r w:rsidRPr="00D4637E">
              <w:rPr>
                <w:b/>
                <w:i/>
              </w:rPr>
              <w:t>mając na uwadze, że należy nadal koncentrować się na nakładanych na przedsiębiorstwa łącznych kosztach związanych z administracją oraz przestrzeganiem i wdrażaniem przepisów oraz dbać o to, aby wprowadzanie nowych obowiązków było równoważone zniesieniem lub uproszczeniem podwójnej liczby obecnych przepisów o równoważnych kosztach;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AE03F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skreśla się</w:t>
            </w:r>
          </w:p>
        </w:tc>
      </w:tr>
    </w:tbl>
    <w:p w14:paraId="7CDAA3F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AD1BA0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08DA21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39</w:t>
      </w:r>
      <w:r w:rsidRPr="00D4637E">
        <w:rPr>
          <w:rStyle w:val="HideTWBExt"/>
          <w:b w:val="0"/>
        </w:rPr>
        <w:t>&lt;/NumAm&gt;</w:t>
      </w:r>
    </w:p>
    <w:p w14:paraId="449084E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7477A5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C2E49E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6D70AF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208CCE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BDDCC" w14:textId="77777777" w:rsidR="000D4DD1" w:rsidRPr="00D4637E" w:rsidRDefault="000D4DD1" w:rsidP="00660527"/>
        </w:tc>
      </w:tr>
      <w:tr w:rsidR="000D4DD1" w:rsidRPr="00D4637E" w14:paraId="1563DD3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7690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363A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1E1556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B042A" w14:textId="77777777" w:rsidR="000D4DD1" w:rsidRPr="00D4637E" w:rsidRDefault="000D4DD1" w:rsidP="00660527">
            <w:pPr>
              <w:pStyle w:val="Normal6a"/>
            </w:pPr>
            <w:r w:rsidRPr="00D4637E">
              <w:t>F.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i/>
              </w:rPr>
              <w:t xml:space="preserve">zasady </w:t>
            </w:r>
            <w:r w:rsidRPr="00D4637E">
              <w:t xml:space="preserve">„jedno więcej – </w:t>
            </w:r>
            <w:r w:rsidRPr="00D4637E">
              <w:rPr>
                <w:b/>
                <w:i/>
              </w:rPr>
              <w:t xml:space="preserve">dwa </w:t>
            </w:r>
            <w:r w:rsidRPr="00D4637E">
              <w:t xml:space="preserve">mniej” nie należy rozumieć jako celu liczbowego dla aktów ustawodawczych, lecz raczej jako mechanizm oparty na kosztach mający na celu osiągnięcie wymiernej redukcji netto kosztów regulacyjnych; mając na uwadze, że należy nadal koncentrować się na nakładanych na przedsiębiorstwa łącznych kosztach związanych z administracją oraz przestrzeganiem i wdrażaniem przepisów oraz dbać o to, aby wprowadzanie nowych obowiązków było równoważone </w:t>
            </w:r>
            <w:r w:rsidRPr="00D4637E">
              <w:rPr>
                <w:b/>
                <w:i/>
              </w:rPr>
              <w:t xml:space="preserve">zniesieniem lub uproszczeniem podwójnej </w:t>
            </w:r>
            <w:r w:rsidRPr="00D4637E">
              <w:rPr>
                <w:b/>
                <w:i/>
              </w:rPr>
              <w:lastRenderedPageBreak/>
              <w:t>liczby obecnych przepisów o równoważnych kosztach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B9009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F.</w:t>
            </w:r>
            <w:r w:rsidRPr="00D4637E">
              <w:tab/>
              <w:t xml:space="preserve">mając na uwadze, że </w:t>
            </w:r>
            <w:r w:rsidRPr="00D4637E">
              <w:rPr>
                <w:b/>
                <w:i/>
              </w:rPr>
              <w:t xml:space="preserve">zaproponowanego przez Komisję podejścia </w:t>
            </w:r>
            <w:r w:rsidRPr="00D4637E">
              <w:t xml:space="preserve">„jedno więcej – </w:t>
            </w:r>
            <w:r w:rsidRPr="00D4637E">
              <w:rPr>
                <w:b/>
                <w:i/>
              </w:rPr>
              <w:t xml:space="preserve">jedno </w:t>
            </w:r>
            <w:r w:rsidRPr="00D4637E">
              <w:t xml:space="preserve">mniej” nie należy rozumieć jako celu liczbowego dla aktów ustawodawczych, lecz raczej jako mechanizm oparty na kosztach mający na celu osiągnięcie wymiernej redukcji netto kosztów regulacyjnych </w:t>
            </w:r>
            <w:r w:rsidRPr="00D4637E">
              <w:rPr>
                <w:b/>
                <w:i/>
              </w:rPr>
              <w:t>i poprawy funkcjonowania rynku i społeczeństwa UE</w:t>
            </w:r>
            <w:r w:rsidRPr="00D4637E">
              <w:t xml:space="preserve">; mając na uwadze, że należy nadal koncentrować się na </w:t>
            </w:r>
            <w:r w:rsidRPr="00D4637E">
              <w:rPr>
                <w:b/>
                <w:i/>
              </w:rPr>
              <w:t xml:space="preserve">oczekiwanej wartości dodanej nowego prawa i </w:t>
            </w:r>
            <w:r w:rsidRPr="00D4637E">
              <w:t xml:space="preserve">nakładanych na przedsiębiorstwa łącznych kosztach związanych z administracją oraz przestrzeganiem i wdrażaniem przepisów </w:t>
            </w:r>
            <w:r w:rsidRPr="00D4637E">
              <w:lastRenderedPageBreak/>
              <w:t xml:space="preserve">oraz dbać o to, aby wprowadzanie nowych obowiązków było równoważone </w:t>
            </w:r>
            <w:r w:rsidRPr="00D4637E">
              <w:rPr>
                <w:b/>
                <w:i/>
              </w:rPr>
              <w:t>oczekiwaną wartością dodaną dla zaangażowanych podmiotów i całego społeczeństwa</w:t>
            </w:r>
            <w:r w:rsidRPr="00D4637E">
              <w:t>;</w:t>
            </w:r>
          </w:p>
        </w:tc>
      </w:tr>
    </w:tbl>
    <w:p w14:paraId="2C9629BC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7CBD88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25B219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40</w:t>
      </w:r>
      <w:r w:rsidRPr="00D4637E">
        <w:rPr>
          <w:rStyle w:val="HideTWBExt"/>
          <w:b w:val="0"/>
        </w:rPr>
        <w:t>&lt;/NumAm&gt;</w:t>
      </w:r>
    </w:p>
    <w:p w14:paraId="4D25062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2069237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C8343C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2CC338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C6331C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1ED8D" w14:textId="77777777" w:rsidR="000D4DD1" w:rsidRPr="00D4637E" w:rsidRDefault="000D4DD1" w:rsidP="00660527"/>
        </w:tc>
      </w:tr>
      <w:tr w:rsidR="000D4DD1" w:rsidRPr="00D4637E" w14:paraId="52518069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AA82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15408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D4AFB2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81D41" w14:textId="77777777" w:rsidR="000D4DD1" w:rsidRPr="00D4637E" w:rsidRDefault="000D4DD1" w:rsidP="00660527">
            <w:pPr>
              <w:pStyle w:val="Normal6a"/>
            </w:pPr>
            <w:r w:rsidRPr="00D4637E">
              <w:t>F.</w:t>
            </w:r>
            <w:r w:rsidRPr="00D4637E">
              <w:tab/>
              <w:t xml:space="preserve">mając na uwadze, że zasady „jedno więcej – dwa mniej” nie należy rozumieć jako celu liczbowego dla aktów ustawodawczych, lecz raczej jako mechanizm </w:t>
            </w:r>
            <w:r w:rsidRPr="00D4637E">
              <w:rPr>
                <w:b/>
                <w:bCs/>
                <w:i/>
                <w:iCs/>
              </w:rPr>
              <w:t>oparty na kosztach</w:t>
            </w:r>
            <w:r w:rsidRPr="00D4637E">
              <w:t xml:space="preserve"> mający na celu osiągnięcie wymiernej redukcji netto kosztów regulacyjnych; mając na uwadze, że należy nadal koncentrować się na nakładanych na przedsiębiorstwa łącznych kosztach związanych z administracją oraz przestrzeganiem i wdrażaniem przepisów oraz dbać o to, aby wprowadzanie nowych obowiązków było równoważone zniesieniem lub uproszczeniem podwójnej liczby obecnych przepisów o równoważnych kosztach;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709AE" w14:textId="77777777" w:rsidR="000D4DD1" w:rsidRPr="00D4637E" w:rsidRDefault="000D4DD1" w:rsidP="00660527">
            <w:pPr>
              <w:pStyle w:val="Normal6a"/>
            </w:pPr>
            <w:r w:rsidRPr="00D4637E">
              <w:t>F.</w:t>
            </w:r>
            <w:r w:rsidRPr="00D4637E">
              <w:tab/>
              <w:t xml:space="preserve">mając na uwadze, że zasady „jedno więcej – dwa mniej” nie należy rozumieć jako celu liczbowego dla aktów ustawodawczych, lecz raczej jako mechanizm </w:t>
            </w:r>
            <w:r w:rsidRPr="00D4637E">
              <w:rPr>
                <w:b/>
                <w:i/>
              </w:rPr>
              <w:t>jakościowy oparty na analizie kosztów</w:t>
            </w:r>
            <w:r w:rsidRPr="00D4637E">
              <w:t xml:space="preserve"> mający na celu osiągnięcie wymiernej redukcji netto kosztów regulacyjnych; mając na uwadze, że należy nadal koncentrować się na nakładanych na przedsiębiorstwa łącznych kosztach związanych z administracją oraz przestrzeganiem i wdrażaniem przepisów oraz dbać o to, aby wprowadzanie nowych obowiązków było równoważone zniesieniem lub uproszczeniem podwójnej liczby obecnych przepisów o równoważnych kosztach;</w:t>
            </w:r>
          </w:p>
        </w:tc>
      </w:tr>
    </w:tbl>
    <w:p w14:paraId="6090ED3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32E84BB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0B3F13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41</w:t>
      </w:r>
      <w:r w:rsidRPr="00D4637E">
        <w:rPr>
          <w:rStyle w:val="HideTWBExt"/>
          <w:b w:val="0"/>
        </w:rPr>
        <w:t>&lt;/NumAm&gt;</w:t>
      </w:r>
    </w:p>
    <w:p w14:paraId="6239016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3FF7980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88FDC3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200397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B47C07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9845D" w14:textId="77777777" w:rsidR="000D4DD1" w:rsidRPr="00D4637E" w:rsidRDefault="000D4DD1" w:rsidP="00660527"/>
        </w:tc>
      </w:tr>
      <w:tr w:rsidR="000D4DD1" w:rsidRPr="00D4637E" w14:paraId="02ECD78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FAFE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B4758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C6779F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45637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C5A78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Fa.</w:t>
            </w:r>
            <w:r w:rsidRPr="00D4637E">
              <w:rPr>
                <w:b/>
                <w:i/>
              </w:rPr>
              <w:tab/>
              <w:t>mając na uwadze, że najnowsze osiągnięcia w dziedzinie sztucznej inteligencji przekształcają sposób, w jaki można analizować i stosować prawo UE, przechodząc od ograniczonych, opartych na wiedzy systemów eksperckich do predykcyjnych i generatywnych modeli uczenia maszynowego; mając na uwadze, że technologie te otwierają nowe możliwości na wszystkich etapach cyklu legislacyjnego – w tym podczas analiz przed przyjęciem aktu i prognozowania skutków, redagowania aktów prawnych, konsultacji publicznych, a w szczególności podczas monitorowania po wejściu w życie – oferując tym samym istotne szanse na poprawę terminowości, precyzji i pogłębienia procesu stanowienia prawa UE;</w:t>
            </w:r>
          </w:p>
        </w:tc>
      </w:tr>
    </w:tbl>
    <w:p w14:paraId="28BE1647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F6961D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6536E5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42</w:t>
      </w:r>
      <w:r w:rsidRPr="00D4637E">
        <w:rPr>
          <w:rStyle w:val="HideTWBExt"/>
          <w:b w:val="0"/>
        </w:rPr>
        <w:t>&lt;/NumAm&gt;</w:t>
      </w:r>
    </w:p>
    <w:p w14:paraId="09BC577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19737C7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E7AC91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780FB0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15068B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B11A3" w14:textId="77777777" w:rsidR="000D4DD1" w:rsidRPr="00D4637E" w:rsidRDefault="000D4DD1" w:rsidP="00660527"/>
        </w:tc>
      </w:tr>
      <w:tr w:rsidR="000D4DD1" w:rsidRPr="00D4637E" w14:paraId="34F1214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F024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78C6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502664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5A769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4371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Fa.</w:t>
            </w:r>
            <w:r w:rsidRPr="00D4637E">
              <w:tab/>
            </w:r>
            <w:r w:rsidRPr="00D4637E">
              <w:rPr>
                <w:b/>
                <w:i/>
              </w:rPr>
              <w:t>mając na uwadze, że ogólnie rzecz biorąc, w ostatnich latach zmniejszyła się liczba opinii wydanych przez parlamenty narodowe[1], natomiast wzrosło znaczenie dialogu politycznego z Komisją dla parlamentów narodowych, co odzwierciedla większe zaangażowanie w proces decyzyjny UE na wczesnym etapie [1] Sprawozdanie roczne Komisji za rok 2024, opublikowane w dniu 8 września 2025 r., w sprawie stosowania zasad pomocniczości i proporcjonalności oraz w sprawie stosunków z parlamentami narodowymi (COM(2025) 0473), sekcja 3.1;</w:t>
            </w:r>
          </w:p>
        </w:tc>
      </w:tr>
    </w:tbl>
    <w:p w14:paraId="681B052A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6FA205C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9BBC48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43</w:t>
      </w:r>
      <w:r w:rsidRPr="00D4637E">
        <w:rPr>
          <w:rStyle w:val="HideTWBExt"/>
          <w:b w:val="0"/>
        </w:rPr>
        <w:t>&lt;/NumAm&gt;</w:t>
      </w:r>
    </w:p>
    <w:p w14:paraId="036FC1B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168672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D4AD1F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A658F3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964CA1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47B23" w14:textId="77777777" w:rsidR="000D4DD1" w:rsidRPr="00D4637E" w:rsidRDefault="000D4DD1" w:rsidP="00660527"/>
        </w:tc>
      </w:tr>
      <w:tr w:rsidR="000D4DD1" w:rsidRPr="00D4637E" w14:paraId="4338B84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A1FD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521A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6556A5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1F62C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DDE4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Fa.</w:t>
            </w:r>
            <w:r w:rsidRPr="00D4637E">
              <w:rPr>
                <w:b/>
                <w:i/>
              </w:rPr>
              <w:tab/>
              <w:t>mając na uwadze, że lepsze stanowienie prawa musi być podporządkowane politycznym ambicjom Unii, zwłaszcza jej długoterminowym celom, takim jak postęp społeczny oraz wiążący cel neutralności klimatycznej Unii do 2050 r., a także priorytetowy długoterminowy cel na 2050 r., aby zapewnić dobrą jakość życia obywateli z uwzględnieniem ograniczeń naszej planety; mając na uwadze, że zrównoważony rozwój powinien być rdzeniem jakościowego stanowienia prawa, zapewniając równoważność kwestii społecznych, środowiskowych i gospodarczych;</w:t>
            </w:r>
          </w:p>
        </w:tc>
      </w:tr>
    </w:tbl>
    <w:p w14:paraId="25DE557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D8099DB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8487E8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44</w:t>
      </w:r>
      <w:r w:rsidRPr="00D4637E">
        <w:rPr>
          <w:rStyle w:val="HideTWBExt"/>
          <w:b w:val="0"/>
        </w:rPr>
        <w:t>&lt;/NumAm&gt;</w:t>
      </w:r>
    </w:p>
    <w:p w14:paraId="6029BC6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3C2EB03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629EE5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1A85AD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64168E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1B389" w14:textId="77777777" w:rsidR="000D4DD1" w:rsidRPr="00D4637E" w:rsidRDefault="000D4DD1" w:rsidP="00660527"/>
        </w:tc>
      </w:tr>
      <w:tr w:rsidR="000D4DD1" w:rsidRPr="00D4637E" w14:paraId="34F3677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279D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882E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294003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4D788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D690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Fa.</w:t>
            </w:r>
            <w:r w:rsidRPr="00D4637E">
              <w:tab/>
            </w:r>
            <w:r w:rsidRPr="00D4637E">
              <w:rPr>
                <w:b/>
                <w:i/>
              </w:rPr>
              <w:t xml:space="preserve">mając na uwadze, że – zgodnie z najnowszymi dostępnymi danymi – stosunek liczby aktów prawodawczych Unii do liczby aktów wykonawczych i aktów delegowanych należących do wyłącznych kompetencji Komisji Europejskiej wynosi 1 do 30, a taka </w:t>
            </w:r>
            <w:r w:rsidRPr="00D4637E">
              <w:rPr>
                <w:b/>
                <w:i/>
              </w:rPr>
              <w:lastRenderedPageBreak/>
              <w:t>dysproporcja budzi niepokój, zwłaszcza w odniesieniu do poszanowania zasady pomocniczości oraz zasady proporcjonalności;</w:t>
            </w:r>
          </w:p>
        </w:tc>
      </w:tr>
    </w:tbl>
    <w:p w14:paraId="12DA59A4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5DAD998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5179621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45</w:t>
      </w:r>
      <w:r w:rsidRPr="00D4637E">
        <w:rPr>
          <w:rStyle w:val="HideTWBExt"/>
          <w:b w:val="0"/>
        </w:rPr>
        <w:t>&lt;/NumAm&gt;</w:t>
      </w:r>
    </w:p>
    <w:p w14:paraId="34E74A3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28167B0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17B19C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A98DDC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DCA584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015A0" w14:textId="77777777" w:rsidR="000D4DD1" w:rsidRPr="00D4637E" w:rsidRDefault="000D4DD1" w:rsidP="00660527"/>
        </w:tc>
      </w:tr>
      <w:tr w:rsidR="000D4DD1" w:rsidRPr="00D4637E" w14:paraId="22EB7EEB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90AE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551A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E81499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0B6C4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05C4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Fb.</w:t>
            </w:r>
            <w:r w:rsidRPr="00D4637E">
              <w:rPr>
                <w:b/>
                <w:i/>
              </w:rPr>
              <w:tab/>
              <w:t>mając na uwadze, że dobrze przeprowadzone oceny skutków ex ante i ex post oraz konsultacje publiczne są podstawowymi narzędziami rzetelnego, lepszego, skutecznego, odpowiedzialnego i przejrzystego stanowienia prawa;</w:t>
            </w:r>
          </w:p>
        </w:tc>
      </w:tr>
    </w:tbl>
    <w:p w14:paraId="10F1F7D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DBE7503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3609EC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46</w:t>
      </w:r>
      <w:r w:rsidRPr="00D4637E">
        <w:rPr>
          <w:rStyle w:val="HideTWBExt"/>
          <w:b w:val="0"/>
        </w:rPr>
        <w:t>&lt;/NumAm&gt;</w:t>
      </w:r>
    </w:p>
    <w:p w14:paraId="1CB89C3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14E25A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E08380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C5B8BF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Motyw F c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E65633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54783" w14:textId="77777777" w:rsidR="000D4DD1" w:rsidRPr="00D4637E" w:rsidRDefault="000D4DD1" w:rsidP="00660527"/>
        </w:tc>
      </w:tr>
      <w:tr w:rsidR="000D4DD1" w:rsidRPr="00D4637E" w14:paraId="244FD99D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B89F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8E54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B36844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C1E3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4CEA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Fc.</w:t>
            </w:r>
            <w:r w:rsidRPr="00D4637E">
              <w:rPr>
                <w:b/>
                <w:i/>
              </w:rPr>
              <w:tab/>
              <w:t>mając na uwadze, że Rada ds. Kontroli Regulacyjnej wspiera proces podejmowania decyzji politycznych przez wyrażanie opinii na temat jakości ocen skutków, kontrole adekwatności oraz szeroko zakrojone oceny;</w:t>
            </w:r>
          </w:p>
        </w:tc>
      </w:tr>
    </w:tbl>
    <w:p w14:paraId="757E48E6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8BF91F9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72298A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lastRenderedPageBreak/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47</w:t>
      </w:r>
      <w:r w:rsidRPr="00D4637E">
        <w:rPr>
          <w:rStyle w:val="HideTWBExt"/>
          <w:b w:val="0"/>
        </w:rPr>
        <w:t>&lt;/NumAm&gt;</w:t>
      </w:r>
    </w:p>
    <w:p w14:paraId="4548309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7D7CE17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AE2F03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F275C2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3FC778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73803" w14:textId="77777777" w:rsidR="000D4DD1" w:rsidRPr="00D4637E" w:rsidRDefault="000D4DD1" w:rsidP="00660527"/>
        </w:tc>
      </w:tr>
      <w:tr w:rsidR="000D4DD1" w:rsidRPr="00D4637E" w14:paraId="447A895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21E8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9180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207A5E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4E565" w14:textId="77777777" w:rsidR="000D4DD1" w:rsidRPr="00D4637E" w:rsidRDefault="000D4DD1" w:rsidP="00660527">
            <w:pPr>
              <w:pStyle w:val="Normal6a"/>
            </w:pPr>
            <w:r w:rsidRPr="00D4637E">
              <w:t>1.</w:t>
            </w:r>
            <w:r w:rsidRPr="00D4637E">
              <w:tab/>
              <w:t>przypomina, że zgodnie z zasadami pomocniczości i proporcjonalności zapisanymi w art. 5 TUE UE ma obowiązek stanowienia prawa tylko wówczas i tylko w takim zakresie, w jakim jest to konieczne; przypomina, że celem tego obowiązku jest stanowienie prawa jak najbliżej obywateli UE, zarówno osób fizycznych, jak i przedsiębiorstw;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10C09" w14:textId="77777777" w:rsidR="000D4DD1" w:rsidRPr="00D4637E" w:rsidRDefault="000D4DD1" w:rsidP="00660527">
            <w:pPr>
              <w:pStyle w:val="Normal6a"/>
            </w:pPr>
            <w:r w:rsidRPr="00D4637E">
              <w:t>1.</w:t>
            </w:r>
            <w:r w:rsidRPr="00D4637E">
              <w:tab/>
              <w:t xml:space="preserve">przypomina, że zgodnie z zasadami pomocniczości i proporcjonalności zapisanymi w art. 5 TUE UE ma obowiązek stanowienia prawa tylko wówczas i tylko w takim zakresie, w jakim jest to konieczne; </w:t>
            </w:r>
            <w:r w:rsidRPr="00D4637E">
              <w:rPr>
                <w:b/>
                <w:i/>
              </w:rPr>
              <w:t>podkreśla, że zasady te muszą być rygorystycznie stosowane w praktyce, co pozwoli uniknąć nieuzasadnionego rozszerzania kompetencji Unii w obszarach, którymi lepiej zajmują się państwa członkowskie, oraz</w:t>
            </w:r>
            <w:r w:rsidRPr="00D4637E">
              <w:t xml:space="preserve"> przypomina, że celem tego obowiązku jest stanowienie prawa jak najbliżej obywateli UE, zarówno osób fizycznych, jak i przedsiębiorstw;</w:t>
            </w:r>
          </w:p>
        </w:tc>
      </w:tr>
    </w:tbl>
    <w:p w14:paraId="3A73CF9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07F0347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2772E7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48</w:t>
      </w:r>
      <w:r w:rsidRPr="00D4637E">
        <w:rPr>
          <w:rStyle w:val="HideTWBExt"/>
          <w:b w:val="0"/>
        </w:rPr>
        <w:t>&lt;/NumAm&gt;</w:t>
      </w:r>
    </w:p>
    <w:p w14:paraId="113EE4D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Ton Diepeveen</w:t>
      </w:r>
      <w:r w:rsidRPr="00D4637E">
        <w:rPr>
          <w:rStyle w:val="HideTWBExt"/>
          <w:b w:val="0"/>
        </w:rPr>
        <w:t>&lt;/Members&gt;</w:t>
      </w:r>
    </w:p>
    <w:p w14:paraId="34DD38B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5D5719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8736EA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BA85A2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97488" w14:textId="77777777" w:rsidR="000D4DD1" w:rsidRPr="00D4637E" w:rsidRDefault="000D4DD1" w:rsidP="00660527"/>
        </w:tc>
      </w:tr>
      <w:tr w:rsidR="000D4DD1" w:rsidRPr="00D4637E" w14:paraId="7F88020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74E5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5B7C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AE25AC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3350B" w14:textId="77777777" w:rsidR="000D4DD1" w:rsidRPr="00D4637E" w:rsidRDefault="000D4DD1" w:rsidP="00660527">
            <w:pPr>
              <w:pStyle w:val="Normal6a"/>
            </w:pPr>
            <w:r w:rsidRPr="00D4637E">
              <w:t>1.</w:t>
            </w:r>
            <w:r w:rsidRPr="00D4637E">
              <w:tab/>
              <w:t xml:space="preserve">przypomina, że zgodnie z zasadami pomocniczości i proporcjonalności zapisanymi w art. 5 TUE UE </w:t>
            </w:r>
            <w:r w:rsidRPr="00D4637E">
              <w:rPr>
                <w:b/>
                <w:bCs/>
                <w:i/>
                <w:iCs/>
              </w:rPr>
              <w:t>ma obowiązek</w:t>
            </w:r>
            <w:r w:rsidRPr="00D4637E">
              <w:t xml:space="preserve"> stanowienia prawa tylko </w:t>
            </w:r>
            <w:r w:rsidRPr="00D4637E">
              <w:rPr>
                <w:b/>
                <w:bCs/>
                <w:i/>
                <w:iCs/>
              </w:rPr>
              <w:t>wówczas i tylko w takim zakresie, w jakim jest to konieczne</w:t>
            </w:r>
            <w:r w:rsidRPr="00D4637E">
              <w:t xml:space="preserve">; przypomina, że celem </w:t>
            </w:r>
            <w:r w:rsidRPr="00D4637E">
              <w:rPr>
                <w:b/>
                <w:bCs/>
                <w:i/>
                <w:iCs/>
              </w:rPr>
              <w:t>tego obowiązku</w:t>
            </w:r>
            <w:r w:rsidRPr="00D4637E">
              <w:t xml:space="preserve"> jest stanowienie prawa jak najbliżej obywateli UE, zarówno osób fizycznych, jak i przedsiębiorstw;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6A0C5" w14:textId="77777777" w:rsidR="000D4DD1" w:rsidRPr="00D4637E" w:rsidRDefault="000D4DD1" w:rsidP="00660527">
            <w:pPr>
              <w:pStyle w:val="Normal6a"/>
            </w:pPr>
            <w:r w:rsidRPr="00D4637E">
              <w:t>1.</w:t>
            </w:r>
            <w:r w:rsidRPr="00D4637E">
              <w:tab/>
              <w:t xml:space="preserve">przypomina, że zgodnie z zasadami pomocniczości i proporcjonalności zapisanymi w art. 5 TUE UE </w:t>
            </w:r>
            <w:r w:rsidRPr="00D4637E">
              <w:rPr>
                <w:b/>
                <w:bCs/>
                <w:i/>
                <w:iCs/>
              </w:rPr>
              <w:t>jest uprawniona do</w:t>
            </w:r>
            <w:r w:rsidRPr="00D4637E">
              <w:t xml:space="preserve"> stanowienia prawa tylko </w:t>
            </w:r>
            <w:r w:rsidRPr="00D4637E">
              <w:rPr>
                <w:b/>
                <w:bCs/>
                <w:i/>
                <w:iCs/>
              </w:rPr>
              <w:t>wtedy, gdy cel nie może zostać osiągnięty w wystarczającym stopniu na szczeblu krajowym lub może zostać lepiej osiągnięty przez Unię ze względu na rozmiary lub skutki jej działania</w:t>
            </w:r>
            <w:r w:rsidRPr="00D4637E">
              <w:t xml:space="preserve">; przypomina, że celem </w:t>
            </w:r>
            <w:r w:rsidRPr="00D4637E">
              <w:rPr>
                <w:b/>
                <w:bCs/>
                <w:i/>
                <w:iCs/>
              </w:rPr>
              <w:t>tej kompetencji</w:t>
            </w:r>
            <w:r w:rsidRPr="00D4637E">
              <w:t xml:space="preserve"> jest stanowienie prawa jak najbliżej obywateli UE, zarówno osób fizycznych, jak i przedsiębiorstw</w:t>
            </w:r>
            <w:r w:rsidRPr="00D4637E">
              <w:rPr>
                <w:b/>
                <w:bCs/>
                <w:i/>
                <w:iCs/>
              </w:rPr>
              <w:t xml:space="preserve">, tak aby pierwszeństwo </w:t>
            </w:r>
            <w:r w:rsidRPr="00D4637E">
              <w:rPr>
                <w:b/>
                <w:bCs/>
                <w:i/>
                <w:iCs/>
              </w:rPr>
              <w:lastRenderedPageBreak/>
              <w:t>miało prawodawstwo na szczeblu krajowym</w:t>
            </w:r>
            <w:r w:rsidRPr="00D4637E">
              <w:t>;</w:t>
            </w:r>
          </w:p>
        </w:tc>
      </w:tr>
    </w:tbl>
    <w:p w14:paraId="48C0E9B1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{NL}</w:t>
      </w:r>
      <w:r w:rsidRPr="00D4637E">
        <w:t>nl</w:t>
      </w:r>
      <w:r w:rsidRPr="00D4637E">
        <w:rPr>
          <w:rStyle w:val="HideTWBExt"/>
        </w:rPr>
        <w:t>&lt;/Original&gt;</w:t>
      </w:r>
    </w:p>
    <w:p w14:paraId="2BD218F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0854A7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49</w:t>
      </w:r>
      <w:r w:rsidRPr="00D4637E">
        <w:rPr>
          <w:rStyle w:val="HideTWBExt"/>
          <w:b w:val="0"/>
        </w:rPr>
        <w:t>&lt;/NumAm&gt;</w:t>
      </w:r>
    </w:p>
    <w:p w14:paraId="2486538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50403B63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4B3325C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43CEA7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FFC4A7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FA3943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0E87A" w14:textId="77777777" w:rsidR="000D4DD1" w:rsidRPr="00D4637E" w:rsidRDefault="000D4DD1" w:rsidP="00660527"/>
        </w:tc>
      </w:tr>
      <w:tr w:rsidR="000D4DD1" w:rsidRPr="00D4637E" w14:paraId="7555182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9100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838B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31916A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C6F40" w14:textId="77777777" w:rsidR="000D4DD1" w:rsidRPr="00D4637E" w:rsidRDefault="000D4DD1" w:rsidP="00660527">
            <w:pPr>
              <w:pStyle w:val="Normal6a"/>
            </w:pPr>
            <w:r w:rsidRPr="00D4637E">
              <w:t>1.</w:t>
            </w:r>
            <w:r w:rsidRPr="00D4637E">
              <w:tab/>
              <w:t>przypomina, że zgodnie z zasadami pomocniczości i proporcjonalności zapisanymi w art. 5 TUE UE ma obowiązek stanowienia prawa tylko wówczas i tylko w takim zakresie, w jakim jest to konieczne; przypomina, że celem tego obowiązku jest stanowienie prawa jak najbliżej obywateli UE</w:t>
            </w:r>
            <w:r w:rsidRPr="00D4637E">
              <w:rPr>
                <w:b/>
                <w:i/>
              </w:rPr>
              <w:t>, zarówno osób fizycznych, jak i przedsiębiorstw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4D76C" w14:textId="77777777" w:rsidR="000D4DD1" w:rsidRPr="00D4637E" w:rsidRDefault="000D4DD1" w:rsidP="00660527">
            <w:pPr>
              <w:pStyle w:val="Normal6a"/>
            </w:pPr>
            <w:r w:rsidRPr="00D4637E">
              <w:t>1.</w:t>
            </w:r>
            <w:r w:rsidRPr="00D4637E">
              <w:tab/>
              <w:t>przypomina, że zgodnie z zasadami pomocniczości i proporcjonalności zapisanymi w art. 5 TUE UE ma obowiązek stanowienia prawa tylko wówczas i tylko w takim zakresie, w jakim jest to konieczne; przypomina, że celem tego obowiązku jest stanowienie prawa jak najbliżej obywateli UE;</w:t>
            </w:r>
          </w:p>
        </w:tc>
      </w:tr>
    </w:tbl>
    <w:p w14:paraId="248735B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224DC6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AB71CA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50</w:t>
      </w:r>
      <w:r w:rsidRPr="00D4637E">
        <w:rPr>
          <w:rStyle w:val="HideTWBExt"/>
          <w:b w:val="0"/>
        </w:rPr>
        <w:t>&lt;/NumAm&gt;</w:t>
      </w:r>
    </w:p>
    <w:p w14:paraId="3DD2DD1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5D781AC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3A7842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C85B9C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46E919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54A42" w14:textId="77777777" w:rsidR="000D4DD1" w:rsidRPr="00D4637E" w:rsidRDefault="000D4DD1" w:rsidP="00660527"/>
        </w:tc>
      </w:tr>
      <w:tr w:rsidR="000D4DD1" w:rsidRPr="00D4637E" w14:paraId="3BD11C3B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3BF2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9BDC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9F5268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4E716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22728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1a.</w:t>
            </w:r>
            <w:r w:rsidRPr="00D4637E">
              <w:rPr>
                <w:b/>
                <w:i/>
              </w:rPr>
              <w:tab/>
              <w:t xml:space="preserve">ponownie podkreśla, że zasady pomocniczości i proporcjonalności nie powinny być wykorzystywane do uzasadniania deregulacji, ale do zapewnienia, aby działania UE przynosiły wyraźną europejską wartość dodaną, zwłaszcza w przypadku wyzwań transgranicznych, takich jak transformacja energetyczna, </w:t>
            </w:r>
            <w:r w:rsidRPr="00D4637E">
              <w:rPr>
                <w:b/>
                <w:i/>
              </w:rPr>
              <w:lastRenderedPageBreak/>
              <w:t>transformacja cyfrowa i włączenie społeczne;</w:t>
            </w:r>
          </w:p>
        </w:tc>
      </w:tr>
    </w:tbl>
    <w:p w14:paraId="5CD34887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0925430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ED51C42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51</w:t>
      </w:r>
      <w:r w:rsidRPr="00D4637E">
        <w:rPr>
          <w:rStyle w:val="HideTWBExt"/>
          <w:b w:val="0"/>
        </w:rPr>
        <w:t>&lt;/NumAm&gt;</w:t>
      </w:r>
    </w:p>
    <w:p w14:paraId="60A9EE4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722840D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D4C406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14FE0E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5AAFFC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4A357" w14:textId="77777777" w:rsidR="000D4DD1" w:rsidRPr="00D4637E" w:rsidRDefault="000D4DD1" w:rsidP="00660527"/>
        </w:tc>
      </w:tr>
      <w:tr w:rsidR="000D4DD1" w:rsidRPr="00D4637E" w14:paraId="2D0447A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3072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5394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B640665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D4469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61DD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1a.</w:t>
            </w:r>
            <w:r w:rsidRPr="00D4637E">
              <w:rPr>
                <w:b/>
                <w:i/>
              </w:rPr>
              <w:tab/>
              <w:t>przypomina, że zasady pomocniczości i proporcjonalności wprowadzono w traktacie z Maastricht właśnie po to, aby ograniczyć rosnące uprawnienia UE i zapewnić równowagę między nimi a uprawnieniami państw członkowskich;</w:t>
            </w:r>
          </w:p>
        </w:tc>
      </w:tr>
    </w:tbl>
    <w:p w14:paraId="37560E2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B691197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BA831B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52</w:t>
      </w:r>
      <w:r w:rsidRPr="00D4637E">
        <w:rPr>
          <w:rStyle w:val="HideTWBExt"/>
          <w:b w:val="0"/>
        </w:rPr>
        <w:t>&lt;/NumAm&gt;</w:t>
      </w:r>
    </w:p>
    <w:p w14:paraId="1E86E98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38BAC46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00D78C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FDEA66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FD5317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2CE68" w14:textId="77777777" w:rsidR="000D4DD1" w:rsidRPr="00D4637E" w:rsidRDefault="000D4DD1" w:rsidP="00660527"/>
        </w:tc>
      </w:tr>
      <w:tr w:rsidR="000D4DD1" w:rsidRPr="00D4637E" w14:paraId="72988929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7793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2551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94E64F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2D052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EBF52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1b.</w:t>
            </w:r>
            <w:r w:rsidRPr="00D4637E">
              <w:rPr>
                <w:b/>
                <w:i/>
              </w:rPr>
              <w:tab/>
              <w:t>podkreśla, że zasady te mają kluczowe znaczenie dla lepszego i bardziej wiarygodnego stanowienia prawa, ponieważ gwarantują, aby UE podejmowała działania tylko wtedy, gdy jest to konieczne i w odpowiednim zakresie;</w:t>
            </w:r>
          </w:p>
        </w:tc>
      </w:tr>
    </w:tbl>
    <w:p w14:paraId="1F84FA3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B806560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CEC535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53</w:t>
      </w:r>
      <w:r w:rsidRPr="00D4637E">
        <w:rPr>
          <w:rStyle w:val="HideTWBExt"/>
          <w:b w:val="0"/>
        </w:rPr>
        <w:t>&lt;/NumAm&gt;</w:t>
      </w:r>
    </w:p>
    <w:p w14:paraId="11452FB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2644E29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&lt;/RepeatBlock-By&gt;</w:t>
      </w:r>
    </w:p>
    <w:p w14:paraId="3BB5838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D83FFF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 c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05674A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EFDAC" w14:textId="77777777" w:rsidR="000D4DD1" w:rsidRPr="00D4637E" w:rsidRDefault="000D4DD1" w:rsidP="00660527"/>
        </w:tc>
      </w:tr>
      <w:tr w:rsidR="000D4DD1" w:rsidRPr="00D4637E" w14:paraId="08494A4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5AA8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B7C3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D99B6E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29E9D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BE8A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1c.</w:t>
            </w:r>
            <w:r w:rsidRPr="00D4637E">
              <w:rPr>
                <w:b/>
                <w:i/>
              </w:rPr>
              <w:tab/>
              <w:t>przypomina, że ewaluacja, ocena skutków oraz konsultacje z zainteresowanymi stronami stanowią kluczowe filary efektywnego i odpowiedzialnego stanowienia prawa;</w:t>
            </w:r>
          </w:p>
        </w:tc>
      </w:tr>
    </w:tbl>
    <w:p w14:paraId="2D095F2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B953D34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AB1279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54</w:t>
      </w:r>
      <w:r w:rsidRPr="00D4637E">
        <w:rPr>
          <w:rStyle w:val="HideTWBExt"/>
          <w:b w:val="0"/>
        </w:rPr>
        <w:t>&lt;/NumAm&gt;</w:t>
      </w:r>
    </w:p>
    <w:p w14:paraId="7949258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063152C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D41990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8994BC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 d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3AF18C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C289E" w14:textId="77777777" w:rsidR="000D4DD1" w:rsidRPr="00D4637E" w:rsidRDefault="000D4DD1" w:rsidP="00660527"/>
        </w:tc>
      </w:tr>
      <w:tr w:rsidR="000D4DD1" w:rsidRPr="00D4637E" w14:paraId="4AA2F98B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5786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914E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A4968D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C225C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F0D9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1d.</w:t>
            </w:r>
            <w:r w:rsidRPr="00D4637E">
              <w:rPr>
                <w:b/>
                <w:i/>
              </w:rPr>
              <w:tab/>
              <w:t>zauważa, że pomimo wprowadzenia mechanizmu wczesnego ostrzegania na mocy protokołu nr 2 do traktatu lizbońskiego, jego skuteczność pozostaje bardzo ograniczona;</w:t>
            </w:r>
          </w:p>
        </w:tc>
      </w:tr>
    </w:tbl>
    <w:p w14:paraId="5D4709A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949D21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0B4CF2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55</w:t>
      </w:r>
      <w:r w:rsidRPr="00D4637E">
        <w:rPr>
          <w:rStyle w:val="HideTWBExt"/>
          <w:b w:val="0"/>
        </w:rPr>
        <w:t>&lt;/NumAm&gt;</w:t>
      </w:r>
    </w:p>
    <w:p w14:paraId="437C65A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1654D15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EF00BB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9FE30C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2772E3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28FE5" w14:textId="77777777" w:rsidR="000D4DD1" w:rsidRPr="00D4637E" w:rsidRDefault="000D4DD1" w:rsidP="00660527"/>
        </w:tc>
      </w:tr>
      <w:tr w:rsidR="000D4DD1" w:rsidRPr="00D4637E" w14:paraId="2AF2BD8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4CEA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8618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D9AE1A8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ECE66" w14:textId="77777777" w:rsidR="000D4DD1" w:rsidRPr="00D4637E" w:rsidRDefault="000D4DD1" w:rsidP="00660527">
            <w:pPr>
              <w:pStyle w:val="Normal6a"/>
            </w:pPr>
            <w:r w:rsidRPr="00D4637E">
              <w:t>2.</w:t>
            </w:r>
            <w:r w:rsidRPr="00D4637E">
              <w:tab/>
              <w:t xml:space="preserve">zauważa, że w 2023 r. parlamenty narodowe złożyły 22 uzasadnione opinie, o jedną trzecią mniej niż w 2022 r., </w:t>
            </w:r>
            <w:r w:rsidRPr="00D4637E">
              <w:rPr>
                <w:b/>
                <w:i/>
              </w:rPr>
              <w:t>zgodnie z długoterminową tendencją spadkową</w:t>
            </w:r>
            <w:r w:rsidRPr="00D4637E">
              <w:t xml:space="preserve">; zauważa, że odnotowano </w:t>
            </w:r>
            <w:r w:rsidRPr="00D4637E">
              <w:rPr>
                <w:b/>
                <w:i/>
              </w:rPr>
              <w:t xml:space="preserve">również </w:t>
            </w:r>
            <w:r w:rsidRPr="00D4637E">
              <w:t xml:space="preserve">wzrost udziału parlamentów narodowych w </w:t>
            </w:r>
            <w:r w:rsidRPr="00D4637E">
              <w:lastRenderedPageBreak/>
              <w:t>szerszym dialogu politycznym z Komisją o ponad 10 % w porównaniu z 2022 r.;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0E269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2.</w:t>
            </w:r>
            <w:r w:rsidRPr="00D4637E">
              <w:tab/>
              <w:t>zauważa, że w 2023 r. parlamenty narodowe złożyły 22 uzasadnione opinie, o jedną trzecią mniej niż w 2022 r.; zauważa, że odnotowano wzrost udziału parlamentów narodowych w szerszym dialogu politycznym z Komisją o ponad 10 % w porównaniu z 2022 r.;</w:t>
            </w:r>
          </w:p>
        </w:tc>
      </w:tr>
    </w:tbl>
    <w:p w14:paraId="39CFF2A0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99BC30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CC6072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56</w:t>
      </w:r>
      <w:r w:rsidRPr="00D4637E">
        <w:rPr>
          <w:rStyle w:val="HideTWBExt"/>
          <w:b w:val="0"/>
        </w:rPr>
        <w:t>&lt;/NumAm&gt;</w:t>
      </w:r>
    </w:p>
    <w:p w14:paraId="340CA76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647DE9A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D79E5C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87157B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A0EFBB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EDF73" w14:textId="77777777" w:rsidR="000D4DD1" w:rsidRPr="00D4637E" w:rsidRDefault="000D4DD1" w:rsidP="00660527"/>
        </w:tc>
      </w:tr>
      <w:tr w:rsidR="000D4DD1" w:rsidRPr="00D4637E" w14:paraId="3CDD386B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AA8F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1DD2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4A5E7D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A3D69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2A523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2a.</w:t>
            </w:r>
            <w:r w:rsidRPr="00D4637E">
              <w:rPr>
                <w:b/>
                <w:i/>
              </w:rPr>
              <w:tab/>
              <w:t>zauważa, że od momentu wejścia w życie traktatu lizbońskiego w 2009 r. parlamenty narodowe przedłożyły jedynie 577 analiz zgodności z zasadą pomocniczości i uzasadnionych opinii, 3 803 uwagi, trzy „żółte kartki” i żadnej „pomarańczowej kartki”;</w:t>
            </w:r>
          </w:p>
        </w:tc>
      </w:tr>
    </w:tbl>
    <w:p w14:paraId="7BBBD873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06BC09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31C65A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57</w:t>
      </w:r>
      <w:r w:rsidRPr="00D4637E">
        <w:rPr>
          <w:rStyle w:val="HideTWBExt"/>
          <w:b w:val="0"/>
        </w:rPr>
        <w:t>&lt;/NumAm&gt;</w:t>
      </w:r>
    </w:p>
    <w:p w14:paraId="33741A1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0819080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356703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61C3FE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4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6C1897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D65A6" w14:textId="77777777" w:rsidR="000D4DD1" w:rsidRPr="00D4637E" w:rsidRDefault="000D4DD1" w:rsidP="00660527"/>
        </w:tc>
      </w:tr>
      <w:tr w:rsidR="000D4DD1" w:rsidRPr="00D4637E" w14:paraId="46E31D7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467B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C83A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9D18D6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D635A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4.</w:t>
            </w:r>
            <w:r w:rsidRPr="00D4637E">
              <w:rPr>
                <w:b/>
                <w:i/>
              </w:rPr>
              <w:tab/>
              <w:t>zauważa, że w 2024 r. minęło 15 lat od wejścia w życie i rozpoczęcia stosowania Traktatu z Lizbony, który wprowadził wyższy poziom kontroli parlamentarnej i demokratycznej rozliczalności w UE, w szczególności dzięki zasadom pomocniczości i proporcjonalności;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92B5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skreśla się</w:t>
            </w:r>
          </w:p>
        </w:tc>
      </w:tr>
    </w:tbl>
    <w:p w14:paraId="472AF44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5EAEAD0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6C07DFE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58</w:t>
      </w:r>
      <w:r w:rsidRPr="00D4637E">
        <w:rPr>
          <w:rStyle w:val="HideTWBExt"/>
          <w:b w:val="0"/>
        </w:rPr>
        <w:t>&lt;/NumAm&gt;</w:t>
      </w:r>
    </w:p>
    <w:p w14:paraId="01AE596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18A8C65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DCDF67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174EB3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4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B7D236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FF7AA" w14:textId="77777777" w:rsidR="000D4DD1" w:rsidRPr="00D4637E" w:rsidRDefault="000D4DD1" w:rsidP="00660527"/>
        </w:tc>
      </w:tr>
      <w:tr w:rsidR="000D4DD1" w:rsidRPr="00D4637E" w14:paraId="10A2420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FCE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7819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6D5F2A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B389E" w14:textId="77777777" w:rsidR="000D4DD1" w:rsidRPr="00D4637E" w:rsidRDefault="000D4DD1" w:rsidP="00660527">
            <w:pPr>
              <w:pStyle w:val="Normal6a"/>
            </w:pPr>
            <w:r w:rsidRPr="00D4637E">
              <w:t>4.</w:t>
            </w:r>
            <w:r w:rsidRPr="00D4637E">
              <w:tab/>
              <w:t>zauważa, że w 2024 r. minęło 15 lat od wejścia w życie i rozpoczęcia stosowania Traktatu z Lizbony, który wprowadził wyższy poziom kontroli parlamentarnej i demokratycznej rozliczalności w UE, w szczególności dzięki zasadom pomocniczości i proporcjonalności;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7E2D5" w14:textId="77777777" w:rsidR="000D4DD1" w:rsidRPr="00D4637E" w:rsidRDefault="000D4DD1" w:rsidP="00660527">
            <w:pPr>
              <w:pStyle w:val="Normal6a"/>
            </w:pPr>
            <w:r w:rsidRPr="00D4637E">
              <w:t>4.</w:t>
            </w:r>
            <w:r w:rsidRPr="00D4637E">
              <w:tab/>
              <w:t xml:space="preserve">zauważa, że w 2024 r. minęło 15 lat od wejścia w życie i rozpoczęcia stosowania Traktatu z Lizbony, który wprowadził wyższy poziom kontroli parlamentarnej i demokratycznej rozliczalności w UE, w szczególności dzięki zasadom pomocniczości i proporcjonalności; </w:t>
            </w:r>
            <w:r w:rsidRPr="00D4637E">
              <w:rPr>
                <w:b/>
                <w:i/>
              </w:rPr>
              <w:t>uważa, że biorąc pod uwagę nowe wyzwania stojące przed Europą, wzmocnienie tych zasad pozostaje niezbędne dla skutecznej i zorientowanej na wyniki Unii;</w:t>
            </w:r>
          </w:p>
        </w:tc>
      </w:tr>
    </w:tbl>
    <w:p w14:paraId="78C9B7A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6D980943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1CA62F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59</w:t>
      </w:r>
      <w:r w:rsidRPr="00D4637E">
        <w:rPr>
          <w:rStyle w:val="HideTWBExt"/>
          <w:b w:val="0"/>
        </w:rPr>
        <w:t>&lt;/NumAm&gt;</w:t>
      </w:r>
    </w:p>
    <w:p w14:paraId="1C440F8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7A14676F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7BD112C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EC9FCB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5F1AB2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05F48D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02F31" w14:textId="77777777" w:rsidR="000D4DD1" w:rsidRPr="00D4637E" w:rsidRDefault="000D4DD1" w:rsidP="00660527"/>
        </w:tc>
      </w:tr>
      <w:tr w:rsidR="000D4DD1" w:rsidRPr="00D4637E" w14:paraId="31873E29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A1202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1AF8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2A404E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87141" w14:textId="77777777" w:rsidR="000D4DD1" w:rsidRPr="00D4637E" w:rsidRDefault="000D4DD1" w:rsidP="00660527">
            <w:pPr>
              <w:pStyle w:val="Normal6a"/>
            </w:pPr>
            <w:r w:rsidRPr="00D4637E">
              <w:t>6.</w:t>
            </w:r>
            <w:r w:rsidRPr="00D4637E">
              <w:tab/>
            </w:r>
            <w:r w:rsidRPr="00D4637E">
              <w:rPr>
                <w:b/>
                <w:i/>
              </w:rPr>
              <w:t xml:space="preserve">zauważa, że w 2024 r. izba parlamentu narodowego wniosła po raz pierwszy skargę do Trybunału Sprawiedliwości Unii Europejskiej, żądając stwierdzenia nieważności aktu prawodawczego na tej podstawie, że wykraczał on poza kompetencje UE i naruszał zasadę pomocniczości; zauważa ponadto, że w 2024 r. Trybunał Sprawiedliwości Unii Europejskiej stwierdził nieważność przepisu rozporządzenia, dodanego podczas negocjacji ustawodawczych, ze względu na to, że informacje o nim były niewystarczające, aby ocenić i jednoznacznie stwierdzić jego </w:t>
            </w:r>
            <w:r w:rsidRPr="00D4637E">
              <w:rPr>
                <w:b/>
                <w:i/>
              </w:rPr>
              <w:lastRenderedPageBreak/>
              <w:t>proporcjonalność;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 xml:space="preserve">w świetle powyższego </w:t>
            </w:r>
            <w:r w:rsidRPr="00D4637E">
              <w:t>potwierdza, że zasady pomocniczości i proporcjonalności nadal mają zasadnicze znaczenie dla legitymizacji UE, i wzywa do ściślejszej współpracy i wzmocnionego dialogu zorganizowanego z parlamentami narodowymi;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D9398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6.</w:t>
            </w:r>
            <w:r w:rsidRPr="00D4637E">
              <w:tab/>
              <w:t>potwierdza, że zasady pomocniczości i proporcjonalności nadal mają zasadnicze znaczenie dla legitymizacji UE, i wzywa do ściślejszej współpracy i wzmocnionego dialogu zorganizowanego z parlamentami narodowymi;</w:t>
            </w:r>
          </w:p>
        </w:tc>
      </w:tr>
    </w:tbl>
    <w:p w14:paraId="395D3E8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935943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DFB3C5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60</w:t>
      </w:r>
      <w:r w:rsidRPr="00D4637E">
        <w:rPr>
          <w:rStyle w:val="HideTWBExt"/>
          <w:b w:val="0"/>
        </w:rPr>
        <w:t>&lt;/NumAm&gt;</w:t>
      </w:r>
    </w:p>
    <w:p w14:paraId="2A47A13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190178E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888044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5198AE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96F2B5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3DCEB" w14:textId="77777777" w:rsidR="000D4DD1" w:rsidRPr="00D4637E" w:rsidRDefault="000D4DD1" w:rsidP="00660527"/>
        </w:tc>
      </w:tr>
      <w:tr w:rsidR="000D4DD1" w:rsidRPr="00D4637E" w14:paraId="1493C47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F82B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5E6C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CC8449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44D4B" w14:textId="77777777" w:rsidR="000D4DD1" w:rsidRPr="00D4637E" w:rsidRDefault="000D4DD1" w:rsidP="00660527">
            <w:pPr>
              <w:pStyle w:val="Normal6a"/>
            </w:pPr>
            <w:r w:rsidRPr="00D4637E">
              <w:t>6.</w:t>
            </w:r>
            <w:r w:rsidRPr="00D4637E">
              <w:tab/>
              <w:t xml:space="preserve">zauważa, że w 2024 r. </w:t>
            </w:r>
            <w:r w:rsidRPr="00D4637E">
              <w:rPr>
                <w:b/>
                <w:i/>
              </w:rPr>
              <w:t xml:space="preserve">izba parlamentu narodowego wniosła po raz pierwszy skargę do Trybunału Sprawiedliwości Unii Europejskiej, żądając stwierdzenia nieważności aktu prawodawczego na tej podstawie, że wykraczał on poza kompetencje UE i naruszał zasadę pomocniczości; zauważa ponadto, że w 2024 r. </w:t>
            </w:r>
            <w:r w:rsidRPr="00D4637E">
              <w:t>Trybunał Sprawiedliwości Unii Europejskiej stwierdził nieważność przepisu rozporządzenia, dodanego podczas negocjacji ustawodawczych, ze względu na to, że informacje o nim były niewystarczające, aby ocenić i jednoznacznie stwierdzić jego proporcjonalność; w świetle powyższego potwierdza, że zasady pomocniczości i proporcjonalności nadal mają zasadnicze znaczenie dla legitymizacji UE, i wzywa do ściślejszej współpracy i wzmocnionego dialogu zorganizowanego z parlamentami narodowymi;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5DDBB" w14:textId="77777777" w:rsidR="000D4DD1" w:rsidRPr="00D4637E" w:rsidRDefault="000D4DD1" w:rsidP="00660527">
            <w:pPr>
              <w:pStyle w:val="Normal6a"/>
            </w:pPr>
            <w:r w:rsidRPr="00D4637E">
              <w:t>6.</w:t>
            </w:r>
            <w:r w:rsidRPr="00D4637E">
              <w:tab/>
              <w:t>zauważa, że w 2024 r. Trybunał Sprawiedliwości Unii Europejskiej stwierdził nieważność przepisu rozporządzenia, dodanego podczas negocjacji ustawodawczych, ze względu na to, że informacje o nim były niewystarczające, aby ocenić i jednoznacznie stwierdzić jego proporcjonalność; w świetle powyższego potwierdza, że zasady pomocniczości i proporcjonalności nadal mają zasadnicze znaczenie dla legitymizacji UE, i wzywa do ściślejszej współpracy i wzmocnionego dialogu zorganizowanego z parlamentami narodowymi;</w:t>
            </w:r>
          </w:p>
        </w:tc>
      </w:tr>
    </w:tbl>
    <w:p w14:paraId="79FB759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EDC33C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E4A3CE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lastRenderedPageBreak/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61</w:t>
      </w:r>
      <w:r w:rsidRPr="00D4637E">
        <w:rPr>
          <w:rStyle w:val="HideTWBExt"/>
          <w:b w:val="0"/>
        </w:rPr>
        <w:t>&lt;/NumAm&gt;</w:t>
      </w:r>
    </w:p>
    <w:p w14:paraId="710F766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793E63B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984986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ED8A74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103DEA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6172C" w14:textId="77777777" w:rsidR="000D4DD1" w:rsidRPr="00D4637E" w:rsidRDefault="000D4DD1" w:rsidP="00660527"/>
        </w:tc>
      </w:tr>
      <w:tr w:rsidR="000D4DD1" w:rsidRPr="00D4637E" w14:paraId="78670DD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1AD9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E776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EF3204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BF5FC" w14:textId="77777777" w:rsidR="000D4DD1" w:rsidRPr="00D4637E" w:rsidRDefault="000D4DD1" w:rsidP="00660527">
            <w:pPr>
              <w:pStyle w:val="Normal6a"/>
            </w:pPr>
            <w:r w:rsidRPr="00D4637E">
              <w:t>6.</w:t>
            </w:r>
            <w:r w:rsidRPr="00D4637E">
              <w:tab/>
              <w:t>zauważa, że w 2024 r. izba parlamentu narodowego wniosła po raz pierwszy skargę do Trybunału Sprawiedliwości Unii Europejskiej, żądając stwierdzenia nieważności aktu prawodawczego na tej podstawie, że wykraczał on poza kompetencje UE i naruszał zasadę pomocniczości; zauważa ponadto, że w 2024 r. , Trybunał Sprawiedliwości Unii Europejskiej stwierdził nieważność przepisu rozporządzenia, dodanego podczas negocjacji ustawodawczych, ze względu na to, że informacje o nim były niewystarczające, aby ocenić i jednoznacznie stwierdzić jego proporcjonalność; w świetle powyższego potwierdza, że zasady pomocniczości i proporcjonalności nadal mają zasadnicze znaczenie dla legitymizacji UE, i wzywa do ściślejszej współpracy i wzmocnionego dialogu zorganizowanego z parlamentami narodowymi;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89399" w14:textId="77777777" w:rsidR="000D4DD1" w:rsidRPr="00D4637E" w:rsidRDefault="000D4DD1" w:rsidP="00660527">
            <w:pPr>
              <w:pStyle w:val="Normal6a"/>
            </w:pPr>
            <w:r w:rsidRPr="00D4637E">
              <w:t>6.</w:t>
            </w:r>
            <w:r w:rsidRPr="00D4637E">
              <w:tab/>
              <w:t>zauważa, że w 2024 r. izba parlamentu narodowego wniosła po raz pierwszy skargę do Trybunału Sprawiedliwości Unii Europejskiej</w:t>
            </w:r>
            <w:r w:rsidRPr="00D4637E">
              <w:rPr>
                <w:b/>
                <w:i/>
              </w:rPr>
              <w:t>, na podstawie protokołu nr 2</w:t>
            </w:r>
            <w:r w:rsidRPr="00D4637E">
              <w:t>, żądając stwierdzenia nieważności aktu prawodawczego na tej podstawie, że wykraczał on poza kompetencje UE i naruszał zasadę pomocniczości; zauważa ponadto, że w 2024 r. , Trybunał Sprawiedliwości Unii Europejskiej stwierdził nieważność przepisu rozporządzenia, dodanego podczas negocjacji ustawodawczych, ze względu na to, że informacje o nim były niewystarczające, aby ocenić i jednoznacznie stwierdzić jego proporcjonalność; w świetle powyższego potwierdza, że zasady pomocniczości i proporcjonalności nadal mają zasadnicze znaczenie dla legitymizacji UE, i wzywa do ściślejszej współpracy i wzmocnionego dialogu zorganizowanego z parlamentami narodowymi;</w:t>
            </w:r>
          </w:p>
        </w:tc>
      </w:tr>
    </w:tbl>
    <w:p w14:paraId="60296F59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30A18E5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4D54BA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62</w:t>
      </w:r>
      <w:r w:rsidRPr="00D4637E">
        <w:rPr>
          <w:rStyle w:val="HideTWBExt"/>
          <w:b w:val="0"/>
        </w:rPr>
        <w:t>&lt;/NumAm&gt;</w:t>
      </w:r>
    </w:p>
    <w:p w14:paraId="05C4560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582631B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C4F645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CC97CC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A3ADC4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3CA75" w14:textId="77777777" w:rsidR="000D4DD1" w:rsidRPr="00D4637E" w:rsidRDefault="000D4DD1" w:rsidP="00660527"/>
        </w:tc>
      </w:tr>
      <w:tr w:rsidR="000D4DD1" w:rsidRPr="00D4637E" w14:paraId="5FE495C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02C8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960D4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C77ABE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301A8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3685F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6a.</w:t>
            </w:r>
            <w:r w:rsidRPr="00D4637E">
              <w:rPr>
                <w:b/>
                <w:i/>
              </w:rPr>
              <w:tab/>
              <w:t xml:space="preserve">wzywa do wcześniejszego, uporządkowanego i rzeczywistego włączenia parlamentów narodowych w cykl kształtowania polityki UE, również </w:t>
            </w:r>
            <w:r w:rsidRPr="00D4637E">
              <w:rPr>
                <w:b/>
                <w:i/>
              </w:rPr>
              <w:lastRenderedPageBreak/>
              <w:t>na etapie konsultacji i ustalania agendy, a nie dopiero po przyjęciu przez Komisję wniosku; podkreśla, że zapewnienie parlamentom narodowym terminowego dostępu do projektów inicjatyw, analiz wstępnych oraz materiałów dotyczących oceny skutków umożliwiłoby skuteczniejszą kontrolę pod kątem zasad pomocniczości i proporcjonalności oraz pozwoliłoby na uwzględnienie krajowej ekspertyzy już na wczesnym etapie procesu legislacyjnego;</w:t>
            </w:r>
          </w:p>
        </w:tc>
      </w:tr>
    </w:tbl>
    <w:p w14:paraId="160B6B68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F24333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9A6FC2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63</w:t>
      </w:r>
      <w:r w:rsidRPr="00D4637E">
        <w:rPr>
          <w:rStyle w:val="HideTWBExt"/>
          <w:b w:val="0"/>
        </w:rPr>
        <w:t>&lt;/NumAm&gt;</w:t>
      </w:r>
    </w:p>
    <w:p w14:paraId="5625792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76A5C47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06E769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8C7B68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0347F3C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30E32" w14:textId="77777777" w:rsidR="000D4DD1" w:rsidRPr="00D4637E" w:rsidRDefault="000D4DD1" w:rsidP="00660527"/>
        </w:tc>
      </w:tr>
      <w:tr w:rsidR="000D4DD1" w:rsidRPr="00D4637E" w14:paraId="0A87384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2104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7CB8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17C39D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6036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CA46A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6a.</w:t>
            </w:r>
            <w:r w:rsidRPr="00D4637E">
              <w:tab/>
            </w:r>
            <w:r w:rsidRPr="00D4637E">
              <w:rPr>
                <w:b/>
                <w:i/>
              </w:rPr>
              <w:t>podkreśla znaczenie uprzedniej kontroli sprawowanej przez parlamenty krajowe również w odniesieniu do aktów wykonawczych i aktów delegowanych Komisji Europejskiej, w celu zapewnienia rzeczywistej kontroli demokratycznej oraz poszanowania i zgodności tych aktów z zasadą pomocniczości, a przede wszystkim z zasadą proporcjonalności – zasadą szczególnie łatwą do naruszenia w aktach wykonawczych charakteryzujących się wysokim stopniem techniczności;</w:t>
            </w:r>
          </w:p>
        </w:tc>
      </w:tr>
    </w:tbl>
    <w:p w14:paraId="35C4EA4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5E5D7CB3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0578A6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64</w:t>
      </w:r>
      <w:r w:rsidRPr="00D4637E">
        <w:rPr>
          <w:rStyle w:val="HideTWBExt"/>
          <w:b w:val="0"/>
        </w:rPr>
        <w:t>&lt;/NumAm&gt;</w:t>
      </w:r>
    </w:p>
    <w:p w14:paraId="796607D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Jörgen Warborn</w:t>
      </w:r>
      <w:r w:rsidRPr="00D4637E">
        <w:rPr>
          <w:rStyle w:val="HideTWBExt"/>
          <w:b w:val="0"/>
        </w:rPr>
        <w:t>&lt;/Members&gt;</w:t>
      </w:r>
    </w:p>
    <w:p w14:paraId="5A48465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1BFFD2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D60ABA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6BEF39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6B6C8" w14:textId="77777777" w:rsidR="000D4DD1" w:rsidRPr="00D4637E" w:rsidRDefault="000D4DD1" w:rsidP="00660527"/>
        </w:tc>
      </w:tr>
      <w:tr w:rsidR="000D4DD1" w:rsidRPr="00D4637E" w14:paraId="07B3DE4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2E482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5192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ACE525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2A767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CE5F2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6a.</w:t>
            </w:r>
            <w:r w:rsidRPr="00D4637E">
              <w:rPr>
                <w:b/>
                <w:i/>
              </w:rPr>
              <w:tab/>
              <w:t>z zadowoleniem przyjmuje fakt, że w 2024 r. Komisja znacząco poprawiła sposób udostępniania opinii parlamentów narodowych oraz swoich odpowiedzi na te opinie, uruchamiając nową bazę danych online z możliwością filtrowania; dodatkowo z zadowoleniem przyjmuje fakt, że to udoskonalenie obejmuje również opinie i odpowiedzi gromadzone od 2014 r.;</w:t>
            </w:r>
          </w:p>
        </w:tc>
      </w:tr>
    </w:tbl>
    <w:p w14:paraId="683A0D93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627BA2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12555DE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65</w:t>
      </w:r>
      <w:r w:rsidRPr="00D4637E">
        <w:rPr>
          <w:rStyle w:val="HideTWBExt"/>
          <w:b w:val="0"/>
        </w:rPr>
        <w:t>&lt;/NumAm&gt;</w:t>
      </w:r>
    </w:p>
    <w:p w14:paraId="305BF1D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525A079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2E326E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F58DC2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D69B6C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21197" w14:textId="77777777" w:rsidR="000D4DD1" w:rsidRPr="00D4637E" w:rsidRDefault="000D4DD1" w:rsidP="00660527"/>
        </w:tc>
      </w:tr>
      <w:tr w:rsidR="000D4DD1" w:rsidRPr="00D4637E" w14:paraId="1AE18AF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4EF5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EC5A8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4C28815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DADED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648C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6a.</w:t>
            </w:r>
            <w:r w:rsidRPr="00D4637E">
              <w:rPr>
                <w:b/>
                <w:i/>
              </w:rPr>
              <w:tab/>
              <w:t>Wzywa do zacieśnienia współpracy z parlamentami narodowymi przez uporządkowane platformy dialogu cyfrowego, tak aby zapewnić terminowe przekazywanie informacji o nowych inicjatywach UE; podkreśla, że wymiana międzyparlamentarna powinna obejmować także przedstawicieli lokalnych i regionalnych, co przyczyni się do większej przejrzystości stanowienia prawa UE i odpowiedzialności publicznej za stanowienie prawa UE;</w:t>
            </w:r>
          </w:p>
        </w:tc>
      </w:tr>
    </w:tbl>
    <w:p w14:paraId="35EB514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F9A5E8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074CCEE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66</w:t>
      </w:r>
      <w:r w:rsidRPr="00D4637E">
        <w:rPr>
          <w:rStyle w:val="HideTWBExt"/>
          <w:b w:val="0"/>
        </w:rPr>
        <w:t>&lt;/NumAm&gt;</w:t>
      </w:r>
    </w:p>
    <w:p w14:paraId="5BE6A41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3A33150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4BB5AC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2957F7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D4C3C8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71062" w14:textId="77777777" w:rsidR="000D4DD1" w:rsidRPr="00D4637E" w:rsidRDefault="000D4DD1" w:rsidP="00660527"/>
        </w:tc>
      </w:tr>
      <w:tr w:rsidR="000D4DD1" w:rsidRPr="00D4637E" w14:paraId="399D548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A87A5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289C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BEBAC7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10EAB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C9C7A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6b.</w:t>
            </w:r>
            <w:r w:rsidRPr="00D4637E">
              <w:rPr>
                <w:b/>
                <w:i/>
              </w:rPr>
              <w:tab/>
              <w:t>zachęca do rozważenia możliwości wzmocnienia roli parlamentów narodowych w kształtowaniu polityki UE, w tym przez uporządkowany mechanizm „zielonej karty” pozwalający na zbiorowe zgłaszanie propozycji inicjatyw Komisji przy określonych, rozsądnych i osiągalnych progach; zwraca uwagę, że wzmocnienie roli parlamentów narodowych poza funkcję reaktywną zwiększyłoby poczucie odpowiedzialności za działania UE i legitymację demokratyczną działań UE;</w:t>
            </w:r>
          </w:p>
        </w:tc>
      </w:tr>
    </w:tbl>
    <w:p w14:paraId="1B4346C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EFE9BA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85EB08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67</w:t>
      </w:r>
      <w:r w:rsidRPr="00D4637E">
        <w:rPr>
          <w:rStyle w:val="HideTWBExt"/>
          <w:b w:val="0"/>
        </w:rPr>
        <w:t>&lt;/NumAm&gt;</w:t>
      </w:r>
    </w:p>
    <w:p w14:paraId="63A7DC2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39B5903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56A9C3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5F6FA8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DD2506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73C54" w14:textId="77777777" w:rsidR="000D4DD1" w:rsidRPr="00D4637E" w:rsidRDefault="000D4DD1" w:rsidP="00660527"/>
        </w:tc>
      </w:tr>
      <w:tr w:rsidR="000D4DD1" w:rsidRPr="00D4637E" w14:paraId="015A377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49E1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0FA2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CA6C0C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E7CA9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1549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6b.</w:t>
            </w:r>
            <w:r w:rsidRPr="00D4637E">
              <w:tab/>
            </w:r>
            <w:r w:rsidRPr="00D4637E">
              <w:rPr>
                <w:b/>
                <w:i/>
              </w:rPr>
              <w:t>z zadowoleniem przyjmuje wnioski przedstawione przez szereg parlamentów krajowych – w tym przez Bundestag (2021), francuski Sénat (2023) oraz niderlandzką Tweede Kamer (2022) – dotyczące szerszego udziału w kontroli aktów delegowanych i aktów wykonawczych; uważa, że takie wnioski odzwierciedlają uzasadnione obawy dotyczące deficytu demokratycznego w procesie przyjmowania aktów nielegislacyjnych;</w:t>
            </w:r>
          </w:p>
        </w:tc>
      </w:tr>
    </w:tbl>
    <w:p w14:paraId="743F6F2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409846F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23AE8B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68</w:t>
      </w:r>
      <w:r w:rsidRPr="00D4637E">
        <w:rPr>
          <w:rStyle w:val="HideTWBExt"/>
          <w:b w:val="0"/>
        </w:rPr>
        <w:t>&lt;/NumAm&gt;</w:t>
      </w:r>
    </w:p>
    <w:p w14:paraId="58FFDCE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6AC9500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80FB71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DEEECB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B67B3F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B93F3" w14:textId="77777777" w:rsidR="000D4DD1" w:rsidRPr="00D4637E" w:rsidRDefault="000D4DD1" w:rsidP="00660527"/>
        </w:tc>
      </w:tr>
      <w:tr w:rsidR="000D4DD1" w:rsidRPr="00D4637E" w14:paraId="0210650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FA06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8BC6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6880A5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FA9EF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7161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6a.</w:t>
            </w:r>
            <w:r w:rsidRPr="00D4637E">
              <w:rPr>
                <w:b/>
                <w:i/>
              </w:rPr>
              <w:tab/>
              <w:t>przypomina, że lepsze stanowienie prawa opiera się na zachowaniu równowagi instytucjonalnej między współprawodawcami oraz wspólnym zobowiązaniu do rzetelnej i przejrzystej współpracy przez cały cykl legislacyjny; zwraca uwagę, że powinno to znaleźć odzwierciedlenie w ustalaniu lub przeglądzie priorytetów wieloletnich oraz we wspólnej rocznej deklaracji dotyczącej corocznych priorytetów międzyinstytucjonalnych; przypomina, że każda decyzja Komisji o wycofaniu oczekujących aktów ustawodawczych, ogłaszana w rocznych programach prac, powinna być należycie uzasadniona, co umożliwia właściwą konsultację z unijnymi współprawodawcami; zwraca uwagę na brak należytych konsultacji w ostatnich procedurach wycofywania aktów, co zagraża równowadze w wykonywaniu prerogatyw instytucji UE, prowadzi do niepewności prawa dla przedsiębiorców i podważa zaufanie obywateli do procesu stanowienia prawa UE; wzywa zatem Komisję do pełnego włączania Parlamentu Europejskiego i Rady już na wczesnym etapie i przez cały czas trwania procedury dotyczącej zamierzonych wycofań;</w:t>
            </w:r>
          </w:p>
        </w:tc>
      </w:tr>
    </w:tbl>
    <w:p w14:paraId="4C00665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66227A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459776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69</w:t>
      </w:r>
      <w:r w:rsidRPr="00D4637E">
        <w:rPr>
          <w:rStyle w:val="HideTWBExt"/>
          <w:b w:val="0"/>
        </w:rPr>
        <w:t>&lt;/NumAm&gt;</w:t>
      </w:r>
    </w:p>
    <w:p w14:paraId="27467F8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569621E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89F4A9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1FCB0F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793B16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D92C1" w14:textId="77777777" w:rsidR="000D4DD1" w:rsidRPr="00D4637E" w:rsidRDefault="000D4DD1" w:rsidP="00660527"/>
        </w:tc>
      </w:tr>
      <w:tr w:rsidR="000D4DD1" w:rsidRPr="00D4637E" w14:paraId="7B0318A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8CA1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D341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2ED37E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5025A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80824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6b.</w:t>
            </w:r>
            <w:r w:rsidRPr="00D4637E">
              <w:rPr>
                <w:b/>
                <w:i/>
              </w:rPr>
              <w:tab/>
              <w:t>przypomina, że stosowanie innych podstaw prawnych niż zwykła procedura ustawodawcza jest ściśle określone w Traktatach UE; ostrzega przed wykorzystywaniem procedur legislacyjnych przewidzianych wyłącznie na sytuacje nadzwyczajne, na podstawie art. 122 TFUE, poza konkretnymi przypadkami wymagającymi szybkiej reakcji na pojawiające się kryzysy; przypomina, że ze względu na wybór tej podstawy prawnej toczy się przed TSUE postępowanie o stwierdzenie nieważności wniosku dotyczącego Instrumentu na rzecz Zwiększenia Bezpieczeństwa Europy (SAFE); w tym kontekście ponownie podkreśla, że wybór podstawy prawnej ma kluczowe znaczenie dla prawidłowego funkcjonowania stanowienia prawa w UE;</w:t>
            </w:r>
          </w:p>
        </w:tc>
      </w:tr>
    </w:tbl>
    <w:p w14:paraId="618759A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0887F9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D128C4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70</w:t>
      </w:r>
      <w:r w:rsidRPr="00D4637E">
        <w:rPr>
          <w:rStyle w:val="HideTWBExt"/>
          <w:b w:val="0"/>
        </w:rPr>
        <w:t>&lt;/NumAm&gt;</w:t>
      </w:r>
    </w:p>
    <w:p w14:paraId="0B9CDBB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1BA58D0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91F994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C476BC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c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27F9D8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E2289" w14:textId="77777777" w:rsidR="000D4DD1" w:rsidRPr="00D4637E" w:rsidRDefault="000D4DD1" w:rsidP="00660527"/>
        </w:tc>
      </w:tr>
      <w:tr w:rsidR="000D4DD1" w:rsidRPr="00D4637E" w14:paraId="244B043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C753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9284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5E6F41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D4BFA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8B72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6c.</w:t>
            </w:r>
            <w:r w:rsidRPr="00D4637E">
              <w:rPr>
                <w:b/>
                <w:i/>
              </w:rPr>
              <w:tab/>
              <w:t xml:space="preserve">podkreśla, że mimo wspólnego celu, jakim jest rzetelna współpraca przy kształtowaniu polityki i stanowieniu prawa UE – w tym roli państw członkowskich polegającej na podejmowaniu wszelkich odpowiednich działań w celu zapewnienia realizacji zobowiązań wynikających z Traktatów lub aktów instytucji Unii – sytuacja dotycząca terminowej transpozycji dyrektyw i wdrażania prawa UE nadal bardzo się różni w poszczególnych państwach; apeluje o dalsze wspieranie rozwoju administracyjnych i technicznych </w:t>
            </w:r>
            <w:r w:rsidRPr="00D4637E">
              <w:rPr>
                <w:b/>
                <w:i/>
              </w:rPr>
              <w:lastRenderedPageBreak/>
              <w:t>zdolności państw członkowskich w tym zakresie oraz wzywa Komisję do stanowczego egzekwowania prawa, gdy współpraca zawodzi;</w:t>
            </w:r>
          </w:p>
        </w:tc>
      </w:tr>
    </w:tbl>
    <w:p w14:paraId="282DD9B0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205008B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0ED12D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71</w:t>
      </w:r>
      <w:r w:rsidRPr="00D4637E">
        <w:rPr>
          <w:rStyle w:val="HideTWBExt"/>
          <w:b w:val="0"/>
        </w:rPr>
        <w:t>&lt;/NumAm&gt;</w:t>
      </w:r>
    </w:p>
    <w:p w14:paraId="61F9118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2B2179A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E45A65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10AE57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d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E461C4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1F738" w14:textId="77777777" w:rsidR="000D4DD1" w:rsidRPr="00D4637E" w:rsidRDefault="000D4DD1" w:rsidP="00660527"/>
        </w:tc>
      </w:tr>
      <w:tr w:rsidR="000D4DD1" w:rsidRPr="00D4637E" w14:paraId="2577707D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6953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77A9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9C5266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33FA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CE39F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6d.</w:t>
            </w:r>
            <w:r w:rsidRPr="00D4637E">
              <w:rPr>
                <w:b/>
                <w:i/>
              </w:rPr>
              <w:tab/>
              <w:t>uznaje zasadniczą rolę organów ścigania w utrzymaniu praworządności i ochronie praw podstawowych; wzywa państwa członkowskie do zapewnienia, by wszelkie zmiany konstytucyjne lub legislacyjne mające wpływ na podział władz były w pełni zgodne z podstawowymi wartościami i zasadami prawnymi UE oraz do pełnego wykorzystywania unijnego „praworządnościowego zestawu narzędzi”, gdyż takie zmiany mają ogromne konsekwencje dla spójności UE i życia obywateli;</w:t>
            </w:r>
          </w:p>
        </w:tc>
      </w:tr>
    </w:tbl>
    <w:p w14:paraId="3B5EF68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523E92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07D04A2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72</w:t>
      </w:r>
      <w:r w:rsidRPr="00D4637E">
        <w:rPr>
          <w:rStyle w:val="HideTWBExt"/>
          <w:b w:val="0"/>
        </w:rPr>
        <w:t>&lt;/NumAm&gt;</w:t>
      </w:r>
    </w:p>
    <w:p w14:paraId="57277D1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20F6A4B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119B8C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2D1876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e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248345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4323C" w14:textId="77777777" w:rsidR="000D4DD1" w:rsidRPr="00D4637E" w:rsidRDefault="000D4DD1" w:rsidP="00660527"/>
        </w:tc>
      </w:tr>
      <w:tr w:rsidR="000D4DD1" w:rsidRPr="00D4637E" w14:paraId="5905CC0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DA45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634D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642F7F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23EE1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31901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6e.</w:t>
            </w:r>
            <w:r w:rsidRPr="00D4637E">
              <w:rPr>
                <w:b/>
                <w:i/>
              </w:rPr>
              <w:tab/>
              <w:t xml:space="preserve">Zdecydowanie popiera utworzenie międzyinstytucjonalnego organu ds. etyki i apeluje o jego pełne i skuteczne </w:t>
            </w:r>
            <w:r w:rsidRPr="00D4637E">
              <w:rPr>
                <w:b/>
                <w:i/>
              </w:rPr>
              <w:lastRenderedPageBreak/>
              <w:t>wykorzystanie do promowania wspólnej kultury uczciwości i etyki we wszystkich instytucjach Unii Europejskiej;</w:t>
            </w:r>
          </w:p>
        </w:tc>
      </w:tr>
    </w:tbl>
    <w:p w14:paraId="22303000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DAE455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8BFAB8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73</w:t>
      </w:r>
      <w:r w:rsidRPr="00D4637E">
        <w:rPr>
          <w:rStyle w:val="HideTWBExt"/>
          <w:b w:val="0"/>
        </w:rPr>
        <w:t>&lt;/NumAm&gt;</w:t>
      </w:r>
    </w:p>
    <w:p w14:paraId="0C24C0D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906238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B8D2FA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26A1C9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6 f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A8743F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6CD1A" w14:textId="77777777" w:rsidR="000D4DD1" w:rsidRPr="00D4637E" w:rsidRDefault="000D4DD1" w:rsidP="00660527"/>
        </w:tc>
      </w:tr>
      <w:tr w:rsidR="000D4DD1" w:rsidRPr="00D4637E" w14:paraId="0FBCA68D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7861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00A0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3BB326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E2F1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0495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6f.</w:t>
            </w:r>
            <w:r w:rsidRPr="00D4637E">
              <w:rPr>
                <w:b/>
                <w:i/>
              </w:rPr>
              <w:tab/>
              <w:t>odnotowuje uruchomienie przez Komisję Europejską „dialogów wdrożeniowych” jako elementu działań na rzecz przejrzystości i partycypacji demokratycznej w celu lepszego stanowienia prawa; w szerszym kontekście zachęca do podejmowania inicjatyw sprzyjających znaczącemu zaangażowaniu społeczeństwa obywatelskiego i przedsiębiorstw w kształtowanie polityki;</w:t>
            </w:r>
          </w:p>
        </w:tc>
      </w:tr>
    </w:tbl>
    <w:p w14:paraId="1F8872B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0A5377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6896B5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74</w:t>
      </w:r>
      <w:r w:rsidRPr="00D4637E">
        <w:rPr>
          <w:rStyle w:val="HideTWBExt"/>
          <w:b w:val="0"/>
        </w:rPr>
        <w:t>&lt;/NumAm&gt;</w:t>
      </w:r>
    </w:p>
    <w:p w14:paraId="70E777F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AF221A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6013B1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843AE5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369517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48EDC" w14:textId="77777777" w:rsidR="000D4DD1" w:rsidRPr="00D4637E" w:rsidRDefault="000D4DD1" w:rsidP="00660527"/>
        </w:tc>
      </w:tr>
      <w:tr w:rsidR="000D4DD1" w:rsidRPr="00D4637E" w14:paraId="13303E10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5DC0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7B89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EE03C7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9A5CF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7.</w:t>
            </w:r>
            <w:r w:rsidRPr="00D4637E">
              <w:rPr>
                <w:b/>
                <w:i/>
              </w:rPr>
              <w:tab/>
              <w:t>podkreśla, że pomimo postępów poczynionych w ramach programu lepszego stanowienia prawa prawodawstwo UE nadal generuje nadmierne obciążenia regulacyjne;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AC04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skreśla się</w:t>
            </w:r>
          </w:p>
        </w:tc>
      </w:tr>
    </w:tbl>
    <w:p w14:paraId="6B7C69A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EEF5138" w14:textId="77777777" w:rsidR="000D4DD1" w:rsidRPr="00D4637E" w:rsidRDefault="000D4DD1" w:rsidP="000D4DD1">
      <w:r w:rsidRPr="00D4637E">
        <w:rPr>
          <w:rStyle w:val="HideTWBExt"/>
        </w:rPr>
        <w:lastRenderedPageBreak/>
        <w:t>&lt;/Amend&gt;</w:t>
      </w:r>
    </w:p>
    <w:p w14:paraId="320FE13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75</w:t>
      </w:r>
      <w:r w:rsidRPr="00D4637E">
        <w:rPr>
          <w:rStyle w:val="HideTWBExt"/>
          <w:b w:val="0"/>
        </w:rPr>
        <w:t>&lt;/NumAm&gt;</w:t>
      </w:r>
    </w:p>
    <w:p w14:paraId="26409AC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177EB84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37082E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E5A2B6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EDE71F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0392E" w14:textId="77777777" w:rsidR="000D4DD1" w:rsidRPr="00D4637E" w:rsidRDefault="000D4DD1" w:rsidP="00660527"/>
        </w:tc>
      </w:tr>
      <w:tr w:rsidR="000D4DD1" w:rsidRPr="00D4637E" w14:paraId="3EC01119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75C9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8AFE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8FC1DC5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CB50F" w14:textId="77777777" w:rsidR="000D4DD1" w:rsidRPr="00D4637E" w:rsidRDefault="000D4DD1" w:rsidP="00660527">
            <w:pPr>
              <w:pStyle w:val="Normal6a"/>
            </w:pPr>
            <w:r w:rsidRPr="00D4637E">
              <w:t>7.</w:t>
            </w:r>
            <w:r w:rsidRPr="00D4637E">
              <w:tab/>
              <w:t>podkreśla, że pomimo postępów poczynionych w ramach programu lepszego stanowienia prawa prawodawstwo UE nadal generuje nadmierne obciążenia regulacyjne;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AFD82" w14:textId="77777777" w:rsidR="000D4DD1" w:rsidRPr="00D4637E" w:rsidRDefault="000D4DD1" w:rsidP="00660527">
            <w:pPr>
              <w:pStyle w:val="Normal6a"/>
            </w:pPr>
            <w:r w:rsidRPr="00D4637E">
              <w:t>7.</w:t>
            </w:r>
            <w:r w:rsidRPr="00D4637E">
              <w:tab/>
              <w:t xml:space="preserve">podkreśla, że pomimo postępów poczynionych w ramach programu lepszego stanowienia prawa prawodawstwo UE nadal generuje nadmierne </w:t>
            </w:r>
            <w:r w:rsidRPr="00D4637E">
              <w:rPr>
                <w:b/>
                <w:i/>
              </w:rPr>
              <w:t>i nieproporcjonalne</w:t>
            </w:r>
            <w:r w:rsidRPr="00D4637E">
              <w:t xml:space="preserve"> obciążenia regulacyjne </w:t>
            </w:r>
            <w:r w:rsidRPr="00D4637E">
              <w:rPr>
                <w:b/>
                <w:i/>
              </w:rPr>
              <w:t>dla przedsiębiorstw, organów publicznych i społeczeństwa</w:t>
            </w:r>
            <w:r w:rsidRPr="00D4637E">
              <w:t xml:space="preserve">; </w:t>
            </w:r>
            <w:r w:rsidRPr="00D4637E">
              <w:rPr>
                <w:b/>
                <w:i/>
              </w:rPr>
              <w:t>podkreśla potrzebę bardziej zdecydowanego egzekwowania zasady „jedno więcej – dwa mniej” oraz bardziej rygorystycznej kontroli kosztów administracyjnych i kosztów przestrzegania przepisów, zwłaszcza w przypadku MŚP i rolników;</w:t>
            </w:r>
          </w:p>
        </w:tc>
      </w:tr>
    </w:tbl>
    <w:p w14:paraId="2B0EFB97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78D68E5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FA94A3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76</w:t>
      </w:r>
      <w:r w:rsidRPr="00D4637E">
        <w:rPr>
          <w:rStyle w:val="HideTWBExt"/>
          <w:b w:val="0"/>
        </w:rPr>
        <w:t>&lt;/NumAm&gt;</w:t>
      </w:r>
    </w:p>
    <w:p w14:paraId="1C91E26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23A72D9C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5F8D893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3D70BF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BF36AB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710302C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18961" w14:textId="77777777" w:rsidR="000D4DD1" w:rsidRPr="00D4637E" w:rsidRDefault="000D4DD1" w:rsidP="00660527"/>
        </w:tc>
      </w:tr>
      <w:tr w:rsidR="000D4DD1" w:rsidRPr="00D4637E" w14:paraId="757B79E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4CAF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74C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C1F22C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FEEE1" w14:textId="77777777" w:rsidR="000D4DD1" w:rsidRPr="00D4637E" w:rsidRDefault="000D4DD1" w:rsidP="00660527">
            <w:pPr>
              <w:pStyle w:val="Normal6a"/>
            </w:pPr>
            <w:r w:rsidRPr="00D4637E">
              <w:t>7.</w:t>
            </w:r>
            <w:r w:rsidRPr="00D4637E">
              <w:tab/>
              <w:t xml:space="preserve">podkreśla, że pomimo postępów poczynionych w ramach programu lepszego stanowienia prawa </w:t>
            </w:r>
            <w:r w:rsidRPr="00D4637E">
              <w:rPr>
                <w:b/>
                <w:i/>
              </w:rPr>
              <w:t>prawodawstwo UE nadal generuje nadmierne obciążenia regulacyjne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BF97E" w14:textId="77777777" w:rsidR="000D4DD1" w:rsidRPr="00D4637E" w:rsidRDefault="000D4DD1" w:rsidP="00660527">
            <w:pPr>
              <w:pStyle w:val="Normal6a"/>
            </w:pPr>
            <w:r w:rsidRPr="00D4637E">
              <w:t>7.</w:t>
            </w:r>
            <w:r w:rsidRPr="00D4637E">
              <w:tab/>
              <w:t xml:space="preserve">podkreśla, że pomimo postępów poczynionych w ramach programu lepszego stanowienia prawa </w:t>
            </w:r>
            <w:r w:rsidRPr="00D4637E">
              <w:rPr>
                <w:b/>
                <w:i/>
              </w:rPr>
              <w:t>można wprowadzić ulepszenia, aby zapewnić większą przejrzystość procesu legislacyjnego UE, uwzględnienie opinii wszystkich zainteresowanych stron oraz łatwiejsze śledzenie tego procesu</w:t>
            </w:r>
            <w:r w:rsidRPr="00D4637E">
              <w:t>;</w:t>
            </w:r>
          </w:p>
        </w:tc>
      </w:tr>
    </w:tbl>
    <w:p w14:paraId="418500A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6761B5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4FD2CB7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lastRenderedPageBreak/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77</w:t>
      </w:r>
      <w:r w:rsidRPr="00D4637E">
        <w:rPr>
          <w:rStyle w:val="HideTWBExt"/>
          <w:b w:val="0"/>
        </w:rPr>
        <w:t>&lt;/NumAm&gt;</w:t>
      </w:r>
    </w:p>
    <w:p w14:paraId="6FA9350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49654C5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E2EF2A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A21032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416A0C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3F338" w14:textId="77777777" w:rsidR="000D4DD1" w:rsidRPr="00D4637E" w:rsidRDefault="000D4DD1" w:rsidP="00660527"/>
        </w:tc>
      </w:tr>
      <w:tr w:rsidR="000D4DD1" w:rsidRPr="00D4637E" w14:paraId="1A1AD82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1FE2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0098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17B72A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28ADD" w14:textId="77777777" w:rsidR="000D4DD1" w:rsidRPr="00D4637E" w:rsidRDefault="000D4DD1" w:rsidP="00660527">
            <w:pPr>
              <w:pStyle w:val="Normal6a"/>
            </w:pPr>
            <w:r w:rsidRPr="00D4637E">
              <w:t>7.</w:t>
            </w:r>
            <w:r w:rsidRPr="00D4637E">
              <w:tab/>
            </w:r>
            <w:r w:rsidRPr="00D4637E">
              <w:rPr>
                <w:b/>
                <w:i/>
              </w:rPr>
              <w:t>podkreśla</w:t>
            </w:r>
            <w:r w:rsidRPr="00D4637E">
              <w:t xml:space="preserve">, że pomimo </w:t>
            </w:r>
            <w:r w:rsidRPr="00D4637E">
              <w:rPr>
                <w:b/>
                <w:i/>
              </w:rPr>
              <w:t>postępów poczynionych</w:t>
            </w:r>
            <w:r w:rsidRPr="00D4637E">
              <w:t xml:space="preserve"> w ramach programu lepszego stanowienia prawa prawodawstwo UE nadal generuje nadmierne obciążenia regulacyjne;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5F317" w14:textId="77777777" w:rsidR="000D4DD1" w:rsidRPr="00D4637E" w:rsidRDefault="000D4DD1" w:rsidP="00660527">
            <w:pPr>
              <w:pStyle w:val="Normal6a"/>
            </w:pPr>
            <w:r w:rsidRPr="00D4637E">
              <w:t>7.</w:t>
            </w:r>
            <w:r w:rsidRPr="00D4637E">
              <w:tab/>
            </w:r>
            <w:r w:rsidRPr="00D4637E">
              <w:rPr>
                <w:b/>
                <w:i/>
              </w:rPr>
              <w:t>ubolewa</w:t>
            </w:r>
            <w:r w:rsidRPr="00D4637E">
              <w:t xml:space="preserve">, że pomimo </w:t>
            </w:r>
            <w:r w:rsidRPr="00D4637E">
              <w:rPr>
                <w:b/>
                <w:i/>
              </w:rPr>
              <w:t>pewnych deklaracji i obietnic składanych przez Komisję</w:t>
            </w:r>
            <w:r w:rsidRPr="00D4637E">
              <w:t xml:space="preserve"> w ramach programu lepszego stanowienia prawa prawodawstwo UE nadal generuje nadmierne obciążenia regulacyjne </w:t>
            </w:r>
            <w:r w:rsidRPr="00D4637E">
              <w:rPr>
                <w:b/>
                <w:i/>
              </w:rPr>
              <w:t>i biurokratyczne</w:t>
            </w:r>
            <w:r w:rsidRPr="00D4637E">
              <w:t>;</w:t>
            </w:r>
          </w:p>
        </w:tc>
      </w:tr>
    </w:tbl>
    <w:p w14:paraId="07EB2EF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6475849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0132EB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78</w:t>
      </w:r>
      <w:r w:rsidRPr="00D4637E">
        <w:rPr>
          <w:rStyle w:val="HideTWBExt"/>
          <w:b w:val="0"/>
        </w:rPr>
        <w:t>&lt;/NumAm&gt;</w:t>
      </w:r>
    </w:p>
    <w:p w14:paraId="7AF4F32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22203D7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9E2C4E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BA81D5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2EF500C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99900" w14:textId="77777777" w:rsidR="000D4DD1" w:rsidRPr="00D4637E" w:rsidRDefault="000D4DD1" w:rsidP="00660527"/>
        </w:tc>
      </w:tr>
      <w:tr w:rsidR="000D4DD1" w:rsidRPr="00D4637E" w14:paraId="37229A7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E94E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44D9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EA60BC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C8891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00B80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7a.</w:t>
            </w:r>
            <w:r w:rsidRPr="00D4637E">
              <w:rPr>
                <w:b/>
                <w:i/>
              </w:rPr>
              <w:tab/>
              <w:t>wzywa Komisję oraz współprawodawców do systematycznego stosowania dobrych technik redakcji legislacyjnej i posługiwania się jasnym oraz zrozumiałym językiem prawnym, z dbałością o spójność całego dorobku prawnego UE, powielania lub sprzeczności, które to elementy prowadzą do zbędnej złożoności i utrudniają wdrażanie; podkreśla, że przejrzysta i spójna redakcja zwiększa pewność prawa i ogranicza obciążenia administracyjne dla obywateli, przedsiębiorstw i administracji publicznych;</w:t>
            </w:r>
          </w:p>
        </w:tc>
      </w:tr>
    </w:tbl>
    <w:p w14:paraId="731DFEA5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0BEF2C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DC4875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79</w:t>
      </w:r>
      <w:r w:rsidRPr="00D4637E">
        <w:rPr>
          <w:rStyle w:val="HideTWBExt"/>
          <w:b w:val="0"/>
        </w:rPr>
        <w:t>&lt;/NumAm&gt;</w:t>
      </w:r>
    </w:p>
    <w:p w14:paraId="278869D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37508212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269AABC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&lt;/RepeatBlock-By&gt;</w:t>
      </w:r>
    </w:p>
    <w:p w14:paraId="16BCD6D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58A14D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E16A2E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EAB82" w14:textId="77777777" w:rsidR="000D4DD1" w:rsidRPr="00D4637E" w:rsidRDefault="000D4DD1" w:rsidP="00660527"/>
        </w:tc>
      </w:tr>
      <w:tr w:rsidR="000D4DD1" w:rsidRPr="00D4637E" w14:paraId="6A9D96A9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4110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DC0E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0D04E7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9B53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93D4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7a.</w:t>
            </w:r>
            <w:r w:rsidRPr="00D4637E">
              <w:rPr>
                <w:b/>
                <w:i/>
              </w:rPr>
              <w:tab/>
              <w:t>przypomina, że Komisja już w komunikacie z 2016 r. podkreślała znaczenie ścisłego angażowania obywateli i zainteresowanych stron oraz otwartości na ich opinie na każdym etapie procesu – od powstania pierwszego pomysłu, poprzez zgłoszenie wniosku przez Komisję, aż po przyjęcie aktu i jego ocenę;</w:t>
            </w:r>
          </w:p>
        </w:tc>
      </w:tr>
    </w:tbl>
    <w:p w14:paraId="325E1EB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FCE22C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661793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80</w:t>
      </w:r>
      <w:r w:rsidRPr="00D4637E">
        <w:rPr>
          <w:rStyle w:val="HideTWBExt"/>
          <w:b w:val="0"/>
        </w:rPr>
        <w:t>&lt;/NumAm&gt;</w:t>
      </w:r>
    </w:p>
    <w:p w14:paraId="6474476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5BE480D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82F1E4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2A88A4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7526C5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D26B3" w14:textId="77777777" w:rsidR="000D4DD1" w:rsidRPr="00D4637E" w:rsidRDefault="000D4DD1" w:rsidP="00660527"/>
        </w:tc>
      </w:tr>
      <w:tr w:rsidR="000D4DD1" w:rsidRPr="00D4637E" w14:paraId="57EC4A99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2C16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2AC64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E51C9F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6BA5B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808A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7a.</w:t>
            </w:r>
            <w:r w:rsidRPr="00D4637E">
              <w:rPr>
                <w:b/>
                <w:i/>
              </w:rPr>
              <w:tab/>
              <w:t>wzywa Komisję do oferowania dedykowanych programów szkoleniowych i łatwo dostępnych materiałów dla parlamentów narodowych, aby wzmacniać ich zdolność do analizy i oceny skutków unijnych wniosków ustawodawczych, co sprzyja bardziej świadomej, terminowej i konstruktywnej debacie na poziomie krajowym;</w:t>
            </w:r>
          </w:p>
        </w:tc>
      </w:tr>
    </w:tbl>
    <w:p w14:paraId="42BDB89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3601523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90E4431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81</w:t>
      </w:r>
      <w:r w:rsidRPr="00D4637E">
        <w:rPr>
          <w:rStyle w:val="HideTWBExt"/>
          <w:b w:val="0"/>
        </w:rPr>
        <w:t>&lt;/NumAm&gt;</w:t>
      </w:r>
    </w:p>
    <w:p w14:paraId="335B0A5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46A916F5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5FE27CE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EDFC50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997509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69AC3D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BE55B" w14:textId="77777777" w:rsidR="000D4DD1" w:rsidRPr="00D4637E" w:rsidRDefault="000D4DD1" w:rsidP="00660527"/>
        </w:tc>
      </w:tr>
      <w:tr w:rsidR="000D4DD1" w:rsidRPr="00D4637E" w14:paraId="11F81C8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85C55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B166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D76D10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A5096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26E8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7b.</w:t>
            </w:r>
            <w:r w:rsidRPr="00D4637E">
              <w:rPr>
                <w:b/>
                <w:i/>
              </w:rPr>
              <w:tab/>
              <w:t>podziela zastrzeżenia przedstawione w skardze kilku organizacji społeczeństwa obywatelskiego skierowanej do Europejskiego Rzecznika Praw Obywatelskich na początku tego roku, dotyczące zarzucanego niezastosowania przez Komisję „Wytycznych dotyczących lepszego stanowienia prawa” przy opracowywaniu wniosku legislacyjnego w sprawie sprawozdawczości przedsiębiorstw w zakresie zrównoważonego rozwoju i należytej staranności; zwraca uwagę, że Rzecznik oficjalnie stwierdził, iż nie został przekonany, że Komisja przedstawiła wystarczające uzasadnienie dla braku oceny skutków, konsultacji publicznych oraz oceny zgodności klimatycznej; z zadowoleniem przyjmuje wszczęte przez Rzecznika postępowanie wyjaśniające i wskazuje, że już wykazało ono potencjalne problemy dotyczące sposobu przeprowadzenia konsultacji pomiędzy służbami przez Komisję przed opublikowaniem wniosku;</w:t>
            </w:r>
          </w:p>
        </w:tc>
      </w:tr>
    </w:tbl>
    <w:p w14:paraId="323E359D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79B9EBB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80AE9D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82</w:t>
      </w:r>
      <w:r w:rsidRPr="00D4637E">
        <w:rPr>
          <w:rStyle w:val="HideTWBExt"/>
          <w:b w:val="0"/>
        </w:rPr>
        <w:t>&lt;/NumAm&gt;</w:t>
      </w:r>
    </w:p>
    <w:p w14:paraId="25B9108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47BBF2D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05F2BB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E1D0BF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7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7ED93D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189BB" w14:textId="77777777" w:rsidR="000D4DD1" w:rsidRPr="00D4637E" w:rsidRDefault="000D4DD1" w:rsidP="00660527"/>
        </w:tc>
      </w:tr>
      <w:tr w:rsidR="000D4DD1" w:rsidRPr="00D4637E" w14:paraId="645F55A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D6ED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19F0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2755CA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55CF4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BD77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7b.</w:t>
            </w:r>
            <w:r w:rsidRPr="00D4637E">
              <w:rPr>
                <w:b/>
                <w:i/>
              </w:rPr>
              <w:tab/>
              <w:t xml:space="preserve">przypomina, że pewność prawa, dostępność i przewidywalność przepisów stanowią kluczowe wymogi zasady praworządności; wzywa Komisję oraz współprawodawców do zapewnienia, by narzędzia lepszego stanowienia prawa – w tym oceny skutków, konsultacje i ewaluacje – przyczyniały się do tworzenia </w:t>
            </w:r>
            <w:r w:rsidRPr="00D4637E">
              <w:rPr>
                <w:b/>
                <w:i/>
              </w:rPr>
              <w:lastRenderedPageBreak/>
              <w:t>bardziej przejrzystych, spójnych i przewidywalnych przepisów UE;</w:t>
            </w:r>
          </w:p>
        </w:tc>
      </w:tr>
    </w:tbl>
    <w:p w14:paraId="3B712307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E5996A3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56811F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83</w:t>
      </w:r>
      <w:r w:rsidRPr="00D4637E">
        <w:rPr>
          <w:rStyle w:val="HideTWBExt"/>
          <w:b w:val="0"/>
        </w:rPr>
        <w:t>&lt;/NumAm&gt;</w:t>
      </w:r>
    </w:p>
    <w:p w14:paraId="1486F19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17EE660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FCBE06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B6D619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5FAB6B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55C81" w14:textId="77777777" w:rsidR="000D4DD1" w:rsidRPr="00D4637E" w:rsidRDefault="000D4DD1" w:rsidP="00660527"/>
        </w:tc>
      </w:tr>
      <w:tr w:rsidR="000D4DD1" w:rsidRPr="00D4637E" w14:paraId="1F1156B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0CCC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C7B4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DDA380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865BF" w14:textId="77777777" w:rsidR="000D4DD1" w:rsidRPr="00D4637E" w:rsidRDefault="000D4DD1" w:rsidP="00660527">
            <w:pPr>
              <w:pStyle w:val="Normal6a"/>
            </w:pPr>
            <w:r w:rsidRPr="00D4637E">
              <w:t>8.</w:t>
            </w:r>
            <w:r w:rsidRPr="00D4637E">
              <w:tab/>
              <w:t xml:space="preserve">uważa, że aby osiągnąć cele programu lepszego stanowienia prawa, należy poprawić jakość i wykorzystanie ocen skutków; podkreśla w szczególności </w:t>
            </w:r>
            <w:r w:rsidRPr="00D4637E">
              <w:rPr>
                <w:b/>
                <w:i/>
              </w:rPr>
              <w:t>problem</w:t>
            </w:r>
            <w:r w:rsidRPr="00D4637E">
              <w:t xml:space="preserve">, że oceny skutków </w:t>
            </w:r>
            <w:r w:rsidRPr="00D4637E">
              <w:rPr>
                <w:b/>
                <w:i/>
              </w:rPr>
              <w:t>koncentrują się wyłącznie na złożonych wnioskach ustawodawczych</w:t>
            </w:r>
            <w:r w:rsidRPr="00D4637E">
              <w:t xml:space="preserve">, które </w:t>
            </w:r>
            <w:r w:rsidRPr="00D4637E">
              <w:rPr>
                <w:b/>
                <w:i/>
              </w:rPr>
              <w:t>po przyjęciu lub wdrożeniu często nie są już odpowiednio oceniane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4443A" w14:textId="77777777" w:rsidR="000D4DD1" w:rsidRPr="00D4637E" w:rsidRDefault="000D4DD1" w:rsidP="00660527">
            <w:pPr>
              <w:pStyle w:val="Normal6a"/>
            </w:pPr>
            <w:r w:rsidRPr="00D4637E">
              <w:t>8.</w:t>
            </w:r>
            <w:r w:rsidRPr="00D4637E">
              <w:tab/>
              <w:t xml:space="preserve">uważa, że aby osiągnąć cele programu lepszego stanowienia prawa, należy poprawić jakość i wykorzystanie ocen skutków; podkreśla w szczególności, że oceny skutków </w:t>
            </w:r>
            <w:r w:rsidRPr="00D4637E">
              <w:rPr>
                <w:b/>
                <w:i/>
              </w:rPr>
              <w:t>powinny być oparte na pełnych konsultacjach publicznych</w:t>
            </w:r>
            <w:r w:rsidRPr="00D4637E">
              <w:t xml:space="preserve">, które </w:t>
            </w:r>
            <w:r w:rsidRPr="00D4637E">
              <w:rPr>
                <w:b/>
                <w:i/>
              </w:rPr>
              <w:t>zapewniają szeroki udział demokratyczny poprzez aktywne poszukiwanie różnych stanowisk</w:t>
            </w:r>
            <w:r w:rsidRPr="00D4637E">
              <w:t>;</w:t>
            </w:r>
            <w:r w:rsidRPr="00D4637E">
              <w:rPr>
                <w:b/>
                <w:i/>
              </w:rPr>
              <w:t xml:space="preserve"> zaznacza, że wnioski powinny być przedstawiane bez pełnej oceny skutków wyłącznie w bardzo wyjątkowych przypadkach, a tryb pilny jest nadużywany ze szkodą dla stanowienia polityki opartej na dowodach; odnotowuje, że w 2023 r. 59 spośród 130 zwykłych procedur ustawodawczych zostało opublikowanych bez oceny skutków, natomiast w 2024 r/ 26 z 31 zwykłych procedur ustawodawczych również zostało opublikowanych bez niej;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>dodatkowo z niepokojem zauważa, że Komisja w okresie od 1 grudnia 2024 r. do 26 września 2025 r. opublikowała 80 wniosków w ramach zwykłej procedury ustawodawczej, z czego tylko 18 zostało popartych łącznie 12 ocenami skutków;</w:t>
            </w:r>
          </w:p>
        </w:tc>
      </w:tr>
    </w:tbl>
    <w:p w14:paraId="77A3CE36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22AE8D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A6BFBC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84</w:t>
      </w:r>
      <w:r w:rsidRPr="00D4637E">
        <w:rPr>
          <w:rStyle w:val="HideTWBExt"/>
          <w:b w:val="0"/>
        </w:rPr>
        <w:t>&lt;/NumAm&gt;</w:t>
      </w:r>
    </w:p>
    <w:p w14:paraId="5BA7341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&lt;RepeatBlock-By&gt;&lt;Members&gt;</w:t>
      </w:r>
      <w:r w:rsidRPr="00D4637E">
        <w:t>Ton Diepeveen</w:t>
      </w:r>
      <w:r w:rsidRPr="00D4637E">
        <w:rPr>
          <w:rStyle w:val="HideTWBExt"/>
          <w:b w:val="0"/>
        </w:rPr>
        <w:t>&lt;/Members&gt;</w:t>
      </w:r>
    </w:p>
    <w:p w14:paraId="38857F8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479B0C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B7FF3F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508E56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E7E87" w14:textId="77777777" w:rsidR="000D4DD1" w:rsidRPr="00D4637E" w:rsidRDefault="000D4DD1" w:rsidP="00660527"/>
        </w:tc>
      </w:tr>
      <w:tr w:rsidR="000D4DD1" w:rsidRPr="00D4637E" w14:paraId="16A2584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44FB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40AE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2B160E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20711" w14:textId="77777777" w:rsidR="000D4DD1" w:rsidRPr="00D4637E" w:rsidRDefault="000D4DD1" w:rsidP="00660527">
            <w:pPr>
              <w:pStyle w:val="Normal6a"/>
            </w:pPr>
            <w:r w:rsidRPr="00D4637E">
              <w:t>8.</w:t>
            </w:r>
            <w:r w:rsidRPr="00D4637E">
              <w:tab/>
              <w:t>uważa, że aby osiągnąć cele programu lepszego stanowienia prawa, należy poprawić jakość i wykorzystanie ocen skutków; podkreśla w szczególności problem, że oceny skutków koncentrują się wyłącznie na złożonych wnioskach ustawodawczych, które po przyjęciu lub wdrożeniu często nie są już odpowiednio oceniane;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5FE80" w14:textId="77777777" w:rsidR="000D4DD1" w:rsidRPr="00D4637E" w:rsidRDefault="000D4DD1" w:rsidP="00660527">
            <w:pPr>
              <w:pStyle w:val="Normal6a"/>
            </w:pPr>
            <w:r w:rsidRPr="00D4637E">
              <w:t>8.</w:t>
            </w:r>
            <w:r w:rsidRPr="00D4637E">
              <w:tab/>
            </w:r>
            <w:r w:rsidRPr="00D4637E">
              <w:rPr>
                <w:b/>
                <w:i/>
              </w:rPr>
              <w:t>podkreśla, że zgodnie z zasadami dobrego zarządzania Komisja ma obowiązek przeprowadzić ocenę skutków przed podjęciem jakiejkolwiek inicjatywy ustawodawczej w celu oceny potencjalnych skutków gospodarczych, społecznych i środowiskowych proponowanego prawodawstwa;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>stwierdza, że Komisja coraz częściej decyduje się nie przeprowadzać oceny skutków ze względu na pilny charakter lub rodzaj wniosku;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>uważa, że nie powinno być dopuszczalne odstępowanie od przeprowadzania oceny skutków;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>uważa ponadto, że ocena skutków powinna być reprezentatywna dla wszystkich państw członkowskich;</w:t>
            </w:r>
            <w:r w:rsidRPr="00D4637E">
              <w:t xml:space="preserve"> uważa, że aby osiągnąć cele programu lepszego stanowienia prawa, należy poprawić jakość i wykorzystanie ocen skutków; podkreśla w szczególności problem, że oceny skutków koncentrują się wyłącznie na złożonych wnioskach ustawodawczych, które po przyjęciu lub wdrożeniu często nie są już odpowiednio oceniane;</w:t>
            </w:r>
          </w:p>
        </w:tc>
      </w:tr>
    </w:tbl>
    <w:p w14:paraId="29E01135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{NL}</w:t>
      </w:r>
      <w:r w:rsidRPr="00D4637E">
        <w:t>nl</w:t>
      </w:r>
      <w:r w:rsidRPr="00D4637E">
        <w:rPr>
          <w:rStyle w:val="HideTWBExt"/>
        </w:rPr>
        <w:t>&lt;/Original&gt;</w:t>
      </w:r>
    </w:p>
    <w:p w14:paraId="1400DF1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CC9A45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85</w:t>
      </w:r>
      <w:r w:rsidRPr="00D4637E">
        <w:rPr>
          <w:rStyle w:val="HideTWBExt"/>
          <w:b w:val="0"/>
        </w:rPr>
        <w:t>&lt;/NumAm&gt;</w:t>
      </w:r>
    </w:p>
    <w:p w14:paraId="1EB15F8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Gheorghe Piperea</w:t>
      </w:r>
      <w:r w:rsidRPr="00D4637E">
        <w:rPr>
          <w:rStyle w:val="HideTWBExt"/>
          <w:b w:val="0"/>
        </w:rPr>
        <w:t>&lt;/Members&gt;</w:t>
      </w:r>
    </w:p>
    <w:p w14:paraId="15AA054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69827D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63E2B4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567D71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FA634" w14:textId="77777777" w:rsidR="000D4DD1" w:rsidRPr="00D4637E" w:rsidRDefault="000D4DD1" w:rsidP="00660527"/>
        </w:tc>
      </w:tr>
      <w:tr w:rsidR="000D4DD1" w:rsidRPr="00D4637E" w14:paraId="19F8766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3115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C8F0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CB61D8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44747" w14:textId="77777777" w:rsidR="000D4DD1" w:rsidRPr="00D4637E" w:rsidRDefault="000D4DD1" w:rsidP="00660527">
            <w:pPr>
              <w:pStyle w:val="Normal6a"/>
            </w:pPr>
            <w:r w:rsidRPr="00D4637E">
              <w:t>8.</w:t>
            </w:r>
            <w:r w:rsidRPr="00D4637E">
              <w:tab/>
              <w:t xml:space="preserve">uważa, że aby osiągnąć cele programu lepszego stanowienia prawa, należy poprawić jakość i wykorzystanie ocen skutków; podkreśla w szczególności </w:t>
            </w:r>
            <w:r w:rsidRPr="00D4637E">
              <w:lastRenderedPageBreak/>
              <w:t>problem, że oceny skutków koncentrują się wyłącznie na złożonych wnioskach ustawodawczych, które po przyjęciu lub wdrożeniu często nie są już odpowiednio oceniane;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F6F85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8.</w:t>
            </w:r>
            <w:r w:rsidRPr="00D4637E">
              <w:tab/>
              <w:t xml:space="preserve">uważa, że aby osiągnąć cele programu lepszego stanowienia prawa, należy poprawić jakość i wykorzystanie ocen skutków </w:t>
            </w:r>
            <w:r w:rsidRPr="00D4637E">
              <w:rPr>
                <w:b/>
                <w:i/>
              </w:rPr>
              <w:t xml:space="preserve">i zapewnić brak </w:t>
            </w:r>
            <w:r w:rsidRPr="00D4637E">
              <w:rPr>
                <w:b/>
                <w:i/>
              </w:rPr>
              <w:lastRenderedPageBreak/>
              <w:t>stronniczości w tym zakresie</w:t>
            </w:r>
            <w:r w:rsidRPr="00D4637E">
              <w:t>; podkreśla w szczególności problem, że oceny skutków koncentrują się wyłącznie na złożonych wnioskach ustawodawczych, które po przyjęciu lub wdrożeniu często nie są już odpowiednio oceniane;</w:t>
            </w:r>
          </w:p>
        </w:tc>
      </w:tr>
    </w:tbl>
    <w:p w14:paraId="61989B10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681A3C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35796E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86</w:t>
      </w:r>
      <w:r w:rsidRPr="00D4637E">
        <w:rPr>
          <w:rStyle w:val="HideTWBExt"/>
          <w:b w:val="0"/>
        </w:rPr>
        <w:t>&lt;/NumAm&gt;</w:t>
      </w:r>
    </w:p>
    <w:p w14:paraId="1244BD9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7229062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ADD823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ED8A06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A3857AB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DE935" w14:textId="77777777" w:rsidR="000D4DD1" w:rsidRPr="00D4637E" w:rsidRDefault="000D4DD1" w:rsidP="00660527"/>
        </w:tc>
      </w:tr>
      <w:tr w:rsidR="000D4DD1" w:rsidRPr="00D4637E" w14:paraId="717409F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8048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36F5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677A81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F3801" w14:textId="77777777" w:rsidR="000D4DD1" w:rsidRPr="00D4637E" w:rsidRDefault="000D4DD1" w:rsidP="00660527">
            <w:pPr>
              <w:pStyle w:val="Normal6a"/>
            </w:pPr>
            <w:r w:rsidRPr="00D4637E">
              <w:t>8.</w:t>
            </w:r>
            <w:r w:rsidRPr="00D4637E">
              <w:tab/>
              <w:t>uważa, że aby osiągnąć cele programu lepszego stanowienia prawa, należy poprawić jakość i wykorzystanie ocen skutków; podkreśla w szczególności problem, że oceny skutków koncentrują się wyłącznie na złożonych wnioskach ustawodawczych, które po przyjęciu lub wdrożeniu często nie są już odpowiednio oceniane;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427CC" w14:textId="77777777" w:rsidR="000D4DD1" w:rsidRPr="00D4637E" w:rsidRDefault="000D4DD1" w:rsidP="00660527">
            <w:pPr>
              <w:pStyle w:val="Normal6a"/>
            </w:pPr>
            <w:r w:rsidRPr="00D4637E">
              <w:t>8.</w:t>
            </w:r>
            <w:r w:rsidRPr="00D4637E">
              <w:tab/>
              <w:t xml:space="preserve">uważa, że aby osiągnąć cele programu lepszego stanowienia prawa, należy </w:t>
            </w:r>
            <w:r w:rsidRPr="00D4637E">
              <w:rPr>
                <w:b/>
                <w:i/>
              </w:rPr>
              <w:t>znacząco</w:t>
            </w:r>
            <w:r w:rsidRPr="00D4637E">
              <w:t xml:space="preserve"> poprawić jakość i wykorzystanie ocen skutków; podkreśla w szczególności problem, że oceny skutków koncentrują się wyłącznie na złożonych wnioskach ustawodawczych, które po przyjęciu lub wdrożeniu często nie są już odpowiednio oceniane;</w:t>
            </w:r>
          </w:p>
        </w:tc>
      </w:tr>
    </w:tbl>
    <w:p w14:paraId="5778FC55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577531A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4506512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87</w:t>
      </w:r>
      <w:r w:rsidRPr="00D4637E">
        <w:rPr>
          <w:rStyle w:val="HideTWBExt"/>
          <w:b w:val="0"/>
        </w:rPr>
        <w:t>&lt;/NumAm&gt;</w:t>
      </w:r>
    </w:p>
    <w:p w14:paraId="3B42315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56AB8B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A3DC2A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E60C5D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F5FEFD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2FF7A" w14:textId="77777777" w:rsidR="000D4DD1" w:rsidRPr="00D4637E" w:rsidRDefault="000D4DD1" w:rsidP="00660527"/>
        </w:tc>
      </w:tr>
      <w:tr w:rsidR="000D4DD1" w:rsidRPr="00D4637E" w14:paraId="48101AD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1FDE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7449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B45B43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39CB4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F6801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8a.</w:t>
            </w:r>
            <w:r w:rsidRPr="00D4637E">
              <w:rPr>
                <w:b/>
                <w:i/>
              </w:rPr>
              <w:tab/>
              <w:t xml:space="preserve">wzywa do przeprowadzania ocen skutków wszystkich bez wyjątku aktów; ubolewa, że w przeszłości nie miało to miejsca w przypadku kilku politycznie wrażliwych wniosków; przypomina, że Parlament, zastępując Komisję, wielokrotnie przeprowadzał własne oceny </w:t>
            </w:r>
            <w:r w:rsidRPr="00D4637E">
              <w:rPr>
                <w:b/>
                <w:i/>
              </w:rPr>
              <w:lastRenderedPageBreak/>
              <w:t>skutków; przypomina jednak, że oceny skutków stanowią źródło informacji, ale nie zastępują procesu podejmowania decyzji politycznych;</w:t>
            </w:r>
          </w:p>
        </w:tc>
      </w:tr>
    </w:tbl>
    <w:p w14:paraId="0C1EC719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3C8B0E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8EA01A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88</w:t>
      </w:r>
      <w:r w:rsidRPr="00D4637E">
        <w:rPr>
          <w:rStyle w:val="HideTWBExt"/>
          <w:b w:val="0"/>
        </w:rPr>
        <w:t>&lt;/NumAm&gt;</w:t>
      </w:r>
    </w:p>
    <w:p w14:paraId="444D5DE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6718F7E1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43EA681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2A78BF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0B1BEF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4811FF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754E7" w14:textId="77777777" w:rsidR="000D4DD1" w:rsidRPr="00D4637E" w:rsidRDefault="000D4DD1" w:rsidP="00660527"/>
        </w:tc>
      </w:tr>
      <w:tr w:rsidR="000D4DD1" w:rsidRPr="00D4637E" w14:paraId="2FCFDC1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374D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5FB2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5B64E9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BDDB6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56A28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8a.</w:t>
            </w:r>
            <w:r w:rsidRPr="00D4637E">
              <w:rPr>
                <w:b/>
                <w:i/>
              </w:rPr>
              <w:tab/>
              <w:t>podkreśla konieczność zwiększenia przejrzystości w zakresie autorów ocen skutków oraz założeń przyjmowanych w tych ocenach; wskazuje na potrzebę przeprowadzania ocen skutków dla wszystkich aktów przyjmowanych przez współprawodawców, jak również właściwych ewaluacji ex post inicjatyw Unii;</w:t>
            </w:r>
          </w:p>
        </w:tc>
      </w:tr>
    </w:tbl>
    <w:p w14:paraId="5DF2747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96BB3A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8B0707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89</w:t>
      </w:r>
      <w:r w:rsidRPr="00D4637E">
        <w:rPr>
          <w:rStyle w:val="HideTWBExt"/>
          <w:b w:val="0"/>
        </w:rPr>
        <w:t>&lt;/NumAm&gt;</w:t>
      </w:r>
    </w:p>
    <w:p w14:paraId="63D6BCF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401D7EF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69BCA8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1B4805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DC4E20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D7741" w14:textId="77777777" w:rsidR="000D4DD1" w:rsidRPr="00D4637E" w:rsidRDefault="000D4DD1" w:rsidP="00660527"/>
        </w:tc>
      </w:tr>
      <w:tr w:rsidR="000D4DD1" w:rsidRPr="00D4637E" w14:paraId="5312E1C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062E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F775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36BA47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9BF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6F757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8b.</w:t>
            </w:r>
            <w:r w:rsidRPr="00D4637E">
              <w:rPr>
                <w:b/>
                <w:i/>
              </w:rPr>
              <w:tab/>
              <w:t>przypomina, że Parlament utworzył specjalną dyrekcję – Dyrekcję ds. Oceny Skutków Regulacji i Europejskiej Wartości Dodanej – aby móc przeprowadzać oceny skutków ex ante i ex post i w ten sposób wspierać kształtowanie polityki opartej na dowodach;</w:t>
            </w:r>
          </w:p>
        </w:tc>
      </w:tr>
    </w:tbl>
    <w:p w14:paraId="739042BD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05D35A4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C00252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90</w:t>
      </w:r>
      <w:r w:rsidRPr="00D4637E">
        <w:rPr>
          <w:rStyle w:val="HideTWBExt"/>
          <w:b w:val="0"/>
        </w:rPr>
        <w:t>&lt;/NumAm&gt;</w:t>
      </w:r>
    </w:p>
    <w:p w14:paraId="2C9D9BB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356A7F0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1985CC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D2C165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8 c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008AC3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1A520" w14:textId="77777777" w:rsidR="000D4DD1" w:rsidRPr="00D4637E" w:rsidRDefault="000D4DD1" w:rsidP="00660527"/>
        </w:tc>
      </w:tr>
      <w:tr w:rsidR="000D4DD1" w:rsidRPr="00D4637E" w14:paraId="2EB3689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2BF7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85F7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CA5599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1501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9476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8c.</w:t>
            </w:r>
            <w:r w:rsidRPr="00D4637E">
              <w:rPr>
                <w:b/>
                <w:i/>
              </w:rPr>
              <w:tab/>
              <w:t>zachęca Komisję do częstszego korzystania z ocen ex post, aby przeanalizować skuteczność norm prawnych; podkreśla znaczenie zasady „najpierw oceniaj” dla zapewnienia, by wnioski wyciągnięte z przeszłości były uwzględniane na późniejszych etapach cyklu polityki; jest poważnie zaniepokojony rosnącą tendencją do równoległego przeprowadzania ocen i ocen skutków, chociaż wyniki oceny powinny być uwzględniane w każdym przeglądzie prawa;</w:t>
            </w:r>
          </w:p>
        </w:tc>
      </w:tr>
    </w:tbl>
    <w:p w14:paraId="2E69E206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F10CB8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9E74792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91</w:t>
      </w:r>
      <w:r w:rsidRPr="00D4637E">
        <w:rPr>
          <w:rStyle w:val="HideTWBExt"/>
          <w:b w:val="0"/>
        </w:rPr>
        <w:t>&lt;/NumAm&gt;</w:t>
      </w:r>
    </w:p>
    <w:p w14:paraId="28B1659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3892F22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86080A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934999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3CC5D8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58A6D" w14:textId="77777777" w:rsidR="000D4DD1" w:rsidRPr="00D4637E" w:rsidRDefault="000D4DD1" w:rsidP="00660527"/>
        </w:tc>
      </w:tr>
      <w:tr w:rsidR="000D4DD1" w:rsidRPr="00D4637E" w14:paraId="1B18C39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BD28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8C63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AC77575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40D4A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 xml:space="preserve">podkreśla, że wszystkim ważniejszym inicjatywom ustawodawczym i politycznym </w:t>
            </w:r>
            <w:r w:rsidRPr="00D4637E">
              <w:rPr>
                <w:b/>
                <w:bCs/>
                <w:i/>
                <w:iCs/>
              </w:rPr>
              <w:t>powinna</w:t>
            </w:r>
            <w:r w:rsidRPr="00D4637E">
              <w:t xml:space="preserve"> towarzyszyć </w:t>
            </w:r>
            <w:r w:rsidRPr="00D4637E">
              <w:rPr>
                <w:b/>
                <w:bCs/>
                <w:i/>
                <w:iCs/>
              </w:rPr>
              <w:t>analiza</w:t>
            </w:r>
            <w:r w:rsidRPr="00D4637E">
              <w:t xml:space="preserve"> kosztów i korzyści; uważa, że takie analizy są niezbędne do kształtowania polityki opartej na dowodach oraz do utrzymania zaufania obywateli i przedsiębiorstw do prawodawstwa UE; jest zdania, że w </w:t>
            </w:r>
            <w:r w:rsidRPr="00D4637E">
              <w:rPr>
                <w:b/>
                <w:bCs/>
                <w:i/>
                <w:iCs/>
              </w:rPr>
              <w:t>sytuacjach</w:t>
            </w:r>
            <w:r w:rsidRPr="00D4637E">
              <w:t xml:space="preserve">, w których nie </w:t>
            </w:r>
            <w:r w:rsidRPr="00D4637E">
              <w:rPr>
                <w:b/>
                <w:bCs/>
                <w:i/>
                <w:iCs/>
              </w:rPr>
              <w:t xml:space="preserve">sporządzono oceny skutków, na </w:t>
            </w:r>
            <w:r w:rsidRPr="00D4637E">
              <w:rPr>
                <w:b/>
                <w:bCs/>
                <w:i/>
                <w:iCs/>
              </w:rPr>
              <w:lastRenderedPageBreak/>
              <w:t>późniejszym etapie należy przygotować analizę kosztów i korzyści oraz dołączyć ją do wniosku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E8169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9.</w:t>
            </w:r>
            <w:r w:rsidRPr="00D4637E">
              <w:tab/>
              <w:t xml:space="preserve">podkreśla, że wszystkim ważniejszym inicjatywom ustawodawczym i politycznym </w:t>
            </w:r>
            <w:r w:rsidRPr="00D4637E">
              <w:rPr>
                <w:b/>
                <w:bCs/>
                <w:i/>
                <w:iCs/>
              </w:rPr>
              <w:t>muszą</w:t>
            </w:r>
            <w:r w:rsidRPr="00D4637E">
              <w:t xml:space="preserve"> towarzyszyć </w:t>
            </w:r>
            <w:r w:rsidRPr="00D4637E">
              <w:rPr>
                <w:b/>
                <w:bCs/>
                <w:i/>
                <w:iCs/>
              </w:rPr>
              <w:t>szczegółowe analizy</w:t>
            </w:r>
            <w:r w:rsidRPr="00D4637E">
              <w:t xml:space="preserve"> kosztów i korzyści</w:t>
            </w:r>
            <w:r w:rsidRPr="00D4637E">
              <w:rPr>
                <w:b/>
                <w:bCs/>
                <w:i/>
                <w:iCs/>
              </w:rPr>
              <w:t>, w tym analizy ich skutków społecznych, gospodarczych i środowiskowych</w:t>
            </w:r>
            <w:r w:rsidRPr="00D4637E">
              <w:t xml:space="preserve">; uważa, że takie analizy są niezbędne do kształtowania polityki opartej na dowodach oraz do utrzymania pewności prawa oraz zaufania obywateli i przedsiębiorstw do </w:t>
            </w:r>
            <w:r w:rsidRPr="00D4637E">
              <w:lastRenderedPageBreak/>
              <w:t xml:space="preserve">prawodawstwa UE; jest zdania, że w </w:t>
            </w:r>
            <w:r w:rsidRPr="00D4637E">
              <w:rPr>
                <w:b/>
                <w:bCs/>
                <w:i/>
                <w:iCs/>
              </w:rPr>
              <w:t>przypadkach</w:t>
            </w:r>
            <w:r w:rsidRPr="00D4637E">
              <w:t xml:space="preserve">, w których nie </w:t>
            </w:r>
            <w:r w:rsidRPr="00D4637E">
              <w:rPr>
                <w:b/>
                <w:bCs/>
                <w:i/>
                <w:iCs/>
              </w:rPr>
              <w:t>przeprowadzono takiej wstępnej analizy, Komisja musi przygotować analizę kosztów i korzyści ex post przed wszelkimi zmianami lub konsolidacją przepisów, aby zapewnić podejmowanie świadomych i proporcjonalnych decyzji</w:t>
            </w:r>
            <w:r w:rsidRPr="00D4637E">
              <w:t>;</w:t>
            </w:r>
          </w:p>
        </w:tc>
      </w:tr>
    </w:tbl>
    <w:p w14:paraId="40F1DAF4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1969872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80523F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92</w:t>
      </w:r>
      <w:r w:rsidRPr="00D4637E">
        <w:rPr>
          <w:rStyle w:val="HideTWBExt"/>
          <w:b w:val="0"/>
        </w:rPr>
        <w:t>&lt;/NumAm&gt;</w:t>
      </w:r>
    </w:p>
    <w:p w14:paraId="78425DF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251C1B2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24AB78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7709D4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415644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D71D9" w14:textId="77777777" w:rsidR="000D4DD1" w:rsidRPr="00D4637E" w:rsidRDefault="000D4DD1" w:rsidP="00660527"/>
        </w:tc>
      </w:tr>
      <w:tr w:rsidR="000D4DD1" w:rsidRPr="00D4637E" w14:paraId="4EF7B1E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3E3F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D1FC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0BBFCC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02098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>podkreśla, że wszystkim ważniejszym inicjatywom ustawodawczym i politycznym powinna towarzyszyć analiza kosztów i korzyści; uważa, że takie analizy są niezbędne do kształtowania polityki opartej na dowodach oraz do utrzymania zaufania obywateli i przedsiębiorstw do prawodawstwa UE; jest zdania, że w sytuacjach, w których nie sporządzono oceny skutków, na późniejszym etapie należy przygotować analizę kosztów i korzyści oraz dołączyć ją do wniosku;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F1380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 xml:space="preserve">podkreśla, że wszystkim ważniejszym inicjatywom ustawodawczym i politycznym powinna towarzyszyć analiza kosztów i korzyści </w:t>
            </w:r>
            <w:r w:rsidRPr="00D4637E">
              <w:rPr>
                <w:b/>
                <w:i/>
              </w:rPr>
              <w:t>w najszerszym znaczeniu, z należytym uwzględnieniem celów społecznych i środowiskowych oraz interesu publicznego</w:t>
            </w:r>
            <w:r w:rsidRPr="00D4637E">
              <w:t>; uważa, że takie analizy są niezbędne do kształtowania polityki opartej na dowodach oraz do utrzymania zaufania obywateli i przedsiębiorstw do prawodawstwa UE; jest zdania, że w sytuacjach, w których nie sporządzono oceny skutków, na późniejszym etapie należy przygotować analizę kosztów i korzyści oraz dołączyć ją do wniosku;</w:t>
            </w:r>
          </w:p>
        </w:tc>
      </w:tr>
    </w:tbl>
    <w:p w14:paraId="46DC372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93BBD9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59D73F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93</w:t>
      </w:r>
      <w:r w:rsidRPr="00D4637E">
        <w:rPr>
          <w:rStyle w:val="HideTWBExt"/>
          <w:b w:val="0"/>
        </w:rPr>
        <w:t>&lt;/NumAm&gt;</w:t>
      </w:r>
    </w:p>
    <w:p w14:paraId="1476DAD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Ton Diepeveen</w:t>
      </w:r>
      <w:r w:rsidRPr="00D4637E">
        <w:rPr>
          <w:rStyle w:val="HideTWBExt"/>
          <w:b w:val="0"/>
        </w:rPr>
        <w:t>&lt;/Members&gt;</w:t>
      </w:r>
    </w:p>
    <w:p w14:paraId="2EB5691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08D065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D39554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E7ECBE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87F0C" w14:textId="77777777" w:rsidR="000D4DD1" w:rsidRPr="00D4637E" w:rsidRDefault="000D4DD1" w:rsidP="00660527"/>
        </w:tc>
      </w:tr>
      <w:tr w:rsidR="000D4DD1" w:rsidRPr="00D4637E" w14:paraId="2B9B48E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0F68C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F10F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A73D6F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86B27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 xml:space="preserve">podkreśla, że wszystkim ważniejszym inicjatywom ustawodawczym i politycznym powinna towarzyszyć analiza kosztów i korzyści; uważa, że takie analizy są niezbędne do kształtowania polityki opartej na dowodach oraz do utrzymania zaufania obywateli i przedsiębiorstw do prawodawstwa UE; </w:t>
            </w:r>
            <w:r w:rsidRPr="00D4637E">
              <w:rPr>
                <w:b/>
                <w:i/>
              </w:rPr>
              <w:t>jest zdania, że w sytuacjach, w których nie sporządzono oceny skutków, na późniejszym etapie należy przygotować analizę kosztów i korzyści oraz dołączyć ją do wniosku;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3C1F0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 xml:space="preserve">podkreśla, że wszystkim ważniejszym inicjatywom ustawodawczym i politycznym powinna towarzyszyć </w:t>
            </w:r>
            <w:r w:rsidRPr="00D4637E">
              <w:rPr>
                <w:b/>
                <w:bCs/>
                <w:i/>
                <w:iCs/>
              </w:rPr>
              <w:t>zarówno</w:t>
            </w:r>
            <w:r w:rsidRPr="00D4637E">
              <w:t xml:space="preserve"> analiza kosztów</w:t>
            </w:r>
            <w:r w:rsidRPr="00D4637E">
              <w:rPr>
                <w:b/>
                <w:bCs/>
                <w:i/>
                <w:iCs/>
              </w:rPr>
              <w:t>, jak i</w:t>
            </w:r>
            <w:r w:rsidRPr="00D4637E">
              <w:t xml:space="preserve"> korzyści; </w:t>
            </w:r>
            <w:r w:rsidRPr="00D4637E">
              <w:rPr>
                <w:b/>
                <w:bCs/>
                <w:i/>
                <w:iCs/>
              </w:rPr>
              <w:t>podkreśla, że w takich przypadkach należy również przeprowadzić analizę ryzyka i korzyści</w:t>
            </w:r>
            <w:r w:rsidRPr="00D4637E">
              <w:t>; uważa, że takie analizy są niezbędne do kształtowania polityki opartej na dowodach oraz do utrzymania zaufania obywateli i przedsiębiorstw do prawodawstwa UE;</w:t>
            </w:r>
          </w:p>
        </w:tc>
      </w:tr>
    </w:tbl>
    <w:p w14:paraId="4909FC0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{NL}</w:t>
      </w:r>
      <w:r w:rsidRPr="00D4637E">
        <w:t>nl</w:t>
      </w:r>
      <w:r w:rsidRPr="00D4637E">
        <w:rPr>
          <w:rStyle w:val="HideTWBExt"/>
        </w:rPr>
        <w:t>&lt;/Original&gt;</w:t>
      </w:r>
    </w:p>
    <w:p w14:paraId="1F173533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7FADEB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94</w:t>
      </w:r>
      <w:r w:rsidRPr="00D4637E">
        <w:rPr>
          <w:rStyle w:val="HideTWBExt"/>
          <w:b w:val="0"/>
        </w:rPr>
        <w:t>&lt;/NumAm&gt;</w:t>
      </w:r>
    </w:p>
    <w:p w14:paraId="5E3EB18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262C5CF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EF7EF1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89BFA0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351CB5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3D2FB" w14:textId="77777777" w:rsidR="000D4DD1" w:rsidRPr="00D4637E" w:rsidRDefault="000D4DD1" w:rsidP="00660527"/>
        </w:tc>
      </w:tr>
      <w:tr w:rsidR="000D4DD1" w:rsidRPr="00D4637E" w14:paraId="1AEE569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3831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87D5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D579A0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CB7B8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>podkreśla, że wszystkim ważniejszym inicjatywom ustawodawczym i politycznym powinna towarzyszyć analiza kosztów i korzyści; uważa, że takie analizy są niezbędne do kształtowania polityki opartej na dowodach oraz do utrzymania zaufania obywateli i przedsiębiorstw do prawodawstwa UE; jest zdania, że w sytuacjach, w których nie sporządzono oceny skutków, na późniejszym etapie należy przygotować analizę kosztów i korzyści oraz dołączyć ją do wniosku;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0F803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>podkreśla, że wszystkim ważniejszym inicjatywom ustawodawczym i politycznym powinna towarzyszyć analiza kosztów i korzyści</w:t>
            </w:r>
            <w:r w:rsidRPr="00D4637E">
              <w:rPr>
                <w:b/>
                <w:i/>
              </w:rPr>
              <w:t> dla europejskiej konkurencyjności i innowacyjności</w:t>
            </w:r>
            <w:r w:rsidRPr="00D4637E">
              <w:t>; uważa, że takie analizy są niezbędne do kształtowania polityki opartej na dowodach oraz do utrzymania zaufania obywateli i przedsiębiorstw do prawodawstwa UE; jest zdania, że w sytuacjach, w których nie sporządzono oceny skutków, na późniejszym etapie należy przygotować analizę kosztów i korzyści oraz dołączyć ją do wniosku;</w:t>
            </w:r>
          </w:p>
        </w:tc>
      </w:tr>
    </w:tbl>
    <w:p w14:paraId="04BDD47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018BC63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753676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95</w:t>
      </w:r>
      <w:r w:rsidRPr="00D4637E">
        <w:rPr>
          <w:rStyle w:val="HideTWBExt"/>
          <w:b w:val="0"/>
        </w:rPr>
        <w:t>&lt;/NumAm&gt;</w:t>
      </w:r>
    </w:p>
    <w:p w14:paraId="55B3060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4FFA2CB4" w14:textId="77777777" w:rsidR="000D4DD1" w:rsidRPr="00D4637E" w:rsidRDefault="000D4DD1" w:rsidP="000D4DD1">
      <w:r w:rsidRPr="00D4637E">
        <w:rPr>
          <w:rStyle w:val="HideTWBExt"/>
        </w:rPr>
        <w:lastRenderedPageBreak/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4B91D52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4AAF1E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D0E7E9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541B10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A1FC5" w14:textId="77777777" w:rsidR="000D4DD1" w:rsidRPr="00D4637E" w:rsidRDefault="000D4DD1" w:rsidP="00660527"/>
        </w:tc>
      </w:tr>
      <w:tr w:rsidR="000D4DD1" w:rsidRPr="00D4637E" w14:paraId="462FBF2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0C83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E813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406C28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5CA8F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 xml:space="preserve">podkreśla, że wszystkim ważniejszym inicjatywom ustawodawczym i politycznym powinna towarzyszyć </w:t>
            </w:r>
            <w:r w:rsidRPr="00D4637E">
              <w:rPr>
                <w:b/>
                <w:i/>
              </w:rPr>
              <w:t>analiza kosztów i korzyści</w:t>
            </w:r>
            <w:r w:rsidRPr="00D4637E">
              <w:t xml:space="preserve">; uważa, że takie analizy są niezbędne do kształtowania polityki opartej na dowodach oraz do utrzymania zaufania obywateli </w:t>
            </w:r>
            <w:r w:rsidRPr="00D4637E">
              <w:rPr>
                <w:b/>
                <w:i/>
              </w:rPr>
              <w:t xml:space="preserve">i przedsiębiorstw </w:t>
            </w:r>
            <w:r w:rsidRPr="00D4637E">
              <w:t xml:space="preserve">do prawodawstwa UE; </w:t>
            </w:r>
            <w:r w:rsidRPr="00D4637E">
              <w:rPr>
                <w:b/>
                <w:i/>
              </w:rPr>
              <w:t>jest zdania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t xml:space="preserve">w sytuacjach, w których nie sporządzono oceny </w:t>
            </w:r>
            <w:r w:rsidRPr="00D4637E">
              <w:t>skutków</w:t>
            </w:r>
            <w:r w:rsidRPr="00D4637E">
              <w:rPr>
                <w:b/>
                <w:i/>
              </w:rPr>
              <w:t>, na późniejszym etapie należy przygotować analizę kosztów i korzyści oraz dołączyć ją do wniosku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8A60B" w14:textId="77777777" w:rsidR="000D4DD1" w:rsidRPr="00D4637E" w:rsidRDefault="000D4DD1" w:rsidP="00660527">
            <w:pPr>
              <w:pStyle w:val="Normal6a"/>
            </w:pPr>
            <w:r w:rsidRPr="00D4637E">
              <w:t>9.</w:t>
            </w:r>
            <w:r w:rsidRPr="00D4637E">
              <w:tab/>
              <w:t xml:space="preserve">podkreśla, że wszystkim ważniejszym inicjatywom ustawodawczym i politycznym powinna towarzyszyć </w:t>
            </w:r>
            <w:r w:rsidRPr="00D4637E">
              <w:rPr>
                <w:b/>
                <w:i/>
              </w:rPr>
              <w:t>ocena skutków</w:t>
            </w:r>
            <w:r w:rsidRPr="00D4637E">
              <w:t xml:space="preserve">; uważa, że takie analizy są niezbędne do kształtowania polityki opartej na dowodach oraz do utrzymania zaufania obywateli do prawodawstwa UE; </w:t>
            </w:r>
            <w:r w:rsidRPr="00D4637E">
              <w:rPr>
                <w:b/>
                <w:i/>
              </w:rPr>
              <w:t>podkreśla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t xml:space="preserve">postrzegana pilność postępowań zbiorczych nie może skutkować nieprzeprowadzeniem ocen </w:t>
            </w:r>
            <w:r w:rsidRPr="00D4637E">
              <w:t>skutków;</w:t>
            </w:r>
          </w:p>
        </w:tc>
      </w:tr>
    </w:tbl>
    <w:p w14:paraId="62614FF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A44B26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20B8B4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96</w:t>
      </w:r>
      <w:r w:rsidRPr="00D4637E">
        <w:rPr>
          <w:rStyle w:val="HideTWBExt"/>
          <w:b w:val="0"/>
        </w:rPr>
        <w:t>&lt;/NumAm&gt;</w:t>
      </w:r>
    </w:p>
    <w:p w14:paraId="3FEA88F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23946C48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100ABAC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6AB6B9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94B1B6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272A89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81ECE" w14:textId="77777777" w:rsidR="000D4DD1" w:rsidRPr="00D4637E" w:rsidRDefault="000D4DD1" w:rsidP="00660527"/>
        </w:tc>
      </w:tr>
      <w:tr w:rsidR="000D4DD1" w:rsidRPr="00D4637E" w14:paraId="2651D7B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9937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A754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C852B8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E81A5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066D2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9a.</w:t>
            </w:r>
            <w:r w:rsidRPr="00D4637E">
              <w:rPr>
                <w:b/>
                <w:i/>
              </w:rPr>
              <w:tab/>
              <w:t xml:space="preserve">podaje w wątpliwość stosowanie zbiorczej techniki legislacyjnej jako sposobu uproszczenia istniejących ram regulacyjnych UE; wskazuje, że metoda ta powinna być wykorzystywana wyłącznie do technicznej konsolidacji, a nie do istotnych zmian w obowiązujących przepisach obejmujących różne dziedziny; podkreśla zastrzeżenia wyrażane przez licznych ekspertów prawnych, że zarówno pierwszy, jak i kolejne akty zbiorcze stają się preferowanym narzędziem do realizacji szeroko zakrojonej deregulacji z pominięciem zasad proceduralnych, co prowadzi do konfliktów z podstawowymi </w:t>
            </w:r>
            <w:r w:rsidRPr="00D4637E">
              <w:rPr>
                <w:b/>
                <w:i/>
              </w:rPr>
              <w:lastRenderedPageBreak/>
              <w:t>zasadami konstytucyjnymi UE; zgadza się z opinią ekspertów, że Omnibus I narusza zasadę proporcjonalności określoną w art. 5 ust. 4 TUE oraz podważa konstytucyjną strukturę stanowienia prawa opartego na dowodach i partycypacji, zagwarantowaną w art. 11 TUE i art. 296 TFUE; wzywa Komisję do właściwego uwzględnienia tych zastrzeżeń prawnych i gruntownej ponownej oceny stosowania tej techniki legislacyjnej, także pod kątem jej przyszłego wykorzystania;</w:t>
            </w:r>
          </w:p>
        </w:tc>
      </w:tr>
    </w:tbl>
    <w:p w14:paraId="4BE3BE72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B0E0489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5376BE7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97</w:t>
      </w:r>
      <w:r w:rsidRPr="00D4637E">
        <w:rPr>
          <w:rStyle w:val="HideTWBExt"/>
          <w:b w:val="0"/>
        </w:rPr>
        <w:t>&lt;/NumAm&gt;</w:t>
      </w:r>
    </w:p>
    <w:p w14:paraId="5A33552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E57C4D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828357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998E92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C12419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48655" w14:textId="77777777" w:rsidR="000D4DD1" w:rsidRPr="00D4637E" w:rsidRDefault="000D4DD1" w:rsidP="00660527"/>
        </w:tc>
      </w:tr>
      <w:tr w:rsidR="000D4DD1" w:rsidRPr="00D4637E" w14:paraId="215B2AA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A5DF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2F9E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3A1B7B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11B6B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5B948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9a.</w:t>
            </w:r>
            <w:r w:rsidRPr="00D4637E">
              <w:rPr>
                <w:b/>
                <w:i/>
              </w:rPr>
              <w:tab/>
              <w:t xml:space="preserve">przypomina, że potrzeba nowych uregulowań nie powinna automatycznie oznaczać, że obecne przepisy nie są już potrzebne; z tego względu jest zdania, że w przypadku każdego potencjalnego uchylenia należy również przeprowadzić dokładną ocenę skutków, aby uniknąć nieoczekiwanych konsekwencji i niepożądanych skutków; apeluje, aby podejście to bazowało na przejrzystej i opartej na dowodach metodyce uwzględniającej w zbilansowany sposób wszystkie aspekty zrównoważonego rozwoju, zarówno pod względem korzyści, jak i kosztów, w tym kosztów nieprzestrzegania przepisów i niepodejmowania działań, oraz z uwzględnieniem skutków administracyjnych lub gospodarczych, przy jednoczesnym całościowym podejściu do dorobku prawnego UE i mając na uwadze jego skutki społeczne, </w:t>
            </w:r>
            <w:r w:rsidRPr="00D4637E">
              <w:rPr>
                <w:b/>
                <w:i/>
              </w:rPr>
              <w:lastRenderedPageBreak/>
              <w:t>środowiskowe i w zakresie zdrowia publicznego;</w:t>
            </w:r>
          </w:p>
        </w:tc>
      </w:tr>
    </w:tbl>
    <w:p w14:paraId="0E1239BC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C3D88A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AFC8C2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98</w:t>
      </w:r>
      <w:r w:rsidRPr="00D4637E">
        <w:rPr>
          <w:rStyle w:val="HideTWBExt"/>
          <w:b w:val="0"/>
        </w:rPr>
        <w:t>&lt;/NumAm&gt;</w:t>
      </w:r>
    </w:p>
    <w:p w14:paraId="559A204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Ilhan Kyuchyuk, Ewa Kopacz</w:t>
      </w:r>
      <w:r w:rsidRPr="00D4637E">
        <w:rPr>
          <w:rStyle w:val="HideTWBExt"/>
          <w:b w:val="0"/>
        </w:rPr>
        <w:t>&lt;/Members&gt;</w:t>
      </w:r>
    </w:p>
    <w:p w14:paraId="14D4B7F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FA1F10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2A81D7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3E80E3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E3C9C" w14:textId="77777777" w:rsidR="000D4DD1" w:rsidRPr="00D4637E" w:rsidRDefault="000D4DD1" w:rsidP="00660527"/>
        </w:tc>
      </w:tr>
      <w:tr w:rsidR="000D4DD1" w:rsidRPr="00D4637E" w14:paraId="347BD8E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6B3F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1FB8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4CF425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D658C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D6BD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9a.</w:t>
            </w:r>
            <w:r w:rsidRPr="00D4637E">
              <w:rPr>
                <w:b/>
                <w:i/>
              </w:rPr>
              <w:tab/>
              <w:t>ponownie apeluje o wprowadzenie systemowego uwzględniania praw dziecka w unijnym prawodawstwie poprzez wprowadzenie testu praw dziecka w ramach narzędzi oceny skutków, który zapewni, aby wszystkie projekty aktów prawnych UE były oceniane pod kątem ich potencjalnego wpływu na prawa dziecka, pozwoli zidentyfikować obszary objęte regulacją oraz w razie potrzeby przewidzieć ocenę alternatywnych rozwiązań; podkreśla, że w ten proces powinna być włączona unijna platforma uczestnictwa dzieci, aby wzmocnić głos dzieci w procesie decyzyjnym;</w:t>
            </w:r>
          </w:p>
        </w:tc>
      </w:tr>
    </w:tbl>
    <w:p w14:paraId="2E2FF92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1759A2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055A9A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99</w:t>
      </w:r>
      <w:r w:rsidRPr="00D4637E">
        <w:rPr>
          <w:rStyle w:val="HideTWBExt"/>
          <w:b w:val="0"/>
        </w:rPr>
        <w:t>&lt;/NumAm&gt;</w:t>
      </w:r>
    </w:p>
    <w:p w14:paraId="6159A48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470AF3B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A339CC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913339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9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F4C636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F473A" w14:textId="77777777" w:rsidR="000D4DD1" w:rsidRPr="00D4637E" w:rsidRDefault="000D4DD1" w:rsidP="00660527"/>
        </w:tc>
      </w:tr>
      <w:tr w:rsidR="000D4DD1" w:rsidRPr="00D4637E" w14:paraId="40C2BF8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E061E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D5A0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93463F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AFB0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C487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9a.</w:t>
            </w:r>
            <w:r w:rsidRPr="00D4637E">
              <w:rPr>
                <w:b/>
                <w:i/>
              </w:rPr>
              <w:tab/>
              <w:t xml:space="preserve">podkreśla, że Komisja musi systematycznie informować Parlamentu Europejskiego i konsultować się z nim przez cały cykl legislacyjny, aby zagwarantować demokratyczną </w:t>
            </w:r>
            <w:r w:rsidRPr="00D4637E">
              <w:rPr>
                <w:b/>
                <w:i/>
              </w:rPr>
              <w:lastRenderedPageBreak/>
              <w:t>rozliczalność, równowagę instytucjonalną i przejrzystość procesu decyzyjnego w UE;</w:t>
            </w:r>
          </w:p>
        </w:tc>
      </w:tr>
    </w:tbl>
    <w:p w14:paraId="29EC65DB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D0C5BF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8D69AB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100</w:t>
      </w:r>
      <w:r w:rsidRPr="00D4637E">
        <w:rPr>
          <w:rStyle w:val="HideTWBExt"/>
          <w:b w:val="0"/>
        </w:rPr>
        <w:t>&lt;/NumAm&gt;</w:t>
      </w:r>
    </w:p>
    <w:p w14:paraId="7BFB118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69DC9C8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F6E705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AD980E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06E4AE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29440" w14:textId="77777777" w:rsidR="000D4DD1" w:rsidRPr="00D4637E" w:rsidRDefault="000D4DD1" w:rsidP="00660527"/>
        </w:tc>
      </w:tr>
      <w:tr w:rsidR="000D4DD1" w:rsidRPr="00D4637E" w14:paraId="6782680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BFF6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1951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1B350E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ECEDC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</w:r>
            <w:r w:rsidRPr="00D4637E">
              <w:rPr>
                <w:b/>
                <w:i/>
              </w:rPr>
              <w:t xml:space="preserve">uznaje, że obecne mechanizmy mające na celu kontrolę obciążeń legislacyjnych, takie jak </w:t>
            </w:r>
            <w:r w:rsidRPr="00D4637E">
              <w:t xml:space="preserve">podejście „jedno więcej – jedno mniej”, nie </w:t>
            </w:r>
            <w:r w:rsidRPr="00D4637E">
              <w:rPr>
                <w:b/>
                <w:i/>
              </w:rPr>
              <w:t xml:space="preserve">działają skutecznie ze względu na brak odpowiednich ocen ex post faktycznych kosztów </w:t>
            </w:r>
            <w:r w:rsidRPr="00D4637E">
              <w:t xml:space="preserve">prawodawstwa; </w:t>
            </w:r>
            <w:r w:rsidRPr="00D4637E">
              <w:rPr>
                <w:b/>
                <w:i/>
              </w:rPr>
              <w:t>uważa ponadto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t xml:space="preserve">poważnym niedociągnięciem jest brak skutecznych mechanizmów usuwania </w:t>
            </w:r>
            <w:r w:rsidRPr="00D4637E">
              <w:t xml:space="preserve">przepisów </w:t>
            </w:r>
            <w:r w:rsidRPr="00D4637E">
              <w:rPr>
                <w:b/>
                <w:i/>
              </w:rPr>
              <w:t>przestarzałych lub zbędnych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2855E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</w:r>
            <w:r w:rsidRPr="00D4637E">
              <w:rPr>
                <w:b/>
                <w:i/>
              </w:rPr>
              <w:t xml:space="preserve">odnotowuje </w:t>
            </w:r>
            <w:r w:rsidRPr="00D4637E">
              <w:t xml:space="preserve">podejście „jedno więcej – jedno mniej”, </w:t>
            </w:r>
            <w:r w:rsidRPr="00D4637E">
              <w:rPr>
                <w:b/>
                <w:i/>
              </w:rPr>
              <w:t xml:space="preserve">zgodnie z którym Komisja stara się zrekompensować nowo wprowadzone obciążenia poprzez zwolnienie obywateli i przedsiębiorstw z równoważnych obciążeń na szczeblu UE w tym samym obszarze polityki; wyraża ubolewanie z powodu jednostronnego wprowadzenia tego podejścia przez Komisję bez uprzedniej oceny skutków lub konsultacji; podkreśla, że wdrożenie tego podejścia </w:t>
            </w:r>
            <w:r w:rsidRPr="00D4637E">
              <w:t xml:space="preserve">nie </w:t>
            </w:r>
            <w:r w:rsidRPr="00D4637E">
              <w:rPr>
                <w:b/>
                <w:i/>
              </w:rPr>
              <w:t xml:space="preserve">powinno mieć wpływu na imperatywy polityczne ani na cele lepszego stanowienia prawa, i podkreśla, że nie powinno ono prowadzić do podejmowania mechanicznych lub matematycznych decyzji o uchyleniu norm prawnych, obniżyć ich standardu ani wywołać efektu mrożącego dla </w:t>
            </w:r>
            <w:r w:rsidRPr="00D4637E">
              <w:t xml:space="preserve">prawodawstwa; </w:t>
            </w:r>
            <w:r w:rsidRPr="00D4637E">
              <w:rPr>
                <w:b/>
                <w:i/>
              </w:rPr>
              <w:t>przypomina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t xml:space="preserve">potrzeba nowych uregulowań nie powinna automatycznie oznaczać, że obecne normy prawne nie są już potrzebne; apeluje, aby podejście to bazowało na przejrzystej i opartej na dowodach metodyce uwzględniającej w zbilansowany sposób wszystkie aspekty zrównoważonego rozwoju, zarówno pod względem korzyści, jak i kosztów, w tym kosztów nieprzestrzegania </w:t>
            </w:r>
            <w:r w:rsidRPr="00D4637E">
              <w:t xml:space="preserve">przepisów </w:t>
            </w:r>
            <w:r w:rsidRPr="00D4637E">
              <w:rPr>
                <w:b/>
                <w:i/>
              </w:rPr>
              <w:t>i niepodejmowania działań</w:t>
            </w:r>
            <w:r w:rsidRPr="00D4637E">
              <w:t xml:space="preserve">; </w:t>
            </w:r>
            <w:r w:rsidRPr="00D4637E">
              <w:rPr>
                <w:b/>
                <w:i/>
              </w:rPr>
              <w:t xml:space="preserve">w związku z tym wzywa Komisję, aby upubliczniła swój </w:t>
            </w:r>
            <w:r w:rsidRPr="00D4637E">
              <w:rPr>
                <w:b/>
                <w:i/>
              </w:rPr>
              <w:lastRenderedPageBreak/>
              <w:t>kalkulator „jedno więcej – jedno mniej” przed zastosowaniem tego podejścia;</w:t>
            </w:r>
          </w:p>
        </w:tc>
      </w:tr>
    </w:tbl>
    <w:p w14:paraId="4732602A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2A00D5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01638FE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101</w:t>
      </w:r>
      <w:r w:rsidRPr="00D4637E">
        <w:rPr>
          <w:rStyle w:val="HideTWBExt"/>
          <w:b w:val="0"/>
        </w:rPr>
        <w:t>&lt;/NumAm&gt;</w:t>
      </w:r>
    </w:p>
    <w:p w14:paraId="0F952BB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68BAAAE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C3A315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F83818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45D50D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D680C" w14:textId="77777777" w:rsidR="000D4DD1" w:rsidRPr="00D4637E" w:rsidRDefault="000D4DD1" w:rsidP="00660527"/>
        </w:tc>
      </w:tr>
      <w:tr w:rsidR="000D4DD1" w:rsidRPr="00D4637E" w14:paraId="35466B1D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29EE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694C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F34FEA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802B0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>uznaje, że obecne mechanizmy mające na celu kontrolę obciążeń legislacyjnych, takie jak podejście „jedno więcej – jedno mniej”, nie działają skutecznie ze względu na brak odpowiednich ocen ex post faktycznych kosztów prawodawstwa; uważa ponadto, że poważnym niedociągnięciem jest brak skutecznych mechanizmów usuwania przepisów przestarzałych lub zbędnych;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BFAE6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 xml:space="preserve">uznaje, że obecne mechanizmy mające na celu kontrolę obciążeń legislacyjnych, takie jak podejście „jedno więcej – jedno mniej”, nie działają skutecznie ze względu na brak odpowiednich ocen ex post faktycznych kosztów prawodawstwa; uważa ponadto, że poważnym niedociągnięciem jest brak skutecznych mechanizmów usuwania przepisów przestarzałych lub zbędnych; </w:t>
            </w:r>
            <w:r w:rsidRPr="00D4637E">
              <w:rPr>
                <w:b/>
                <w:i/>
              </w:rPr>
              <w:t>podkreśla, że ta luka jest szczególnie widoczna w przypadku aktów delegowanych i aktów wykonawczych, które przyjmuje się kolejno bez dokonywania systematycznego przeglądu służącego ustaleniu, czy są one konieczne i proporcjonalne;</w:t>
            </w:r>
          </w:p>
        </w:tc>
      </w:tr>
    </w:tbl>
    <w:p w14:paraId="7F1B2AB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504339C0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C0956E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102</w:t>
      </w:r>
      <w:r w:rsidRPr="00D4637E">
        <w:rPr>
          <w:rStyle w:val="HideTWBExt"/>
          <w:b w:val="0"/>
        </w:rPr>
        <w:t>&lt;/NumAm&gt;</w:t>
      </w:r>
    </w:p>
    <w:p w14:paraId="2D57746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0F1A15ED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76C7CB8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9D8279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473265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42CE18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1CB30" w14:textId="77777777" w:rsidR="000D4DD1" w:rsidRPr="00D4637E" w:rsidRDefault="000D4DD1" w:rsidP="00660527"/>
        </w:tc>
      </w:tr>
      <w:tr w:rsidR="000D4DD1" w:rsidRPr="00D4637E" w14:paraId="02492FBD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3EF72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5E39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6F682F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92041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 xml:space="preserve">uznaje, że obecne mechanizmy mające na celu kontrolę obciążeń legislacyjnych, takie jak podejście „jedno </w:t>
            </w:r>
            <w:r w:rsidRPr="00D4637E">
              <w:lastRenderedPageBreak/>
              <w:t xml:space="preserve">więcej – jedno mniej”, nie działają skutecznie ze względu na brak odpowiednich ocen ex post </w:t>
            </w:r>
            <w:r w:rsidRPr="00D4637E">
              <w:rPr>
                <w:b/>
                <w:i/>
              </w:rPr>
              <w:t xml:space="preserve">faktycznych kosztów </w:t>
            </w:r>
            <w:r w:rsidRPr="00D4637E">
              <w:t>prawodawstwa; uważa ponadto, że poważnym niedociągnięciem jest brak skutecznych mechanizmów usuwania przepisów przestarzałych lub zbędnych;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7391A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10.</w:t>
            </w:r>
            <w:r w:rsidRPr="00D4637E">
              <w:tab/>
              <w:t xml:space="preserve">uznaje, że obecne mechanizmy mające na celu kontrolę obciążeń legislacyjnych, takie jak podejście „jedno </w:t>
            </w:r>
            <w:r w:rsidRPr="00D4637E">
              <w:lastRenderedPageBreak/>
              <w:t xml:space="preserve">więcej – jedno mniej”, nie działają skutecznie ze względu na brak odpowiednich ocen ex post </w:t>
            </w:r>
            <w:r w:rsidRPr="00D4637E">
              <w:rPr>
                <w:b/>
                <w:i/>
              </w:rPr>
              <w:t xml:space="preserve">i ryzyko podważenia celów </w:t>
            </w:r>
            <w:r w:rsidRPr="00D4637E">
              <w:t xml:space="preserve">prawodawstwa; uważa ponadto, że poważnym niedociągnięciem jest brak skutecznych mechanizmów usuwania przepisów przestarzałych lub zbędnych; </w:t>
            </w:r>
            <w:r w:rsidRPr="00D4637E">
              <w:rPr>
                <w:b/>
                <w:i/>
              </w:rPr>
              <w:t>podkreśla potrzebę skupienia się na ulepszaniu prawodawstwa UE, aby zapewnić jego adekwatność do celów, zamiast dążyć do deregulacji jako celu samego w sobie;</w:t>
            </w:r>
          </w:p>
        </w:tc>
      </w:tr>
    </w:tbl>
    <w:p w14:paraId="0A0B4CEC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E92B1A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09923B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103</w:t>
      </w:r>
      <w:r w:rsidRPr="00D4637E">
        <w:rPr>
          <w:rStyle w:val="HideTWBExt"/>
          <w:b w:val="0"/>
        </w:rPr>
        <w:t>&lt;/NumAm&gt;</w:t>
      </w:r>
    </w:p>
    <w:p w14:paraId="4DFCDE6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78ECFFF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7248BC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0145F6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BA936C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C34F9" w14:textId="77777777" w:rsidR="000D4DD1" w:rsidRPr="00D4637E" w:rsidRDefault="000D4DD1" w:rsidP="00660527"/>
        </w:tc>
      </w:tr>
      <w:tr w:rsidR="000D4DD1" w:rsidRPr="00D4637E" w14:paraId="2F897A7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6858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D1F6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09AC3FC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C2A34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>uznaje, że obecne mechanizmy mające na celu kontrolę obciążeń legislacyjnych, takie jak podejście „jedno więcej – jedno mniej”, nie działają skutecznie ze względu na brak odpowiednich ocen ex post faktycznych kosztów prawodawstwa; uważa ponadto, że poważnym niedociągnięciem jest brak skutecznych mechanizmów usuwania przepisów przestarzałych lub zbędnych;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BFA36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 xml:space="preserve">uznaje, że obecne mechanizmy mające na celu kontrolę obciążeń legislacyjnych, takie jak podejście „jedno więcej – jedno mniej”, nie działają skutecznie ze względu na brak odpowiednich </w:t>
            </w:r>
            <w:r w:rsidRPr="00D4637E">
              <w:rPr>
                <w:b/>
                <w:bCs/>
                <w:i/>
                <w:iCs/>
              </w:rPr>
              <w:t>standardowych</w:t>
            </w:r>
            <w:r w:rsidRPr="00D4637E">
              <w:t xml:space="preserve"> ocen ex post faktycznych kosztów prawodawstwa; uważa ponadto, że poważnym niedociągnięciem jest brak skutecznych mechanizmów usuwania przepisów przestarzałych lub zbędnych</w:t>
            </w:r>
            <w:r w:rsidRPr="00D4637E">
              <w:rPr>
                <w:b/>
                <w:bCs/>
                <w:i/>
                <w:iCs/>
              </w:rPr>
              <w:t>, co ma daleko idący wpływ na pewność prawa i funkcjonowanie rynku wewnętrznego</w:t>
            </w:r>
            <w:r w:rsidRPr="00D4637E">
              <w:t>;</w:t>
            </w:r>
          </w:p>
        </w:tc>
      </w:tr>
    </w:tbl>
    <w:p w14:paraId="6C5D5045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52DD49F9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27783C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104</w:t>
      </w:r>
      <w:r w:rsidRPr="00D4637E">
        <w:rPr>
          <w:rStyle w:val="HideTWBExt"/>
          <w:b w:val="0"/>
        </w:rPr>
        <w:t>&lt;/NumAm&gt;</w:t>
      </w:r>
    </w:p>
    <w:p w14:paraId="4E0883A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37B057C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323E4D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30E5EB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F603C3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3D006" w14:textId="77777777" w:rsidR="000D4DD1" w:rsidRPr="00D4637E" w:rsidRDefault="000D4DD1" w:rsidP="00660527"/>
        </w:tc>
      </w:tr>
      <w:tr w:rsidR="000D4DD1" w:rsidRPr="00D4637E" w14:paraId="2AFEFE3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3C3A1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4DEA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1BE102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C6C3D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>uznaje, że obecne mechanizmy mające na celu kontrolę obciążeń legislacyjnych, takie jak podejście „jedno więcej – jedno mniej”, nie działają skutecznie ze względu na brak odpowiednich ocen ex post faktycznych kosztów prawodawstwa; uważa ponadto, że poważnym niedociągnięciem jest brak skutecznych mechanizmów usuwania przepisów przestarzałych lub zbędnych;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12039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 xml:space="preserve">uznaje, że obecne mechanizmy mające na celu kontrolę obciążeń legislacyjnych, takie jak podejście „jedno więcej – jedno mniej”, nie działają skutecznie ze względu na brak odpowiednich ocen ex post faktycznych kosztów prawodawstwa; uważa ponadto, że poważnym niedociągnięciem jest brak skutecznych mechanizmów </w:t>
            </w:r>
            <w:r w:rsidRPr="00D4637E">
              <w:rPr>
                <w:b/>
                <w:i/>
              </w:rPr>
              <w:t>przeglądu i oceny, a także</w:t>
            </w:r>
            <w:r w:rsidRPr="00D4637E">
              <w:t xml:space="preserve"> usuwania przepisów przestarzałych lub zbędnych;</w:t>
            </w:r>
          </w:p>
        </w:tc>
      </w:tr>
    </w:tbl>
    <w:p w14:paraId="437ECC7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727797D9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4D61D9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105</w:t>
      </w:r>
      <w:r w:rsidRPr="00D4637E">
        <w:rPr>
          <w:rStyle w:val="HideTWBExt"/>
          <w:b w:val="0"/>
        </w:rPr>
        <w:t>&lt;/NumAm&gt;</w:t>
      </w:r>
    </w:p>
    <w:p w14:paraId="2538D4D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Ton Diepeveen</w:t>
      </w:r>
      <w:r w:rsidRPr="00D4637E">
        <w:rPr>
          <w:rStyle w:val="HideTWBExt"/>
          <w:b w:val="0"/>
        </w:rPr>
        <w:t>&lt;/Members&gt;</w:t>
      </w:r>
    </w:p>
    <w:p w14:paraId="1049E01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D25F39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3FE0A7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52D74B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577B0" w14:textId="77777777" w:rsidR="000D4DD1" w:rsidRPr="00D4637E" w:rsidRDefault="000D4DD1" w:rsidP="00660527"/>
        </w:tc>
      </w:tr>
      <w:tr w:rsidR="000D4DD1" w:rsidRPr="00D4637E" w14:paraId="0404AB4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2E81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EBE3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0735F8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BDECB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>uznaje, że obecne mechanizmy mające na celu kontrolę obciążeń legislacyjnych, takie jak podejście „jedno więcej – jedno mniej”, nie działają skutecznie ze względu na brak odpowiednich ocen ex post faktycznych kosztów prawodawstwa; uważa ponadto, że poważnym niedociągnięciem jest brak skutecznych mechanizmów usuwania przepisów przestarzałych lub zbędnych;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EF255" w14:textId="77777777" w:rsidR="000D4DD1" w:rsidRPr="00D4637E" w:rsidRDefault="000D4DD1" w:rsidP="00660527">
            <w:pPr>
              <w:pStyle w:val="Normal6a"/>
            </w:pPr>
            <w:r w:rsidRPr="00D4637E">
              <w:t>10.</w:t>
            </w:r>
            <w:r w:rsidRPr="00D4637E">
              <w:tab/>
              <w:t xml:space="preserve">uznaje, że obecne mechanizmy mające na celu kontrolę obciążeń legislacyjnych, takie jak podejście „jedno więcej – jedno mniej”, nie działają skutecznie ze względu na brak odpowiednich ocen ex post faktycznych kosztów </w:t>
            </w:r>
            <w:r w:rsidRPr="00D4637E">
              <w:rPr>
                <w:b/>
                <w:bCs/>
                <w:i/>
                <w:iCs/>
              </w:rPr>
              <w:t>i skutków</w:t>
            </w:r>
            <w:r w:rsidRPr="00D4637E">
              <w:t xml:space="preserve"> prawodawstwa; uważa ponadto, że poważnym niedociągnięciem jest brak skutecznych mechanizmów usuwania przepisów przestarzałych lub zbędnych;</w:t>
            </w:r>
          </w:p>
        </w:tc>
      </w:tr>
    </w:tbl>
    <w:p w14:paraId="45247DC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{NL}</w:t>
      </w:r>
      <w:r w:rsidRPr="00D4637E">
        <w:t>nl</w:t>
      </w:r>
      <w:r w:rsidRPr="00D4637E">
        <w:rPr>
          <w:rStyle w:val="HideTWBExt"/>
        </w:rPr>
        <w:t>&lt;/Original&gt;</w:t>
      </w:r>
    </w:p>
    <w:p w14:paraId="23FB37C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4DAE75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106</w:t>
      </w:r>
      <w:r w:rsidRPr="00D4637E">
        <w:rPr>
          <w:rStyle w:val="HideTWBExt"/>
          <w:b w:val="0"/>
        </w:rPr>
        <w:t>&lt;/NumAm&gt;</w:t>
      </w:r>
    </w:p>
    <w:p w14:paraId="2CE91BF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05E2B12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4B286D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FEB10D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165416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1C6D1" w14:textId="77777777" w:rsidR="000D4DD1" w:rsidRPr="00D4637E" w:rsidRDefault="000D4DD1" w:rsidP="00660527"/>
        </w:tc>
      </w:tr>
      <w:tr w:rsidR="000D4DD1" w:rsidRPr="00D4637E" w14:paraId="568597B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AE176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84BE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C56DE1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93DE9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900F8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10a.</w:t>
            </w:r>
            <w:r w:rsidRPr="00D4637E">
              <w:rPr>
                <w:b/>
                <w:i/>
              </w:rPr>
              <w:tab/>
              <w:t>z zadowoleniem przyjmuje cele Komisji dotyczące ograniczenia obciążeń jako kroki w kierunku bardziej inteligentnych regulacji; podkreśla jednak, że tego typu inicjatywy muszą być poddawane rygorystycznym testom odporności, aby uproszczenie przepisów nie podważało realizacji celów strategicznych; przypomina, że systematyczna, oparta na dowodach ocena przepisów – zgodnie z narzędziami Zestaw instrumentów służących lepszemu stanowieniu prawa – musi pozostać fundamentem tego procesu;</w:t>
            </w:r>
          </w:p>
        </w:tc>
      </w:tr>
    </w:tbl>
    <w:p w14:paraId="4B931AC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57833B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146652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107</w:t>
      </w:r>
      <w:r w:rsidRPr="00D4637E">
        <w:rPr>
          <w:rStyle w:val="HideTWBExt"/>
          <w:b w:val="0"/>
        </w:rPr>
        <w:t>&lt;/NumAm&gt;</w:t>
      </w:r>
    </w:p>
    <w:p w14:paraId="54A4210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3793CD6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C3CBE2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1583CD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7B6E09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3711B" w14:textId="77777777" w:rsidR="000D4DD1" w:rsidRPr="00D4637E" w:rsidRDefault="000D4DD1" w:rsidP="00660527"/>
        </w:tc>
      </w:tr>
      <w:tr w:rsidR="000D4DD1" w:rsidRPr="00D4637E" w14:paraId="2586162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2E6A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72BC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82E3F0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BBE5E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2CF7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10a.</w:t>
            </w:r>
            <w:r w:rsidRPr="00D4637E">
              <w:tab/>
            </w:r>
            <w:r w:rsidRPr="00D4637E">
              <w:rPr>
                <w:b/>
                <w:i/>
              </w:rPr>
              <w:t>zauważa, że mechanizm „jeden za jeden” (one in, one out) ma zastosowanie jedynie do aktów prawodawczych stanowiących podstawę prawną; z mechanizmu tego wyłączone są koszty związane z aktami delegowanymi i aktami wykonawczymi; wzywa zatem Komisję do uwzględniania takich kosztów w ogólnej ocenie obciążeń regulacyjnych; przypomina o wyroku w sprawie C-286/14, w którym Trybunał podkreślił znaczenie oceny skutków również w odniesieniu do aktów delegowanych;</w:t>
            </w:r>
          </w:p>
        </w:tc>
      </w:tr>
    </w:tbl>
    <w:p w14:paraId="1135DDB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5A87A95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29C89B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108</w:t>
      </w:r>
      <w:r w:rsidRPr="00D4637E">
        <w:rPr>
          <w:rStyle w:val="HideTWBExt"/>
          <w:b w:val="0"/>
        </w:rPr>
        <w:t>&lt;/NumAm&gt;</w:t>
      </w:r>
    </w:p>
    <w:p w14:paraId="3A5CEC4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19E0563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&lt;/RepeatBlock-By&gt;</w:t>
      </w:r>
    </w:p>
    <w:p w14:paraId="4E58B60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C4C04E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10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FCB3D0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5145E" w14:textId="77777777" w:rsidR="000D4DD1" w:rsidRPr="00D4637E" w:rsidRDefault="000D4DD1" w:rsidP="00660527"/>
        </w:tc>
      </w:tr>
      <w:tr w:rsidR="000D4DD1" w:rsidRPr="00D4637E" w14:paraId="5A5EAFF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212EF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D345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2C9560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0C0C9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0D21C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10b.</w:t>
            </w:r>
            <w:r w:rsidRPr="00D4637E">
              <w:rPr>
                <w:b/>
                <w:i/>
              </w:rPr>
              <w:tab/>
              <w:t>rekomenduje bardziej zdyscyplinowane i proporcjonalne stosowanie aktów delegowanych i wykonawczych, z zapewnieniem, aby akty drugiego poziomu ograniczały się wyłącznie do rzeczywistych zagadnień technicznych, niezbędnych do stosowania aktów pierwszego poziomu, i nie zmieniały kluczowych elementów polityki; podkreśla znaczenie poddawania aktów drugiego poziomu przejrzystym procedurom, z jasno określonymi terminami, które zapewniają współprawodawcom wystarczająco dużo czasu na rzeczywistą i skuteczną kontrolę; wzywa, aby akty te były publikowane z odpowiednim wyprzedzeniem, tak by zainteresowane strony miały czas na przygotowanie się do ich stosowania; zdecydowanie postuluje, by – o ile to możliwe – akty te były udostępniane przed wejściem w życie przepisów pierwszego poziomu lub równocześnie z nimi, aby zagwarantować pewność prawa i możliwość jego egzekwowania;</w:t>
            </w:r>
          </w:p>
        </w:tc>
      </w:tr>
    </w:tbl>
    <w:p w14:paraId="50F582C3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5A64C3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03648C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109</w:t>
      </w:r>
      <w:r w:rsidRPr="00D4637E">
        <w:rPr>
          <w:rStyle w:val="HideTWBExt"/>
          <w:b w:val="0"/>
        </w:rPr>
        <w:t>&lt;/NumAm&gt;</w:t>
      </w:r>
    </w:p>
    <w:p w14:paraId="6D92CEC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3414D73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E90D76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5A491B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21F125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7DB27" w14:textId="77777777" w:rsidR="000D4DD1" w:rsidRPr="00D4637E" w:rsidRDefault="000D4DD1" w:rsidP="00660527"/>
        </w:tc>
      </w:tr>
      <w:tr w:rsidR="000D4DD1" w:rsidRPr="00D4637E" w14:paraId="5181E25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EEBF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F5F9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C3C6149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41071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 xml:space="preserve">wzywa Komisję do dalszego wzmożenia wysiłków na rzecz ograniczenia obowiązków regulacyjnych dla obywateli i przedsiębiorstw; uważa, że obecne podejście „jedno więcej – jedno </w:t>
            </w:r>
            <w:r w:rsidRPr="00D4637E">
              <w:lastRenderedPageBreak/>
              <w:t xml:space="preserve">mniej” jest w tym względzie niewystarczające; w związku z tym, w celu rzeczywistego zmniejszenia obciążeń regulacyjnych, </w:t>
            </w:r>
            <w:r w:rsidRPr="00D4637E">
              <w:rPr>
                <w:b/>
                <w:i/>
              </w:rPr>
              <w:t xml:space="preserve">a nie tylko utrzymania status quo regulacji, </w:t>
            </w:r>
            <w:r w:rsidRPr="00D4637E">
              <w:t xml:space="preserve">wzywa do przyjęcia podejścia </w:t>
            </w:r>
            <w:r w:rsidRPr="00D4637E">
              <w:rPr>
                <w:b/>
                <w:i/>
              </w:rPr>
              <w:t>„jedno więcej – dwa mniej</w:t>
            </w:r>
            <w:r w:rsidRPr="00D4637E">
              <w:t xml:space="preserve">”; jest zdania, że </w:t>
            </w:r>
            <w:r w:rsidRPr="00D4637E">
              <w:rPr>
                <w:b/>
                <w:i/>
              </w:rPr>
              <w:t xml:space="preserve">w celu osiągnięcia redukcji netto kosztów regulacyjnych podejście „jedno więcej – dwa mniej” powinno obejmować jasną metodykę i niezależny mechanizm </w:t>
            </w:r>
            <w:r w:rsidRPr="00D4637E">
              <w:t>monitorowania;</w:t>
            </w:r>
            <w:r w:rsidRPr="00D4637E">
              <w:rPr>
                <w:b/>
                <w:i/>
              </w:rPr>
              <w:t xml:space="preserve"> wzywa do wzmocnienia w tym względzie roli Rady ds. Kontroli Regulacyjnej;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C925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11.</w:t>
            </w:r>
            <w:r w:rsidRPr="00D4637E">
              <w:tab/>
              <w:t xml:space="preserve">wzywa Komisję do dalszego wzmożenia wysiłków na rzecz ograniczenia obowiązków regulacyjnych dla obywateli i przedsiębiorstw; uważa, że obecne podejście „jedno więcej – jedno </w:t>
            </w:r>
            <w:r w:rsidRPr="00D4637E">
              <w:lastRenderedPageBreak/>
              <w:t xml:space="preserve">mniej” jest w tym względzie niewystarczające; w związku z tym, w celu rzeczywistego zmniejszenia obciążeń regulacyjnych </w:t>
            </w:r>
            <w:r w:rsidRPr="00D4637E">
              <w:rPr>
                <w:b/>
                <w:i/>
              </w:rPr>
              <w:t>i osiągnięcia korzyści dla przedsiębiorstw i obywateli</w:t>
            </w:r>
            <w:r w:rsidRPr="00D4637E">
              <w:t xml:space="preserve">, wzywa do przyjęcia </w:t>
            </w:r>
            <w:r w:rsidRPr="00D4637E">
              <w:rPr>
                <w:b/>
                <w:i/>
              </w:rPr>
              <w:t xml:space="preserve">zrównoważonego </w:t>
            </w:r>
            <w:r w:rsidRPr="00D4637E">
              <w:t xml:space="preserve">podejścia </w:t>
            </w:r>
            <w:r w:rsidRPr="00D4637E">
              <w:rPr>
                <w:b/>
                <w:i/>
              </w:rPr>
              <w:t>w ramach stanowienia prawa</w:t>
            </w:r>
            <w:r w:rsidRPr="00D4637E">
              <w:t xml:space="preserve">; jest zdania, że </w:t>
            </w:r>
            <w:r w:rsidRPr="00D4637E">
              <w:rPr>
                <w:b/>
                <w:i/>
              </w:rPr>
              <w:t xml:space="preserve">wymaga to jasnej metodyki oraz niezależnego i przejrzystego mechanizmu </w:t>
            </w:r>
            <w:r w:rsidRPr="00D4637E">
              <w:t>monitorowania;</w:t>
            </w:r>
          </w:p>
        </w:tc>
      </w:tr>
    </w:tbl>
    <w:p w14:paraId="336D2D59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E7184A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787486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110</w:t>
      </w:r>
      <w:r w:rsidRPr="00D4637E">
        <w:rPr>
          <w:rStyle w:val="HideTWBExt"/>
          <w:b w:val="0"/>
        </w:rPr>
        <w:t>&lt;/NumAm&gt;</w:t>
      </w:r>
    </w:p>
    <w:p w14:paraId="2BF119D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5B78399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E457D4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AE4654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DBF474B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D8BF6" w14:textId="77777777" w:rsidR="000D4DD1" w:rsidRPr="00D4637E" w:rsidRDefault="000D4DD1" w:rsidP="00660527"/>
        </w:tc>
      </w:tr>
      <w:tr w:rsidR="000D4DD1" w:rsidRPr="00D4637E" w14:paraId="16E920F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EC370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C8C8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52140B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1930C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>wzywa Komisję do dalszego wzmożenia wysiłków na rzecz ograniczenia obowiązków regulacyjnych dla obywateli i przedsiębiorstw; uważa, że obecne podejście „jedno więcej – jedno mniej” jest w tym względzie niewystarczające; w związku z tym, w celu rzeczywistego zmniejszenia obciążeń regulacyjnych, a nie tylko utrzymania status quo regulacji, wzywa do przyjęcia podejścia „jedno więcej – dwa mniej”; jest zdania, że w celu osiągnięcia redukcji netto kosztów regulacyjnych podejście „jedno więcej – dwa mniej” powinno obejmować jasną metodykę i niezależny mechanizm monitorowania; wzywa do wzmocnienia w tym względzie roli Rady ds. Kontroli Regulacyjnej;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2F080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 xml:space="preserve">wzywa Komisję do dalszego wzmożenia wysiłków na rzecz ograniczenia obowiązków regulacyjnych dla obywateli i przedsiębiorstw; uważa, że obecne podejście „jedno więcej – jedno mniej” jest w tym względzie niewystarczające; w związku z tym, w celu rzeczywistego zmniejszenia obciążeń regulacyjnych, a nie tylko utrzymania status quo regulacji, wzywa do przyjęcia podejścia „jedno więcej – dwa mniej”; jest zdania, że w celu osiągnięcia redukcji netto kosztów regulacyjnych podejście „jedno więcej – dwa mniej” powinno obejmować jasną metodykę i niezależny mechanizm monitorowania; wzywa do wzmocnienia w tym względzie roli Rady ds. Kontroli Regulacyjnej </w:t>
            </w:r>
            <w:r w:rsidRPr="00D4637E">
              <w:rPr>
                <w:b/>
                <w:i/>
              </w:rPr>
              <w:t>oraz do systematycznego obejmowania aktów delegowanych i aktów wykonawczych ocenami skutków</w:t>
            </w:r>
            <w:r w:rsidRPr="00D4637E">
              <w:t>;</w:t>
            </w:r>
          </w:p>
        </w:tc>
      </w:tr>
    </w:tbl>
    <w:p w14:paraId="77BD24C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2E3957F0" w14:textId="77777777" w:rsidR="000D4DD1" w:rsidRPr="00D4637E" w:rsidRDefault="000D4DD1" w:rsidP="000D4DD1">
      <w:r w:rsidRPr="00D4637E">
        <w:rPr>
          <w:rStyle w:val="HideTWBExt"/>
        </w:rPr>
        <w:lastRenderedPageBreak/>
        <w:t>&lt;/Amend&gt;</w:t>
      </w:r>
    </w:p>
    <w:p w14:paraId="3AE1DFD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111</w:t>
      </w:r>
      <w:r w:rsidRPr="00D4637E">
        <w:rPr>
          <w:rStyle w:val="HideTWBExt"/>
          <w:b w:val="0"/>
        </w:rPr>
        <w:t>&lt;/NumAm&gt;</w:t>
      </w:r>
    </w:p>
    <w:p w14:paraId="0654C64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7D472160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2CD857B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2A8BF8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EC74CB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510F8E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60F2C" w14:textId="77777777" w:rsidR="000D4DD1" w:rsidRPr="00D4637E" w:rsidRDefault="000D4DD1" w:rsidP="00660527"/>
        </w:tc>
      </w:tr>
      <w:tr w:rsidR="000D4DD1" w:rsidRPr="00D4637E" w14:paraId="2413821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9A1A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BD83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3BCFA4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17ADA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>wzywa Komisję do dalszego wzmożenia wysiłków na rzecz ograniczenia obowiązków regulacyjnych dla obywateli i przedsiębiorstw;</w:t>
            </w:r>
            <w:r w:rsidRPr="00D4637E">
              <w:rPr>
                <w:b/>
                <w:i/>
              </w:rPr>
              <w:t xml:space="preserve"> uważa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t xml:space="preserve">obecne </w:t>
            </w:r>
            <w:r w:rsidRPr="00D4637E">
              <w:t>podejście „</w:t>
            </w:r>
            <w:r w:rsidRPr="00D4637E">
              <w:rPr>
                <w:b/>
                <w:i/>
              </w:rPr>
              <w:t>jedno więcej – jedno mniej” jest w tym względzie niewystarczające</w:t>
            </w:r>
            <w:r w:rsidRPr="00D4637E">
              <w:t>;</w:t>
            </w:r>
            <w:r w:rsidRPr="00D4637E">
              <w:rPr>
                <w:b/>
                <w:i/>
              </w:rPr>
              <w:t xml:space="preserve"> w związku z tym, w celu rzeczywistego zmniejszenia obciążeń regulacyjnych, a nie tylko utrzymania status quo regulacji, </w:t>
            </w:r>
            <w:r w:rsidRPr="00D4637E">
              <w:t xml:space="preserve">wzywa do </w:t>
            </w:r>
            <w:r w:rsidRPr="00D4637E">
              <w:rPr>
                <w:b/>
                <w:i/>
              </w:rPr>
              <w:t>przyjęcia podejścia „jedno więcej – dwa mniej”; jest zdania, że w celu osiągnięcia redukcji netto kosztów regulacyjnych podejście „jedno więcej – dwa mniej” powinno obejmować jasną metodykę i niezależny mechanizm monitorowania;</w:t>
            </w:r>
            <w:r w:rsidRPr="00D4637E">
              <w:t xml:space="preserve"> </w:t>
            </w:r>
            <w:r w:rsidRPr="00D4637E">
              <w:rPr>
                <w:b/>
                <w:i/>
              </w:rPr>
              <w:t xml:space="preserve">wzywa do </w:t>
            </w:r>
            <w:r w:rsidRPr="00D4637E">
              <w:t>wzmocnienia w tym względzie roli Rady ds. Kontroli Regulacyjnej;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2CB45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 xml:space="preserve">wzywa Komisję do dalszego wzmożenia wysiłków na rzecz ograniczenia obowiązków regulacyjnych dla obywateli i przedsiębiorstw </w:t>
            </w:r>
            <w:r w:rsidRPr="00D4637E">
              <w:rPr>
                <w:b/>
                <w:i/>
              </w:rPr>
              <w:t>oraz do poprawy jakości i skuteczności prawodawstwa UE przez zapewnienie, aby środki regulacyjne były proporcjonalne, oparte na dowodach i przynosiły wyraźną wartość dodaną dla obywateli i przedsiębiorstw</w:t>
            </w:r>
            <w:r w:rsidRPr="00D4637E">
              <w:t>;</w:t>
            </w:r>
            <w:r w:rsidRPr="00D4637E">
              <w:rPr>
                <w:b/>
                <w:i/>
              </w:rPr>
              <w:t xml:space="preserve"> podkreśla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t xml:space="preserve">należy skupić się na zmniejszeniu zbędnych obciążeń administracyjnych przy jednoczesnym utrzymaniu wysokiego poziomu ochrony społecznej, środowiskowej i konsumentów; odrzuca koncepcję arbitralnych celów liczbowych, takich jak </w:t>
            </w:r>
            <w:r w:rsidRPr="00D4637E">
              <w:t>podejście „</w:t>
            </w:r>
            <w:r w:rsidRPr="00D4637E">
              <w:rPr>
                <w:b/>
                <w:i/>
              </w:rPr>
              <w:t>jeden wchodzi, dwa wychodzą”, które mogą zagrozić realizacji celów politycznych Unii</w:t>
            </w:r>
            <w:r w:rsidRPr="00D4637E">
              <w:t>; wzywa do wzmocnienia w tym względzie roli Rady ds. Kontroli Regulacyjnej;</w:t>
            </w:r>
          </w:p>
        </w:tc>
      </w:tr>
    </w:tbl>
    <w:p w14:paraId="53D9172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A5B26D0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99861D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112</w:t>
      </w:r>
      <w:r w:rsidRPr="00D4637E">
        <w:rPr>
          <w:rStyle w:val="HideTWBExt"/>
          <w:b w:val="0"/>
        </w:rPr>
        <w:t>&lt;/NumAm&gt;</w:t>
      </w:r>
    </w:p>
    <w:p w14:paraId="15EF0F8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0F32DF3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DAA3DE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714FF6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A0C70A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83A95" w14:textId="77777777" w:rsidR="000D4DD1" w:rsidRPr="00D4637E" w:rsidRDefault="000D4DD1" w:rsidP="00660527"/>
        </w:tc>
      </w:tr>
      <w:tr w:rsidR="000D4DD1" w:rsidRPr="00D4637E" w14:paraId="11D6492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B4AC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09B64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1ECEEC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07637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 xml:space="preserve">wzywa Komisję do dalszego wzmożenia wysiłków na rzecz ograniczenia obowiązków regulacyjnych dla obywateli i przedsiębiorstw; uważa, że </w:t>
            </w:r>
            <w:r w:rsidRPr="00D4637E">
              <w:lastRenderedPageBreak/>
              <w:t xml:space="preserve">obecne podejście „jedno więcej – jedno mniej” jest w tym względzie niewystarczające; w związku z tym, w celu rzeczywistego zmniejszenia obciążeń regulacyjnych, a nie tylko utrzymania status quo regulacji, wzywa do przyjęcia podejścia „jedno więcej – dwa mniej”; jest zdania, że w celu osiągnięcia redukcji netto kosztów regulacyjnych podejście „jedno więcej – dwa mniej” powinno obejmować jasną metodykę i niezależny mechanizm monitorowania; </w:t>
            </w:r>
            <w:r w:rsidRPr="00D4637E">
              <w:rPr>
                <w:b/>
                <w:i/>
              </w:rPr>
              <w:t>wzywa do wzmocnienia w tym względzie roli Rady ds. Kontroli Regulacyjnej;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40627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11.</w:t>
            </w:r>
            <w:r w:rsidRPr="00D4637E">
              <w:tab/>
              <w:t xml:space="preserve">wzywa Komisję do dalszego wzmożenia wysiłków na rzecz ograniczenia obowiązków regulacyjnych dla obywateli i przedsiębiorstw; uważa, że </w:t>
            </w:r>
            <w:r w:rsidRPr="00D4637E">
              <w:lastRenderedPageBreak/>
              <w:t>obecne podejście „jedno więcej – jedno mniej” jest w tym względzie niewystarczające; w związku z tym, w celu rzeczywistego zmniejszenia obciążeń regulacyjnych, a nie tylko utrzymania status quo regulacji, wzywa do przyjęcia podejścia „jedno więcej – dwa mniej”; jest zdania, że w celu osiągnięcia redukcji netto kosztów regulacyjnych podejście „jedno więcej – dwa mniej” powinno obejmować jasną metodykę</w:t>
            </w:r>
            <w:r w:rsidRPr="00D4637E">
              <w:rPr>
                <w:b/>
                <w:bCs/>
                <w:i/>
                <w:iCs/>
              </w:rPr>
              <w:t>, przejrzyste wskaźniki</w:t>
            </w:r>
            <w:r w:rsidRPr="00D4637E">
              <w:t xml:space="preserve"> i niezależny mechanizm monitorowania</w:t>
            </w:r>
            <w:r w:rsidRPr="00D4637E">
              <w:rPr>
                <w:b/>
                <w:bCs/>
                <w:i/>
                <w:iCs/>
              </w:rPr>
              <w:t>, a także zwiększenie roli Rady ds. Kontroli Regulacyjnej</w:t>
            </w:r>
            <w:r w:rsidRPr="00D4637E">
              <w:t>;</w:t>
            </w:r>
          </w:p>
        </w:tc>
      </w:tr>
    </w:tbl>
    <w:p w14:paraId="0990C4ED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11DF64E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A090C0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113</w:t>
      </w:r>
      <w:r w:rsidRPr="00D4637E">
        <w:rPr>
          <w:rStyle w:val="HideTWBExt"/>
          <w:b w:val="0"/>
        </w:rPr>
        <w:t>&lt;/NumAm&gt;</w:t>
      </w:r>
    </w:p>
    <w:p w14:paraId="181F918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0E1DF2B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DF4D25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436EDA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11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D7C5EE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7545D" w14:textId="77777777" w:rsidR="000D4DD1" w:rsidRPr="00D4637E" w:rsidRDefault="000D4DD1" w:rsidP="00660527"/>
        </w:tc>
      </w:tr>
      <w:tr w:rsidR="000D4DD1" w:rsidRPr="00D4637E" w14:paraId="6AFC1E90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2C6E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2C3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E2B4A5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D64A2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>wzywa Komisję do dalszego wzmożenia wysiłków na rzecz ograniczenia obowiązków regulacyjnych dla obywateli i przedsiębiorstw; uważa, że obecne podejście „jedno więcej – jedno mniej” jest w tym względzie niewystarczające; w związku z tym, w celu rzeczywistego zmniejszenia obciążeń regulacyjnych, a nie tylko utrzymania status quo regulacji, wzywa do przyjęcia podejścia „jedno więcej – dwa mniej”; jest zdania, że w celu osiągnięcia redukcji netto kosztów regulacyjnych podejście „jedno więcej – dwa mniej” powinno obejmować jasną metodykę i niezależny mechanizm monitorowania; wzywa do wzmocnienia w tym względzie roli Rady ds. Kontroli Regulacyjnej;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A9177" w14:textId="77777777" w:rsidR="000D4DD1" w:rsidRPr="00D4637E" w:rsidRDefault="000D4DD1" w:rsidP="00660527">
            <w:pPr>
              <w:pStyle w:val="Normal6a"/>
            </w:pPr>
            <w:r w:rsidRPr="00D4637E">
              <w:t>11.</w:t>
            </w:r>
            <w:r w:rsidRPr="00D4637E">
              <w:tab/>
              <w:t xml:space="preserve">wzywa Komisję do dalszego wzmożenia wysiłków na rzecz ograniczenia obowiązków regulacyjnych dla obywateli i przedsiębiorstw; uważa, że obecne podejście „jedno więcej – jedno mniej” jest w tym względzie </w:t>
            </w:r>
            <w:r w:rsidRPr="00D4637E">
              <w:rPr>
                <w:b/>
                <w:i/>
              </w:rPr>
              <w:t>dalece</w:t>
            </w:r>
            <w:r w:rsidRPr="00D4637E">
              <w:t xml:space="preserve"> niewystarczające; w związku z tym, w celu rzeczywistego zmniejszenia obciążeń regulacyjnych, a nie tylko utrzymania status quo regulacji, wzywa do przyjęcia podejścia „jedno więcej – dwa mniej”; jest zdania, że w celu osiągnięcia redukcji netto kosztów regulacyjnych podejście „jedno więcej – dwa mniej” powinno obejmować jasną metodykę i niezależny mechanizm monitorowania; wzywa do wzmocnienia w tym względzie roli Rady ds. Kontroli Regulacyjnej;</w:t>
            </w:r>
          </w:p>
        </w:tc>
      </w:tr>
    </w:tbl>
    <w:p w14:paraId="2DCEAEDD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6D1718EB" w14:textId="77777777" w:rsidR="000D4DD1" w:rsidRPr="00D4637E" w:rsidRDefault="000D4DD1" w:rsidP="000D4DD1">
      <w:r w:rsidRPr="00D4637E">
        <w:rPr>
          <w:rStyle w:val="HideTWBExt"/>
        </w:rPr>
        <w:lastRenderedPageBreak/>
        <w:t>&lt;/Amend&gt;</w:t>
      </w:r>
    </w:p>
    <w:p w14:paraId="3DBEF643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114</w:t>
      </w:r>
      <w:r w:rsidRPr="00D4637E">
        <w:rPr>
          <w:rStyle w:val="HideTWBExt"/>
          <w:b w:val="0"/>
        </w:rPr>
        <w:t>&lt;/NumAm&gt;</w:t>
      </w:r>
    </w:p>
    <w:p w14:paraId="61FA404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5881D39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7A021B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53AA16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11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1EC78E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FD007" w14:textId="77777777" w:rsidR="000D4DD1" w:rsidRPr="00D4637E" w:rsidRDefault="000D4DD1" w:rsidP="00660527"/>
        </w:tc>
      </w:tr>
      <w:tr w:rsidR="000D4DD1" w:rsidRPr="00D4637E" w14:paraId="6730C26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81AE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BEA1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DC5BD1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EFD4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6688C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11a.</w:t>
            </w:r>
            <w:r w:rsidRPr="00D4637E">
              <w:rPr>
                <w:b/>
                <w:i/>
              </w:rPr>
              <w:tab/>
              <w:t>odnotowuje zaangażowanie Rady ds. Kontroli Regulacyjnej w oceny skutków, kontrole sprawności i szeroko zakrojone oceny obowiązującego prawa; zauważa jednak, że należy znacznie poprawić przejrzystość posiedzeń Rady z zainteresowanymi stronami, a także jej przeglądów, zaleceń i opinii; podkreśla, że prace rady nie powinny ostatecznie wpływać na zdolność Komisji do proponowania aktów prawnych ani nadmiernie opóźniać przyjmowania wniosków ustawodawczych; uważa, że wszystkie opinie Rady bez wyjątku powinny być zawsze podawane do wiadomości publicznej niezwłocznie po ich przyjęciu;</w:t>
            </w:r>
          </w:p>
        </w:tc>
      </w:tr>
    </w:tbl>
    <w:p w14:paraId="05F318E9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A0F4D0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DD2EEF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115</w:t>
      </w:r>
      <w:r w:rsidRPr="00D4637E">
        <w:rPr>
          <w:rStyle w:val="HideTWBExt"/>
          <w:b w:val="0"/>
        </w:rPr>
        <w:t>&lt;/NumAm&gt;</w:t>
      </w:r>
    </w:p>
    <w:p w14:paraId="102601A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1D1B071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0EADA0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CBA7FD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12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8D6E26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6C094" w14:textId="77777777" w:rsidR="000D4DD1" w:rsidRPr="00D4637E" w:rsidRDefault="000D4DD1" w:rsidP="00660527"/>
        </w:tc>
      </w:tr>
      <w:tr w:rsidR="000D4DD1" w:rsidRPr="00D4637E" w14:paraId="23C9623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968AF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1C96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1862DA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9CF56" w14:textId="77777777" w:rsidR="000D4DD1" w:rsidRPr="00D4637E" w:rsidRDefault="000D4DD1" w:rsidP="00660527">
            <w:pPr>
              <w:pStyle w:val="Normal6a"/>
            </w:pPr>
            <w:r w:rsidRPr="00D4637E">
              <w:t>12.</w:t>
            </w:r>
            <w:r w:rsidRPr="00D4637E">
              <w:tab/>
              <w:t xml:space="preserve">jest zdania, że w przypadkach, w których Rada ds. Kontroli Regulacyjnej wydaje negatywną opinię na temat oceny skutków, zwłaszcza w przypadku stwierdzenia istotnych problemów w zakresie konkurencyjności, Parlament powinien być należycie i we właściwym czasie informowany, aby mógł podjąć </w:t>
            </w:r>
            <w:r w:rsidRPr="00D4637E">
              <w:lastRenderedPageBreak/>
              <w:t>decyzję, czy należy kontynuować prace nad wnioskiem, czy go oddalić;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42401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12.</w:t>
            </w:r>
            <w:r w:rsidRPr="00D4637E">
              <w:tab/>
              <w:t xml:space="preserve">jest zdania, że w przypadkach, w których Rada ds. Kontroli Regulacyjnej wydaje negatywną opinię na temat oceny skutków, zwłaszcza w przypadku stwierdzenia istotnych problemów w zakresie konkurencyjności, Parlament powinien być należycie i we właściwym czasie informowany, aby mógł podjąć </w:t>
            </w:r>
            <w:r w:rsidRPr="00D4637E">
              <w:lastRenderedPageBreak/>
              <w:t xml:space="preserve">decyzję, czy należy kontynuować prace nad wnioskiem, czy go oddalić; </w:t>
            </w:r>
            <w:r w:rsidRPr="00D4637E">
              <w:rPr>
                <w:b/>
                <w:i/>
              </w:rPr>
              <w:t>apeluje o zwiększenie przejrzystości działań Rady ds. Kontroli Regulacyjnej, w tym o szybsze publikowanie jej opinii i większą przejrzystość działań podejmowanych w następstwie jej zaleceń;</w:t>
            </w:r>
          </w:p>
        </w:tc>
      </w:tr>
    </w:tbl>
    <w:p w14:paraId="639334AA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158506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6FD240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116</w:t>
      </w:r>
      <w:r w:rsidRPr="00D4637E">
        <w:rPr>
          <w:rStyle w:val="HideTWBExt"/>
          <w:b w:val="0"/>
        </w:rPr>
        <w:t>&lt;/NumAm&gt;</w:t>
      </w:r>
    </w:p>
    <w:p w14:paraId="585BFD3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5C0E8E5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57835A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FAF973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12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62CA82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91EBA" w14:textId="77777777" w:rsidR="000D4DD1" w:rsidRPr="00D4637E" w:rsidRDefault="000D4DD1" w:rsidP="00660527"/>
        </w:tc>
      </w:tr>
      <w:tr w:rsidR="000D4DD1" w:rsidRPr="00D4637E" w14:paraId="2302088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CA1AF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3A08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FC7D44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DE057" w14:textId="77777777" w:rsidR="000D4DD1" w:rsidRPr="00D4637E" w:rsidRDefault="000D4DD1" w:rsidP="00660527">
            <w:pPr>
              <w:pStyle w:val="Normal6a"/>
            </w:pPr>
            <w:r w:rsidRPr="00D4637E">
              <w:t>12.</w:t>
            </w:r>
            <w:r w:rsidRPr="00D4637E">
              <w:tab/>
              <w:t xml:space="preserve">jest zdania, że w przypadkach, w których Rada ds. Kontroli Regulacyjnej wydaje negatywną opinię na temat oceny skutków, </w:t>
            </w:r>
            <w:r w:rsidRPr="00D4637E">
              <w:rPr>
                <w:b/>
                <w:i/>
              </w:rPr>
              <w:t xml:space="preserve">zwłaszcza w przypadku stwierdzenia istotnych problemów w zakresie konkurencyjności, </w:t>
            </w:r>
            <w:r w:rsidRPr="00D4637E">
              <w:t xml:space="preserve">Parlament powinien być należycie i we właściwym czasie informowany, aby </w:t>
            </w:r>
            <w:r w:rsidRPr="00D4637E">
              <w:rPr>
                <w:b/>
                <w:i/>
              </w:rPr>
              <w:t>mógł podjąć decyzję, czy należy kontynuować prace nad wnioskiem, czy go oddalić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4240D" w14:textId="77777777" w:rsidR="000D4DD1" w:rsidRPr="00D4637E" w:rsidRDefault="000D4DD1" w:rsidP="00660527">
            <w:pPr>
              <w:pStyle w:val="Normal6a"/>
            </w:pPr>
            <w:r w:rsidRPr="00D4637E">
              <w:t>12.</w:t>
            </w:r>
            <w:r w:rsidRPr="00D4637E">
              <w:tab/>
              <w:t>jest zdania, że w przypadkach, w których Rada ds. Kontroli Regulacyjnej wydaje negatywną opinię na temat oceny skutków, Parlament powinien być należycie i we właściwym czasie informowany</w:t>
            </w:r>
            <w:r w:rsidRPr="00D4637E">
              <w:rPr>
                <w:b/>
                <w:i/>
              </w:rPr>
              <w:t>; wzywa Komisję do rozważenia</w:t>
            </w:r>
            <w:r w:rsidRPr="00D4637E">
              <w:t xml:space="preserve">, </w:t>
            </w:r>
            <w:r w:rsidRPr="00D4637E">
              <w:rPr>
                <w:b/>
                <w:i/>
              </w:rPr>
              <w:t xml:space="preserve">w jaki sposób można ulepszyć mandat i procedury Rady ds. Kontroli Regulacyjnej, tak </w:t>
            </w:r>
            <w:r w:rsidRPr="00D4637E">
              <w:t xml:space="preserve">aby </w:t>
            </w:r>
            <w:r w:rsidRPr="00D4637E">
              <w:rPr>
                <w:b/>
                <w:i/>
              </w:rPr>
              <w:t>jej obrady stanowiły wsparcie dla współprawodawców, a nie utrudniały wykonywania ich roli</w:t>
            </w:r>
            <w:r w:rsidRPr="00D4637E">
              <w:t>;</w:t>
            </w:r>
          </w:p>
        </w:tc>
      </w:tr>
    </w:tbl>
    <w:p w14:paraId="40275B3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0E257D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6FFB58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117</w:t>
      </w:r>
      <w:r w:rsidRPr="00D4637E">
        <w:rPr>
          <w:rStyle w:val="HideTWBExt"/>
          <w:b w:val="0"/>
        </w:rPr>
        <w:t>&lt;/NumAm&gt;</w:t>
      </w:r>
    </w:p>
    <w:p w14:paraId="5AE37C4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64232B72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3446A01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478468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535ACE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12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B52D29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65B21" w14:textId="77777777" w:rsidR="000D4DD1" w:rsidRPr="00D4637E" w:rsidRDefault="000D4DD1" w:rsidP="00660527"/>
        </w:tc>
      </w:tr>
      <w:tr w:rsidR="000D4DD1" w:rsidRPr="00D4637E" w14:paraId="3BB2AB70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596E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B615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5F015F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7B730" w14:textId="77777777" w:rsidR="000D4DD1" w:rsidRPr="00D4637E" w:rsidRDefault="000D4DD1" w:rsidP="00660527">
            <w:pPr>
              <w:pStyle w:val="Normal6a"/>
            </w:pPr>
            <w:r w:rsidRPr="00D4637E">
              <w:t>12.</w:t>
            </w:r>
            <w:r w:rsidRPr="00D4637E">
              <w:tab/>
              <w:t xml:space="preserve">jest zdania, że w przypadkach, w których Rada ds. Kontroli Regulacyjnej wydaje negatywną opinię na temat oceny </w:t>
            </w:r>
            <w:r w:rsidRPr="00D4637E">
              <w:lastRenderedPageBreak/>
              <w:t xml:space="preserve">skutków, </w:t>
            </w:r>
            <w:r w:rsidRPr="00D4637E">
              <w:rPr>
                <w:b/>
                <w:i/>
              </w:rPr>
              <w:t xml:space="preserve">zwłaszcza w przypadku stwierdzenia istotnych problemów w zakresie konkurencyjności, </w:t>
            </w:r>
            <w:r w:rsidRPr="00D4637E">
              <w:t>Parlament powinien być należycie i we właściwym czasie informowany, aby mógł podjąć decyzję, czy należy kontynuować prace nad wnioskiem, czy go oddalić;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B7B90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12.</w:t>
            </w:r>
            <w:r w:rsidRPr="00D4637E">
              <w:tab/>
              <w:t xml:space="preserve">jest zdania, że w przypadkach, w których Rada ds. Kontroli Regulacyjnej wydaje negatywną opinię na temat oceny </w:t>
            </w:r>
            <w:r w:rsidRPr="00D4637E">
              <w:lastRenderedPageBreak/>
              <w:t>skutków, Parlament powinien być należycie i we właściwym czasie informowany, aby mógł podjąć decyzję, czy należy kontynuować prace nad wnioskiem, czy go oddalić;</w:t>
            </w:r>
          </w:p>
        </w:tc>
      </w:tr>
    </w:tbl>
    <w:p w14:paraId="06873F42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D9285F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631181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118</w:t>
      </w:r>
      <w:r w:rsidRPr="00D4637E">
        <w:rPr>
          <w:rStyle w:val="HideTWBExt"/>
          <w:b w:val="0"/>
        </w:rPr>
        <w:t>&lt;/NumAm&gt;</w:t>
      </w:r>
    </w:p>
    <w:p w14:paraId="4475B93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734E654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190B59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792C59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12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DD2F1F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3B927" w14:textId="77777777" w:rsidR="000D4DD1" w:rsidRPr="00D4637E" w:rsidRDefault="000D4DD1" w:rsidP="00660527"/>
        </w:tc>
      </w:tr>
      <w:tr w:rsidR="000D4DD1" w:rsidRPr="00D4637E" w14:paraId="4FF10C3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8B68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ECB7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558814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F94BE" w14:textId="77777777" w:rsidR="000D4DD1" w:rsidRPr="00D4637E" w:rsidRDefault="000D4DD1" w:rsidP="00660527">
            <w:pPr>
              <w:pStyle w:val="Normal6a"/>
            </w:pPr>
            <w:r w:rsidRPr="00D4637E">
              <w:t>12.</w:t>
            </w:r>
            <w:r w:rsidRPr="00D4637E">
              <w:tab/>
              <w:t xml:space="preserve">jest zdania, że w przypadkach, w których Rada ds. Kontroli Regulacyjnej wydaje negatywną opinię na temat oceny skutków, zwłaszcza w przypadku stwierdzenia istotnych problemów w zakresie konkurencyjności, Parlament powinien być należycie </w:t>
            </w:r>
            <w:r w:rsidRPr="00D4637E">
              <w:rPr>
                <w:b/>
                <w:bCs/>
                <w:i/>
                <w:iCs/>
              </w:rPr>
              <w:t>i we właściwym czasie</w:t>
            </w:r>
            <w:r w:rsidRPr="00D4637E">
              <w:t xml:space="preserve"> informowany, aby mógł podjąć decyzję, czy należy kontynuować prace nad wnioskiem, czy go oddalić;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A1E47" w14:textId="77777777" w:rsidR="000D4DD1" w:rsidRPr="00D4637E" w:rsidRDefault="000D4DD1" w:rsidP="00660527">
            <w:pPr>
              <w:pStyle w:val="Normal6a"/>
            </w:pPr>
            <w:r w:rsidRPr="00D4637E">
              <w:t>12.</w:t>
            </w:r>
            <w:r w:rsidRPr="00D4637E">
              <w:tab/>
              <w:t>jest zdania, że w przypadkach, w których Rada ds. Kontroli Regulacyjnej wydaje negatywną opinię na temat oceny skutków, zwłaszcza w przypadku stwierdzenia istotnych problemów w zakresie konkurencyjności, Parlament powinien być należycie informowany</w:t>
            </w:r>
            <w:r w:rsidRPr="00D4637E">
              <w:rPr>
                <w:b/>
                <w:bCs/>
                <w:i/>
                <w:iCs/>
              </w:rPr>
              <w:t>, w odpowiednim czasie,</w:t>
            </w:r>
            <w:r w:rsidRPr="00D4637E">
              <w:t xml:space="preserve"> aby mógł podjąć decyzję, czy należy kontynuować prace nad wnioskiem, czy go oddalić;</w:t>
            </w:r>
          </w:p>
        </w:tc>
      </w:tr>
    </w:tbl>
    <w:p w14:paraId="3F655C63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2E960DA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3D7D581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119</w:t>
      </w:r>
      <w:r w:rsidRPr="00D4637E">
        <w:rPr>
          <w:rStyle w:val="HideTWBExt"/>
          <w:b w:val="0"/>
        </w:rPr>
        <w:t>&lt;/NumAm&gt;</w:t>
      </w:r>
    </w:p>
    <w:p w14:paraId="2A26797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210E047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1CE6BA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7059DE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12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64B8F6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73010" w14:textId="77777777" w:rsidR="000D4DD1" w:rsidRPr="00D4637E" w:rsidRDefault="000D4DD1" w:rsidP="00660527"/>
        </w:tc>
      </w:tr>
      <w:tr w:rsidR="000D4DD1" w:rsidRPr="00D4637E" w14:paraId="77586AB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A62F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2E50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4292D1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4063E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03EE2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12a.</w:t>
            </w:r>
            <w:r w:rsidRPr="00D4637E">
              <w:tab/>
            </w:r>
            <w:r w:rsidRPr="00D4637E">
              <w:rPr>
                <w:b/>
                <w:i/>
              </w:rPr>
              <w:t xml:space="preserve">zwraca uwagę, na negatywną rolę jaką odgrywają organizacje pozarządowe w procesie tworzenia prawa europejskiego, zwłaszcza w takich obszarach jak polityka klimatyczna i energetyczna; podkreśla potrzebę pełnej </w:t>
            </w:r>
            <w:r w:rsidRPr="00D4637E">
              <w:rPr>
                <w:b/>
                <w:i/>
              </w:rPr>
              <w:lastRenderedPageBreak/>
              <w:t>transparentności w zakresie finansowania przez KE działań lobbingowych ukierunkowanych na inne instytucje UE, zwłaszcza Parlament Europejski; podkreśla znaczenie grupy roboczej ds. kontroli (SWG) działającej w ramach Komisji CONT, w ujawnianiu źródeł finansowania aktywności organizacji pozarządowych, które mają wpływ na tworzenie prawa w UE poprzez konsultacje lub pełnienie funkcji doradczych;</w:t>
            </w:r>
          </w:p>
        </w:tc>
      </w:tr>
    </w:tbl>
    <w:p w14:paraId="6AB35552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7CDD0AC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24FF24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120</w:t>
      </w:r>
      <w:r w:rsidRPr="00D4637E">
        <w:rPr>
          <w:rStyle w:val="HideTWBExt"/>
          <w:b w:val="0"/>
        </w:rPr>
        <w:t>&lt;/NumAm&gt;</w:t>
      </w:r>
    </w:p>
    <w:p w14:paraId="200E895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68B8095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74AA7D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616CD0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12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4B0399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3AC28" w14:textId="77777777" w:rsidR="000D4DD1" w:rsidRPr="00D4637E" w:rsidRDefault="000D4DD1" w:rsidP="00660527"/>
        </w:tc>
      </w:tr>
      <w:tr w:rsidR="000D4DD1" w:rsidRPr="00D4637E" w14:paraId="446D20F0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F605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0439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1A455C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57C6B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2D78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12a.</w:t>
            </w:r>
            <w:r w:rsidRPr="00D4637E">
              <w:rPr>
                <w:b/>
                <w:i/>
              </w:rPr>
              <w:tab/>
              <w:t>apeluje o wzmocnienie roli Parlamentu Europejskiego w zakresie oceny ex post aktów prawnych UE oraz monitorowania wdrażania zasady „jedno więcej – dwa mnie”, tak aby działania na rzecz uproszczenia nie prowadziły do osłabienia praw obywateli, ochrony pracowników ani standardów środowiskowych;</w:t>
            </w:r>
          </w:p>
        </w:tc>
      </w:tr>
    </w:tbl>
    <w:p w14:paraId="587A878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FAF467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E0D812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121</w:t>
      </w:r>
      <w:r w:rsidRPr="00D4637E">
        <w:rPr>
          <w:rStyle w:val="HideTWBExt"/>
          <w:b w:val="0"/>
        </w:rPr>
        <w:t>&lt;/NumAm&gt;</w:t>
      </w:r>
    </w:p>
    <w:p w14:paraId="3720DDF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02F0C91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A5F483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461CC5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12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D5BC18B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9AB42" w14:textId="77777777" w:rsidR="000D4DD1" w:rsidRPr="00D4637E" w:rsidRDefault="000D4DD1" w:rsidP="00660527"/>
        </w:tc>
      </w:tr>
      <w:tr w:rsidR="000D4DD1" w:rsidRPr="00D4637E" w14:paraId="493CC9E0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CBEA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BA9C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049306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9720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7BC8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12a.</w:t>
            </w:r>
            <w:r w:rsidRPr="00D4637E">
              <w:rPr>
                <w:b/>
                <w:i/>
              </w:rPr>
              <w:tab/>
              <w:t xml:space="preserve">zachęca Komisję do poszukiwania sposobów dalszego wzmocnienia </w:t>
            </w:r>
            <w:r w:rsidRPr="00D4637E">
              <w:rPr>
                <w:b/>
                <w:i/>
              </w:rPr>
              <w:lastRenderedPageBreak/>
              <w:t>niezależności i potencjału Rady ds. Kontroli Regulacyjnej, w tym przez zapewnienie jej odpowiednich zasobów do oceny większej liczby inicjatyw Komisji;</w:t>
            </w:r>
          </w:p>
        </w:tc>
      </w:tr>
    </w:tbl>
    <w:p w14:paraId="42D3E98A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6B33D74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E3273C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122</w:t>
      </w:r>
      <w:r w:rsidRPr="00D4637E">
        <w:rPr>
          <w:rStyle w:val="HideTWBExt"/>
          <w:b w:val="0"/>
        </w:rPr>
        <w:t>&lt;/NumAm&gt;</w:t>
      </w:r>
    </w:p>
    <w:p w14:paraId="408FF1E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6D3F301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C25872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6BF9D7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13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1AEADDF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9C3EF" w14:textId="77777777" w:rsidR="000D4DD1" w:rsidRPr="00D4637E" w:rsidRDefault="000D4DD1" w:rsidP="00660527"/>
        </w:tc>
      </w:tr>
      <w:tr w:rsidR="000D4DD1" w:rsidRPr="00D4637E" w14:paraId="5327D57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11C3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3C8B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50959C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43C79" w14:textId="77777777" w:rsidR="000D4DD1" w:rsidRPr="00D4637E" w:rsidRDefault="000D4DD1" w:rsidP="00660527">
            <w:pPr>
              <w:pStyle w:val="Normal6a"/>
            </w:pPr>
            <w:r w:rsidRPr="00D4637E">
              <w:t>13.</w:t>
            </w:r>
            <w:r w:rsidRPr="00D4637E">
              <w:tab/>
            </w:r>
            <w:r w:rsidRPr="00D4637E">
              <w:rPr>
                <w:b/>
                <w:i/>
              </w:rPr>
              <w:t>zauważa, że kluczową rolę w śledzeniu postępów w zmniejszaniu obciążeń odgrywa coroczne badanie obciążenia przez Komisję;</w:t>
            </w:r>
            <w:r w:rsidRPr="00D4637E">
              <w:t xml:space="preserve"> podkreśla </w:t>
            </w:r>
            <w:r w:rsidRPr="00D4637E">
              <w:rPr>
                <w:b/>
                <w:i/>
              </w:rPr>
              <w:t>jednak</w:t>
            </w:r>
            <w:r w:rsidRPr="00D4637E">
              <w:t>, że aby zapewnić rozliczalność i porównywalność we wszystkich obszarach polityki, potrzebna jest większa przejrzystość w odniesieniu do obliczeń i metod stosowanych do pomiaru kosztów i skumulowanych skutków;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0C16E" w14:textId="77777777" w:rsidR="000D4DD1" w:rsidRPr="00D4637E" w:rsidRDefault="000D4DD1" w:rsidP="00660527">
            <w:pPr>
              <w:pStyle w:val="Normal6a"/>
            </w:pPr>
            <w:r w:rsidRPr="00D4637E">
              <w:t>13.</w:t>
            </w:r>
            <w:r w:rsidRPr="00D4637E">
              <w:tab/>
              <w:t xml:space="preserve">podkreśla, że aby zapewnić rozliczalność i porównywalność we wszystkich obszarach polityki, potrzebna jest większa przejrzystość w odniesieniu do obliczeń i metod stosowanych do pomiaru kosztów i skumulowanych skutków </w:t>
            </w:r>
            <w:r w:rsidRPr="00D4637E">
              <w:rPr>
                <w:b/>
                <w:i/>
              </w:rPr>
              <w:t>w stosunku do korzyści</w:t>
            </w:r>
            <w:r w:rsidRPr="00D4637E">
              <w:t>;</w:t>
            </w:r>
          </w:p>
        </w:tc>
      </w:tr>
    </w:tbl>
    <w:p w14:paraId="22C5DF5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C15ECD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8BBC5DE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123</w:t>
      </w:r>
      <w:r w:rsidRPr="00D4637E">
        <w:rPr>
          <w:rStyle w:val="HideTWBExt"/>
          <w:b w:val="0"/>
        </w:rPr>
        <w:t>&lt;/NumAm&gt;</w:t>
      </w:r>
    </w:p>
    <w:p w14:paraId="26A28AE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44B85F3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028C45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7026E1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13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BDEAD6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652AD" w14:textId="77777777" w:rsidR="000D4DD1" w:rsidRPr="00D4637E" w:rsidRDefault="000D4DD1" w:rsidP="00660527"/>
        </w:tc>
      </w:tr>
      <w:tr w:rsidR="000D4DD1" w:rsidRPr="00D4637E" w14:paraId="32CB8CB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E701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E832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999A49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174B6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7411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13a.</w:t>
            </w:r>
            <w:r w:rsidRPr="00D4637E">
              <w:tab/>
            </w:r>
            <w:r w:rsidRPr="00D4637E">
              <w:rPr>
                <w:b/>
                <w:i/>
              </w:rPr>
              <w:t xml:space="preserve">stwierdza, że parlamenty krajowe nie dysponują kompetencjami w zakresie uprzedniej kontroli aktów delegowanych i aktów wykonawczych przyjmowanych przez Komisję Europejską; taki brak rodzi poważne zastrzeżenia z punktu widzenia ochrony zasady proporcjonalności, zwłaszcza w obszarach obejmujących </w:t>
            </w:r>
            <w:r w:rsidRPr="00D4637E">
              <w:rPr>
                <w:b/>
                <w:i/>
              </w:rPr>
              <w:lastRenderedPageBreak/>
              <w:t>środki, które mogą sprzyjać naruszeniom tej zasady, szczególnie w dziedzinach charakteryzujących się wysokim stopniem złożoności technicznej, gdzie ryzyko przekroczenia zakresu upoważnienia lub wyjścia poza ograniczenia ustanowione w akcie podstawowym jest szczególnie wyraźne; przypomina, że w wyroku w sprawie C-14/18 Trybunał ponownie podkreślił znaczenie poszanowania zasady proporcjonalności na wszystkich etapach procesu prawodawczego, w tym na etapie wdrażania; wzywa Komisję Europejską do wzmocnienia mechanizmów kontroli demokratycznej i kontroli rachunkowej w odniesieniu do takich aktów;</w:t>
            </w:r>
          </w:p>
        </w:tc>
      </w:tr>
    </w:tbl>
    <w:p w14:paraId="264C1165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4F440FA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9E3136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124</w:t>
      </w:r>
      <w:r w:rsidRPr="00D4637E">
        <w:rPr>
          <w:rStyle w:val="HideTWBExt"/>
          <w:b w:val="0"/>
        </w:rPr>
        <w:t>&lt;/NumAm&gt;</w:t>
      </w:r>
    </w:p>
    <w:p w14:paraId="576D51D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17EA11C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9B9DE1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A8A9C9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13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EB93B8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5D3BF" w14:textId="77777777" w:rsidR="000D4DD1" w:rsidRPr="00D4637E" w:rsidRDefault="000D4DD1" w:rsidP="00660527"/>
        </w:tc>
      </w:tr>
      <w:tr w:rsidR="000D4DD1" w:rsidRPr="00D4637E" w14:paraId="378EA06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C73BF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11C7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490C59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D9591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FD450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13a.</w:t>
            </w:r>
            <w:r w:rsidRPr="00D4637E">
              <w:tab/>
            </w:r>
            <w:r w:rsidRPr="00D4637E">
              <w:rPr>
                <w:b/>
                <w:i/>
              </w:rPr>
              <w:t>zachęca Komisję do regularnego stosowania mechanizmu "Stop-the-clock" w sytuacji, gdy wchodzące w życie przepisy lub regulacje mogą stanowić zagrożenie dla europejskiej konkurencyjności w strategicznych sektorach gospodarki, a koszty ich wdrażania znacząco przewyższają potencjalne korzyści płynące z ich stosowania;</w:t>
            </w:r>
          </w:p>
        </w:tc>
      </w:tr>
    </w:tbl>
    <w:p w14:paraId="50FA465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2C687E4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5AB340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125</w:t>
      </w:r>
      <w:r w:rsidRPr="00D4637E">
        <w:rPr>
          <w:rStyle w:val="HideTWBExt"/>
          <w:b w:val="0"/>
        </w:rPr>
        <w:t>&lt;/NumAm&gt;</w:t>
      </w:r>
    </w:p>
    <w:p w14:paraId="73F776C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Jörgen Warborn</w:t>
      </w:r>
      <w:r w:rsidRPr="00D4637E">
        <w:rPr>
          <w:rStyle w:val="HideTWBExt"/>
          <w:b w:val="0"/>
        </w:rPr>
        <w:t>&lt;/Members&gt;</w:t>
      </w:r>
    </w:p>
    <w:p w14:paraId="7793F39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1F52FF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63EDD0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13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A11BF7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2CA90" w14:textId="77777777" w:rsidR="000D4DD1" w:rsidRPr="00D4637E" w:rsidRDefault="000D4DD1" w:rsidP="00660527"/>
        </w:tc>
      </w:tr>
      <w:tr w:rsidR="000D4DD1" w:rsidRPr="00D4637E" w14:paraId="27D2C70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A36AF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088F3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88080F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9BE24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0552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13a.</w:t>
            </w:r>
            <w:r w:rsidRPr="00D4637E">
              <w:rPr>
                <w:b/>
                <w:i/>
              </w:rPr>
              <w:tab/>
              <w:t>z zadowoleniem przyjmuje pomysł Draghiego dotyczący opracowania jednolitej, jasnej metodyki umożliwiającej wyliczanie kosztów nowych aktów prawnych i wyraża przekonanie, że Komisja powinna opracować taką metodykę;</w:t>
            </w:r>
          </w:p>
        </w:tc>
      </w:tr>
    </w:tbl>
    <w:p w14:paraId="14E0EAA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397283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8E9C47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126</w:t>
      </w:r>
      <w:r w:rsidRPr="00D4637E">
        <w:rPr>
          <w:rStyle w:val="HideTWBExt"/>
          <w:b w:val="0"/>
        </w:rPr>
        <w:t>&lt;/NumAm&gt;</w:t>
      </w:r>
    </w:p>
    <w:p w14:paraId="2B21CE4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4AF398F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E3F27E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7EA6DE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13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011B405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83979" w14:textId="77777777" w:rsidR="000D4DD1" w:rsidRPr="00D4637E" w:rsidRDefault="000D4DD1" w:rsidP="00660527"/>
        </w:tc>
      </w:tr>
      <w:tr w:rsidR="000D4DD1" w:rsidRPr="00D4637E" w14:paraId="1E9A884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3EE3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6C25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1F1BCB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BE63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A8EB7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13b.</w:t>
            </w:r>
            <w:r w:rsidRPr="00D4637E">
              <w:tab/>
            </w:r>
            <w:r w:rsidRPr="00D4637E">
              <w:rPr>
                <w:b/>
                <w:i/>
              </w:rPr>
              <w:t>wzywa Komisję do ustanowienia systemu uprzedniego powiadamiania parlamentów krajowych o aktach delegowanych i aktach wykonawczych, analogicznego do przewidzianego dla aktów prawodawczych; wnosi, aby system ten umożliwiał parlamentom krajowym przedstawianie uwag dotyczących proporcjonalności oraz skutków krajowych przed ostatecznym przyjęciem tych aktów;</w:t>
            </w:r>
          </w:p>
        </w:tc>
      </w:tr>
    </w:tbl>
    <w:p w14:paraId="21E0FE0A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4F7E856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052372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127</w:t>
      </w:r>
      <w:r w:rsidRPr="00D4637E">
        <w:rPr>
          <w:rStyle w:val="HideTWBExt"/>
          <w:b w:val="0"/>
        </w:rPr>
        <w:t>&lt;/NumAm&gt;</w:t>
      </w:r>
    </w:p>
    <w:p w14:paraId="6D1BC47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5D4DD503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0DF1C80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F92A82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848C4B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702D46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E97CF" w14:textId="77777777" w:rsidR="000D4DD1" w:rsidRPr="00D4637E" w:rsidRDefault="000D4DD1" w:rsidP="00660527"/>
        </w:tc>
      </w:tr>
      <w:tr w:rsidR="000D4DD1" w:rsidRPr="00D4637E" w14:paraId="31BEF52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BB5C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99A3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DF98998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058C1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14.</w:t>
            </w:r>
            <w:r w:rsidRPr="00D4637E">
              <w:rPr>
                <w:b/>
                <w:i/>
              </w:rPr>
              <w:tab/>
              <w:t xml:space="preserve">zauważa, że obowiązki sprawozdawcze często generują dla </w:t>
            </w:r>
            <w:r w:rsidRPr="00D4637E">
              <w:rPr>
                <w:b/>
                <w:i/>
              </w:rPr>
              <w:lastRenderedPageBreak/>
              <w:t>przedsiębiorstw, w szczególności dla MŚP, znaczne koszty administracyjne; uważa, że takie obowiązki należy uznać za usługi świadczone w interesie ogólnym; w związku z tym wzywa Komisję do oceny wykonalności mechanizmów, za pomocą których przedsiębiorstwa mogłyby otrzymywać rekompensatę finansową za obowiązkowe zadania sprawozdawcze; zwraca się do Komisji o przedstawienie sprawozdania wskazującego rodzaje obowiązków sprawozdawczych, w odniesieniu do których takie systemy rekompensat są właściwe;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875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lastRenderedPageBreak/>
              <w:t>skreśla się</w:t>
            </w:r>
          </w:p>
        </w:tc>
      </w:tr>
    </w:tbl>
    <w:p w14:paraId="59204B2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6F02D8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75B81D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128</w:t>
      </w:r>
      <w:r w:rsidRPr="00D4637E">
        <w:rPr>
          <w:rStyle w:val="HideTWBExt"/>
          <w:b w:val="0"/>
        </w:rPr>
        <w:t>&lt;/NumAm&gt;</w:t>
      </w:r>
    </w:p>
    <w:p w14:paraId="3C915B5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Ton Diepeveen</w:t>
      </w:r>
      <w:r w:rsidRPr="00D4637E">
        <w:rPr>
          <w:rStyle w:val="HideTWBExt"/>
          <w:b w:val="0"/>
        </w:rPr>
        <w:t>&lt;/Members&gt;</w:t>
      </w:r>
    </w:p>
    <w:p w14:paraId="2F6AF07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4975AA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D7E4BB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38310A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C1734" w14:textId="77777777" w:rsidR="000D4DD1" w:rsidRPr="00D4637E" w:rsidRDefault="000D4DD1" w:rsidP="00660527"/>
        </w:tc>
      </w:tr>
      <w:tr w:rsidR="000D4DD1" w:rsidRPr="00D4637E" w14:paraId="6406201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31D62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AE0FE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BDE946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974C2" w14:textId="77777777" w:rsidR="000D4DD1" w:rsidRPr="00D4637E" w:rsidRDefault="000D4DD1" w:rsidP="00660527">
            <w:pPr>
              <w:pStyle w:val="Normal6a"/>
            </w:pPr>
            <w:r w:rsidRPr="00D4637E">
              <w:t>14.</w:t>
            </w:r>
            <w:r w:rsidRPr="00D4637E">
              <w:tab/>
              <w:t xml:space="preserve">zauważa, że obowiązki sprawozdawcze często generują dla przedsiębiorstw, w szczególności dla MŚP, znaczne koszty administracyjne; uważa, że takie obowiązki należy </w:t>
            </w:r>
            <w:r w:rsidRPr="00D4637E">
              <w:rPr>
                <w:b/>
                <w:bCs/>
                <w:i/>
                <w:iCs/>
              </w:rPr>
              <w:t>uznać za usługi świadczone w interesie ogólnym</w:t>
            </w:r>
            <w:r w:rsidRPr="00D4637E">
              <w:t xml:space="preserve">; </w:t>
            </w:r>
            <w:r w:rsidRPr="00D4637E">
              <w:rPr>
                <w:b/>
                <w:bCs/>
                <w:i/>
                <w:iCs/>
              </w:rPr>
              <w:t>w związku z tym wzywa Komisję do oceny wykonalności mechanizmów, za pomocą których przedsiębiorstwa mogłyby otrzymywać rekompensatę finansową za obowiązkowe zadania sprawozdawcze</w:t>
            </w:r>
            <w:r w:rsidRPr="00D4637E">
              <w:t xml:space="preserve">; </w:t>
            </w:r>
            <w:r w:rsidRPr="00D4637E">
              <w:rPr>
                <w:b/>
                <w:i/>
              </w:rPr>
              <w:t>zwraca się do Komisji o przedstawienie sprawozdania wskazującego rodzaje obowiązków sprawozdawczych, w odniesieniu do których takie systemy rekompensat są właściwe;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119FB" w14:textId="77777777" w:rsidR="000D4DD1" w:rsidRPr="00D4637E" w:rsidRDefault="000D4DD1" w:rsidP="00660527">
            <w:pPr>
              <w:pStyle w:val="Normal6a"/>
            </w:pPr>
            <w:r w:rsidRPr="00D4637E">
              <w:t>14.</w:t>
            </w:r>
            <w:r w:rsidRPr="00D4637E">
              <w:tab/>
              <w:t xml:space="preserve">zauważa, że obowiązki sprawozdawcze często generują dla przedsiębiorstw, w szczególności dla MŚP, znaczne koszty administracyjne; uważa, że takie obowiązki należy </w:t>
            </w:r>
            <w:r w:rsidRPr="00D4637E">
              <w:rPr>
                <w:b/>
                <w:bCs/>
                <w:i/>
                <w:iCs/>
              </w:rPr>
              <w:t>znieść przynajmniej dla MŚP</w:t>
            </w:r>
            <w:r w:rsidRPr="00D4637E">
              <w:t>;</w:t>
            </w:r>
          </w:p>
        </w:tc>
      </w:tr>
    </w:tbl>
    <w:p w14:paraId="54F0855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{NL}</w:t>
      </w:r>
      <w:r w:rsidRPr="00D4637E">
        <w:t>nl</w:t>
      </w:r>
      <w:r w:rsidRPr="00D4637E">
        <w:rPr>
          <w:rStyle w:val="HideTWBExt"/>
        </w:rPr>
        <w:t>&lt;/Original&gt;</w:t>
      </w:r>
    </w:p>
    <w:p w14:paraId="2A393F7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43B0E1E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lastRenderedPageBreak/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129</w:t>
      </w:r>
      <w:r w:rsidRPr="00D4637E">
        <w:rPr>
          <w:rStyle w:val="HideTWBExt"/>
          <w:b w:val="0"/>
        </w:rPr>
        <w:t>&lt;/NumAm&gt;</w:t>
      </w:r>
    </w:p>
    <w:p w14:paraId="5899547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0D4927B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A85D8A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BD5162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DFA89D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E777C" w14:textId="77777777" w:rsidR="000D4DD1" w:rsidRPr="00D4637E" w:rsidRDefault="000D4DD1" w:rsidP="00660527"/>
        </w:tc>
      </w:tr>
      <w:tr w:rsidR="000D4DD1" w:rsidRPr="00D4637E" w14:paraId="174ECE4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5F27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47DE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393CD4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B4418" w14:textId="77777777" w:rsidR="000D4DD1" w:rsidRPr="00D4637E" w:rsidRDefault="000D4DD1" w:rsidP="00660527">
            <w:pPr>
              <w:pStyle w:val="Normal6a"/>
            </w:pPr>
            <w:r w:rsidRPr="00D4637E">
              <w:t>14.</w:t>
            </w:r>
            <w:r w:rsidRPr="00D4637E">
              <w:tab/>
              <w:t>zauważa, że obowiązki sprawozdawcze często generują dla przedsiębiorstw, w szczególności dla MŚP, znaczne koszty administracyjne; uważa, że takie obowiązki należy uznać za usługi świadczone w interesie ogólnym; w związku z tym wzywa Komisję do oceny wykonalności mechanizmów, za pomocą których przedsiębiorstwa mogłyby otrzymywać rekompensatę finansową za obowiązkowe zadania sprawozdawcze; zwraca się do Komisji o przedstawienie sprawozdania wskazującego rodzaje obowiązków sprawozdawczych, w odniesieniu do których takie systemy rekompensat są właściwe;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01433" w14:textId="77777777" w:rsidR="000D4DD1" w:rsidRPr="00D4637E" w:rsidRDefault="000D4DD1" w:rsidP="00660527">
            <w:pPr>
              <w:pStyle w:val="Normal6a"/>
            </w:pPr>
            <w:r w:rsidRPr="00D4637E">
              <w:t>14.</w:t>
            </w:r>
            <w:r w:rsidRPr="00D4637E">
              <w:tab/>
              <w:t xml:space="preserve">zauważa, że obowiązki sprawozdawcze często generują dla przedsiębiorstw, w szczególności dla MŚP, znaczne koszty administracyjne; uważa, że takie obowiązki należy uznać za usługi świadczone w interesie ogólnym; w związku z tym wzywa Komisję do oceny wykonalności mechanizmów, za pomocą których przedsiębiorstwa mogłyby otrzymywać </w:t>
            </w:r>
            <w:r w:rsidRPr="00D4637E">
              <w:rPr>
                <w:b/>
                <w:i/>
              </w:rPr>
              <w:t>z budżetu Unii Europejskiej </w:t>
            </w:r>
            <w:r w:rsidRPr="00D4637E">
              <w:t>rekompensatę finansową za obowiązkowe zadania sprawozdawcze; zwraca się do Komisji o przedstawienie sprawozdania wskazującego rodzaje obowiązków sprawozdawczych, w odniesieniu do których takie systemy rekompensat są właściwe;</w:t>
            </w:r>
          </w:p>
        </w:tc>
      </w:tr>
    </w:tbl>
    <w:p w14:paraId="28380F0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09A4D297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7EFD311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130</w:t>
      </w:r>
      <w:r w:rsidRPr="00D4637E">
        <w:rPr>
          <w:rStyle w:val="HideTWBExt"/>
          <w:b w:val="0"/>
        </w:rPr>
        <w:t>&lt;/NumAm&gt;</w:t>
      </w:r>
    </w:p>
    <w:p w14:paraId="6680DFC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7914F23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39DE30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B1C624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21C801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347F7" w14:textId="77777777" w:rsidR="000D4DD1" w:rsidRPr="00D4637E" w:rsidRDefault="000D4DD1" w:rsidP="00660527"/>
        </w:tc>
      </w:tr>
      <w:tr w:rsidR="000D4DD1" w:rsidRPr="00D4637E" w14:paraId="17CB7FF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B808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F548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A2EF96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8D8EE" w14:textId="77777777" w:rsidR="000D4DD1" w:rsidRPr="00D4637E" w:rsidRDefault="000D4DD1" w:rsidP="00660527">
            <w:pPr>
              <w:pStyle w:val="Normal6a"/>
            </w:pPr>
            <w:r w:rsidRPr="00D4637E">
              <w:t>14.</w:t>
            </w:r>
            <w:r w:rsidRPr="00D4637E">
              <w:tab/>
              <w:t xml:space="preserve">zauważa, że obowiązki sprawozdawcze </w:t>
            </w:r>
            <w:r w:rsidRPr="00D4637E">
              <w:rPr>
                <w:b/>
                <w:i/>
              </w:rPr>
              <w:t xml:space="preserve">często generują </w:t>
            </w:r>
            <w:r w:rsidRPr="00D4637E">
              <w:t xml:space="preserve">dla przedsiębiorstw, w szczególności dla MŚP, znaczne koszty administracyjne; uważa, że takie obowiązki należy </w:t>
            </w:r>
            <w:r w:rsidRPr="00D4637E">
              <w:rPr>
                <w:b/>
                <w:i/>
              </w:rPr>
              <w:t>uznać za usługi świadczone w interesie ogólnym</w:t>
            </w:r>
            <w:r w:rsidRPr="00D4637E">
              <w:t>;</w:t>
            </w:r>
            <w:r w:rsidRPr="00D4637E">
              <w:rPr>
                <w:b/>
                <w:i/>
              </w:rPr>
              <w:t xml:space="preserve"> </w:t>
            </w:r>
            <w:r w:rsidRPr="00D4637E">
              <w:t xml:space="preserve">w </w:t>
            </w:r>
            <w:r w:rsidRPr="00D4637E">
              <w:rPr>
                <w:b/>
                <w:i/>
              </w:rPr>
              <w:t xml:space="preserve">związku z tym wzywa Komisję do oceny wykonalności mechanizmów, za pomocą których przedsiębiorstwa mogłyby otrzymywać rekompensatę finansową za </w:t>
            </w:r>
            <w:r w:rsidRPr="00D4637E">
              <w:rPr>
                <w:b/>
                <w:i/>
              </w:rPr>
              <w:lastRenderedPageBreak/>
              <w:t>obowiązkowe zadania sprawozdawcze; zwraca się do Komisji o przedstawienie sprawozdania wskazującego rodzaje obowiązków sprawozdawczych, w odniesieniu do których takie systemy rekompensat są właściwe;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71721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14.</w:t>
            </w:r>
            <w:r w:rsidRPr="00D4637E">
              <w:tab/>
              <w:t xml:space="preserve">zauważa, że </w:t>
            </w:r>
            <w:r w:rsidRPr="00D4637E">
              <w:rPr>
                <w:b/>
                <w:i/>
              </w:rPr>
              <w:t xml:space="preserve">powielane </w:t>
            </w:r>
            <w:r w:rsidRPr="00D4637E">
              <w:t xml:space="preserve">obowiązki sprawozdawcze </w:t>
            </w:r>
            <w:r w:rsidRPr="00D4637E">
              <w:rPr>
                <w:b/>
                <w:i/>
              </w:rPr>
              <w:t xml:space="preserve">mogą generować </w:t>
            </w:r>
            <w:r w:rsidRPr="00D4637E">
              <w:t xml:space="preserve">dla przedsiębiorstw, w szczególności dla MŚP, znaczne koszty administracyjne; uważa, że takie obowiązki należy </w:t>
            </w:r>
            <w:r w:rsidRPr="00D4637E">
              <w:rPr>
                <w:b/>
                <w:i/>
              </w:rPr>
              <w:t>uprościć oraz że należy zapewnić większe wsparcie w zakresie cyfryzacji sprawozdawczości</w:t>
            </w:r>
            <w:r w:rsidRPr="00D4637E">
              <w:t>;</w:t>
            </w:r>
            <w:r w:rsidRPr="00D4637E">
              <w:rPr>
                <w:b/>
                <w:i/>
              </w:rPr>
              <w:t xml:space="preserve"> jednocześnie dostrzega, jak istotna jest skuteczna sprawozdawczość </w:t>
            </w:r>
            <w:r w:rsidRPr="00D4637E">
              <w:t xml:space="preserve">w </w:t>
            </w:r>
            <w:r w:rsidRPr="00D4637E">
              <w:rPr>
                <w:b/>
                <w:i/>
              </w:rPr>
              <w:t xml:space="preserve">kontekście monitorowania stopnia osiągnięcia </w:t>
            </w:r>
            <w:r w:rsidRPr="00D4637E">
              <w:rPr>
                <w:b/>
                <w:i/>
              </w:rPr>
              <w:lastRenderedPageBreak/>
              <w:t>prawnie uzasadnionych celów polityki publicznej oraz egzekwowania przepisów, i podkreśla, że wszelkie zmiany ram sprawozdawczych nie mogą podważać obowiązujących przepisów, prowadzić do deregulacji ani osłabiać ich egzekwowania;</w:t>
            </w:r>
          </w:p>
        </w:tc>
      </w:tr>
    </w:tbl>
    <w:p w14:paraId="27237310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601E397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9F39E9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131</w:t>
      </w:r>
      <w:r w:rsidRPr="00D4637E">
        <w:rPr>
          <w:rStyle w:val="HideTWBExt"/>
          <w:b w:val="0"/>
        </w:rPr>
        <w:t>&lt;/NumAm&gt;</w:t>
      </w:r>
    </w:p>
    <w:p w14:paraId="121825A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4368676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754CDE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B6C538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796FB1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CA9B2" w14:textId="77777777" w:rsidR="000D4DD1" w:rsidRPr="00D4637E" w:rsidRDefault="000D4DD1" w:rsidP="00660527"/>
        </w:tc>
      </w:tr>
      <w:tr w:rsidR="000D4DD1" w:rsidRPr="00D4637E" w14:paraId="67B7312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B6AB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99B4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8303AF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6C6F7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BEB57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14a.</w:t>
            </w:r>
            <w:r w:rsidRPr="00D4637E">
              <w:rPr>
                <w:b/>
                <w:i/>
              </w:rPr>
              <w:tab/>
              <w:t>wzywa Komisję do systematycznego uwzględniania oddolnych danych na temat tego, jak obywatele postrzegają, rozumieją i realizują swoje prawa w praktyce, w tym również na temat ich doświadczeń związanych ze stosowaniem i egzekwowaniem przepisów oraz mechanizmami dochodzenia roszczeń; postuluje, by ten wymiar był lepiej odzwierciedlony w Wytycznych dotyczących lepszego stanowienia prawa oraz w Zestawie instrumentów służących lepszemu stanowieniu prawa w celu wzmocnienia egzekwowania prawa opartego na dowodach i umożliwienia Parlamentowi skuteczniejszej kontroli działań Komisji z perspektywy obywateli; wzywa Komisję oraz współprawodawców do zwiększenia możliwości praktycznego stosowania prawa UE na każdym etapie cyklu polityki – m.in. przez realne zaangażowanie obywateli na etapie kształtowania polityki, redakcję aktów z myślą o użytkownikach, testowanie projektów z udziałem użytkowników oraz konsultacje po przyjęciu aktów;</w:t>
            </w:r>
          </w:p>
        </w:tc>
      </w:tr>
    </w:tbl>
    <w:p w14:paraId="2D526E05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E53855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8A89452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132</w:t>
      </w:r>
      <w:r w:rsidRPr="00D4637E">
        <w:rPr>
          <w:rStyle w:val="HideTWBExt"/>
          <w:b w:val="0"/>
        </w:rPr>
        <w:t>&lt;/NumAm&gt;</w:t>
      </w:r>
    </w:p>
    <w:p w14:paraId="364EEEE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0D2FB09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99766A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04AED6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5B2DAD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2CB02" w14:textId="77777777" w:rsidR="000D4DD1" w:rsidRPr="00D4637E" w:rsidRDefault="000D4DD1" w:rsidP="00660527"/>
        </w:tc>
      </w:tr>
      <w:tr w:rsidR="000D4DD1" w:rsidRPr="00D4637E" w14:paraId="70E7326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AFD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0B25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48EED6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6C34F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F989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14a.</w:t>
            </w:r>
            <w:r w:rsidRPr="00D4637E">
              <w:tab/>
            </w:r>
            <w:r w:rsidRPr="00D4637E">
              <w:rPr>
                <w:b/>
                <w:i/>
              </w:rPr>
              <w:t>podkreśla znaczenie cyfryzacji i procesów cyfrowych dla zwiększenia przejrzystości i ułatwienia konsultacji z zainteresowanymi stronami i parlamentami narodowymi, co nadaje nowy wymiar stosowaniu zasad pomocniczości i proporcjonalności poprzez ograniczenie biurokracji i zwiększenie dostępności informacji;</w:t>
            </w:r>
          </w:p>
        </w:tc>
      </w:tr>
    </w:tbl>
    <w:p w14:paraId="2A36093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760D695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D12DBC8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133</w:t>
      </w:r>
      <w:r w:rsidRPr="00D4637E">
        <w:rPr>
          <w:rStyle w:val="HideTWBExt"/>
          <w:b w:val="0"/>
        </w:rPr>
        <w:t>&lt;/NumAm&gt;</w:t>
      </w:r>
    </w:p>
    <w:p w14:paraId="378677F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Jörgen Warborn</w:t>
      </w:r>
      <w:r w:rsidRPr="00D4637E">
        <w:rPr>
          <w:rStyle w:val="HideTWBExt"/>
          <w:b w:val="0"/>
        </w:rPr>
        <w:t>&lt;/Members&gt;</w:t>
      </w:r>
    </w:p>
    <w:p w14:paraId="3CB5700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796F3C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51357E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F85E38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06315" w14:textId="77777777" w:rsidR="000D4DD1" w:rsidRPr="00D4637E" w:rsidRDefault="000D4DD1" w:rsidP="00660527"/>
        </w:tc>
      </w:tr>
      <w:tr w:rsidR="000D4DD1" w:rsidRPr="00D4637E" w14:paraId="0ED588A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5EBFC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B02C1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F461CC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7F66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402A4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14a.</w:t>
            </w:r>
            <w:r w:rsidRPr="00D4637E">
              <w:rPr>
                <w:b/>
                <w:i/>
              </w:rPr>
              <w:tab/>
              <w:t>apeluje o częstsze wykorzystywanie takich procesów jak ewaluacja oraz program sprawności i wydajności regulacyjnej (REFIT), których celem jest uproszczenie przepisów; uważa także, że różne techniki legislacyjne, które mogłyby pomóc w usuwaniu przestarzałych lub zbędnych regulacji, są stosowane zbyt rzadko lub, gdy są używane, stosuje się je niewłaściwie;</w:t>
            </w:r>
          </w:p>
        </w:tc>
      </w:tr>
    </w:tbl>
    <w:p w14:paraId="7FCAD7E7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3C9C26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49234A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lastRenderedPageBreak/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134</w:t>
      </w:r>
      <w:r w:rsidRPr="00D4637E">
        <w:rPr>
          <w:rStyle w:val="HideTWBExt"/>
          <w:b w:val="0"/>
        </w:rPr>
        <w:t>&lt;/NumAm&gt;</w:t>
      </w:r>
    </w:p>
    <w:p w14:paraId="07FA97C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339D6E1B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995E03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5C7991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14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4B5523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8CB8B" w14:textId="77777777" w:rsidR="000D4DD1" w:rsidRPr="00D4637E" w:rsidRDefault="000D4DD1" w:rsidP="00660527"/>
        </w:tc>
      </w:tr>
      <w:tr w:rsidR="000D4DD1" w:rsidRPr="00D4637E" w14:paraId="471C24E1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BCB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826F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143B18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FA07C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C793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14a.</w:t>
            </w:r>
            <w:r w:rsidRPr="00D4637E">
              <w:rPr>
                <w:b/>
                <w:i/>
              </w:rPr>
              <w:tab/>
              <w:t>wzywa Komisję do wprowadzenia do 2026 r. obowiązkowego dokumentu „Co nowego w UE” dla każdego aktu prawnego UE, we wszystkich językach urzędowych, w którym w prosty i zrozumiały sposób wyjaśni się cel, prawa, obowiązki oraz oczekiwane skutki danego aktu, tak aby prawo UE było bardziej dostępne i zrozumiałe dla obywateli;</w:t>
            </w:r>
          </w:p>
        </w:tc>
      </w:tr>
    </w:tbl>
    <w:p w14:paraId="2CFDC9B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F2FD370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73EF2C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135</w:t>
      </w:r>
      <w:r w:rsidRPr="00D4637E">
        <w:rPr>
          <w:rStyle w:val="HideTWBExt"/>
          <w:b w:val="0"/>
        </w:rPr>
        <w:t>&lt;/NumAm&gt;</w:t>
      </w:r>
    </w:p>
    <w:p w14:paraId="74F398F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403F7D0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EABDB1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200FCF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15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4AF1DD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64482" w14:textId="77777777" w:rsidR="000D4DD1" w:rsidRPr="00D4637E" w:rsidRDefault="000D4DD1" w:rsidP="00660527"/>
        </w:tc>
      </w:tr>
      <w:tr w:rsidR="000D4DD1" w:rsidRPr="00D4637E" w14:paraId="3FFADF6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7F61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9241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0E08EC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A1452" w14:textId="77777777" w:rsidR="000D4DD1" w:rsidRPr="00D4637E" w:rsidRDefault="000D4DD1" w:rsidP="00660527">
            <w:pPr>
              <w:pStyle w:val="Normal6a"/>
            </w:pPr>
            <w:r w:rsidRPr="00D4637E">
              <w:t>15.</w:t>
            </w:r>
            <w:r w:rsidRPr="00D4637E">
              <w:tab/>
              <w:t xml:space="preserve">przypomina, że w raporcie Draghiego </w:t>
            </w:r>
            <w:r w:rsidRPr="00D4637E">
              <w:rPr>
                <w:b/>
                <w:i/>
              </w:rPr>
              <w:t xml:space="preserve">jako jeden z trzech </w:t>
            </w:r>
            <w:r w:rsidRPr="00D4637E">
              <w:t xml:space="preserve">nadrzędnych celów odnowionego partnerstwa europejskiego wskazano uproszczenie </w:t>
            </w:r>
            <w:r w:rsidRPr="00D4637E">
              <w:rPr>
                <w:b/>
                <w:i/>
              </w:rPr>
              <w:t>przepisów</w:t>
            </w:r>
            <w:r w:rsidRPr="00D4637E">
              <w:rPr>
                <w:b/>
                <w:i/>
                <w:vertAlign w:val="superscript"/>
              </w:rPr>
              <w:t>7</w:t>
            </w:r>
            <w:r w:rsidRPr="00D4637E">
              <w:t>; przypomina ponadto, że podobnie w raporcie Letty podkreślono, iż przepisy powinny ułatwiać, a nie utrudniać działalność gospodarczą i innowacje na jednolitym rynku</w:t>
            </w:r>
            <w:r w:rsidRPr="00D4637E">
              <w:rPr>
                <w:vertAlign w:val="superscript"/>
              </w:rPr>
              <w:t>8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A385A" w14:textId="77777777" w:rsidR="000D4DD1" w:rsidRPr="00D4637E" w:rsidRDefault="000D4DD1" w:rsidP="00660527">
            <w:pPr>
              <w:pStyle w:val="Normal6a"/>
            </w:pPr>
            <w:r w:rsidRPr="00D4637E">
              <w:t>15.</w:t>
            </w:r>
            <w:r w:rsidRPr="00D4637E">
              <w:tab/>
              <w:t xml:space="preserve">przypomina, że w raporcie Draghiego </w:t>
            </w:r>
            <w:r w:rsidRPr="00D4637E">
              <w:rPr>
                <w:b/>
                <w:i/>
              </w:rPr>
              <w:t xml:space="preserve">obok innych ważniejszych </w:t>
            </w:r>
            <w:r w:rsidRPr="00D4637E">
              <w:t>nadrzędnych celów odnowionego partnerstwa europejskiego wskazano</w:t>
            </w:r>
            <w:r w:rsidRPr="00D4637E">
              <w:rPr>
                <w:b/>
                <w:i/>
              </w:rPr>
              <w:t xml:space="preserve">, że </w:t>
            </w:r>
            <w:r w:rsidRPr="00D4637E">
              <w:t xml:space="preserve">uproszczenie </w:t>
            </w:r>
            <w:r w:rsidRPr="00D4637E">
              <w:rPr>
                <w:b/>
                <w:i/>
              </w:rPr>
              <w:t>nakładających się przepisów sprzyja europejskiej konkurencyjności</w:t>
            </w:r>
            <w:r w:rsidRPr="00D4637E">
              <w:rPr>
                <w:b/>
                <w:i/>
                <w:vertAlign w:val="superscript"/>
              </w:rPr>
              <w:t>7</w:t>
            </w:r>
            <w:r w:rsidRPr="00D4637E">
              <w:t>; przypomina ponadto, że podobnie w raporcie Letty podkreślono, iż przepisy powinny ułatwiać, a nie utrudniać działalność gospodarczą i innowacje na jednolitym rynku</w:t>
            </w:r>
            <w:r w:rsidRPr="00D4637E">
              <w:rPr>
                <w:vertAlign w:val="superscript"/>
              </w:rPr>
              <w:t>8</w:t>
            </w:r>
            <w:r w:rsidRPr="00D4637E">
              <w:t>;</w:t>
            </w:r>
          </w:p>
        </w:tc>
      </w:tr>
      <w:tr w:rsidR="000D4DD1" w:rsidRPr="00D4637E" w14:paraId="5371D64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C64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059C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_________________</w:t>
            </w:r>
          </w:p>
        </w:tc>
      </w:tr>
      <w:tr w:rsidR="000D4DD1" w:rsidRPr="00D4637E" w14:paraId="6E622222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73717" w14:textId="77777777" w:rsidR="000D4DD1" w:rsidRPr="00D4637E" w:rsidRDefault="000D4DD1" w:rsidP="00660527">
            <w:pPr>
              <w:pStyle w:val="Normal6a"/>
            </w:pPr>
            <w:r w:rsidRPr="00D4637E">
              <w:rPr>
                <w:vertAlign w:val="superscript"/>
              </w:rPr>
              <w:t>7</w:t>
            </w:r>
            <w:r w:rsidRPr="00D4637E">
              <w:t xml:space="preserve"> Draghi „The future of European Competitiveness – A Competitiveness Strategy for Europe” [Przyszłość europejskiej konkurencyjności – strategia konkurencyjności dla Europy], Komisja </w:t>
            </w:r>
            <w:r w:rsidRPr="00D4637E">
              <w:lastRenderedPageBreak/>
              <w:t>Europejska, 9 września 2024 r., część A, s. 67–68.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95581" w14:textId="77777777" w:rsidR="000D4DD1" w:rsidRPr="00D4637E" w:rsidRDefault="000D4DD1" w:rsidP="00660527">
            <w:pPr>
              <w:pStyle w:val="Normal6a"/>
            </w:pPr>
            <w:r w:rsidRPr="00D4637E">
              <w:rPr>
                <w:vertAlign w:val="superscript"/>
              </w:rPr>
              <w:lastRenderedPageBreak/>
              <w:t>7</w:t>
            </w:r>
            <w:r w:rsidRPr="00D4637E">
              <w:t xml:space="preserve"> Draghi „The future of European Competitiveness – A Competitiveness Strategy for Europe” [Przyszłość europejskiej konkurencyjności – strategia konkurencyjności dla Europy], Komisja </w:t>
            </w:r>
            <w:r w:rsidRPr="00D4637E">
              <w:lastRenderedPageBreak/>
              <w:t>Europejska, 9 września 2024 r., część A, s. 67–68.</w:t>
            </w:r>
          </w:p>
        </w:tc>
      </w:tr>
      <w:tr w:rsidR="000D4DD1" w:rsidRPr="00D4637E" w14:paraId="270D3C0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45E40" w14:textId="77777777" w:rsidR="000D4DD1" w:rsidRPr="00D4637E" w:rsidRDefault="000D4DD1" w:rsidP="00660527">
            <w:pPr>
              <w:pStyle w:val="Normal6a"/>
            </w:pPr>
            <w:r w:rsidRPr="00D4637E">
              <w:rPr>
                <w:vertAlign w:val="superscript"/>
              </w:rPr>
              <w:lastRenderedPageBreak/>
              <w:t>8</w:t>
            </w:r>
            <w:r w:rsidRPr="00D4637E">
              <w:t xml:space="preserve"> E. Letta, „Much more than a market” [O wiele więcej niż rynek], Rada Europejska, kwiecień 2024 r., s. 130.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0864F" w14:textId="77777777" w:rsidR="000D4DD1" w:rsidRPr="00D4637E" w:rsidRDefault="000D4DD1" w:rsidP="00660527">
            <w:pPr>
              <w:pStyle w:val="Normal6a"/>
            </w:pPr>
            <w:r w:rsidRPr="00D4637E">
              <w:rPr>
                <w:vertAlign w:val="superscript"/>
              </w:rPr>
              <w:t>8</w:t>
            </w:r>
            <w:r w:rsidRPr="00D4637E">
              <w:t xml:space="preserve"> E. Letta, „Much more than a market” [O wiele więcej niż rynek], Rada Europejska, kwiecień 2024 r., s. 130.</w:t>
            </w:r>
          </w:p>
        </w:tc>
      </w:tr>
    </w:tbl>
    <w:p w14:paraId="41C3816D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448F9A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7F5D3E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136</w:t>
      </w:r>
      <w:r w:rsidRPr="00D4637E">
        <w:rPr>
          <w:rStyle w:val="HideTWBExt"/>
          <w:b w:val="0"/>
        </w:rPr>
        <w:t>&lt;/NumAm&gt;</w:t>
      </w:r>
    </w:p>
    <w:p w14:paraId="2CCEBE4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126570C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8A509E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E794A1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15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1AE1E7A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D3605" w14:textId="77777777" w:rsidR="000D4DD1" w:rsidRPr="00D4637E" w:rsidRDefault="000D4DD1" w:rsidP="00660527"/>
        </w:tc>
      </w:tr>
      <w:tr w:rsidR="000D4DD1" w:rsidRPr="00D4637E" w14:paraId="455E4DD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4252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24C8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56713F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C8ABE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374DD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15a.</w:t>
            </w:r>
            <w:r w:rsidRPr="00D4637E">
              <w:tab/>
            </w:r>
            <w:r w:rsidRPr="00D4637E">
              <w:rPr>
                <w:b/>
                <w:i/>
              </w:rPr>
              <w:t>ubolewa, że dotychczasowe inicjatywy deregulacyjne Komisji oraz projekty zmierzające do uproszczenia obowiązujących przepisów mają jedynie ograniczony zakres; wzywa Komisję do bardziej zdecydowanych i odważnych działań deregulacyjnych, zwłaszcza w takich obszarach jak polityka klimatyczna, energetyczna i cyfrowa;</w:t>
            </w:r>
          </w:p>
        </w:tc>
      </w:tr>
    </w:tbl>
    <w:p w14:paraId="5E75776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5B722BE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43FBBB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137</w:t>
      </w:r>
      <w:r w:rsidRPr="00D4637E">
        <w:rPr>
          <w:rStyle w:val="HideTWBExt"/>
          <w:b w:val="0"/>
        </w:rPr>
        <w:t>&lt;/NumAm&gt;</w:t>
      </w:r>
    </w:p>
    <w:p w14:paraId="4C104A3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27FB325D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6AC7D73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F98A3D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DD1310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16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2BF258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220C0" w14:textId="77777777" w:rsidR="000D4DD1" w:rsidRPr="00D4637E" w:rsidRDefault="000D4DD1" w:rsidP="00660527"/>
        </w:tc>
      </w:tr>
      <w:tr w:rsidR="000D4DD1" w:rsidRPr="00D4637E" w14:paraId="6F4F6AF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F0289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1037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16B981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83590" w14:textId="77777777" w:rsidR="000D4DD1" w:rsidRPr="00D4637E" w:rsidRDefault="000D4DD1" w:rsidP="00660527">
            <w:pPr>
              <w:pStyle w:val="Normal6a"/>
            </w:pPr>
            <w:r w:rsidRPr="00D4637E">
              <w:t>16.</w:t>
            </w:r>
            <w:r w:rsidRPr="00D4637E">
              <w:tab/>
              <w:t xml:space="preserve">z zadowoleniem przyjmuje wprowadzenie w 2023 r. nowego sprawdzianu MŚP i konkurencyjności, który stał się obowiązkowym załącznikiem do ocen skutków; z zadowoleniem przyjmuje zobowiązanie przewodniczącej Komisji Ursuli von der Leyen, że nowy </w:t>
            </w:r>
            <w:r w:rsidRPr="00D4637E">
              <w:lastRenderedPageBreak/>
              <w:t>sprawdzian MŚP i konkurencyjności pomoże uniknąć obciążeń regulacyjnych przy jednoczesnym utrzymaniu wysokich standardów; zauważa, że teraz za słowami muszą pójść czyny;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C46F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16.</w:t>
            </w:r>
            <w:r w:rsidRPr="00D4637E">
              <w:tab/>
              <w:t xml:space="preserve">z zadowoleniem przyjmuje wprowadzenie w 2023 r. nowego sprawdzianu MŚP i konkurencyjności, który stał się obowiązkowym załącznikiem do ocen skutków; z zadowoleniem przyjmuje zobowiązanie przewodniczącej Komisji Ursuli von der Leyen, że nowy </w:t>
            </w:r>
            <w:r w:rsidRPr="00D4637E">
              <w:lastRenderedPageBreak/>
              <w:t xml:space="preserve">sprawdzian MŚP i konkurencyjności pomoże uniknąć obciążeń regulacyjnych przy jednoczesnym utrzymaniu wysokich standardów </w:t>
            </w:r>
            <w:r w:rsidRPr="00D4637E">
              <w:rPr>
                <w:b/>
                <w:i/>
              </w:rPr>
              <w:t>środowiskowych, społecznych i standardów ochrony konsumentów</w:t>
            </w:r>
            <w:r w:rsidRPr="00D4637E">
              <w:t xml:space="preserve">; zauważa, że teraz za słowami muszą pójść czyny </w:t>
            </w:r>
            <w:r w:rsidRPr="00D4637E">
              <w:rPr>
                <w:b/>
                <w:i/>
              </w:rPr>
              <w:t>skupiające się na wspieraniu MŚP i zapewnieniu im narzędzi do osiągnięcia celów UE, zamiast forsowania ślepej deregulacji</w:t>
            </w:r>
            <w:r w:rsidRPr="00D4637E">
              <w:t>;</w:t>
            </w:r>
          </w:p>
        </w:tc>
      </w:tr>
    </w:tbl>
    <w:p w14:paraId="17B75672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F7C18F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A1C384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138</w:t>
      </w:r>
      <w:r w:rsidRPr="00D4637E">
        <w:rPr>
          <w:rStyle w:val="HideTWBExt"/>
          <w:b w:val="0"/>
        </w:rPr>
        <w:t>&lt;/NumAm&gt;</w:t>
      </w:r>
    </w:p>
    <w:p w14:paraId="67A8752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Ton Diepeveen</w:t>
      </w:r>
      <w:r w:rsidRPr="00D4637E">
        <w:rPr>
          <w:rStyle w:val="HideTWBExt"/>
          <w:b w:val="0"/>
        </w:rPr>
        <w:t>&lt;/Members&gt;</w:t>
      </w:r>
    </w:p>
    <w:p w14:paraId="44A3463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6C8844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587F77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16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52E1FCC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CFE8D" w14:textId="77777777" w:rsidR="000D4DD1" w:rsidRPr="00D4637E" w:rsidRDefault="000D4DD1" w:rsidP="00660527"/>
        </w:tc>
      </w:tr>
      <w:tr w:rsidR="000D4DD1" w:rsidRPr="00D4637E" w14:paraId="3ABDE6E3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68DE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ECAF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7871E3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F54EE" w14:textId="77777777" w:rsidR="000D4DD1" w:rsidRPr="00D4637E" w:rsidRDefault="000D4DD1" w:rsidP="00660527">
            <w:pPr>
              <w:pStyle w:val="Normal6a"/>
            </w:pPr>
            <w:r w:rsidRPr="00D4637E">
              <w:t>16.</w:t>
            </w:r>
            <w:r w:rsidRPr="00D4637E">
              <w:tab/>
              <w:t>z zadowoleniem przyjmuje wprowadzenie w 2023 r. nowego sprawdzianu MŚP i konkurencyjności, który stał się obowiązkowym załącznikiem do ocen skutków; z zadowoleniem przyjmuje zobowiązanie przewodniczącej Komisji Ursuli von der Leyen, że nowy sprawdzian MŚP i konkurencyjności pomoże uniknąć obciążeń regulacyjnych przy jednoczesnym utrzymaniu wysokich standardów; zauważa, że teraz za słowami muszą pójść czyny;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9E65B" w14:textId="77777777" w:rsidR="000D4DD1" w:rsidRPr="00D4637E" w:rsidRDefault="000D4DD1" w:rsidP="00660527">
            <w:pPr>
              <w:pStyle w:val="Normal6a"/>
            </w:pPr>
            <w:r w:rsidRPr="00D4637E">
              <w:t>16.</w:t>
            </w:r>
            <w:r w:rsidRPr="00D4637E">
              <w:tab/>
              <w:t xml:space="preserve">z zadowoleniem przyjmuje wprowadzenie w 2023 r. nowego sprawdzianu MŚP i konkurencyjności, który stał się obowiązkowym załącznikiem do ocen skutków; z zadowoleniem przyjmuje zobowiązanie przewodniczącej Komisji Ursuli von der Leyen, że nowy sprawdzian MŚP i konkurencyjności pomoże uniknąć obciążeń regulacyjnych przy jednoczesnym utrzymaniu wysokich standardów; zauważa, że teraz za słowami muszą pójść czyny; </w:t>
            </w:r>
            <w:r w:rsidRPr="00D4637E">
              <w:rPr>
                <w:b/>
                <w:i/>
              </w:rPr>
              <w:t>uważa, że należy przeprowadzać coroczną ocenę, aby ustalić, czy zobowiązanie to zostało wypełnione;</w:t>
            </w:r>
          </w:p>
        </w:tc>
      </w:tr>
    </w:tbl>
    <w:p w14:paraId="759F89DC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{NL}</w:t>
      </w:r>
      <w:r w:rsidRPr="00D4637E">
        <w:t>nl</w:t>
      </w:r>
      <w:r w:rsidRPr="00D4637E">
        <w:rPr>
          <w:rStyle w:val="HideTWBExt"/>
        </w:rPr>
        <w:t>&lt;/Original&gt;</w:t>
      </w:r>
    </w:p>
    <w:p w14:paraId="0478A141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06FCDA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139</w:t>
      </w:r>
      <w:r w:rsidRPr="00D4637E">
        <w:rPr>
          <w:rStyle w:val="HideTWBExt"/>
          <w:b w:val="0"/>
        </w:rPr>
        <w:t>&lt;/NumAm&gt;</w:t>
      </w:r>
    </w:p>
    <w:p w14:paraId="3C31088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40204DB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251AA2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1F8DFF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17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552C47E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441F2" w14:textId="77777777" w:rsidR="000D4DD1" w:rsidRPr="00D4637E" w:rsidRDefault="000D4DD1" w:rsidP="00660527"/>
        </w:tc>
      </w:tr>
      <w:tr w:rsidR="000D4DD1" w:rsidRPr="00D4637E" w14:paraId="26F9400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915FB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CE99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326B94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A7A60" w14:textId="77777777" w:rsidR="000D4DD1" w:rsidRPr="00D4637E" w:rsidRDefault="000D4DD1" w:rsidP="00660527">
            <w:pPr>
              <w:pStyle w:val="Normal6a"/>
            </w:pPr>
            <w:r w:rsidRPr="00D4637E">
              <w:t>17.</w:t>
            </w:r>
            <w:r w:rsidRPr="00D4637E">
              <w:tab/>
              <w:t>ponownie podkreśla znaczenie zasady „najpierw myśl na małą skalę” jako podstawy lepszego stanowienia prawa, dzięki której na każdym etapie cyklu polityki, od opracowania po wdrożenie i ocenę, systematycznie uwzględniane są potrzeby i zdolności MŚP;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59E4C" w14:textId="77777777" w:rsidR="000D4DD1" w:rsidRPr="00D4637E" w:rsidRDefault="000D4DD1" w:rsidP="00660527">
            <w:pPr>
              <w:pStyle w:val="Normal6a"/>
            </w:pPr>
            <w:r w:rsidRPr="00D4637E">
              <w:t>17.</w:t>
            </w:r>
            <w:r w:rsidRPr="00D4637E">
              <w:tab/>
              <w:t xml:space="preserve">ponownie podkreśla znaczenie zasady „najpierw myśl na małą skalę” jako podstawy lepszego stanowienia prawa, dzięki której na każdym etapie cyklu polityki, od opracowania po wdrożenie i ocenę, systematycznie uwzględniane są potrzeby i zdolności MŚP; </w:t>
            </w:r>
            <w:r w:rsidRPr="00D4637E">
              <w:rPr>
                <w:b/>
                <w:i/>
              </w:rPr>
              <w:t>podkreśla znaczenie identyfikacji związków przyczynowych między przepisami regulacyjnymi, zachowaniami przedsiębiorstw i korzyściami dla użytkowników, a także oceny potencjalnych niezamierzonych skutków i nieproporcjonalnych obciążeń regulacyjnych dla MŚP;</w:t>
            </w:r>
          </w:p>
        </w:tc>
      </w:tr>
    </w:tbl>
    <w:p w14:paraId="3F9DBED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21AE275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A41315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140</w:t>
      </w:r>
      <w:r w:rsidRPr="00D4637E">
        <w:rPr>
          <w:rStyle w:val="HideTWBExt"/>
          <w:b w:val="0"/>
        </w:rPr>
        <w:t>&lt;/NumAm&gt;</w:t>
      </w:r>
    </w:p>
    <w:p w14:paraId="620F7CE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0738562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74E100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28C8B72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17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824423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817C2" w14:textId="77777777" w:rsidR="000D4DD1" w:rsidRPr="00D4637E" w:rsidRDefault="000D4DD1" w:rsidP="00660527"/>
        </w:tc>
      </w:tr>
      <w:tr w:rsidR="000D4DD1" w:rsidRPr="00D4637E" w14:paraId="5A179A6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D48E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237E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8E1C4A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AE9BC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5B15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17a.</w:t>
            </w:r>
            <w:r w:rsidRPr="00D4637E">
              <w:rPr>
                <w:b/>
                <w:i/>
              </w:rPr>
              <w:tab/>
              <w:t>podkreśla, że wzmocnienie konkurencyjności i suwerenności Europy wymaga przeciwstawiania się zewnętrznej presji ukierunkowanej na osłabienie unijnych ram prawnych; w tym kontekście uważa, że zapowiedziany „test warunków skrajnych” dotyczący stosowania niedawno przyjętego aktu w sprawie sztucznej inteligencji jest przedwczesny;</w:t>
            </w:r>
          </w:p>
        </w:tc>
      </w:tr>
    </w:tbl>
    <w:p w14:paraId="38421748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A83EC1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576817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141</w:t>
      </w:r>
      <w:r w:rsidRPr="00D4637E">
        <w:rPr>
          <w:rStyle w:val="HideTWBExt"/>
          <w:b w:val="0"/>
        </w:rPr>
        <w:t>&lt;/NumAm&gt;</w:t>
      </w:r>
    </w:p>
    <w:p w14:paraId="6E51D06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53B4EA4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E8C0D7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DEC809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&lt;Article&gt;</w:t>
      </w:r>
      <w:r w:rsidRPr="00D4637E">
        <w:t>Ustęp 17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ADAD4C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EFBB3" w14:textId="77777777" w:rsidR="000D4DD1" w:rsidRPr="00D4637E" w:rsidRDefault="000D4DD1" w:rsidP="00660527"/>
        </w:tc>
      </w:tr>
      <w:tr w:rsidR="000D4DD1" w:rsidRPr="00D4637E" w14:paraId="3EE133A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0919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EC89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1BFFC2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834F5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49549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17a.</w:t>
            </w:r>
            <w:r w:rsidRPr="00D4637E">
              <w:rPr>
                <w:b/>
                <w:i/>
              </w:rPr>
              <w:tab/>
              <w:t>z zadowoleniem przyjmuje wprowadzenie i zachęca do szerszego stosowania piaskownic regulacyjnych w sektorach przyszłościowych (takich jak sztuczna inteligencja, czyste technologie i usługi cyfrowe), aby wspierać innowacje, ograniczać koszty przestrzegania przepisów oraz zapewnić MŚP pewność prawa;</w:t>
            </w:r>
          </w:p>
        </w:tc>
      </w:tr>
    </w:tbl>
    <w:p w14:paraId="3D38DD20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987EB9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9D0DBF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142</w:t>
      </w:r>
      <w:r w:rsidRPr="00D4637E">
        <w:rPr>
          <w:rStyle w:val="HideTWBExt"/>
          <w:b w:val="0"/>
        </w:rPr>
        <w:t>&lt;/NumAm&gt;</w:t>
      </w:r>
    </w:p>
    <w:p w14:paraId="5C94C1B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51D898F8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7D7135D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B2C3BF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B058D7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4BA88AC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09ECA" w14:textId="77777777" w:rsidR="000D4DD1" w:rsidRPr="00D4637E" w:rsidRDefault="000D4DD1" w:rsidP="00660527"/>
        </w:tc>
      </w:tr>
      <w:tr w:rsidR="000D4DD1" w:rsidRPr="00D4637E" w14:paraId="66968CB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063D0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1D78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222E63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1428A" w14:textId="77777777" w:rsidR="000D4DD1" w:rsidRPr="00D4637E" w:rsidRDefault="000D4DD1" w:rsidP="00660527">
            <w:pPr>
              <w:pStyle w:val="Normal6a"/>
            </w:pPr>
            <w:r w:rsidRPr="00D4637E">
              <w:t>18.</w:t>
            </w:r>
            <w:r w:rsidRPr="00D4637E">
              <w:tab/>
            </w:r>
            <w:r w:rsidRPr="00D4637E">
              <w:rPr>
                <w:b/>
                <w:i/>
              </w:rPr>
              <w:t xml:space="preserve">z zadowoleniem przyjmuje zobowiązanie </w:t>
            </w:r>
            <w:r w:rsidRPr="00D4637E">
              <w:t xml:space="preserve">Komisji do ograniczenia obowiązków sprawozdawczych o 25 %, </w:t>
            </w:r>
            <w:r w:rsidRPr="00D4637E">
              <w:rPr>
                <w:b/>
                <w:i/>
              </w:rPr>
              <w:t xml:space="preserve">ale podkreśla, że cel ten musi być ambitniejszy; w związku z tym z zadowoleniem przyjmuje uwzględnienie </w:t>
            </w:r>
            <w:r w:rsidRPr="00D4637E">
              <w:t xml:space="preserve">ograniczenia o 35 % kosztów administracyjnych i sprawozdawczości dla MŚP; przypomina ponadto, że obowiązki sprawozdawcze stanowią jedynie niewielką część łącznego obciążenia regulacyjnego, które obejmuje również koszty administracyjne, koszty wdrożenia i koszty przestrzegania przepisów; </w:t>
            </w:r>
            <w:r w:rsidRPr="00D4637E">
              <w:rPr>
                <w:b/>
                <w:i/>
              </w:rPr>
              <w:t>zauważa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t xml:space="preserve">cel Komisji na poziomie 25 % </w:t>
            </w:r>
            <w:r w:rsidRPr="00D4637E">
              <w:t xml:space="preserve">należy </w:t>
            </w:r>
            <w:r w:rsidRPr="00D4637E">
              <w:rPr>
                <w:b/>
                <w:i/>
              </w:rPr>
              <w:t xml:space="preserve">zatem </w:t>
            </w:r>
            <w:r w:rsidRPr="00D4637E">
              <w:t xml:space="preserve">postrzegać w </w:t>
            </w:r>
            <w:r w:rsidRPr="00D4637E">
              <w:rPr>
                <w:b/>
                <w:i/>
              </w:rPr>
              <w:t xml:space="preserve">ramach szerszego celu, jakim jest zmniejszenie </w:t>
            </w:r>
            <w:r w:rsidRPr="00D4637E">
              <w:t xml:space="preserve">ogólnych kosztów i złożoności; w </w:t>
            </w:r>
            <w:r w:rsidRPr="00D4637E">
              <w:rPr>
                <w:b/>
                <w:i/>
              </w:rPr>
              <w:t xml:space="preserve">związku z tym wzywa do przyjęcia bardziej ambitnego podejścia mającego na celu zmniejszenie o 30 % wszystkich kosztów regulacyjnych </w:t>
            </w:r>
            <w:r w:rsidRPr="00D4637E">
              <w:t xml:space="preserve">oraz </w:t>
            </w:r>
            <w:r w:rsidRPr="00D4637E">
              <w:rPr>
                <w:b/>
                <w:i/>
              </w:rPr>
              <w:t xml:space="preserve">o </w:t>
            </w:r>
            <w:r w:rsidRPr="00D4637E">
              <w:rPr>
                <w:b/>
                <w:i/>
              </w:rPr>
              <w:lastRenderedPageBreak/>
              <w:t>35 % zmniejszenie kosztów regulacyjnych dla MŚP i przedsiębiorstw typu scale-up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27DDA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18.</w:t>
            </w:r>
            <w:r w:rsidRPr="00D4637E">
              <w:tab/>
            </w:r>
            <w:r w:rsidRPr="00D4637E">
              <w:rPr>
                <w:b/>
                <w:i/>
              </w:rPr>
              <w:t xml:space="preserve">jest zaniepokojony zobowiązaniem </w:t>
            </w:r>
            <w:r w:rsidRPr="00D4637E">
              <w:t xml:space="preserve">Komisji do ograniczenia </w:t>
            </w:r>
            <w:r w:rsidRPr="00D4637E">
              <w:rPr>
                <w:b/>
                <w:i/>
              </w:rPr>
              <w:t xml:space="preserve">w sposób ścisły i określony ilościowo </w:t>
            </w:r>
            <w:r w:rsidRPr="00D4637E">
              <w:t xml:space="preserve">obowiązków sprawozdawczych o 25 % </w:t>
            </w:r>
            <w:r w:rsidRPr="00D4637E">
              <w:rPr>
                <w:b/>
                <w:i/>
              </w:rPr>
              <w:t xml:space="preserve">oraz uwzględnieniem </w:t>
            </w:r>
            <w:r w:rsidRPr="00D4637E">
              <w:t>ograniczenia o 35 % kosztów administracyjnych i sprawozdawczości dla MŚP;</w:t>
            </w:r>
            <w:r w:rsidRPr="00D4637E">
              <w:rPr>
                <w:b/>
                <w:i/>
              </w:rPr>
              <w:t xml:space="preserve"> wskazuje, że uproszczenia wymagają przede wszystkim skoncentrowania się na inteligentnych strategiach wdrożeniowych oraz pragmatycznym, zgodnym z prawem i efektywnym podejściu do łagodzenia obciążeń administracyjnych, w szczególności wobec przedsiębiorstw i MŚP, oraz maksymalnego uproszczenia stosowania uzgodnionych przepisów;</w:t>
            </w:r>
            <w:r w:rsidRPr="00D4637E">
              <w:t xml:space="preserve"> przypomina ponadto, że obowiązki sprawozdawcze stanowią jedynie niewielką część łącznego obciążenia regulacyjnego, które obejmuje również koszty administracyjne, koszty wdrożenia i koszty przestrzegania przepisów; </w:t>
            </w:r>
            <w:r w:rsidRPr="00D4637E">
              <w:rPr>
                <w:b/>
                <w:i/>
              </w:rPr>
              <w:t>wskazuje</w:t>
            </w:r>
            <w:r w:rsidRPr="00D4637E">
              <w:t xml:space="preserve">, że </w:t>
            </w:r>
            <w:r w:rsidRPr="00D4637E">
              <w:rPr>
                <w:b/>
                <w:i/>
              </w:rPr>
              <w:lastRenderedPageBreak/>
              <w:t xml:space="preserve">wszystkie cele uproszczeń wyznaczone przez Komisję </w:t>
            </w:r>
            <w:r w:rsidRPr="00D4637E">
              <w:t xml:space="preserve">należy postrzegać w </w:t>
            </w:r>
            <w:r w:rsidRPr="00D4637E">
              <w:rPr>
                <w:b/>
                <w:i/>
              </w:rPr>
              <w:t xml:space="preserve">szerszym kontekście dążenia do ograniczenia </w:t>
            </w:r>
            <w:r w:rsidRPr="00D4637E">
              <w:t xml:space="preserve">ogólnych kosztów i złożoności </w:t>
            </w:r>
            <w:r w:rsidRPr="00D4637E">
              <w:rPr>
                <w:b/>
                <w:i/>
              </w:rPr>
              <w:t>oraz dalszej harmonizacji przepisów krajowych, bez prowadzenia do deregulacji ani ograniczenia dorobku prawnego UE</w:t>
            </w:r>
            <w:r w:rsidRPr="00D4637E">
              <w:t xml:space="preserve">; </w:t>
            </w:r>
            <w:r w:rsidRPr="00D4637E">
              <w:rPr>
                <w:b/>
                <w:i/>
              </w:rPr>
              <w:t xml:space="preserve">wzywa </w:t>
            </w:r>
            <w:r w:rsidRPr="00D4637E">
              <w:t xml:space="preserve">w </w:t>
            </w:r>
            <w:r w:rsidRPr="00D4637E">
              <w:rPr>
                <w:b/>
                <w:i/>
              </w:rPr>
              <w:t xml:space="preserve">tym kontekście Komisję do wdrożenia trzech zaleceń platformy ds. dostosowania się do wymogów przyszłości z 2024 r. dotyczących zautomatyzowanej sprawozdawczości w zakresie zrównoważonego rozwoju, działań zapobiegających zbędnej/powielanej sprawozdawczości </w:t>
            </w:r>
            <w:r w:rsidRPr="00D4637E">
              <w:t xml:space="preserve">oraz </w:t>
            </w:r>
            <w:r w:rsidRPr="00D4637E">
              <w:rPr>
                <w:b/>
                <w:i/>
              </w:rPr>
              <w:t>ujawniania informacji dotyczących zrównoważonego rozwoju</w:t>
            </w:r>
            <w:r w:rsidRPr="00D4637E">
              <w:t>;</w:t>
            </w:r>
          </w:p>
        </w:tc>
      </w:tr>
    </w:tbl>
    <w:p w14:paraId="7FE7AE63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61A124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2CC611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143</w:t>
      </w:r>
      <w:r w:rsidRPr="00D4637E">
        <w:rPr>
          <w:rStyle w:val="HideTWBExt"/>
          <w:b w:val="0"/>
        </w:rPr>
        <w:t>&lt;/NumAm&gt;</w:t>
      </w:r>
    </w:p>
    <w:p w14:paraId="55B65B9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4FE4A9B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24EAC1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F2DB2F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AD691A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6C2A8" w14:textId="77777777" w:rsidR="000D4DD1" w:rsidRPr="00D4637E" w:rsidRDefault="000D4DD1" w:rsidP="00660527"/>
        </w:tc>
      </w:tr>
      <w:tr w:rsidR="000D4DD1" w:rsidRPr="00D4637E" w14:paraId="7F9F255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E9FB7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2067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D80D07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9B06A" w14:textId="77777777" w:rsidR="000D4DD1" w:rsidRPr="00D4637E" w:rsidRDefault="000D4DD1" w:rsidP="00660527">
            <w:pPr>
              <w:pStyle w:val="Normal6a"/>
            </w:pPr>
            <w:r w:rsidRPr="00D4637E">
              <w:t>18.</w:t>
            </w:r>
            <w:r w:rsidRPr="00D4637E">
              <w:tab/>
            </w:r>
            <w:r w:rsidRPr="00D4637E">
              <w:rPr>
                <w:b/>
                <w:i/>
              </w:rPr>
              <w:t xml:space="preserve">z zadowoleniem przyjmuje </w:t>
            </w:r>
            <w:r w:rsidRPr="00D4637E">
              <w:t xml:space="preserve">zobowiązanie Komisji do ograniczenia obowiązków sprawozdawczych o 25 %, ale podkreśla, że cel ten </w:t>
            </w:r>
            <w:r w:rsidRPr="00D4637E">
              <w:rPr>
                <w:b/>
                <w:i/>
              </w:rPr>
              <w:t xml:space="preserve">musi być ambitniejszy; w związku z tym z zadowoleniem przyjmuje </w:t>
            </w:r>
            <w:r w:rsidRPr="00D4637E">
              <w:t>uwzględnienie ograniczenia o 35 % kosztów administracyjnych i sprawozdawczości dla MŚP; przypomina ponadto, że obowiązki sprawozdawcze stanowią jedynie niewielką część łącznego obciążenia regulacyjnego, które obejmuje również koszty administracyjne, koszty wdrożenia i koszty przestrzegania przepisów</w:t>
            </w:r>
            <w:r w:rsidRPr="00D4637E">
              <w:rPr>
                <w:b/>
                <w:i/>
              </w:rPr>
              <w:t xml:space="preserve">; zauważa, że cel Komisji na poziomie 25 % </w:t>
            </w:r>
            <w:r w:rsidRPr="00D4637E">
              <w:t xml:space="preserve">należy </w:t>
            </w:r>
            <w:r w:rsidRPr="00D4637E">
              <w:rPr>
                <w:b/>
                <w:i/>
              </w:rPr>
              <w:t xml:space="preserve">zatem </w:t>
            </w:r>
            <w:r w:rsidRPr="00D4637E">
              <w:t xml:space="preserve">postrzegać w ramach szerszego celu, jakim </w:t>
            </w:r>
            <w:r w:rsidRPr="00D4637E">
              <w:lastRenderedPageBreak/>
              <w:t>jest zmniejszenie ogólnych kosztów i złożoności;</w:t>
            </w:r>
            <w:r w:rsidRPr="00D4637E">
              <w:rPr>
                <w:b/>
                <w:i/>
              </w:rPr>
              <w:t xml:space="preserve"> w związku z tym wzywa do przyjęcia bardziej ambitnego podejścia mającego na celu zmniejszenie o 30 % wszystkich kosztów regulacyjnych oraz o 35 % zmniejszenie kosztów regulacyjnych </w:t>
            </w:r>
            <w:r w:rsidRPr="00D4637E">
              <w:t>dla MŚP i przedsiębiorstw typu scale-up;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19292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18.</w:t>
            </w:r>
            <w:r w:rsidRPr="00D4637E">
              <w:tab/>
            </w:r>
            <w:r w:rsidRPr="00D4637E">
              <w:rPr>
                <w:b/>
                <w:i/>
              </w:rPr>
              <w:t xml:space="preserve">odnotowuje </w:t>
            </w:r>
            <w:r w:rsidRPr="00D4637E">
              <w:t xml:space="preserve">zobowiązanie Komisji do ograniczenia obowiązków sprawozdawczych o 25 %, ale podkreśla, że cel ten </w:t>
            </w:r>
            <w:r w:rsidRPr="00D4637E">
              <w:rPr>
                <w:b/>
                <w:i/>
              </w:rPr>
              <w:t xml:space="preserve">nie może skutkować ograniczeniem przejrzystości i nadzoru; zauważa ponadto </w:t>
            </w:r>
            <w:r w:rsidRPr="00D4637E">
              <w:t>uwzględnienie ograniczenia o 35 % kosztów administracyjnych i sprawozdawczości dla MŚP; przypomina ponadto, że obowiązki sprawozdawcze stanowią jedynie niewielką część łącznego obciążenia regulacyjnego, które obejmuje również koszty administracyjne, koszty wdrożenia i koszty przestrzegania przepisów</w:t>
            </w:r>
            <w:r w:rsidRPr="00D4637E">
              <w:rPr>
                <w:b/>
                <w:i/>
              </w:rPr>
              <w:t xml:space="preserve">, które </w:t>
            </w:r>
            <w:r w:rsidRPr="00D4637E">
              <w:t xml:space="preserve">należy postrzegać w ramach szerszego celu, jakim jest zmniejszenie ogólnych kosztów i </w:t>
            </w:r>
            <w:r w:rsidRPr="00D4637E">
              <w:lastRenderedPageBreak/>
              <w:t>złożoności</w:t>
            </w:r>
            <w:r w:rsidRPr="00D4637E">
              <w:rPr>
                <w:b/>
                <w:i/>
              </w:rPr>
              <w:t xml:space="preserve">, zwłaszcza </w:t>
            </w:r>
            <w:r w:rsidRPr="00D4637E">
              <w:t>dla MŚP i przedsiębiorstw typu scale-up;</w:t>
            </w:r>
          </w:p>
        </w:tc>
      </w:tr>
    </w:tbl>
    <w:p w14:paraId="01CB495E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ECA5BA9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7CEA55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144</w:t>
      </w:r>
      <w:r w:rsidRPr="00D4637E">
        <w:rPr>
          <w:rStyle w:val="HideTWBExt"/>
          <w:b w:val="0"/>
        </w:rPr>
        <w:t>&lt;/NumAm&gt;</w:t>
      </w:r>
    </w:p>
    <w:p w14:paraId="2DA9850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5B60F42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3184104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2715AE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BA851B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8DAA2" w14:textId="77777777" w:rsidR="000D4DD1" w:rsidRPr="00D4637E" w:rsidRDefault="000D4DD1" w:rsidP="00660527"/>
        </w:tc>
      </w:tr>
      <w:tr w:rsidR="000D4DD1" w:rsidRPr="00D4637E" w14:paraId="3A16EE4B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3C3A8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5C658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AFB00E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0824C" w14:textId="77777777" w:rsidR="000D4DD1" w:rsidRPr="00D4637E" w:rsidRDefault="000D4DD1" w:rsidP="00660527">
            <w:pPr>
              <w:pStyle w:val="Normal6a"/>
            </w:pPr>
            <w:r w:rsidRPr="00D4637E">
              <w:t>18.</w:t>
            </w:r>
            <w:r w:rsidRPr="00D4637E">
              <w:tab/>
              <w:t>z zadowoleniem przyjmuje zobowiązanie Komisji do ograniczenia obowiązków sprawozdawczych o 25 %, ale podkreśla, że cel ten musi być ambitniejszy; w związku z tym z zadowoleniem przyjmuje uwzględnienie ograniczenia o 35 % kosztów administracyjnych i sprawozdawczości dla MŚP; przypomina ponadto, że obowiązki sprawozdawcze stanowią jedynie niewielką część łącznego obciążenia regulacyjnego, które obejmuje również koszty administracyjne, koszty wdrożenia i koszty przestrzegania przepisów; zauważa, że cel Komisji na poziomie 25 % należy zatem postrzegać w ramach szerszego celu, jakim jest zmniejszenie ogólnych kosztów i złożoności; w związku z tym wzywa do przyjęcia bardziej ambitnego podejścia mającego na celu zmniejszenie o 30 % wszystkich kosztów regulacyjnych oraz o 35 % zmniejszenie kosztów regulacyjnych dla MŚP i przedsiębiorstw typu scale-up;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3694A" w14:textId="77777777" w:rsidR="000D4DD1" w:rsidRPr="00D4637E" w:rsidRDefault="000D4DD1" w:rsidP="00660527">
            <w:pPr>
              <w:pStyle w:val="Normal6a"/>
            </w:pPr>
            <w:r w:rsidRPr="00D4637E">
              <w:t>18.</w:t>
            </w:r>
            <w:r w:rsidRPr="00D4637E">
              <w:tab/>
              <w:t>z zadowoleniem przyjmuje zobowiązanie Komisji do ograniczenia obowiązków sprawozdawczych o 25 %, ale podkreśla, że cel ten musi być ambitniejszy; w związku z tym z zadowoleniem przyjmuje uwzględnienie ograniczenia o 35 % kosztów administracyjnych i sprawozdawczości dla MŚP; przypomina ponadto, że obowiązki sprawozdawcze stanowią jedynie niewielką część łącznego obciążenia regulacyjnego, które obejmuje również koszty administracyjne, koszty wdrożenia i koszty przestrzegania przepisów; zauważa, że cel Komisji na poziomie 25 % należy zatem postrzegać w ramach szerszego celu, jakim jest zmniejszenie ogólnych kosztów i złożoności; w związku z tym wzywa do przyjęcia bardziej ambitnego podejścia mającego na celu zmniejszenie o 30 % wszystkich kosztów regulacyjnych oraz o 35 % zmniejszenie kosztów regulacyjnych dla MŚP i przedsiębiorstw typu scale-up</w:t>
            </w:r>
            <w:r w:rsidRPr="00D4637E">
              <w:rPr>
                <w:b/>
                <w:i/>
              </w:rPr>
              <w:t xml:space="preserve">, w tym pilotażowego „testu regulacji sprzyjających innowacjom” mającego na celu identyfikację barier dla przedsiębiorstw typu start-up i nowych </w:t>
            </w:r>
            <w:r w:rsidRPr="00D4637E">
              <w:rPr>
                <w:b/>
                <w:i/>
              </w:rPr>
              <w:lastRenderedPageBreak/>
              <w:t>technologii na wczesnych etapach legislacyjnych</w:t>
            </w:r>
            <w:r w:rsidRPr="00D4637E">
              <w:t>;</w:t>
            </w:r>
          </w:p>
        </w:tc>
      </w:tr>
    </w:tbl>
    <w:p w14:paraId="4A5E0FD5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15923287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418AFAF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145</w:t>
      </w:r>
      <w:r w:rsidRPr="00D4637E">
        <w:rPr>
          <w:rStyle w:val="HideTWBExt"/>
          <w:b w:val="0"/>
        </w:rPr>
        <w:t>&lt;/NumAm&gt;</w:t>
      </w:r>
    </w:p>
    <w:p w14:paraId="62189D5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Kosma Złotowski</w:t>
      </w:r>
      <w:r w:rsidRPr="00D4637E">
        <w:rPr>
          <w:rStyle w:val="HideTWBExt"/>
          <w:b w:val="0"/>
        </w:rPr>
        <w:t>&lt;/Members&gt;</w:t>
      </w:r>
    </w:p>
    <w:p w14:paraId="655931D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9D96B5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4F7632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61A3D76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30596" w14:textId="77777777" w:rsidR="000D4DD1" w:rsidRPr="00D4637E" w:rsidRDefault="000D4DD1" w:rsidP="00660527"/>
        </w:tc>
      </w:tr>
      <w:tr w:rsidR="000D4DD1" w:rsidRPr="00D4637E" w14:paraId="072CA972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495F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AAE47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C5EB23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311C" w14:textId="77777777" w:rsidR="000D4DD1" w:rsidRPr="00D4637E" w:rsidRDefault="000D4DD1" w:rsidP="00660527">
            <w:pPr>
              <w:pStyle w:val="Normal6a"/>
            </w:pPr>
            <w:r w:rsidRPr="00D4637E">
              <w:t>18.</w:t>
            </w:r>
            <w:r w:rsidRPr="00D4637E">
              <w:tab/>
              <w:t xml:space="preserve">z zadowoleniem przyjmuje zobowiązanie Komisji do ograniczenia obowiązków sprawozdawczych o 25 %, ale podkreśla, że cel ten musi być ambitniejszy; w związku z tym z zadowoleniem przyjmuje uwzględnienie ograniczenia o 35 % kosztów administracyjnych i sprawozdawczości dla MŚP; przypomina ponadto, że obowiązki sprawozdawcze stanowią jedynie niewielką część łącznego obciążenia regulacyjnego, które obejmuje również koszty administracyjne, koszty wdrożenia i koszty przestrzegania przepisów; zauważa, że cel Komisji na poziomie 25 % należy zatem postrzegać w ramach szerszego celu, jakim jest zmniejszenie ogólnych kosztów i złożoności; w związku z tym wzywa do przyjęcia bardziej ambitnego podejścia mającego na celu zmniejszenie o </w:t>
            </w:r>
            <w:r w:rsidRPr="00D4637E">
              <w:rPr>
                <w:b/>
                <w:i/>
              </w:rPr>
              <w:t>30</w:t>
            </w:r>
            <w:r w:rsidRPr="00D4637E">
              <w:t xml:space="preserve"> % wszystkich kosztów regulacyjnych oraz o </w:t>
            </w:r>
            <w:r w:rsidRPr="00D4637E">
              <w:rPr>
                <w:b/>
                <w:i/>
              </w:rPr>
              <w:t>35</w:t>
            </w:r>
            <w:r w:rsidRPr="00D4637E">
              <w:t xml:space="preserve"> % zmniejszenie kosztów regulacyjnych dla MŚP i przedsiębiorstw typu scale-up;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1EFF1" w14:textId="77777777" w:rsidR="000D4DD1" w:rsidRPr="00D4637E" w:rsidRDefault="000D4DD1" w:rsidP="00660527">
            <w:pPr>
              <w:pStyle w:val="Normal6a"/>
            </w:pPr>
            <w:r w:rsidRPr="00D4637E">
              <w:t>18.</w:t>
            </w:r>
            <w:r w:rsidRPr="00D4637E">
              <w:tab/>
              <w:t xml:space="preserve">z zadowoleniem przyjmuje zobowiązanie Komisji do ograniczenia obowiązków sprawozdawczych o 25 %, ale podkreśla, że cel ten musi być ambitniejszy; w związku z tym z zadowoleniem przyjmuje uwzględnienie ograniczenia o 35 % kosztów administracyjnych i sprawozdawczości dla MŚP; przypomina ponadto, że obowiązki sprawozdawcze stanowią jedynie niewielką część łącznego obciążenia regulacyjnego, które obejmuje również koszty administracyjne, koszty wdrożenia i koszty przestrzegania przepisów; zauważa, że cel Komisji na poziomie 25 % należy zatem postrzegać w ramach szerszego celu, jakim jest zmniejszenie ogólnych kosztów i złożoności; w związku z tym wzywa do przyjęcia bardziej ambitnego podejścia mającego na celu zmniejszenie o </w:t>
            </w:r>
            <w:r w:rsidRPr="00D4637E">
              <w:rPr>
                <w:b/>
                <w:i/>
              </w:rPr>
              <w:t>45</w:t>
            </w:r>
            <w:r w:rsidRPr="00D4637E">
              <w:t xml:space="preserve"> % wszystkich kosztów regulacyjnych oraz o </w:t>
            </w:r>
            <w:r w:rsidRPr="00D4637E">
              <w:rPr>
                <w:b/>
                <w:i/>
              </w:rPr>
              <w:t>50</w:t>
            </w:r>
            <w:r w:rsidRPr="00D4637E">
              <w:t xml:space="preserve"> % zmniejszenie kosztów regulacyjnych dla MŚP i przedsiębiorstw typu scale-up;</w:t>
            </w:r>
          </w:p>
        </w:tc>
      </w:tr>
    </w:tbl>
    <w:p w14:paraId="67E6B9C5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{PL}</w:t>
      </w:r>
      <w:r w:rsidRPr="00D4637E">
        <w:t>pl</w:t>
      </w:r>
      <w:r w:rsidRPr="00D4637E">
        <w:rPr>
          <w:rStyle w:val="HideTWBExt"/>
        </w:rPr>
        <w:t>&lt;/Original&gt;</w:t>
      </w:r>
    </w:p>
    <w:p w14:paraId="1971AEB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818F7B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146</w:t>
      </w:r>
      <w:r w:rsidRPr="00D4637E">
        <w:rPr>
          <w:rStyle w:val="HideTWBExt"/>
          <w:b w:val="0"/>
        </w:rPr>
        <w:t>&lt;/NumAm&gt;</w:t>
      </w:r>
    </w:p>
    <w:p w14:paraId="00E48A2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Jörgen Warborn</w:t>
      </w:r>
      <w:r w:rsidRPr="00D4637E">
        <w:rPr>
          <w:rStyle w:val="HideTWBExt"/>
          <w:b w:val="0"/>
        </w:rPr>
        <w:t>&lt;/Members&gt;</w:t>
      </w:r>
    </w:p>
    <w:p w14:paraId="5A944C5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6406C9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0936FE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AA3EA8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95CA4" w14:textId="77777777" w:rsidR="000D4DD1" w:rsidRPr="00D4637E" w:rsidRDefault="000D4DD1" w:rsidP="00660527"/>
        </w:tc>
      </w:tr>
      <w:tr w:rsidR="000D4DD1" w:rsidRPr="00D4637E" w14:paraId="546480F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8120E" w14:textId="77777777" w:rsidR="000D4DD1" w:rsidRPr="00D4637E" w:rsidRDefault="000D4DD1" w:rsidP="00660527">
            <w:pPr>
              <w:pStyle w:val="AmColumnHeading"/>
            </w:pPr>
            <w:r w:rsidRPr="00D4637E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98FF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0D8A71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58C0E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AD1A0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18a.</w:t>
            </w:r>
            <w:r w:rsidRPr="00D4637E">
              <w:rPr>
                <w:b/>
                <w:i/>
              </w:rPr>
              <w:tab/>
              <w:t>z zadowoleniem przyjmuje ponadto powołanie wiceprzewodniczącego ds. wdrażania, upraszczania i stosunków międzyinstytucjonalnych; z uznaniem odnosi się do wykorzystania dialogów wdrożeniowych oraz zachęca do regularnego przeprowadzania konsultacji na temat stosowania przepisów w praktyce i testów warunków skrajnych dorobku prawnego UE, aby ocenić skumulowany wpływ na konkurencyjność, innowacyjność oraz MŚP, a także identyfikować możliwości skutecznego uproszczenia przepisów; podkreśla w tym kontekście znaczenie kompleksowych ocen skutków, które systematycznie obejmują oceny adekwatności, sprawdziany konkurencyjności oraz testy MŚP;</w:t>
            </w:r>
          </w:p>
        </w:tc>
      </w:tr>
    </w:tbl>
    <w:p w14:paraId="228FE206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4DEB588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AA1FF3A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147</w:t>
      </w:r>
      <w:r w:rsidRPr="00D4637E">
        <w:rPr>
          <w:rStyle w:val="HideTWBExt"/>
          <w:b w:val="0"/>
        </w:rPr>
        <w:t>&lt;/NumAm&gt;</w:t>
      </w:r>
    </w:p>
    <w:p w14:paraId="73C91E0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0591B0B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135ED2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CD77DE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B99C9F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6027B" w14:textId="77777777" w:rsidR="000D4DD1" w:rsidRPr="00D4637E" w:rsidRDefault="000D4DD1" w:rsidP="00660527"/>
        </w:tc>
      </w:tr>
      <w:tr w:rsidR="000D4DD1" w:rsidRPr="00D4637E" w14:paraId="77FBE76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561FF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D41A4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C3A98DF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A18F1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B8F0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18a.</w:t>
            </w:r>
            <w:r w:rsidRPr="00D4637E">
              <w:rPr>
                <w:b/>
                <w:i/>
              </w:rPr>
              <w:tab/>
              <w:t xml:space="preserve">wzywa Komisję i państwa członkowskie do systematycznego uwzględniania aspektów konkurencyjności w inicjatywach na rzecz uproszczenia, tak aby procedury administracyjne dotyczące obywateli i przedsiębiorstw były maksymalnie uproszczone bez uszczerbku dla podstawowych zabezpieczeń; podkreśla, że ograniczanie zbędnej biurokracji, rozwój rozwiązań cyfrowych i usprawnienie wzajemnego uznawania mogą obniżyć koszty przestrzegania przepisów, ułatwić mobilność oraz zwiększyć </w:t>
            </w:r>
            <w:r w:rsidRPr="00D4637E">
              <w:rPr>
                <w:b/>
                <w:i/>
              </w:rPr>
              <w:lastRenderedPageBreak/>
              <w:t>konkurencyjność i atrakcyjność jednolitego rynku;</w:t>
            </w:r>
          </w:p>
        </w:tc>
      </w:tr>
    </w:tbl>
    <w:p w14:paraId="5F07659F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9D270F5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025C0BC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148</w:t>
      </w:r>
      <w:r w:rsidRPr="00D4637E">
        <w:rPr>
          <w:rStyle w:val="HideTWBExt"/>
          <w:b w:val="0"/>
        </w:rPr>
        <w:t>&lt;/NumAm&gt;</w:t>
      </w:r>
    </w:p>
    <w:p w14:paraId="203D55B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6C0F428C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2078F49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B4CF95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3062AF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33514C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B0D97" w14:textId="77777777" w:rsidR="000D4DD1" w:rsidRPr="00D4637E" w:rsidRDefault="000D4DD1" w:rsidP="00660527"/>
        </w:tc>
      </w:tr>
      <w:tr w:rsidR="000D4DD1" w:rsidRPr="00D4637E" w14:paraId="2832EA5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9DAC0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9B8C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905B4D7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4AD9F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5986E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18a.</w:t>
            </w:r>
            <w:r w:rsidRPr="00D4637E">
              <w:rPr>
                <w:b/>
                <w:i/>
              </w:rPr>
              <w:tab/>
              <w:t>podkreśla, że upraszczanie przepisów musi przebiegać w ramach konstytucyjnych i być oparte na właściwych ocenach skutków oraz konsultacjach publicznych zgodnie z Porozumieniem Międzyinstytucjonalnym zawartym przez Komisję i współprawodawców w 2016 r.;</w:t>
            </w:r>
          </w:p>
        </w:tc>
      </w:tr>
    </w:tbl>
    <w:p w14:paraId="5AF75FC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F21BCD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86C1714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149</w:t>
      </w:r>
      <w:r w:rsidRPr="00D4637E">
        <w:rPr>
          <w:rStyle w:val="HideTWBExt"/>
          <w:b w:val="0"/>
        </w:rPr>
        <w:t>&lt;/NumAm&gt;</w:t>
      </w:r>
    </w:p>
    <w:p w14:paraId="65BE52E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517F2C7A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16DA25E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9EBEF3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B461AC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66E0144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F1F49" w14:textId="77777777" w:rsidR="000D4DD1" w:rsidRPr="00D4637E" w:rsidRDefault="000D4DD1" w:rsidP="00660527"/>
        </w:tc>
      </w:tr>
      <w:tr w:rsidR="000D4DD1" w:rsidRPr="00D4637E" w14:paraId="653E310D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5C832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E040C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3ED0247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CA0C2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FEE92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18b.</w:t>
            </w:r>
            <w:r w:rsidRPr="00D4637E">
              <w:rPr>
                <w:b/>
                <w:i/>
              </w:rPr>
              <w:tab/>
              <w:t>uważa, że uproszczenie z myślą o konkurencyjności oraz dalszej integracji rynku wewnętrznego wymaga całościowego podejścia do odpowiednich przepisów UE i krajowych; wskazuje, że także rozbieżności pomiędzy przepisami krajowymi państw członkowskich mogą powodować niepewność prawa oraz dodatkowe koszty administracyjne;</w:t>
            </w:r>
          </w:p>
        </w:tc>
      </w:tr>
    </w:tbl>
    <w:p w14:paraId="5212CEE1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69760AF" w14:textId="77777777" w:rsidR="000D4DD1" w:rsidRPr="00D4637E" w:rsidRDefault="000D4DD1" w:rsidP="000D4DD1">
      <w:r w:rsidRPr="00D4637E">
        <w:rPr>
          <w:rStyle w:val="HideTWBExt"/>
        </w:rPr>
        <w:lastRenderedPageBreak/>
        <w:t>&lt;/Amend&gt;</w:t>
      </w:r>
    </w:p>
    <w:p w14:paraId="10B77499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150</w:t>
      </w:r>
      <w:r w:rsidRPr="00D4637E">
        <w:rPr>
          <w:rStyle w:val="HideTWBExt"/>
          <w:b w:val="0"/>
        </w:rPr>
        <w:t>&lt;/NumAm&gt;</w:t>
      </w:r>
    </w:p>
    <w:p w14:paraId="6900BD3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5C66CFB3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6F3AEA2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234E79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02A5E34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18 c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491106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CD696" w14:textId="77777777" w:rsidR="000D4DD1" w:rsidRPr="00D4637E" w:rsidRDefault="000D4DD1" w:rsidP="00660527"/>
        </w:tc>
      </w:tr>
      <w:tr w:rsidR="000D4DD1" w:rsidRPr="00D4637E" w14:paraId="5414D66C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E72E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B69C0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FD904B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2C7D3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8B448" w14:textId="5C59CC0C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18c.</w:t>
            </w:r>
            <w:r w:rsidRPr="00D4637E">
              <w:rPr>
                <w:b/>
                <w:i/>
              </w:rPr>
              <w:tab/>
              <w:t>wzywa Komisję do sporządzenia katalogu wszystkich istniejących aktów prawnych – zarówno finansowych, jak i niefinansowych – oraz obowiązków administracyjnych dla przedsiębiorstw wynikających z prawa europejskiego, jak również z krajowych przepisów prawa spółek; postuluje, aby katalog ten stanowił podstawę do kompleksowej oceny obejmującej analizę kosztów i korzyści, różnych interesów publicznych, którym służą regulacje, nakładania się regulacji oraz możliwości harmonizacji i zbliżania przepisów;</w:t>
            </w:r>
            <w:r w:rsidR="007C7605" w:rsidRPr="00D4637E">
              <w:rPr>
                <w:b/>
                <w:i/>
              </w:rPr>
              <w:t xml:space="preserve"> </w:t>
            </w:r>
            <w:r w:rsidRPr="00D4637E">
              <w:rPr>
                <w:b/>
                <w:i/>
              </w:rPr>
              <w:t>zachęca Komisję do wykorzystania tej oceny jako podstawy – jeżeli to konieczne i z udziałem wszystkich istotnych podmiotów i zainteresowanych stron oraz na podstawie odpowiedniej oceny skutków – do przedstawienia wniosków dotyczących aktualizacji przestarzałych przepisów i usunięcia nieuzasadnionych barier przy zastosowaniu proporcjonalnych środków służących osiągnięciu wzrostu pozytywnej konwergencji;</w:t>
            </w:r>
          </w:p>
        </w:tc>
      </w:tr>
    </w:tbl>
    <w:p w14:paraId="539618F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049E3E6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7F84920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151</w:t>
      </w:r>
      <w:r w:rsidRPr="00D4637E">
        <w:rPr>
          <w:rStyle w:val="HideTWBExt"/>
          <w:b w:val="0"/>
        </w:rPr>
        <w:t>&lt;/NumAm&gt;</w:t>
      </w:r>
    </w:p>
    <w:p w14:paraId="4B1A240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44E4B40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4DB2CB7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74F167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D4C2F38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E811D" w14:textId="77777777" w:rsidR="000D4DD1" w:rsidRPr="00D4637E" w:rsidRDefault="000D4DD1" w:rsidP="00660527"/>
        </w:tc>
      </w:tr>
      <w:tr w:rsidR="000D4DD1" w:rsidRPr="00D4637E" w14:paraId="3A7DAEA7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C5095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C4AC8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7118A44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207E6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19.</w:t>
            </w:r>
            <w:r w:rsidRPr="00D4637E">
              <w:tab/>
              <w:t>podkreśla, że narzędzia cyfrowe i rozwiązania oparte na AI mają ogromny potencjał, aby pomóc w uproszczeniu przestrzegania przepisów i zmniejszeniu kosztów regulacyjnych; uważa, że należy dokładniej zbadać potencjalną przydatność narzędzi cyfrowych w dostarczaniu lepszych i szybszych rozwiązań w tym zakresie;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5C41F" w14:textId="77777777" w:rsidR="000D4DD1" w:rsidRPr="00D4637E" w:rsidRDefault="000D4DD1" w:rsidP="00660527">
            <w:pPr>
              <w:pStyle w:val="Normal6a"/>
            </w:pPr>
            <w:r w:rsidRPr="00D4637E">
              <w:t>19.</w:t>
            </w:r>
            <w:r w:rsidRPr="00D4637E">
              <w:tab/>
              <w:t xml:space="preserve">podkreśla, że narzędzia cyfrowe i rozwiązania oparte na AI mają ogromny potencjał, aby pomóc w uproszczeniu przestrzegania przepisów i zmniejszeniu kosztów regulacyjnych; uważa, że należy dokładniej zbadać potencjalną przydatność narzędzi cyfrowych w dostarczaniu lepszych i szybszych rozwiązań w tym zakresie; </w:t>
            </w:r>
            <w:r w:rsidRPr="00D4637E">
              <w:rPr>
                <w:b/>
                <w:i/>
              </w:rPr>
              <w:t>wzywa Komisję do testowania i wdrażania nowatorskich narzędzi sztucznej inteligencji – w tym dużych modeli językowych wspieranych przez generowanie wspomagane wyszukiwaniem – aby zwiększyć efektywność i precyzję monitorowania wdrażania prawa UE, umożliwiając szybsze wykrywanie przypadków nieprzestrzegania, bardziej terminowe reakcje na skargi oraz proaktywne rozwiązywanie pojawiających się problemów; przypomina, że skuteczne wdrożenie wymaga opracowania solidnych strategii dostępu do danych od momentu przyjęcia nowych przepisów; podkreśla, że wszelkie zastosowanie AI w monitorowaniu wdrażania prawa UE musi odbywać się pod rzeczywistą kontrolą człowieka; zaznacza, że takie systemy muszą pozostawać w pełni zgodne z prawem UE;</w:t>
            </w:r>
          </w:p>
        </w:tc>
      </w:tr>
    </w:tbl>
    <w:p w14:paraId="26F23B9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5E5682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48B71F7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152</w:t>
      </w:r>
      <w:r w:rsidRPr="00D4637E">
        <w:rPr>
          <w:rStyle w:val="HideTWBExt"/>
          <w:b w:val="0"/>
        </w:rPr>
        <w:t>&lt;/NumAm&gt;</w:t>
      </w:r>
    </w:p>
    <w:p w14:paraId="24A0062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2A18853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9BA9B2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6DE94F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0885B1B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575E3" w14:textId="77777777" w:rsidR="000D4DD1" w:rsidRPr="00D4637E" w:rsidRDefault="000D4DD1" w:rsidP="00660527"/>
        </w:tc>
      </w:tr>
      <w:tr w:rsidR="000D4DD1" w:rsidRPr="00D4637E" w14:paraId="6FE47CC4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C0C41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ECD3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5928E1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362B7" w14:textId="77777777" w:rsidR="000D4DD1" w:rsidRPr="00D4637E" w:rsidRDefault="000D4DD1" w:rsidP="00660527">
            <w:pPr>
              <w:pStyle w:val="Normal6a"/>
            </w:pPr>
            <w:r w:rsidRPr="00D4637E">
              <w:t>19.</w:t>
            </w:r>
            <w:r w:rsidRPr="00D4637E">
              <w:tab/>
              <w:t xml:space="preserve">podkreśla, że narzędzia cyfrowe i rozwiązania oparte na AI mają ogromny potencjał, aby pomóc w uproszczeniu przestrzegania przepisów i zmniejszeniu </w:t>
            </w:r>
            <w:r w:rsidRPr="00D4637E">
              <w:lastRenderedPageBreak/>
              <w:t>kosztów regulacyjnych; uważa, że należy dokładniej zbadać potencjalną przydatność narzędzi cyfrowych w dostarczaniu lepszych i szybszych rozwiązań w tym zakresie;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ED587" w14:textId="77777777" w:rsidR="000D4DD1" w:rsidRPr="00D4637E" w:rsidRDefault="000D4DD1" w:rsidP="00660527">
            <w:pPr>
              <w:pStyle w:val="Normal6a"/>
            </w:pPr>
            <w:r w:rsidRPr="00D4637E">
              <w:lastRenderedPageBreak/>
              <w:t>19.</w:t>
            </w:r>
            <w:r w:rsidRPr="00D4637E">
              <w:tab/>
              <w:t xml:space="preserve">podkreśla, że narzędzia cyfrowe i rozwiązania oparte na AI mają ogromny potencjał, aby pomóc w uproszczeniu przestrzegania przepisów i zmniejszeniu </w:t>
            </w:r>
            <w:r w:rsidRPr="00D4637E">
              <w:lastRenderedPageBreak/>
              <w:t xml:space="preserve">kosztów regulacyjnych; uważa, że należy dokładniej zbadać potencjalną przydatność narzędzi cyfrowych w dostarczaniu lepszych i szybszych rozwiązań w tym zakresie; </w:t>
            </w:r>
            <w:r w:rsidRPr="00D4637E">
              <w:rPr>
                <w:b/>
                <w:i/>
              </w:rPr>
              <w:t>podkreśla, że wymaga to działań wspierających oraz budowania zdolności, aby wyposażyć przedsiębiorstwa każdej wielkości, administracje oraz gospodarstwa domowe w niezbędną infrastrukturę cyfrową i zapewnić obywatelom odpowiednie umiejętności cyfrowe; w szczególności wskazuje na znaczenie powszechnego dostępu do e-sprawiedliwości;</w:t>
            </w:r>
          </w:p>
        </w:tc>
      </w:tr>
    </w:tbl>
    <w:p w14:paraId="3261A701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7509000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2A9DD86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153</w:t>
      </w:r>
      <w:r w:rsidRPr="00D4637E">
        <w:rPr>
          <w:rStyle w:val="HideTWBExt"/>
          <w:b w:val="0"/>
        </w:rPr>
        <w:t>&lt;/NumAm&gt;</w:t>
      </w:r>
    </w:p>
    <w:p w14:paraId="04847CE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Jörgen Warborn</w:t>
      </w:r>
      <w:r w:rsidRPr="00D4637E">
        <w:rPr>
          <w:rStyle w:val="HideTWBExt"/>
          <w:b w:val="0"/>
        </w:rPr>
        <w:t>&lt;/Members&gt;</w:t>
      </w:r>
    </w:p>
    <w:p w14:paraId="69B78ED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41EEC1E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7F920D9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25CC4E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1378C" w14:textId="77777777" w:rsidR="000D4DD1" w:rsidRPr="00D4637E" w:rsidRDefault="000D4DD1" w:rsidP="00660527"/>
        </w:tc>
      </w:tr>
      <w:tr w:rsidR="000D4DD1" w:rsidRPr="00D4637E" w14:paraId="6DDD04E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AEA5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C372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FFA8A5B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1BFB3" w14:textId="77777777" w:rsidR="000D4DD1" w:rsidRPr="00D4637E" w:rsidRDefault="000D4DD1" w:rsidP="00660527">
            <w:pPr>
              <w:pStyle w:val="Normal6a"/>
            </w:pPr>
            <w:r w:rsidRPr="00D4637E">
              <w:t>19.</w:t>
            </w:r>
            <w:r w:rsidRPr="00D4637E">
              <w:tab/>
              <w:t>podkreśla, że narzędzia cyfrowe i rozwiązania oparte na AI mają ogromny potencjał, aby pomóc w uproszczeniu przestrzegania przepisów i zmniejszeniu kosztów regulacyjnych; uważa, że należy dokładniej zbadać potencjalną przydatność narzędzi cyfrowych w dostarczaniu lepszych i szybszych rozwiązań w tym zakresie;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40F44" w14:textId="77777777" w:rsidR="000D4DD1" w:rsidRPr="00D4637E" w:rsidRDefault="000D4DD1" w:rsidP="00660527">
            <w:pPr>
              <w:pStyle w:val="Normal6a"/>
            </w:pPr>
            <w:r w:rsidRPr="00D4637E">
              <w:t>19.</w:t>
            </w:r>
            <w:r w:rsidRPr="00D4637E">
              <w:tab/>
              <w:t xml:space="preserve">podkreśla, że narzędzia cyfrowe i rozwiązania oparte na AI mają ogromny potencjał, aby pomóc w uproszczeniu przestrzegania przepisów i zmniejszeniu kosztów regulacyjnych; uważa, że należy dokładniej zbadać potencjalną przydatność narzędzi cyfrowych w dostarczaniu lepszych i szybszych rozwiązań w tym zakresie; </w:t>
            </w:r>
            <w:r w:rsidRPr="00D4637E">
              <w:rPr>
                <w:b/>
                <w:i/>
              </w:rPr>
              <w:t>w tym regulacje sprzyjające innowacjom, takie jak formuła piaskownicy regulacyjnej;</w:t>
            </w:r>
          </w:p>
        </w:tc>
      </w:tr>
    </w:tbl>
    <w:p w14:paraId="399A9934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7AF4390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11DAC43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154</w:t>
      </w:r>
      <w:r w:rsidRPr="00D4637E">
        <w:rPr>
          <w:rStyle w:val="HideTWBExt"/>
          <w:b w:val="0"/>
        </w:rPr>
        <w:t>&lt;/NumAm&gt;</w:t>
      </w:r>
    </w:p>
    <w:p w14:paraId="10A5E15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46C2E0BC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3D34582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C259693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90E3BC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19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3967444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8FC5D" w14:textId="77777777" w:rsidR="000D4DD1" w:rsidRPr="00D4637E" w:rsidRDefault="000D4DD1" w:rsidP="00660527"/>
        </w:tc>
      </w:tr>
      <w:tr w:rsidR="000D4DD1" w:rsidRPr="00D4637E" w14:paraId="62D0EA9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757E6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414DB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45478B9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4F602" w14:textId="77777777" w:rsidR="000D4DD1" w:rsidRPr="00D4637E" w:rsidRDefault="000D4DD1" w:rsidP="00660527">
            <w:pPr>
              <w:pStyle w:val="Normal6a"/>
            </w:pPr>
            <w:r w:rsidRPr="00D4637E">
              <w:t>19.</w:t>
            </w:r>
            <w:r w:rsidRPr="00D4637E">
              <w:tab/>
              <w:t>podkreśla, że narzędzia cyfrowe i rozwiązania oparte na AI mają ogromny potencjał, aby pomóc w uproszczeniu przestrzegania przepisów i zmniejszeniu kosztów regulacyjnych; uważa, że należy dokładniej zbadać potencjalną przydatność narzędzi cyfrowych w dostarczaniu lepszych i szybszych rozwiązań w tym zakresie;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E58F5" w14:textId="77777777" w:rsidR="000D4DD1" w:rsidRPr="00D4637E" w:rsidRDefault="000D4DD1" w:rsidP="00660527">
            <w:pPr>
              <w:pStyle w:val="Normal6a"/>
            </w:pPr>
            <w:r w:rsidRPr="00D4637E">
              <w:t>19.</w:t>
            </w:r>
            <w:r w:rsidRPr="00D4637E">
              <w:tab/>
              <w:t xml:space="preserve">podkreśla, że narzędzia cyfrowe i rozwiązania oparte na AI mają ogromny potencjał, aby pomóc w uproszczeniu przestrzegania przepisów i zmniejszeniu kosztów regulacyjnych; uważa, że należy dokładniej zbadać potencjalną przydatność narzędzi cyfrowych w dostarczaniu lepszych i szybszych rozwiązań w tym zakresie </w:t>
            </w:r>
            <w:r w:rsidRPr="00D4637E">
              <w:rPr>
                <w:b/>
                <w:i/>
              </w:rPr>
              <w:t>oraz że należy wdrożyć obowiązujące niedawno przyjęte prawodawstwo</w:t>
            </w:r>
            <w:r w:rsidRPr="00D4637E">
              <w:t>;</w:t>
            </w:r>
          </w:p>
        </w:tc>
      </w:tr>
    </w:tbl>
    <w:p w14:paraId="64C3F35B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4C5BC46C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E6085C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155</w:t>
      </w:r>
      <w:r w:rsidRPr="00D4637E">
        <w:rPr>
          <w:rStyle w:val="HideTWBExt"/>
          <w:b w:val="0"/>
        </w:rPr>
        <w:t>&lt;/NumAm&gt;</w:t>
      </w:r>
    </w:p>
    <w:p w14:paraId="67F8D6F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Victor Negrescu</w:t>
      </w:r>
      <w:r w:rsidRPr="00D4637E">
        <w:rPr>
          <w:rStyle w:val="HideTWBExt"/>
          <w:b w:val="0"/>
        </w:rPr>
        <w:t>&lt;/Members&gt;</w:t>
      </w:r>
    </w:p>
    <w:p w14:paraId="505CB4D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0F92DC3A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017460F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19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348C3E1B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76EA2" w14:textId="77777777" w:rsidR="000D4DD1" w:rsidRPr="00D4637E" w:rsidRDefault="000D4DD1" w:rsidP="00660527"/>
        </w:tc>
      </w:tr>
      <w:tr w:rsidR="000D4DD1" w:rsidRPr="00D4637E" w14:paraId="1553BFB8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751F4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F9D55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740471A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EA75F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7C3D4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19a.</w:t>
            </w:r>
            <w:r w:rsidRPr="00D4637E">
              <w:rPr>
                <w:b/>
                <w:i/>
              </w:rPr>
              <w:tab/>
              <w:t>wzywa Komisję do udostępnienia otwartych cyfrowych zestawów wskaźników, które umożliwią obywatelom, MŚP i zainteresowanym stronom monitorowanie postępów legislacyjnych, kosztów i środków upraszczających w czasie rzeczywistym;</w:t>
            </w:r>
          </w:p>
        </w:tc>
      </w:tr>
    </w:tbl>
    <w:p w14:paraId="47F474EE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836A90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AA19B07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156</w:t>
      </w:r>
      <w:r w:rsidRPr="00D4637E">
        <w:rPr>
          <w:rStyle w:val="HideTWBExt"/>
          <w:b w:val="0"/>
        </w:rPr>
        <w:t>&lt;/NumAm&gt;</w:t>
      </w:r>
    </w:p>
    <w:p w14:paraId="34C52A3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0AF1758C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6C372F1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C17284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F71F7C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D9171B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C478C" w14:textId="77777777" w:rsidR="000D4DD1" w:rsidRPr="00D4637E" w:rsidRDefault="000D4DD1" w:rsidP="00660527"/>
        </w:tc>
      </w:tr>
      <w:tr w:rsidR="000D4DD1" w:rsidRPr="00D4637E" w14:paraId="1A49D59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3771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D1E8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90731E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4284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lastRenderedPageBreak/>
              <w:t>20.</w:t>
            </w:r>
            <w:r w:rsidRPr="00D4637E">
              <w:rPr>
                <w:b/>
                <w:i/>
              </w:rPr>
              <w:tab/>
              <w:t>ostrzega przed utrzymującym się problemem nadmiernie rygorystycznego wdrażania transpozycji dyrektyw przez państwa członkowskie; wzywa państwa członkowskie do powstrzymania się od takich praktyk, a Komisję do identyfikowania i nagłaśniania takich praktyk w rocznych sprawozdaniach z wdrażania;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9C92A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skreśla się</w:t>
            </w:r>
          </w:p>
        </w:tc>
      </w:tr>
    </w:tbl>
    <w:p w14:paraId="0411C54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38CB1422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E02D12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157</w:t>
      </w:r>
      <w:r w:rsidRPr="00D4637E">
        <w:rPr>
          <w:rStyle w:val="HideTWBExt"/>
          <w:b w:val="0"/>
        </w:rPr>
        <w:t>&lt;/NumAm&gt;</w:t>
      </w:r>
    </w:p>
    <w:p w14:paraId="4D1E726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Daniel Buda</w:t>
      </w:r>
      <w:r w:rsidRPr="00D4637E">
        <w:rPr>
          <w:rStyle w:val="HideTWBExt"/>
          <w:b w:val="0"/>
        </w:rPr>
        <w:t>&lt;/Members&gt;</w:t>
      </w:r>
    </w:p>
    <w:p w14:paraId="24188E5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D19C28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0477DF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0F292087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95CC8" w14:textId="77777777" w:rsidR="000D4DD1" w:rsidRPr="00D4637E" w:rsidRDefault="000D4DD1" w:rsidP="00660527"/>
        </w:tc>
      </w:tr>
      <w:tr w:rsidR="000D4DD1" w:rsidRPr="00D4637E" w14:paraId="2A3E5AFA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1938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5ED52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53014D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4E9C9" w14:textId="77777777" w:rsidR="000D4DD1" w:rsidRPr="00D4637E" w:rsidRDefault="000D4DD1" w:rsidP="00660527">
            <w:pPr>
              <w:pStyle w:val="Normal6a"/>
            </w:pPr>
            <w:r w:rsidRPr="00D4637E">
              <w:t>20.</w:t>
            </w:r>
            <w:r w:rsidRPr="00D4637E">
              <w:tab/>
              <w:t xml:space="preserve">ostrzega przed utrzymującym się problemem nadmiernie rygorystycznego wdrażania transpozycji dyrektyw przez państwa członkowskie; wzywa państwa członkowskie do powstrzymania się od takich praktyk, a Komisję do </w:t>
            </w:r>
            <w:r w:rsidRPr="00D4637E">
              <w:rPr>
                <w:b/>
                <w:bCs/>
                <w:i/>
                <w:iCs/>
              </w:rPr>
              <w:t>identyfikowania i nagłaśniania takich praktyk w rocznych sprawozdaniach z wdrażania</w:t>
            </w:r>
            <w:r w:rsidRPr="00D4637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98A01" w14:textId="77777777" w:rsidR="000D4DD1" w:rsidRPr="00D4637E" w:rsidRDefault="000D4DD1" w:rsidP="00660527">
            <w:pPr>
              <w:pStyle w:val="Normal6a"/>
            </w:pPr>
            <w:r w:rsidRPr="00D4637E">
              <w:t>20.</w:t>
            </w:r>
            <w:r w:rsidRPr="00D4637E">
              <w:tab/>
              <w:t xml:space="preserve">ostrzega przed utrzymującym się problemem nadmiernie rygorystycznego wdrażania transpozycji dyrektyw przez państwa członkowskie; wzywa państwa członkowskie do powstrzymania się od takich praktyk nadmiernie rygorystycznego wdrażania, a Komisję do </w:t>
            </w:r>
            <w:r w:rsidRPr="00D4637E">
              <w:rPr>
                <w:b/>
                <w:bCs/>
                <w:i/>
                <w:iCs/>
              </w:rPr>
              <w:t>ustanowienia mechanizmu monitorowania i oceny transpozycji na szczeblu krajowym, wraz z coroczną publikacją przykładów dobrych i złych praktyk, aby zapobiegać nadmiernemu wdrażaniu przepisów i zapewnić jednolite stosowanie prawa UE</w:t>
            </w:r>
            <w:r w:rsidRPr="00D4637E">
              <w:t xml:space="preserve">; </w:t>
            </w:r>
            <w:r w:rsidRPr="00D4637E">
              <w:rPr>
                <w:b/>
                <w:i/>
              </w:rPr>
              <w:t xml:space="preserve"> </w:t>
            </w:r>
            <w:r w:rsidRPr="00D4637E">
              <w:rPr>
                <w:b/>
                <w:bCs/>
                <w:i/>
                <w:iCs/>
              </w:rPr>
              <w:t>zachęca państwa członkowskie do współpracy i udziału w wymianie najlepszych praktyk w celu zapewnienia proporcjonalnego i skutecznego wdrażania dyrektyw;</w:t>
            </w:r>
          </w:p>
        </w:tc>
      </w:tr>
    </w:tbl>
    <w:p w14:paraId="209D4D96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{RO}</w:t>
      </w:r>
      <w:r w:rsidRPr="00D4637E">
        <w:t>ro</w:t>
      </w:r>
      <w:r w:rsidRPr="00D4637E">
        <w:rPr>
          <w:rStyle w:val="HideTWBExt"/>
        </w:rPr>
        <w:t>&lt;/Original&gt;</w:t>
      </w:r>
    </w:p>
    <w:p w14:paraId="4DB62B2A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B30242C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158</w:t>
      </w:r>
      <w:r w:rsidRPr="00D4637E">
        <w:rPr>
          <w:rStyle w:val="HideTWBExt"/>
          <w:b w:val="0"/>
        </w:rPr>
        <w:t>&lt;/NumAm&gt;</w:t>
      </w:r>
    </w:p>
    <w:p w14:paraId="10E878F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41745792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2750415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4CE7CDD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&lt;Article&gt;</w:t>
      </w:r>
      <w:r w:rsidRPr="00D4637E">
        <w:t>Ustęp 20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A9BD970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0C17D" w14:textId="77777777" w:rsidR="000D4DD1" w:rsidRPr="00D4637E" w:rsidRDefault="000D4DD1" w:rsidP="00660527"/>
        </w:tc>
      </w:tr>
      <w:tr w:rsidR="000D4DD1" w:rsidRPr="00D4637E" w14:paraId="52AE64AD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16F6F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CD5AF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754C8716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93358" w14:textId="77777777" w:rsidR="000D4DD1" w:rsidRPr="00D4637E" w:rsidRDefault="000D4DD1" w:rsidP="00660527">
            <w:pPr>
              <w:pStyle w:val="Normal6a"/>
            </w:pPr>
            <w:r w:rsidRPr="00D4637E">
              <w:t>20.</w:t>
            </w:r>
            <w:r w:rsidRPr="00D4637E">
              <w:tab/>
              <w:t>ostrzega przed utrzymującym się problemem nadmiernie rygorystycznego wdrażania transpozycji dyrektyw przez państwa członkowskie; wzywa państwa członkowskie do powstrzymania się od takich praktyk, a Komisję do identyfikowania i nagłaśniania takich praktyk w rocznych sprawozdaniach z wdrażania;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35911" w14:textId="77777777" w:rsidR="000D4DD1" w:rsidRPr="00D4637E" w:rsidRDefault="000D4DD1" w:rsidP="00660527">
            <w:pPr>
              <w:pStyle w:val="Normal6a"/>
            </w:pPr>
            <w:r w:rsidRPr="00D4637E">
              <w:t>20.</w:t>
            </w:r>
            <w:r w:rsidRPr="00D4637E">
              <w:tab/>
              <w:t xml:space="preserve">ostrzega przed utrzymującym się problemem nadmiernie rygorystycznego wdrażania transpozycji dyrektyw przez państwa członkowskie; wzywa państwa członkowskie do powstrzymania się od takich praktyk, a Komisję do identyfikowania i nagłaśniania takich praktyk w rocznych sprawozdaniach z wdrażania; </w:t>
            </w:r>
            <w:r w:rsidRPr="00D4637E">
              <w:rPr>
                <w:b/>
                <w:i/>
              </w:rPr>
              <w:t>wnosi ponadto, aby Komisja monitorowała wydawanie aktów delegowanych i aktów wykonawczych oraz sprawdzała, czy akty te nie przyczyniają się do nadmiernej regulacji poprzez ustanawianie wymogów nadmiernie szczegółowych lub o charakterze zbyt preskryptywnym;</w:t>
            </w:r>
          </w:p>
        </w:tc>
      </w:tr>
    </w:tbl>
    <w:p w14:paraId="13E753C0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2C84B0DD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46317B6D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159</w:t>
      </w:r>
      <w:r w:rsidRPr="00D4637E">
        <w:rPr>
          <w:rStyle w:val="HideTWBExt"/>
          <w:b w:val="0"/>
        </w:rPr>
        <w:t>&lt;/NumAm&gt;</w:t>
      </w:r>
    </w:p>
    <w:p w14:paraId="7358CBB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Tiemo Wölken, Lara Wolters, René Repasi, Eric Sargiacomo, Krzysztof Śmiszek, Brando Benifei, Leire Pajín</w:t>
      </w:r>
      <w:r w:rsidRPr="00D4637E">
        <w:rPr>
          <w:rStyle w:val="HideTWBExt"/>
          <w:b w:val="0"/>
        </w:rPr>
        <w:t>&lt;/Members&gt;</w:t>
      </w:r>
    </w:p>
    <w:p w14:paraId="308BA0B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7A07A2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627AC118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20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6448BD2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EA60A" w14:textId="77777777" w:rsidR="000D4DD1" w:rsidRPr="00D4637E" w:rsidRDefault="000D4DD1" w:rsidP="00660527"/>
        </w:tc>
      </w:tr>
      <w:tr w:rsidR="000D4DD1" w:rsidRPr="00D4637E" w14:paraId="1C166E2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4EE5A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8BE3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658DBA11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C4853" w14:textId="77777777" w:rsidR="000D4DD1" w:rsidRPr="00D4637E" w:rsidRDefault="000D4DD1" w:rsidP="00660527">
            <w:pPr>
              <w:pStyle w:val="Normal6a"/>
            </w:pPr>
            <w:r w:rsidRPr="00D4637E">
              <w:t>20.</w:t>
            </w:r>
            <w:r w:rsidRPr="00D4637E">
              <w:tab/>
            </w:r>
            <w:r w:rsidRPr="00D4637E">
              <w:rPr>
                <w:b/>
                <w:i/>
              </w:rPr>
              <w:t>ostrzega przed utrzymującym się problemem nadmiernie rygorystycznego wdrażania transpozycji dyrektyw przez państwa członkowskie;</w:t>
            </w:r>
            <w:r w:rsidRPr="00D4637E">
              <w:t xml:space="preserve"> wzywa państwa członkowskie do powstrzymania się od </w:t>
            </w:r>
            <w:r w:rsidRPr="00D4637E">
              <w:rPr>
                <w:b/>
                <w:i/>
              </w:rPr>
              <w:t>takich praktyk</w:t>
            </w:r>
            <w:r w:rsidRPr="00D4637E">
              <w:t>, a Komisję do identyfikowania i nagłaśniania takich praktyk w rocznych sprawozdaniach z wdrażania;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F6B8C" w14:textId="77777777" w:rsidR="000D4DD1" w:rsidRPr="00D4637E" w:rsidRDefault="000D4DD1" w:rsidP="00660527">
            <w:pPr>
              <w:pStyle w:val="Normal6a"/>
            </w:pPr>
            <w:r w:rsidRPr="00D4637E">
              <w:t>20.</w:t>
            </w:r>
            <w:r w:rsidRPr="00D4637E">
              <w:tab/>
              <w:t xml:space="preserve">wzywa państwa członkowskie do powstrzymania się od </w:t>
            </w:r>
            <w:r w:rsidRPr="00D4637E">
              <w:rPr>
                <w:b/>
                <w:i/>
              </w:rPr>
              <w:t>późnej</w:t>
            </w:r>
            <w:r w:rsidRPr="00D4637E">
              <w:t xml:space="preserve">, </w:t>
            </w:r>
            <w:r w:rsidRPr="00D4637E">
              <w:rPr>
                <w:b/>
                <w:i/>
              </w:rPr>
              <w:t xml:space="preserve">niepełnej lub nieprawidłowej transpozycji dyrektyw, </w:t>
            </w:r>
            <w:r w:rsidRPr="00D4637E">
              <w:t xml:space="preserve">a Komisję do </w:t>
            </w:r>
            <w:r w:rsidRPr="00D4637E">
              <w:rPr>
                <w:b/>
                <w:i/>
              </w:rPr>
              <w:t xml:space="preserve">kompleksowego </w:t>
            </w:r>
            <w:r w:rsidRPr="00D4637E">
              <w:t>identyfikowania i nagłaśniania takich praktyk w rocznych sprawozdaniach z wdrażania;</w:t>
            </w:r>
          </w:p>
        </w:tc>
      </w:tr>
    </w:tbl>
    <w:p w14:paraId="092800B6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5EAFF41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63ACFD86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160</w:t>
      </w:r>
      <w:r w:rsidRPr="00D4637E">
        <w:rPr>
          <w:rStyle w:val="HideTWBExt"/>
          <w:b w:val="0"/>
        </w:rPr>
        <w:t>&lt;/NumAm&gt;</w:t>
      </w:r>
    </w:p>
    <w:p w14:paraId="7E86E66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lastRenderedPageBreak/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1842E14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58C8459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1623916C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20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12A779B9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E9999" w14:textId="77777777" w:rsidR="000D4DD1" w:rsidRPr="00D4637E" w:rsidRDefault="000D4DD1" w:rsidP="00660527"/>
        </w:tc>
      </w:tr>
      <w:tr w:rsidR="000D4DD1" w:rsidRPr="00D4637E" w14:paraId="16C5BCC6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55A7D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D54AA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1ADCD100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7C88E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5B42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20a.</w:t>
            </w:r>
            <w:r w:rsidRPr="00D4637E">
              <w:rPr>
                <w:b/>
                <w:i/>
              </w:rPr>
              <w:tab/>
              <w:t>wzywa Komisję i państwa członkowskie do przeciwdziałania fragmentacji regulacyjnej, która dotyka MŚP na jednolitym rynku, w tym zbędnym formalnościom krajowym, oraz do nadania priorytetu ramom wzajemnego uznawania i interoperacyjności; apeluje do Komisji i państw członkowskich o ograniczenie rozbieżności administracyjnych na poziomie krajowym, które utrudniają udział MŚP w jednolitym rynku; podkreśla znaczenie wzmacniania wzajemnego uznawania i harmonizacji w celu ułatwienia dostępu do rynków UE;</w:t>
            </w:r>
          </w:p>
        </w:tc>
      </w:tr>
    </w:tbl>
    <w:p w14:paraId="244AB382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0D55924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38C1B065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161</w:t>
      </w:r>
      <w:r w:rsidRPr="00D4637E">
        <w:rPr>
          <w:rStyle w:val="HideTWBExt"/>
          <w:b w:val="0"/>
        </w:rPr>
        <w:t>&lt;/NumAm&gt;</w:t>
      </w:r>
    </w:p>
    <w:p w14:paraId="7998DC3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Mario Mantovani</w:t>
      </w:r>
      <w:r w:rsidRPr="00D4637E">
        <w:rPr>
          <w:rStyle w:val="HideTWBExt"/>
          <w:b w:val="0"/>
        </w:rPr>
        <w:t>&lt;/Members&gt;</w:t>
      </w:r>
    </w:p>
    <w:p w14:paraId="78444B4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6F087F7D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340FCE2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20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51471F11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39B3B" w14:textId="77777777" w:rsidR="000D4DD1" w:rsidRPr="00D4637E" w:rsidRDefault="000D4DD1" w:rsidP="00660527"/>
        </w:tc>
      </w:tr>
      <w:tr w:rsidR="000D4DD1" w:rsidRPr="00D4637E" w14:paraId="31FDB04E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FB9F3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D72E6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52A96EA3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17680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C085B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20a.</w:t>
            </w:r>
            <w:r w:rsidRPr="00D4637E">
              <w:tab/>
            </w:r>
            <w:r w:rsidRPr="00D4637E">
              <w:rPr>
                <w:b/>
                <w:i/>
              </w:rPr>
              <w:t xml:space="preserve">wzywa Komisję do dokonania przeglądu równowagi między aktami prawodawczymi a aktami delegowanymi i aktami wykonawczymi oraz do podjęcia działań w związku z ich nadmierną produkcją, tak aby zagwarantować, że korzystanie z tych aktów pozostanie proporcjonalne i nie będzie podważać demokratycznej legitymacji procesu prawodawczego; wnosi o rozważenie przeglądu rozporządzenia (UE) nr 182/2011 oraz przepisów dotyczących aktów delegowanych i aktów wykonawczych w celu wzmocnienia </w:t>
            </w:r>
            <w:r w:rsidRPr="00D4637E">
              <w:rPr>
                <w:b/>
                <w:i/>
              </w:rPr>
              <w:lastRenderedPageBreak/>
              <w:t>kontroli parlamentarnej i zwiększenia przejrzystości;</w:t>
            </w:r>
          </w:p>
        </w:tc>
      </w:tr>
    </w:tbl>
    <w:p w14:paraId="49064C7D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{IT}</w:t>
      </w:r>
      <w:r w:rsidRPr="00D4637E">
        <w:t>it</w:t>
      </w:r>
      <w:r w:rsidRPr="00D4637E">
        <w:rPr>
          <w:rStyle w:val="HideTWBExt"/>
        </w:rPr>
        <w:t>&lt;/Original&gt;</w:t>
      </w:r>
    </w:p>
    <w:p w14:paraId="11B1391F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7BC6F832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162</w:t>
      </w:r>
      <w:r w:rsidRPr="00D4637E">
        <w:rPr>
          <w:rStyle w:val="HideTWBExt"/>
          <w:b w:val="0"/>
        </w:rPr>
        <w:t>&lt;/NumAm&gt;</w:t>
      </w:r>
    </w:p>
    <w:p w14:paraId="1B2C8476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Kira Marie Peter-Hansen</w:t>
      </w:r>
      <w:r w:rsidRPr="00D4637E">
        <w:rPr>
          <w:rStyle w:val="HideTWBExt"/>
          <w:b w:val="0"/>
        </w:rPr>
        <w:t>&lt;/Members&gt;</w:t>
      </w:r>
    </w:p>
    <w:p w14:paraId="15E264BB" w14:textId="77777777" w:rsidR="000D4DD1" w:rsidRPr="00D4637E" w:rsidRDefault="000D4DD1" w:rsidP="000D4DD1">
      <w:r w:rsidRPr="00D4637E">
        <w:rPr>
          <w:rStyle w:val="HideTWBExt"/>
        </w:rPr>
        <w:t>&lt;AuNomDe&gt;</w:t>
      </w:r>
      <w:r w:rsidRPr="00D4637E">
        <w:rPr>
          <w:rStyle w:val="HideTWBInt"/>
        </w:rPr>
        <w:t>{Verts/ALE}</w:t>
      </w:r>
      <w:r w:rsidRPr="00D4637E">
        <w:t>w imieniu grupy Verts/ALE</w:t>
      </w:r>
      <w:r w:rsidRPr="00D4637E">
        <w:rPr>
          <w:rStyle w:val="HideTWBExt"/>
        </w:rPr>
        <w:t>&lt;/AuNomDe&gt;</w:t>
      </w:r>
    </w:p>
    <w:p w14:paraId="293F26D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76C0BAF9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AD1D240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20 a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2BD0B283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BBB64" w14:textId="77777777" w:rsidR="000D4DD1" w:rsidRPr="00D4637E" w:rsidRDefault="000D4DD1" w:rsidP="00660527"/>
        </w:tc>
      </w:tr>
      <w:tr w:rsidR="000D4DD1" w:rsidRPr="00D4637E" w14:paraId="1C81AAF5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D1480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81BDD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28CFDB7D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8274B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82D55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20a.</w:t>
            </w:r>
            <w:r w:rsidRPr="00D4637E">
              <w:rPr>
                <w:b/>
                <w:i/>
              </w:rPr>
              <w:tab/>
              <w:t>uznaje konieczność spójnej i skutecznej transpozycji prawa UE przez państwa członkowskie, aby zapewnić pewność prawa i równe warunki działania przy podnoszeniu standardów; podkreśla, że pojęcie „nadmiernie rygorystycznego wdrażania” nie powinno być wykorzystywane do zniechęcania państw członkowskich do utrzymania lub wprowadzania wyższych standardów społecznych, środowiskowych lub ochrony konsumentów;</w:t>
            </w:r>
          </w:p>
        </w:tc>
      </w:tr>
    </w:tbl>
    <w:p w14:paraId="49241A6F" w14:textId="77777777" w:rsidR="000D4DD1" w:rsidRPr="00D4637E" w:rsidRDefault="000D4DD1" w:rsidP="000D4DD1">
      <w:pPr>
        <w:pStyle w:val="AmOrLang"/>
      </w:pPr>
      <w:r w:rsidRPr="00D4637E"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0916EDDE" w14:textId="77777777" w:rsidR="000D4DD1" w:rsidRPr="00D4637E" w:rsidRDefault="000D4DD1" w:rsidP="000D4DD1">
      <w:r w:rsidRPr="00D4637E">
        <w:rPr>
          <w:rStyle w:val="HideTWBExt"/>
        </w:rPr>
        <w:t>&lt;/Amend&gt;</w:t>
      </w:r>
    </w:p>
    <w:p w14:paraId="572F948B" w14:textId="77777777" w:rsidR="000D4DD1" w:rsidRPr="00D4637E" w:rsidRDefault="000D4DD1" w:rsidP="000D4DD1">
      <w:pPr>
        <w:pStyle w:val="AmNumberTabs"/>
      </w:pPr>
      <w:r w:rsidRPr="00D4637E">
        <w:rPr>
          <w:rStyle w:val="HideTWBExt"/>
          <w:b w:val="0"/>
        </w:rPr>
        <w:t>&lt;Amend&gt;</w:t>
      </w:r>
      <w:r w:rsidRPr="00D4637E">
        <w:t>Poprawka</w:t>
      </w:r>
      <w:r w:rsidRPr="00D4637E">
        <w:tab/>
      </w:r>
      <w:r w:rsidRPr="00D4637E">
        <w:tab/>
      </w:r>
      <w:r w:rsidRPr="00D4637E">
        <w:rPr>
          <w:rStyle w:val="HideTWBExt"/>
          <w:b w:val="0"/>
        </w:rPr>
        <w:t>&lt;NumAm&gt;</w:t>
      </w:r>
      <w:r w:rsidRPr="00D4637E">
        <w:t>163</w:t>
      </w:r>
      <w:r w:rsidRPr="00D4637E">
        <w:rPr>
          <w:rStyle w:val="HideTWBExt"/>
          <w:b w:val="0"/>
        </w:rPr>
        <w:t>&lt;/NumAm&gt;</w:t>
      </w:r>
    </w:p>
    <w:p w14:paraId="57626A3E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&lt;RepeatBlock-By&gt;&lt;Members&gt;</w:t>
      </w:r>
      <w:r w:rsidRPr="00D4637E">
        <w:t>Dainius Žalimas</w:t>
      </w:r>
      <w:r w:rsidRPr="00D4637E">
        <w:rPr>
          <w:rStyle w:val="HideTWBExt"/>
          <w:b w:val="0"/>
        </w:rPr>
        <w:t>&lt;/Members&gt;</w:t>
      </w:r>
    </w:p>
    <w:p w14:paraId="7592ACE1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&lt;/RepeatBlock-By&gt;</w:t>
      </w:r>
    </w:p>
    <w:p w14:paraId="16FF2435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&lt;DocAmend&gt;</w:t>
      </w:r>
      <w:r w:rsidRPr="00D4637E">
        <w:t>Projekt rezolucji</w:t>
      </w:r>
      <w:r w:rsidRPr="00D4637E">
        <w:rPr>
          <w:rStyle w:val="HideTWBExt"/>
          <w:b w:val="0"/>
        </w:rPr>
        <w:t>&lt;/DocAmend&gt;</w:t>
      </w:r>
    </w:p>
    <w:p w14:paraId="551CD174" w14:textId="77777777" w:rsidR="000D4DD1" w:rsidRPr="00D4637E" w:rsidRDefault="000D4DD1" w:rsidP="000D4DD1">
      <w:pPr>
        <w:pStyle w:val="NormalBold"/>
      </w:pPr>
      <w:r w:rsidRPr="00D4637E">
        <w:rPr>
          <w:rStyle w:val="HideTWBExt"/>
          <w:b w:val="0"/>
        </w:rPr>
        <w:t>&lt;Article&gt;</w:t>
      </w:r>
      <w:r w:rsidRPr="00D4637E">
        <w:t>Ustęp 20 b (nowy)</w:t>
      </w:r>
      <w:r w:rsidRPr="00D4637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4DD1" w:rsidRPr="00D4637E" w14:paraId="7F0D269D" w14:textId="77777777" w:rsidTr="0066052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C44ED" w14:textId="77777777" w:rsidR="000D4DD1" w:rsidRPr="00D4637E" w:rsidRDefault="000D4DD1" w:rsidP="00660527"/>
        </w:tc>
      </w:tr>
      <w:tr w:rsidR="000D4DD1" w:rsidRPr="00D4637E" w14:paraId="1E8E4CFF" w14:textId="77777777" w:rsidTr="0066052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F522B" w14:textId="77777777" w:rsidR="000D4DD1" w:rsidRPr="00D4637E" w:rsidRDefault="000D4DD1" w:rsidP="00660527">
            <w:pPr>
              <w:pStyle w:val="AmColumnHeading"/>
            </w:pPr>
            <w:r w:rsidRPr="00D4637E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FFC49" w14:textId="77777777" w:rsidR="000D4DD1" w:rsidRPr="00D4637E" w:rsidRDefault="000D4DD1" w:rsidP="00660527">
            <w:pPr>
              <w:pStyle w:val="AmColumnHeading"/>
            </w:pPr>
            <w:r w:rsidRPr="00D4637E">
              <w:t>Poprawka</w:t>
            </w:r>
          </w:p>
        </w:tc>
      </w:tr>
      <w:tr w:rsidR="000D4DD1" w:rsidRPr="00D4637E" w14:paraId="03FDA20E" w14:textId="77777777" w:rsidTr="0066052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C8942" w14:textId="77777777" w:rsidR="000D4DD1" w:rsidRPr="00D4637E" w:rsidRDefault="000D4DD1" w:rsidP="0066052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A92C6" w14:textId="77777777" w:rsidR="000D4DD1" w:rsidRPr="00D4637E" w:rsidRDefault="000D4DD1" w:rsidP="00660527">
            <w:pPr>
              <w:pStyle w:val="Normal6a"/>
            </w:pPr>
            <w:r w:rsidRPr="00D4637E">
              <w:rPr>
                <w:b/>
                <w:i/>
              </w:rPr>
              <w:t>20b.</w:t>
            </w:r>
            <w:r w:rsidRPr="00D4637E">
              <w:rPr>
                <w:b/>
                <w:i/>
              </w:rPr>
              <w:tab/>
              <w:t>apeluje o wprowadzenie pełnego sprawdzianu konkurencyjności jako standardowej praktyki obejmującej ocenę skumulowanego wpływu głównych pakietów legislacyjnych, a nie ocenę poszczególnych aktów prawnych w oderwaniu od siebie;</w:t>
            </w:r>
          </w:p>
        </w:tc>
      </w:tr>
    </w:tbl>
    <w:p w14:paraId="343EAAAF" w14:textId="77777777" w:rsidR="000D4DD1" w:rsidRPr="00D4637E" w:rsidRDefault="000D4DD1" w:rsidP="000D4DD1">
      <w:pPr>
        <w:pStyle w:val="AmOrLang"/>
      </w:pPr>
      <w:r w:rsidRPr="00D4637E">
        <w:lastRenderedPageBreak/>
        <w:t xml:space="preserve">Or. </w:t>
      </w:r>
      <w:r w:rsidRPr="00D4637E">
        <w:rPr>
          <w:rStyle w:val="HideTWBExt"/>
        </w:rPr>
        <w:t>&lt;Original&gt;</w:t>
      </w:r>
      <w:r w:rsidRPr="00D4637E">
        <w:rPr>
          <w:rStyle w:val="HideTWBInt"/>
        </w:rPr>
        <w:t>{EN}</w:t>
      </w:r>
      <w:r w:rsidRPr="00D4637E">
        <w:t>en</w:t>
      </w:r>
      <w:r w:rsidRPr="00D4637E">
        <w:rPr>
          <w:rStyle w:val="HideTWBExt"/>
        </w:rPr>
        <w:t>&lt;/Original&gt;</w:t>
      </w:r>
    </w:p>
    <w:p w14:paraId="6326CCDF" w14:textId="21D226E7" w:rsidR="000D4DD1" w:rsidRPr="00D4637E" w:rsidRDefault="000D4DD1" w:rsidP="000D4DD1">
      <w:r w:rsidRPr="00D4637E">
        <w:rPr>
          <w:rStyle w:val="HideTWBExt"/>
        </w:rPr>
        <w:t>&lt;/Amend&gt;&lt;/RepeatBlock-Amend&gt;</w:t>
      </w:r>
    </w:p>
    <w:p w14:paraId="3FF95668" w14:textId="2E628B9B" w:rsidR="00FC57E7" w:rsidRPr="00D4637E" w:rsidRDefault="00FC57E7" w:rsidP="000D4DD1"/>
    <w:sectPr w:rsidR="00FC57E7" w:rsidRPr="00D4637E" w:rsidSect="004820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95674" w14:textId="77777777" w:rsidR="009A5F7F" w:rsidRPr="0053377D" w:rsidRDefault="009A5F7F">
      <w:r w:rsidRPr="0053377D">
        <w:separator/>
      </w:r>
    </w:p>
  </w:endnote>
  <w:endnote w:type="continuationSeparator" w:id="0">
    <w:p w14:paraId="3FF95676" w14:textId="77777777" w:rsidR="009A5F7F" w:rsidRPr="0053377D" w:rsidRDefault="009A5F7F">
      <w:r w:rsidRPr="005337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27C69" w14:textId="77777777" w:rsidR="004820FD" w:rsidRPr="008070D0" w:rsidRDefault="004820FD" w:rsidP="004820FD">
    <w:pPr>
      <w:pStyle w:val="EPFooter"/>
      <w:rPr>
        <w:lang w:val="de-DE"/>
      </w:rPr>
    </w:pPr>
    <w:r w:rsidRPr="008070D0">
      <w:rPr>
        <w:lang w:val="de-DE"/>
      </w:rPr>
      <w:t>PE</w:t>
    </w:r>
    <w:r w:rsidRPr="008070D0">
      <w:rPr>
        <w:rStyle w:val="HideTWBExt"/>
        <w:lang w:val="de-DE"/>
      </w:rPr>
      <w:t>&lt;NoPE&gt;</w:t>
    </w:r>
    <w:r w:rsidRPr="008070D0">
      <w:rPr>
        <w:lang w:val="de-DE"/>
      </w:rPr>
      <w:t>779.632</w:t>
    </w:r>
    <w:r w:rsidRPr="008070D0">
      <w:rPr>
        <w:rStyle w:val="HideTWBExt"/>
        <w:lang w:val="de-DE"/>
      </w:rPr>
      <w:t>&lt;/NoPE&gt;&lt;Version&gt;</w:t>
    </w:r>
    <w:r w:rsidRPr="008070D0">
      <w:rPr>
        <w:lang w:val="de-DE"/>
      </w:rPr>
      <w:t>v01-00</w:t>
    </w:r>
    <w:r w:rsidRPr="008070D0">
      <w:rPr>
        <w:rStyle w:val="HideTWBExt"/>
        <w:lang w:val="de-DE"/>
      </w:rPr>
      <w:t>&lt;/Version&gt;</w:t>
    </w:r>
    <w:r w:rsidRPr="008070D0">
      <w:rPr>
        <w:lang w:val="de-DE"/>
      </w:rPr>
      <w:tab/>
    </w:r>
    <w:r w:rsidRPr="0053377D">
      <w:fldChar w:fldCharType="begin"/>
    </w:r>
    <w:r w:rsidRPr="008070D0">
      <w:rPr>
        <w:lang w:val="de-DE"/>
      </w:rPr>
      <w:instrText xml:space="preserve"> PAGE  \* MERGEFORMAT </w:instrText>
    </w:r>
    <w:r w:rsidRPr="0053377D">
      <w:fldChar w:fldCharType="separate"/>
    </w:r>
    <w:r w:rsidRPr="008070D0">
      <w:rPr>
        <w:noProof/>
        <w:lang w:val="de-DE"/>
      </w:rPr>
      <w:t>86</w:t>
    </w:r>
    <w:r w:rsidRPr="0053377D">
      <w:fldChar w:fldCharType="end"/>
    </w:r>
    <w:r w:rsidRPr="008070D0">
      <w:rPr>
        <w:lang w:val="de-DE"/>
      </w:rPr>
      <w:t>/</w:t>
    </w:r>
    <w:r>
      <w:fldChar w:fldCharType="begin"/>
    </w:r>
    <w:r w:rsidRPr="008070D0">
      <w:rPr>
        <w:lang w:val="de-DE"/>
      </w:rPr>
      <w:instrText xml:space="preserve"> NUMPAGES  \* MERGEFORMAT </w:instrText>
    </w:r>
    <w:r>
      <w:fldChar w:fldCharType="separate"/>
    </w:r>
    <w:r w:rsidRPr="008070D0">
      <w:rPr>
        <w:noProof/>
        <w:lang w:val="de-DE"/>
      </w:rPr>
      <w:t>86</w:t>
    </w:r>
    <w:r>
      <w:rPr>
        <w:noProof/>
      </w:rPr>
      <w:fldChar w:fldCharType="end"/>
    </w:r>
    <w:r w:rsidRPr="008070D0">
      <w:rPr>
        <w:lang w:val="de-DE"/>
      </w:rPr>
      <w:tab/>
    </w:r>
    <w:r w:rsidRPr="008070D0">
      <w:rPr>
        <w:rStyle w:val="HideTWBExt"/>
        <w:lang w:val="de-DE"/>
      </w:rPr>
      <w:t>&lt;PathFdR&gt;</w:t>
    </w:r>
    <w:r w:rsidRPr="008070D0">
      <w:rPr>
        <w:lang w:val="de-DE"/>
      </w:rPr>
      <w:t>AM\1331961PL.docx</w:t>
    </w:r>
    <w:r w:rsidRPr="008070D0">
      <w:rPr>
        <w:rStyle w:val="HideTWBExt"/>
        <w:lang w:val="de-DE"/>
      </w:rPr>
      <w:t>&lt;/PathFdR&gt;</w:t>
    </w:r>
  </w:p>
  <w:p w14:paraId="3FF9566B" w14:textId="050AC0C4" w:rsidR="00FC57E7" w:rsidRPr="0053377D" w:rsidRDefault="004820FD" w:rsidP="004820FD">
    <w:pPr>
      <w:pStyle w:val="EPFooter2"/>
    </w:pPr>
    <w:r w:rsidRPr="0053377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4E679" w14:textId="77777777" w:rsidR="004820FD" w:rsidRPr="008070D0" w:rsidRDefault="004820FD" w:rsidP="004820FD">
    <w:pPr>
      <w:pStyle w:val="EPFooter"/>
      <w:rPr>
        <w:lang w:val="de-DE"/>
      </w:rPr>
    </w:pPr>
    <w:r w:rsidRPr="008070D0">
      <w:rPr>
        <w:rStyle w:val="HideTWBExt"/>
        <w:lang w:val="de-DE"/>
      </w:rPr>
      <w:t>&lt;PathFdR&gt;</w:t>
    </w:r>
    <w:r w:rsidRPr="008070D0">
      <w:rPr>
        <w:lang w:val="de-DE"/>
      </w:rPr>
      <w:t>AM\1331961PL.docx</w:t>
    </w:r>
    <w:r w:rsidRPr="008070D0">
      <w:rPr>
        <w:rStyle w:val="HideTWBExt"/>
        <w:lang w:val="de-DE"/>
      </w:rPr>
      <w:t>&lt;/PathFdR&gt;</w:t>
    </w:r>
    <w:r w:rsidRPr="008070D0">
      <w:rPr>
        <w:lang w:val="de-DE"/>
      </w:rPr>
      <w:tab/>
    </w:r>
    <w:r w:rsidRPr="0053377D">
      <w:fldChar w:fldCharType="begin"/>
    </w:r>
    <w:r w:rsidRPr="008070D0">
      <w:rPr>
        <w:lang w:val="de-DE"/>
      </w:rPr>
      <w:instrText xml:space="preserve"> PAGE  \* MERGEFORMAT </w:instrText>
    </w:r>
    <w:r w:rsidRPr="0053377D">
      <w:fldChar w:fldCharType="separate"/>
    </w:r>
    <w:r w:rsidRPr="008070D0">
      <w:rPr>
        <w:noProof/>
        <w:lang w:val="de-DE"/>
      </w:rPr>
      <w:t>85</w:t>
    </w:r>
    <w:r w:rsidRPr="0053377D">
      <w:fldChar w:fldCharType="end"/>
    </w:r>
    <w:r w:rsidRPr="008070D0">
      <w:rPr>
        <w:lang w:val="de-DE"/>
      </w:rPr>
      <w:t>/</w:t>
    </w:r>
    <w:r>
      <w:fldChar w:fldCharType="begin"/>
    </w:r>
    <w:r w:rsidRPr="008070D0">
      <w:rPr>
        <w:lang w:val="de-DE"/>
      </w:rPr>
      <w:instrText xml:space="preserve"> NUMPAGES  \* MERGEFORMAT </w:instrText>
    </w:r>
    <w:r>
      <w:fldChar w:fldCharType="separate"/>
    </w:r>
    <w:r w:rsidRPr="008070D0">
      <w:rPr>
        <w:noProof/>
        <w:lang w:val="de-DE"/>
      </w:rPr>
      <w:t>86</w:t>
    </w:r>
    <w:r>
      <w:rPr>
        <w:noProof/>
      </w:rPr>
      <w:fldChar w:fldCharType="end"/>
    </w:r>
    <w:r w:rsidRPr="008070D0">
      <w:rPr>
        <w:lang w:val="de-DE"/>
      </w:rPr>
      <w:tab/>
      <w:t>PE</w:t>
    </w:r>
    <w:r w:rsidRPr="008070D0">
      <w:rPr>
        <w:rStyle w:val="HideTWBExt"/>
        <w:lang w:val="de-DE"/>
      </w:rPr>
      <w:t>&lt;NoPE&gt;</w:t>
    </w:r>
    <w:r w:rsidRPr="008070D0">
      <w:rPr>
        <w:lang w:val="de-DE"/>
      </w:rPr>
      <w:t>779.632</w:t>
    </w:r>
    <w:r w:rsidRPr="008070D0">
      <w:rPr>
        <w:rStyle w:val="HideTWBExt"/>
        <w:lang w:val="de-DE"/>
      </w:rPr>
      <w:t>&lt;/NoPE&gt;&lt;Version&gt;</w:t>
    </w:r>
    <w:r w:rsidRPr="008070D0">
      <w:rPr>
        <w:lang w:val="de-DE"/>
      </w:rPr>
      <w:t>v01-00</w:t>
    </w:r>
    <w:r w:rsidRPr="008070D0">
      <w:rPr>
        <w:rStyle w:val="HideTWBExt"/>
        <w:lang w:val="de-DE"/>
      </w:rPr>
      <w:t>&lt;/Version&gt;</w:t>
    </w:r>
  </w:p>
  <w:p w14:paraId="3FF9566D" w14:textId="2B5341A0" w:rsidR="00FC57E7" w:rsidRPr="0053377D" w:rsidRDefault="004820FD" w:rsidP="004820FD">
    <w:pPr>
      <w:pStyle w:val="EPFooter2"/>
    </w:pPr>
    <w:r w:rsidRPr="008070D0">
      <w:rPr>
        <w:lang w:val="de-DE"/>
      </w:rPr>
      <w:tab/>
    </w:r>
    <w:r w:rsidRPr="008070D0">
      <w:rPr>
        <w:lang w:val="de-DE"/>
      </w:rPr>
      <w:tab/>
    </w:r>
    <w:r w:rsidRPr="0053377D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64D0" w14:textId="77777777" w:rsidR="004820FD" w:rsidRPr="008070D0" w:rsidRDefault="004820FD" w:rsidP="004820FD">
    <w:pPr>
      <w:pStyle w:val="EPFooter"/>
      <w:rPr>
        <w:lang w:val="de-DE"/>
      </w:rPr>
    </w:pPr>
    <w:r w:rsidRPr="008070D0">
      <w:rPr>
        <w:rStyle w:val="HideTWBExt"/>
        <w:lang w:val="de-DE"/>
      </w:rPr>
      <w:t>&lt;PathFdR&gt;</w:t>
    </w:r>
    <w:r w:rsidRPr="008070D0">
      <w:rPr>
        <w:lang w:val="de-DE"/>
      </w:rPr>
      <w:t>AM\1331961PL.docx</w:t>
    </w:r>
    <w:r w:rsidRPr="008070D0">
      <w:rPr>
        <w:rStyle w:val="HideTWBExt"/>
        <w:lang w:val="de-DE"/>
      </w:rPr>
      <w:t>&lt;/PathFdR&gt;</w:t>
    </w:r>
    <w:r w:rsidRPr="008070D0">
      <w:rPr>
        <w:lang w:val="de-DE"/>
      </w:rPr>
      <w:tab/>
    </w:r>
    <w:r w:rsidRPr="008070D0">
      <w:rPr>
        <w:lang w:val="de-DE"/>
      </w:rPr>
      <w:tab/>
      <w:t>PE</w:t>
    </w:r>
    <w:r w:rsidRPr="008070D0">
      <w:rPr>
        <w:rStyle w:val="HideTWBExt"/>
        <w:lang w:val="de-DE"/>
      </w:rPr>
      <w:t>&lt;NoPE&gt;</w:t>
    </w:r>
    <w:r w:rsidRPr="008070D0">
      <w:rPr>
        <w:lang w:val="de-DE"/>
      </w:rPr>
      <w:t>779.632</w:t>
    </w:r>
    <w:r w:rsidRPr="008070D0">
      <w:rPr>
        <w:rStyle w:val="HideTWBExt"/>
        <w:lang w:val="de-DE"/>
      </w:rPr>
      <w:t>&lt;/NoPE&gt;&lt;Version&gt;</w:t>
    </w:r>
    <w:r w:rsidRPr="008070D0">
      <w:rPr>
        <w:lang w:val="de-DE"/>
      </w:rPr>
      <w:t>v01-00</w:t>
    </w:r>
    <w:r w:rsidRPr="008070D0">
      <w:rPr>
        <w:rStyle w:val="HideTWBExt"/>
        <w:lang w:val="de-DE"/>
      </w:rPr>
      <w:t>&lt;/Version&gt;</w:t>
    </w:r>
  </w:p>
  <w:p w14:paraId="3FF9566F" w14:textId="2AF91982" w:rsidR="00FC57E7" w:rsidRPr="0053377D" w:rsidRDefault="004820FD" w:rsidP="004820FD">
    <w:pPr>
      <w:pStyle w:val="EPFooter2"/>
    </w:pPr>
    <w:r w:rsidRPr="0053377D">
      <w:t>PL</w:t>
    </w:r>
    <w:r w:rsidRPr="0053377D">
      <w:tab/>
    </w:r>
    <w:r w:rsidRPr="0053377D">
      <w:rPr>
        <w:b w:val="0"/>
        <w:i/>
        <w:color w:val="C0C0C0"/>
        <w:sz w:val="22"/>
      </w:rPr>
      <w:t>Zjednoczona w różnorodności</w:t>
    </w:r>
    <w:r w:rsidRPr="0053377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95670" w14:textId="77777777" w:rsidR="009A5F7F" w:rsidRPr="0053377D" w:rsidRDefault="009A5F7F">
      <w:r w:rsidRPr="0053377D">
        <w:separator/>
      </w:r>
    </w:p>
  </w:footnote>
  <w:footnote w:type="continuationSeparator" w:id="0">
    <w:p w14:paraId="3FF95672" w14:textId="77777777" w:rsidR="009A5F7F" w:rsidRPr="0053377D" w:rsidRDefault="009A5F7F">
      <w:r w:rsidRPr="005337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E09DC" w14:textId="77777777" w:rsidR="000D4DD1" w:rsidRDefault="000D4D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A0B9D" w14:textId="77777777" w:rsidR="000D4DD1" w:rsidRDefault="000D4D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809E" w14:textId="77777777" w:rsidR="000D4DD1" w:rsidRDefault="000D4D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XTLANGUE" w:val="PL"/>
    <w:docVar w:name="TXTLANGUEMIN" w:val="pl"/>
    <w:docVar w:name="TXTNRPE" w:val="779.632"/>
    <w:docVar w:name="TXTPEorAP" w:val="PE"/>
    <w:docVar w:name="TXTROUTE" w:val="AM\1331961PL.docx"/>
    <w:docVar w:name="TXTVERSION" w:val="01-00"/>
  </w:docVars>
  <w:rsids>
    <w:rsidRoot w:val="00A77B3E"/>
    <w:rsid w:val="000D4DD1"/>
    <w:rsid w:val="00362E35"/>
    <w:rsid w:val="004820FD"/>
    <w:rsid w:val="0053377D"/>
    <w:rsid w:val="00545E04"/>
    <w:rsid w:val="0056644B"/>
    <w:rsid w:val="006B735C"/>
    <w:rsid w:val="007C7605"/>
    <w:rsid w:val="008070D0"/>
    <w:rsid w:val="009A5F7F"/>
    <w:rsid w:val="00A77B3E"/>
    <w:rsid w:val="00A90B37"/>
    <w:rsid w:val="00BE249F"/>
    <w:rsid w:val="00CA2A55"/>
    <w:rsid w:val="00D4637E"/>
    <w:rsid w:val="00E65A5C"/>
    <w:rsid w:val="00FC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FF94C9D"/>
  <w15:docId w15:val="{4874E0B5-6525-46CA-8889-32F912D5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link w:val="EPNameZnak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4820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820FD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4820FD"/>
  </w:style>
  <w:style w:type="character" w:customStyle="1" w:styleId="EPNameZnak">
    <w:name w:val="EPName Znak"/>
    <w:basedOn w:val="DefaultParagraphFont"/>
    <w:link w:val="EPName"/>
    <w:rsid w:val="004820FD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4820FD"/>
    <w:rPr>
      <w:rFonts w:ascii="Arial Narrow" w:eastAsia="Arial" w:hAnsi="Arial Narrow" w:cs="Arial"/>
      <w:b/>
      <w:sz w:val="32"/>
      <w:szCs w:val="24"/>
      <w:lang w:val="pl-PL"/>
    </w:rPr>
  </w:style>
  <w:style w:type="paragraph" w:styleId="Footer">
    <w:name w:val="footer"/>
    <w:basedOn w:val="Normal"/>
    <w:link w:val="FooterChar"/>
    <w:rsid w:val="00D463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463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1f7a639214d82dc0b656950d7746d88e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833842282886e182e4454e526e49e855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BA172F-C574-4A8E-944F-2DF2AC98943D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customXml/itemProps2.xml><?xml version="1.0" encoding="utf-8"?>
<ds:datastoreItem xmlns:ds="http://schemas.openxmlformats.org/officeDocument/2006/customXml" ds:itemID="{14C46FBF-9493-41AB-8EE1-900312EF6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9AAB0C-2661-4841-A470-87008BD5E9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92</Pages>
  <Words>16358</Words>
  <Characters>107651</Characters>
  <Application>Microsoft Office Word</Application>
  <DocSecurity>0</DocSecurity>
  <Lines>4772</Lines>
  <Paragraphs>1432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2025-11-26T09:46:00Z</dcterms:created>
  <dcterms:modified xsi:type="dcterms:W3CDTF">2025-11-26T09:46:00Z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1331961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290155</vt:lpwstr>
  </property>
  <property fmtid="{D5CDD505-2E9C-101B-9397-08002B2CF9AE}" pid="7" name="dmxml.render.traceId">
    <vt:lpwstr>691db2c39a42556e9eeb520699388f6d</vt:lpwstr>
  </property>
  <property fmtid="{D5CDD505-2E9C-101B-9397-08002B2CF9AE}" pid="8" name="FooterPath">
    <vt:lpwstr>AM\1331961PL.docx</vt:lpwstr>
  </property>
  <property fmtid="{D5CDD505-2E9C-101B-9397-08002B2CF9AE}" pid="9" name="PE Number">
    <vt:lpwstr>779.632</vt:lpwstr>
  </property>
  <property fmtid="{D5CDD505-2E9C-101B-9397-08002B2CF9AE}" pid="10" name="UID">
    <vt:lpwstr>eu.europa.europarl-DIN1-2025-0000218342_01.00-en-01.00_text-xml</vt:lpwstr>
  </property>
  <property fmtid="{D5CDD505-2E9C-101B-9397-08002B2CF9AE}" pid="11" name="ContentTypeId">
    <vt:lpwstr>0x01010050CD8CF706CFBF478A819DD2E9AEA92F</vt:lpwstr>
  </property>
  <property fmtid="{D5CDD505-2E9C-101B-9397-08002B2CF9AE}" pid="12" name="LastEdited with">
    <vt:lpwstr>9.17.2 Build [20240212]</vt:lpwstr>
  </property>
  <property fmtid="{D5CDD505-2E9C-101B-9397-08002B2CF9AE}" pid="13" name="Bookout">
    <vt:lpwstr>OK - 2025/11/26 10:46</vt:lpwstr>
  </property>
</Properties>
</file>