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Retsudvalget</w:t>
      </w:r>
      <w:r>
        <w:rPr>
          <w:rStyle w:val="HideTWBExt"/>
        </w:rPr>
        <w:t>&lt;/Commission&gt;</w:t>
      </w:r>
    </w:p>
    <w:p>
      <w:pPr>
        <w:pStyle w:val="LineBottom"/>
      </w:pPr>
      <w:r>
        <w:t xml:space="preserve"> </w:t>
      </w:r>
    </w:p>
    <w:p>
      <w:pPr>
        <w:pStyle w:val="CoverReference"/>
      </w:pPr>
      <w:r>
        <w:rPr>
          <w:rStyle w:val="HideTWBExt"/>
        </w:rPr>
        <w:t>&lt;RefProc&gt;</w:t>
      </w:r>
      <w:r>
        <w:t>2026/0044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{26/06/2026}</w:t>
      </w:r>
      <w:r>
        <w:t>26.6.2026</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35</w:t>
      </w:r>
      <w:r>
        <w:t xml:space="preserve"> - </w:t>
      </w:r>
      <w:r>
        <w:t>63</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Dainius Žalimas</w:t>
      </w:r>
      <w:r>
        <w:rPr>
          <w:rStyle w:val="HideTWBExt"/>
        </w:rPr>
        <w:t>&lt;/Rapporteur&gt;</w:t>
      </w:r>
    </w:p>
    <w:p>
      <w:pPr>
        <w:pStyle w:val="CoverNormal24a"/>
      </w:pPr>
      <w:r>
        <w:rPr>
          <w:rStyle w:val="HideTWBExt"/>
        </w:rPr>
        <w:t>&lt;DocRefPE&gt;</w:t>
      </w:r>
      <w:r>
        <w:t>(PE789.976v01-00)</w:t>
      </w:r>
      <w:r>
        <w:rPr>
          <w:rStyle w:val="HideTWBExt"/>
        </w:rPr>
        <w:t>&lt;/DocRefPE&gt;</w:t>
      </w:r>
    </w:p>
    <w:p>
      <w:pPr>
        <w:pStyle w:val="CoverNormal24a"/>
      </w:pPr>
      <w:r>
        <w:rPr>
          <w:rStyle w:val="HideTWBExt"/>
        </w:rPr>
        <w:t>&lt;Titre&gt;</w:t>
      </w:r>
      <w:r>
        <w:t>om ændring af forordning (EU) 2019/1753 for så vidt angår de ændringer, der blev vedtaget af Lissabonunionens forsamling den 14. juli 2025 af de fælles gennemførelsesforskrifter i henhold til Lissabonaftalen om oprindelsesbetegnelser og geografiske betegnelser</w:t>
      </w:r>
      <w:r>
        <w:rPr>
          <w:rStyle w:val="HideTWBExt"/>
        </w:rPr>
        <w:t>&lt;/Titre&gt;</w:t>
      </w:r>
    </w:p>
    <w:p>
      <w:pPr>
        <w:pStyle w:val="CoverNormal"/>
      </w:pPr>
      <w:r>
        <w:rPr>
          <w:rStyle w:val="HideTWBExt"/>
        </w:rPr>
        <w:t>&lt;DocAmend&gt;</w:t>
      </w:r>
      <w:r>
        <w:t>Forslag til forordning</w:t>
      </w:r>
      <w:r>
        <w:rPr>
          <w:rStyle w:val="HideTWBExt"/>
        </w:rPr>
        <w:t>&lt;/DocAmend&gt;</w:t>
      </w:r>
    </w:p>
    <w:p>
      <w:pPr>
        <w:pStyle w:val="CoverNormal24a"/>
      </w:pPr>
      <w:r>
        <w:rPr>
          <w:rStyle w:val="HideTWBExt"/>
        </w:rPr>
        <w:t>&lt;DocRef&gt;</w:t>
      </w:r>
      <w:r>
        <w:t>(COM(2026)0069 – 2026/0044(COD))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Marion Walsmann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Afsnit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Forslag til</w:t>
            </w:r>
          </w:p>
          <w:p>
            <w:pPr>
              <w:pStyle w:val="Normal6a"/>
            </w:pPr>
            <w:r>
              <w:t>EUROPA-PARLAMENTETS OG RÅDETS FORORDNING</w:t>
            </w:r>
          </w:p>
          <w:p>
            <w:pPr>
              <w:pStyle w:val="Normal6a"/>
            </w:pPr>
            <w:r>
              <w:t xml:space="preserve">om ændring af forordning (EU) 2019/1753 for så vidt angår de ændringer, der blev vedtaget af Lissabonunionens forsamling den 14. juli 2025 af de fælles gennemførelsesforskrifter </w:t>
            </w:r>
            <w:r>
              <w:rPr>
                <w:b/>
                <w:i/>
              </w:rPr>
              <w:t>i henhold</w:t>
            </w:r>
            <w:r>
              <w:t xml:space="preserve"> til Lissabonaftalen om oprindelsesbetegnelser og geografiske betegnelser</w:t>
            </w:r>
          </w:p>
        </w:tc>
        <w:tc>
          <w:tcPr>
            <w:tcW w:w="4876" w:type="dxa"/>
            <w:tcBorders>
              <w:top w:val="nil"/>
              <w:left w:val="nil"/>
              <w:bottom w:val="nil"/>
              <w:right w:val="nil"/>
            </w:tcBorders>
          </w:tcPr>
          <w:p>
            <w:pPr>
              <w:pStyle w:val="Normal6a"/>
            </w:pPr>
            <w:r>
              <w:t>Forslag til</w:t>
            </w:r>
          </w:p>
          <w:p>
            <w:pPr>
              <w:pStyle w:val="Normal6a"/>
            </w:pPr>
            <w:r>
              <w:t>EUROPA-PARLAMENTETS OG RÅDETS FORORDNING</w:t>
            </w:r>
          </w:p>
          <w:p>
            <w:pPr>
              <w:pStyle w:val="Normal6a"/>
            </w:pPr>
            <w:r>
              <w:t xml:space="preserve">om ændring af forordning (EU) 2019/1753 for så vidt angår de ændringer, der blev vedtaget af Lissabonunionens forsamling den 14. juli 2025 af de fælles gennemførelsesforskrifter til Lissabonaftalen om </w:t>
            </w:r>
            <w:r>
              <w:rPr>
                <w:b/>
                <w:i/>
              </w:rPr>
              <w:t>beskyttelse af oprindelsesbetegnelser og deres internationale registrering og Genèveaftalen om Lissabonaftalen vedrørende</w:t>
            </w:r>
            <w:r>
              <w:t xml:space="preserve"> oprindelsesbetegnelser og geografiske betegnelser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der henviser til, at EU er hjemsted for en exceptionelt stor mangfoldighed af lokal og regional kulturarv inden for kultur, kogekunst og kunsthåndværk, hvilket kommer til udtryk gennem de geografiske betegnelser;</w:t>
            </w:r>
            <w:r>
              <w:t xml:space="preserve"> </w:t>
            </w:r>
            <w:r>
              <w:rPr>
                <w:b/>
                <w:i/>
              </w:rPr>
              <w:t>der henviser til, at ca. 80 % af alle producenter af varer med geografisk betegnelse er små og mellemstore virksomheder, hvilket gør beskyttelsen af geografiske betegnelser til et afgørende instrument for udvikling af landdistrikter og regioner, som giver producenterne mulighed for at bevare traditionelle kundskaber, færdigheder og erhverv, opretholde lokale økonomier og opbygge forbrugernes tillid til disse varers kvalitet og ægthed;</w:t>
            </w:r>
            <w:r>
              <w:t xml:space="preserve"> </w:t>
            </w:r>
            <w:r>
              <w:rPr>
                <w:b/>
                <w:i/>
              </w:rPr>
              <w:t>der henviser til, at ansøgninger om geografiske betegnelser bør gøres enkle med procedurer, der er forudsigelige, og tidsfrister, der er offentligt tilgængelige;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Små og mellemstore virksomheder, mikrovirksomheder, andelsforetagender, producentsammenslutninger og kunsthåndværkere er blandt de primære modtagere af geografiske betegnelser.</w:t>
            </w:r>
            <w:r>
              <w:t xml:space="preserve"> </w:t>
            </w:r>
            <w:r>
              <w:rPr>
                <w:b/>
                <w:i/>
              </w:rPr>
              <w:t>Gennemførelsen af denne forordning bør derfor tilgodese deres specifikke administrative kapacitet og lette deres effektive deltagelse i de procedurer, der er fastsat i henhold til Genèveaftalesystemet.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Der bør skelnes mellem to typer ændringer</w:t>
            </w:r>
            <w:r>
              <w:rPr>
                <w:b/>
                <w:i/>
              </w:rPr>
              <w:t>.</w:t>
            </w:r>
            <w:r>
              <w:t xml:space="preserve"> </w:t>
            </w:r>
            <w:r>
              <w:rPr>
                <w:b/>
                <w:i/>
              </w:rPr>
              <w:t>For så vidt angår ændringer af betegnelsen, produkttypen eller det geografiske område</w:t>
            </w:r>
            <w:r>
              <w:t xml:space="preserve"> for en beskyttet oprindelsesbetegnelse </w:t>
            </w:r>
            <w:r>
              <w:rPr>
                <w:b/>
                <w:i/>
              </w:rPr>
              <w:t>eller</w:t>
            </w:r>
            <w:r>
              <w:t xml:space="preserve"> en beskyttet geografisk betegnelse eller en geografisk betegnelse, </w:t>
            </w:r>
            <w:r>
              <w:rPr>
                <w:b/>
                <w:i/>
              </w:rPr>
              <w:t>der</w:t>
            </w:r>
            <w:r>
              <w:t xml:space="preserve"> er beskyttet i henhold til forordning (EU) 2024/1143 eller forordning (EU) 2023/2411, </w:t>
            </w:r>
            <w:r>
              <w:rPr>
                <w:b/>
                <w:i/>
              </w:rPr>
              <w:t>bør Kommissionen, eftersom disse elementer er grundlæggende elementer i oprindelsesbetegnelser og geografiske betegnelser i Genèveaftalens system, være forpligtet til at anmode om</w:t>
            </w:r>
            <w:r>
              <w:t xml:space="preserve"> ændring af </w:t>
            </w:r>
            <w:r>
              <w:rPr>
                <w:b/>
                <w:i/>
              </w:rPr>
              <w:t>den</w:t>
            </w:r>
            <w:r>
              <w:t xml:space="preserve"> tilsvarende oprindelsesbetegnelse eller geografiske betegnelse, der er registreret i </w:t>
            </w:r>
            <w:r>
              <w:rPr>
                <w:b/>
                <w:i/>
              </w:rPr>
              <w:t>det internationale register, efter godkendelsen af ændringen i EU-systemet</w:t>
            </w:r>
            <w:r>
              <w:t>.</w:t>
            </w:r>
          </w:p>
        </w:tc>
        <w:tc>
          <w:tcPr>
            <w:tcW w:w="4876" w:type="dxa"/>
            <w:tcBorders>
              <w:top w:val="nil"/>
              <w:left w:val="nil"/>
              <w:bottom w:val="nil"/>
              <w:right w:val="nil"/>
            </w:tcBorders>
          </w:tcPr>
          <w:p>
            <w:pPr>
              <w:pStyle w:val="Normal6a"/>
            </w:pPr>
            <w:r>
              <w:t>(7)</w:t>
            </w:r>
            <w:r>
              <w:tab/>
            </w:r>
            <w:r>
              <w:t xml:space="preserve">Der bør skelnes mellem to typer ændringer </w:t>
            </w:r>
            <w:r>
              <w:rPr>
                <w:b/>
                <w:i/>
              </w:rPr>
              <w:t>af produktspecifikationen</w:t>
            </w:r>
            <w:r>
              <w:t xml:space="preserve"> for en beskyttet oprindelsesbetegnelse</w:t>
            </w:r>
            <w:r>
              <w:rPr>
                <w:b/>
                <w:i/>
              </w:rPr>
              <w:t>,</w:t>
            </w:r>
            <w:r>
              <w:t xml:space="preserve"> en beskyttet geografisk betegnelse eller en geografisk betegnelse, </w:t>
            </w:r>
            <w:r>
              <w:rPr>
                <w:b/>
                <w:i/>
              </w:rPr>
              <w:t>som inden for EU-systemet</w:t>
            </w:r>
            <w:r>
              <w:t xml:space="preserve"> er beskyttet i henhold til forordning (EU) 2024/1143 eller </w:t>
            </w:r>
            <w:r>
              <w:rPr>
                <w:b/>
                <w:i/>
              </w:rPr>
              <w:t>Europa-Parlamentets og Rådets</w:t>
            </w:r>
            <w:r>
              <w:t xml:space="preserve"> forordning (EU) 2023/2411, </w:t>
            </w:r>
            <w:r>
              <w:rPr>
                <w:b/>
                <w:i/>
              </w:rPr>
              <w:t>og som kan føre til en</w:t>
            </w:r>
            <w:r>
              <w:t xml:space="preserve"> ændring af </w:t>
            </w:r>
            <w:r>
              <w:rPr>
                <w:b/>
                <w:i/>
              </w:rPr>
              <w:t>en</w:t>
            </w:r>
            <w:r>
              <w:t xml:space="preserve"> tilsvarende oprindelsesbetegnelse eller </w:t>
            </w:r>
            <w:r>
              <w:rPr>
                <w:b/>
                <w:i/>
              </w:rPr>
              <w:t>geografisk betegnelse, der er registreret i henhold til Genèveaftalen.</w:t>
            </w:r>
            <w:r>
              <w:t xml:space="preserve"> </w:t>
            </w:r>
            <w:r>
              <w:rPr>
                <w:b/>
                <w:i/>
              </w:rPr>
              <w:t>Den første type ændringer er dem, der medfører en væsentlig forskel i overensstemmelsen mellem de geografiske betegnelser, der er registreret i Genèveaftalens system, og dem, der er registreret i EU-systemet.</w:t>
            </w:r>
            <w:r>
              <w:t xml:space="preserve"> </w:t>
            </w:r>
            <w:r>
              <w:rPr>
                <w:b/>
                <w:i/>
              </w:rPr>
              <w:t>Ændring af betegnelsen og ændring af produktets klassificering, som indebærer en ændring af varetypen i henhold til Genèveaftalen, bør betragtes som ændringer af denne type for at opretholde overensstemmelsen mellem den geografiske betegnelse, der er beskyttet i overensstemmelse med EU-retten, og den tilsvarende</w:t>
            </w:r>
            <w:r>
              <w:t xml:space="preserve"> geografiske betegnelse, der er registreret i </w:t>
            </w:r>
            <w:r>
              <w:rPr>
                <w:b/>
                <w:i/>
              </w:rPr>
              <w:t>Genèveaftalen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Der bør skelnes mellem to typer ændringer. </w:t>
            </w:r>
            <w:r>
              <w:rPr>
                <w:b/>
                <w:i/>
              </w:rPr>
              <w:t>For så vidt angår</w:t>
            </w:r>
            <w:r>
              <w:t xml:space="preserve"> ændringer af betegnelsen, produkttypen eller det geografiske område for en beskyttet oprindelsesbetegnelse </w:t>
            </w:r>
            <w:r>
              <w:rPr>
                <w:b/>
                <w:i/>
              </w:rPr>
              <w:t>eller</w:t>
            </w:r>
            <w:r>
              <w:t xml:space="preserve"> en beskyttet geografisk betegnelse eller en geografisk betegnelse, </w:t>
            </w:r>
            <w:r>
              <w:rPr>
                <w:b/>
                <w:i/>
              </w:rPr>
              <w:t>der</w:t>
            </w:r>
            <w:r>
              <w:t xml:space="preserve"> er beskyttet i henhold til forordning (EU) 2024/1143 eller forordning (EU) 2023/2411, bør </w:t>
            </w:r>
            <w:r>
              <w:rPr>
                <w:b/>
                <w:i/>
              </w:rPr>
              <w:t>Kommissionen, eftersom</w:t>
            </w:r>
            <w:r>
              <w:t xml:space="preserve"> disse elementer </w:t>
            </w:r>
            <w:r>
              <w:rPr>
                <w:b/>
                <w:i/>
              </w:rPr>
              <w:t>er</w:t>
            </w:r>
            <w:r>
              <w:t xml:space="preserve"> grundlæggende elementer i oprindelsesbetegnelser og geografiske betegnelser i </w:t>
            </w:r>
            <w:r>
              <w:rPr>
                <w:b/>
                <w:i/>
              </w:rPr>
              <w:t>Genèveaftalens system</w:t>
            </w:r>
            <w:r>
              <w:t xml:space="preserve">, være forpligtet til at anmode om </w:t>
            </w:r>
            <w:r>
              <w:rPr>
                <w:b/>
                <w:i/>
              </w:rPr>
              <w:t>ændring af den</w:t>
            </w:r>
            <w:r>
              <w:t xml:space="preserve"> tilsvarende </w:t>
            </w:r>
            <w:r>
              <w:rPr>
                <w:b/>
                <w:i/>
              </w:rPr>
              <w:t>oprindelsesbetegnelse</w:t>
            </w:r>
            <w:r>
              <w:t xml:space="preserve"> eller geografiske betegnelse, der er registreret i det internationale register, </w:t>
            </w:r>
            <w:r>
              <w:rPr>
                <w:b/>
                <w:i/>
              </w:rPr>
              <w:t>efter godkendelsen af ændringen i EU-systemet</w:t>
            </w:r>
            <w:r>
              <w:t>.</w:t>
            </w:r>
          </w:p>
        </w:tc>
        <w:tc>
          <w:tcPr>
            <w:tcW w:w="4876" w:type="dxa"/>
            <w:tcBorders>
              <w:top w:val="nil"/>
              <w:left w:val="nil"/>
              <w:bottom w:val="nil"/>
              <w:right w:val="nil"/>
            </w:tcBorders>
          </w:tcPr>
          <w:p>
            <w:pPr>
              <w:pStyle w:val="Normal6a"/>
            </w:pPr>
            <w:r>
              <w:t>(7)</w:t>
            </w:r>
            <w:r>
              <w:tab/>
            </w:r>
            <w:r>
              <w:t xml:space="preserve">Der bør skelnes mellem to typer ændringer. </w:t>
            </w:r>
            <w:r>
              <w:rPr>
                <w:b/>
                <w:i/>
              </w:rPr>
              <w:t>Med hensyn til</w:t>
            </w:r>
            <w:r>
              <w:t xml:space="preserve"> ændringer af betegnelsen, produkttypen eller det geografiske område for en beskyttet oprindelsesbetegnelse</w:t>
            </w:r>
            <w:r>
              <w:rPr>
                <w:b/>
                <w:i/>
              </w:rPr>
              <w:t>,</w:t>
            </w:r>
            <w:r>
              <w:t xml:space="preserve"> en beskyttet geografisk betegnelse eller en geografisk betegnelse, </w:t>
            </w:r>
            <w:r>
              <w:rPr>
                <w:b/>
                <w:i/>
              </w:rPr>
              <w:t>som</w:t>
            </w:r>
            <w:r>
              <w:t xml:space="preserve"> er beskyttet i henhold til forordning (EU) 2024/1143 eller forordning (EU) 2023/2411, bør disse elementer </w:t>
            </w:r>
            <w:r>
              <w:rPr>
                <w:b/>
                <w:i/>
              </w:rPr>
              <w:t>betragtes som</w:t>
            </w:r>
            <w:r>
              <w:t xml:space="preserve"> grundlæggende elementer i oprindelsesbetegnelser og geografiske betegnelser i </w:t>
            </w:r>
            <w:r>
              <w:rPr>
                <w:b/>
                <w:i/>
              </w:rPr>
              <w:t>Genèveaftalesystemet.</w:t>
            </w:r>
            <w:r>
              <w:t xml:space="preserve"> </w:t>
            </w:r>
            <w:r>
              <w:rPr>
                <w:b/>
                <w:i/>
              </w:rPr>
              <w:t>Det geografiske område afgør navnlig det område</w:t>
            </w:r>
            <w:r>
              <w:t xml:space="preserve">, </w:t>
            </w:r>
            <w:r>
              <w:rPr>
                <w:b/>
                <w:i/>
              </w:rPr>
              <w:t>hvori producenterne lovligt kan anvende den beskyttede betegnelse.</w:t>
            </w:r>
            <w:r>
              <w:t xml:space="preserve"> </w:t>
            </w:r>
            <w:r>
              <w:rPr>
                <w:b/>
                <w:i/>
              </w:rPr>
              <w:t>Hvis sådanne elementer er blevet ændret i henhold til EU-retten, bør Kommissionen eller, for så vidt angår geografiske betegnelser for kunsthåndværks- og industriprodukter, kontoret derfor</w:t>
            </w:r>
            <w:r>
              <w:t xml:space="preserve"> være forpligtet til at anmode om </w:t>
            </w:r>
            <w:r>
              <w:rPr>
                <w:b/>
                <w:i/>
              </w:rPr>
              <w:t>en</w:t>
            </w:r>
            <w:r>
              <w:t xml:space="preserve"> tilsvarende </w:t>
            </w:r>
            <w:r>
              <w:rPr>
                <w:b/>
                <w:i/>
              </w:rPr>
              <w:t>ændring af oprindelsesbetegnelsen</w:t>
            </w:r>
            <w:r>
              <w:t xml:space="preserve"> eller </w:t>
            </w:r>
            <w:r>
              <w:rPr>
                <w:b/>
                <w:i/>
              </w:rPr>
              <w:t>den</w:t>
            </w:r>
            <w:r>
              <w:t xml:space="preserve"> geografiske betegnelse, der er registreret i det internationale register, </w:t>
            </w:r>
            <w:r>
              <w:rPr>
                <w:b/>
                <w:i/>
              </w:rPr>
              <w:t>for at sikre fuld overensstemmelse mellem den beskyttelse, der ydes i henhold til EU-retten, og den internationale registrering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David Cormand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7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Det skal erindres, at små og mellemstore virksomheder, mikrovirksomheder, andelsforetagender, producentsammenslutninger og kunsthåndværkere er blandt de primære modtagere af oprindelsesbetegnelser og geografiske betegnelser.</w:t>
            </w:r>
            <w:r>
              <w:t xml:space="preserve"> </w:t>
            </w:r>
            <w:r>
              <w:rPr>
                <w:b/>
                <w:i/>
              </w:rPr>
              <w:t>Denne forordning bør derfor tilgodese deres specifikke administrative kapacitet og lette deres effektive deltagelse i de procedurer, der er fastsat i henhold til Genèveaftalesystemet.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På den anden side er angivelser vedrørende [oprindelsesbetegnelsens eller den</w:t>
            </w:r>
            <w:r>
              <w:t xml:space="preserve"> geografiske </w:t>
            </w:r>
            <w:r>
              <w:rPr>
                <w:b/>
                <w:i/>
              </w:rPr>
              <w:t>betegnelses]</w:t>
            </w:r>
            <w:r>
              <w:t xml:space="preserve"> kvalitet, omdømme eller egenskaber </w:t>
            </w:r>
            <w:r>
              <w:rPr>
                <w:b/>
                <w:i/>
              </w:rPr>
              <w:t>et valgfrit element i oprindelsesbetegnelser og geografiske betegnelser i Genèveaftalens system.</w:t>
            </w:r>
            <w:r>
              <w:t xml:space="preserve"> </w:t>
            </w:r>
            <w:r>
              <w:rPr>
                <w:b/>
                <w:i/>
              </w:rPr>
              <w:t>Anmodningen</w:t>
            </w:r>
            <w:r>
              <w:t xml:space="preserve"> om ændring af </w:t>
            </w:r>
            <w:r>
              <w:rPr>
                <w:b/>
                <w:i/>
              </w:rPr>
              <w:t>sådanne elementer i oprindelsesbetegnelsen</w:t>
            </w:r>
            <w:r>
              <w:t xml:space="preserve"> eller </w:t>
            </w:r>
            <w:r>
              <w:rPr>
                <w:b/>
                <w:i/>
              </w:rPr>
              <w:t>den geografiske</w:t>
            </w:r>
            <w:r>
              <w:t xml:space="preserve"> betegnelse, der er registreret i det internationale register, </w:t>
            </w:r>
            <w:r>
              <w:rPr>
                <w:b/>
                <w:i/>
              </w:rPr>
              <w:t>bør være mulig</w:t>
            </w:r>
            <w:r>
              <w:t xml:space="preserve"> på initiativ af oprindelsesmedlemsstaten for </w:t>
            </w:r>
            <w:r>
              <w:rPr>
                <w:b/>
                <w:i/>
              </w:rPr>
              <w:t>oprindelsesbetegnelsen</w:t>
            </w:r>
            <w:r>
              <w:t xml:space="preserve"> eller </w:t>
            </w:r>
            <w:r>
              <w:rPr>
                <w:b/>
                <w:i/>
              </w:rPr>
              <w:t>den</w:t>
            </w:r>
            <w:r>
              <w:t xml:space="preserve"> geografiske betegnelse og efter godkendelsen af ændringen i EU-systemet.</w:t>
            </w:r>
          </w:p>
        </w:tc>
        <w:tc>
          <w:tcPr>
            <w:tcW w:w="4876" w:type="dxa"/>
            <w:tcBorders>
              <w:top w:val="nil"/>
              <w:left w:val="nil"/>
              <w:bottom w:val="nil"/>
              <w:right w:val="nil"/>
            </w:tcBorders>
          </w:tcPr>
          <w:p>
            <w:pPr>
              <w:pStyle w:val="Normal6a"/>
            </w:pPr>
            <w:r>
              <w:t>(8)</w:t>
            </w:r>
            <w:r>
              <w:tab/>
            </w:r>
            <w:r>
              <w:rPr>
                <w:b/>
                <w:i/>
              </w:rPr>
              <w:t>Den første type ændringer er dem, der medfører en væsentlig forskel i overensstemmelsen mellem de</w:t>
            </w:r>
            <w:r>
              <w:t xml:space="preserve"> geografiske </w:t>
            </w:r>
            <w:r>
              <w:rPr>
                <w:b/>
                <w:i/>
              </w:rPr>
              <w:t>betegnelser, der er registreret i Genèveaftalens system, og dem, der er registreret i EU-systemet.</w:t>
            </w:r>
            <w:r>
              <w:t xml:space="preserve"> </w:t>
            </w:r>
            <w:r>
              <w:rPr>
                <w:b/>
                <w:i/>
              </w:rPr>
              <w:t>Ændring af det geografiske område eller af elementerne vedrørende</w:t>
            </w:r>
            <w:r>
              <w:t xml:space="preserve"> kvalitet, omdømme eller egenskaber </w:t>
            </w:r>
            <w:r>
              <w:rPr>
                <w:b/>
                <w:i/>
              </w:rPr>
              <w:t>i produktspecifikationen for en beskyttet oprindelsesbetegnelse eller en beskyttet geografisk betegnelse eller geografisk betegnelse i EU-systemet bør betragtes som en ændring af denne type.</w:t>
            </w:r>
            <w:r>
              <w:t xml:space="preserve"> </w:t>
            </w:r>
            <w:r>
              <w:rPr>
                <w:b/>
                <w:i/>
              </w:rPr>
              <w:t>Det bør være muligt at anmode</w:t>
            </w:r>
            <w:r>
              <w:t xml:space="preserve"> om ændring af </w:t>
            </w:r>
            <w:r>
              <w:rPr>
                <w:b/>
                <w:i/>
              </w:rPr>
              <w:t>en oprindelsesbetegnelse</w:t>
            </w:r>
            <w:r>
              <w:t xml:space="preserve"> eller </w:t>
            </w:r>
            <w:r>
              <w:rPr>
                <w:b/>
                <w:i/>
              </w:rPr>
              <w:t>en geografisk</w:t>
            </w:r>
            <w:r>
              <w:t xml:space="preserve"> betegnelse, der er registreret i det internationale register, </w:t>
            </w:r>
            <w:r>
              <w:rPr>
                <w:b/>
                <w:i/>
              </w:rPr>
              <w:t>efter at en ændring af sådanne elementer er blevet vedtaget i EU-systemet,</w:t>
            </w:r>
            <w:r>
              <w:t xml:space="preserve"> på initiativ af oprindelsesmedlemsstaten for </w:t>
            </w:r>
            <w:r>
              <w:rPr>
                <w:b/>
                <w:i/>
              </w:rPr>
              <w:t>den relevante oprindelsesbetegnelse</w:t>
            </w:r>
            <w:r>
              <w:t xml:space="preserve"> eller geografiske betegnelse</w:t>
            </w:r>
            <w:r>
              <w:rPr>
                <w:b/>
                <w:i/>
              </w:rPr>
              <w:t>, der er registreret i Genèveaftalen,</w:t>
            </w:r>
            <w:r>
              <w:t xml:space="preserve"> og efter godkendelsen af ændringen i EU-systemet.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David Cormand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På den anden side er angivelser vedrørende [oprindelsesbetegnelsens eller den geografiske betegnelses] kvalitet, omdømme eller egenskaber et valgfrit element i oprindelsesbetegnelser og geografiske betegnelser i Genèveaftalens system. </w:t>
            </w:r>
            <w:r>
              <w:rPr>
                <w:b/>
                <w:i/>
              </w:rPr>
              <w:t>Anmodningen</w:t>
            </w:r>
            <w:r>
              <w:t xml:space="preserve"> om ændring af sådanne elementer i oprindelsesbetegnelsen eller den geografiske betegnelse, der er registreret i det internationale register, </w:t>
            </w:r>
            <w:r>
              <w:rPr>
                <w:b/>
                <w:i/>
              </w:rPr>
              <w:t>bør være mulig</w:t>
            </w:r>
            <w:r>
              <w:t xml:space="preserve"> på initiativ af oprindelsesmedlemsstaten for oprindelsesbetegnelsen eller den geografiske betegnelse og efter godkendelsen af ændringen i EU-systemet.</w:t>
            </w:r>
          </w:p>
        </w:tc>
        <w:tc>
          <w:tcPr>
            <w:tcW w:w="4876" w:type="dxa"/>
            <w:tcBorders>
              <w:top w:val="nil"/>
              <w:left w:val="nil"/>
              <w:bottom w:val="nil"/>
              <w:right w:val="nil"/>
            </w:tcBorders>
          </w:tcPr>
          <w:p>
            <w:pPr>
              <w:pStyle w:val="Normal6a"/>
            </w:pPr>
            <w:r>
              <w:t>(8)</w:t>
            </w:r>
            <w:r>
              <w:tab/>
            </w:r>
            <w:r>
              <w:t xml:space="preserve">På den anden side er angivelser vedrørende [oprindelsesbetegnelsens eller den geografiske betegnelses] kvalitet, omdømme eller egenskaber et valgfrit element i oprindelsesbetegnelser og geografiske betegnelser i Genèveaftalens system. </w:t>
            </w:r>
            <w:r>
              <w:rPr>
                <w:b/>
                <w:i/>
              </w:rPr>
              <w:t>Det bør være muligt at anmode</w:t>
            </w:r>
            <w:r>
              <w:t xml:space="preserve"> om ændring af sådanne elementer i oprindelsesbetegnelsen eller den geografiske betegnelse, der er registreret i det internationale register, på initiativ af oprindelsesmedlemsstaten for oprindelsesbetegnelsen eller den geografiske betegnelse</w:t>
            </w:r>
            <w:r>
              <w:rPr>
                <w:b/>
                <w:i/>
              </w:rPr>
              <w:t>, samtidig med at der føres behørigt samråd med de berørte producentsammenslutninger og kunsthåndværkere om indvirkningen af ændringen af disse elementer på produkternes særpræg og kommercialisering</w:t>
            </w:r>
            <w:r>
              <w:t xml:space="preserve"> og efter godkendelsen af ændringen i EU-systemet.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På den anden side er angivelser vedrørende</w:t>
            </w:r>
            <w:r>
              <w:t xml:space="preserve"> [oprindelsesbetegnelsens eller den geografiske betegnelses] kvalitet, omdømme eller egenskaber et valgfrit element i oprindelsesbetegnelser og geografiske betegnelser i Genèveaftalens system</w:t>
            </w:r>
            <w:r>
              <w:rPr>
                <w:b/>
                <w:i/>
              </w:rPr>
              <w:t>.</w:t>
            </w:r>
            <w:r>
              <w:t xml:space="preserve"> </w:t>
            </w:r>
            <w:r>
              <w:rPr>
                <w:b/>
                <w:i/>
              </w:rPr>
              <w:t>Anmodningen om ændring af sådanne elementer i oprindelsesbetegnelsen eller den</w:t>
            </w:r>
            <w:r>
              <w:t xml:space="preserve"> geografiske </w:t>
            </w:r>
            <w:r>
              <w:rPr>
                <w:b/>
                <w:i/>
              </w:rPr>
              <w:t>betegnelse</w:t>
            </w:r>
            <w:r>
              <w:t xml:space="preserve">, </w:t>
            </w:r>
            <w:r>
              <w:rPr>
                <w:b/>
                <w:i/>
              </w:rPr>
              <w:t>der er registreret i det internationale register, bør være mulig på initiativ af oprindelsesmedlemsstaten for oprindelsesbetegnelsen</w:t>
            </w:r>
            <w:r>
              <w:t xml:space="preserve"> eller </w:t>
            </w:r>
            <w:r>
              <w:rPr>
                <w:b/>
                <w:i/>
              </w:rPr>
              <w:t>den geografiske betegnelse og efter godkendelsen af ændringen i EU-systemet</w:t>
            </w:r>
            <w:r>
              <w:t>.</w:t>
            </w:r>
          </w:p>
        </w:tc>
        <w:tc>
          <w:tcPr>
            <w:tcW w:w="4876" w:type="dxa"/>
            <w:tcBorders>
              <w:top w:val="nil"/>
              <w:left w:val="nil"/>
              <w:bottom w:val="nil"/>
              <w:right w:val="nil"/>
            </w:tcBorders>
          </w:tcPr>
          <w:p>
            <w:pPr>
              <w:pStyle w:val="Normal6a"/>
            </w:pPr>
            <w:r>
              <w:t>(8)</w:t>
            </w:r>
            <w:r>
              <w:tab/>
            </w:r>
            <w:r>
              <w:rPr>
                <w:b/>
                <w:i/>
              </w:rPr>
              <w:t>Derimod er oplysningerne om</w:t>
            </w:r>
            <w:r>
              <w:t xml:space="preserve"> [oprindelsesbetegnelsens eller den geografiske betegnelses] kvalitet, omdømme eller egenskaber et valgfrit element i oprindelsesbetegnelser og geografiske betegnelser i Genèveaftalens system</w:t>
            </w:r>
            <w:r>
              <w:rPr>
                <w:b/>
                <w:i/>
              </w:rPr>
              <w:t>, og ændringer vedrørende disse oplysninger kan, hvis de har væsentlig indflydelse på forbindelsen mellem produktet og dets</w:t>
            </w:r>
            <w:r>
              <w:t xml:space="preserve"> geografiske </w:t>
            </w:r>
            <w:r>
              <w:rPr>
                <w:b/>
                <w:i/>
              </w:rPr>
              <w:t>oprindelse</w:t>
            </w:r>
            <w:r>
              <w:t xml:space="preserve">, </w:t>
            </w:r>
            <w:r>
              <w:rPr>
                <w:b/>
                <w:i/>
              </w:rPr>
              <w:t>på den beskyttede betegnelses særpræg</w:t>
            </w:r>
            <w:r>
              <w:t xml:space="preserve"> eller </w:t>
            </w:r>
            <w:r>
              <w:rPr>
                <w:b/>
                <w:i/>
              </w:rPr>
              <w:t>på de betingelser, hvorunder beskyttelsen blev tildelt, berettige yderligere hensyn i forbindelse med gennemførelsen af denne forordning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10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der henviser til, at yderligere tiltag med henblik på tredjelandes tiltrædelse af Genèveaftalen bør fremmes yderligere som led i EU's eksterne forbindelser og handelsdialoger med tredjelande, og at målrettet støtte bør bidrage til WIPO's initiativer til fremme og teknisk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11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 at opretholde sammenhængen mellem beskyttelsen af en geografisk betegnelse i henhold til EU-retten og dens status i det internationale register bør Kommissionen eller i givet fald kontoret uden unødig forsinkelse efter vedtagelsen af den relevante ændring i henhold til EU-retten forelægge Det Internationale Bureau de</w:t>
            </w:r>
            <w:r>
              <w:t xml:space="preserve"> </w:t>
            </w:r>
            <w:r>
              <w:rPr>
                <w:b/>
                <w:i/>
              </w:rPr>
              <w:t>i artikel 2a, stk. 1,</w:t>
            </w:r>
            <w:r>
              <w:t xml:space="preserve"> </w:t>
            </w:r>
            <w:r>
              <w:rPr>
                <w:b/>
                <w:i/>
              </w:rPr>
              <w:t>omhandlede ændringsanmodninger.</w:t>
            </w:r>
            <w:r>
              <w:t xml:space="preserve"> </w:t>
            </w:r>
            <w:r>
              <w:rPr>
                <w:b/>
                <w:i/>
              </w:rPr>
              <w:t>En langvarig uoverensstemmelse mellem de to systemer skaber retsusikkerhed for de berørte modtagere og erhvervsdrivende og kan underminere effektiviteten af den internationale beskyttelse af den geografiske betegnelse på tredjelandsmarkeder.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11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Hvis Kommissionen eller, for så vidt angår geografiske betegnelser for kunsthåndværks- og industriprodukter, kontoret efter anmodning fra en medlemsstat i henhold til artikel 2a, stk. 2, beslutter ikke at indgive en </w:t>
            </w:r>
            <w:r>
              <w:rPr>
                <w:b/>
                <w:i/>
              </w:rPr>
              <w:t>ændrings</w:t>
            </w:r>
            <w:r>
              <w:rPr>
                <w:b/>
                <w:i/>
              </w:rPr>
              <w:t>anmodning til Det Internationale Bureau, bør den uden unødigt ophold skriftligt underrette den pågældende medlemsstat om begrundelsen for denne afgørelse.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Hvis Kommissionen i henhold til artikel 12a udøver beføjelsen til at overtage fra kontoret i henhold til artikel 30 i forordning (EU) 2023/2411, bør den </w:t>
            </w:r>
            <w:r>
              <w:rPr>
                <w:b/>
                <w:i/>
              </w:rPr>
              <w:t>uden unødigt ophold</w:t>
            </w:r>
            <w:r>
              <w:t xml:space="preserve"> </w:t>
            </w:r>
            <w:r>
              <w:rPr>
                <w:b/>
                <w:i/>
              </w:rPr>
              <w:t>begrunde sin afgørelse og underrette medlemsstaterne herom for at sikre gennemsigtighed og retssikkerhed i procedurer vedrørende geografiske betegnelser for kunsthåndværks- og industriprodukter.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der henviser til, at den hurtige vækst i onlinemarkedspladser og grænseoverskridende e-handel har skabt håndhævelsesmæssige udfordringer med hensyn til beskyttelsen af geografiske betegnelser;</w:t>
            </w:r>
            <w:r>
              <w:t xml:space="preserve"> </w:t>
            </w:r>
            <w:r>
              <w:rPr>
                <w:b/>
                <w:i/>
              </w:rPr>
              <w:t>der henviser til, at de eksisterende rammer for geografiske betegnelser bør overveje passende midler til at imødegå den stigende risiko for onlinesvindel, herunder et onlinevarslingssystem for domænenavne;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2</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Efter vedtagelsen i overensstemmelse med EU-retten af en ændring af betegnelsen, klassificeringen af produktet eller af det geografiske område for beskyttede oprindelsesbetegnelser, beskyttede geografiske betegnelser eller geografiske betegnelser, der har oprindelse i Unionen og er beskyttet i medfør af forordning (EU) 2024/1143 eller forordning (EU) 2023/2411, forelægger Kommissionen, eller hvis der er tale om geografiske betegnelser for håndværks- og industriprodukter, kontoret, Det Internationale Bureau anmodninger om ændring af betegnelsen, produkttypen eller det geografiske område for:</w:t>
            </w:r>
          </w:p>
        </w:tc>
        <w:tc>
          <w:tcPr>
            <w:tcW w:w="4876" w:type="dxa"/>
            <w:tcBorders>
              <w:top w:val="nil"/>
              <w:left w:val="nil"/>
              <w:bottom w:val="nil"/>
              <w:right w:val="nil"/>
            </w:tcBorders>
          </w:tcPr>
          <w:p>
            <w:pPr>
              <w:pStyle w:val="Normal6a"/>
            </w:pPr>
            <w:r>
              <w:t>1.</w:t>
            </w:r>
            <w:r>
              <w:tab/>
            </w:r>
            <w:r>
              <w:t>Efter vedtagelsen i overensstemmelse med EU-retten af en ændring af betegnelsen, klassificeringen af produktet eller af det geografiske område for beskyttede oprindelsesbetegnelser, beskyttede geografiske betegnelser eller geografiske betegnelser, der har oprindelse i Unionen og er beskyttet i medfør af forordning (EU) 2024/1143 eller forordning (EU) 2023/2411, forelægger Kommissionen, eller hvis der er tale om geografiske betegnelser for håndværks- og industriprodukter, kontoret, Det Internationale Bureau anmodninger om ændring af betegnelsen, produkttypen eller det geografiske område for: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2</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Efter anmodning fra en medlemsstat, efter at der i overensstemmelse med EU-retten er vedtaget en ændring af beskyttede oprindelsesbetegnelser, beskyttede geografiske betegnelser eller geografiske betegnelser, der har oprindelse i Unionen og er beskyttet i medfør af forordning (EU) 2024/1143 eller forordning (EU) 2023/2411, kan Kommissionen eller, hvis der er tale om geografiske betegnelser for håndværks- og industriprodukter, kontoret, forelægge Det Internationale Bureau anmodninger om ændring af oplysningerne om kvalitet, omdømme eller egenskaber som fastsat i regel 5, stk. 3, i de fælles gennemførelsesforskrifter for den tilsvarende oprindelsesbetegnelse eller geografiske betegnelse, der er registreret i det internationale register og omhandlet i stk. 1, litra a) og b).</w:t>
            </w:r>
          </w:p>
        </w:tc>
        <w:tc>
          <w:tcPr>
            <w:tcW w:w="4876" w:type="dxa"/>
            <w:tcBorders>
              <w:top w:val="nil"/>
              <w:left w:val="nil"/>
              <w:bottom w:val="nil"/>
              <w:right w:val="nil"/>
            </w:tcBorders>
          </w:tcPr>
          <w:p>
            <w:pPr>
              <w:pStyle w:val="Normal6a"/>
            </w:pPr>
            <w:r>
              <w:t>2.</w:t>
            </w:r>
            <w:r>
              <w:tab/>
            </w:r>
            <w:r>
              <w:t>Efter anmodning fra en medlemsstat, efter at der i overensstemmelse med EU-retten er vedtaget en ændring af beskyttede oprindelsesbetegnelser, beskyttede geografiske betegnelser eller geografiske betegnelser, der har oprindelse i Unionen og er beskyttet i medfør af forordning (EU) 2024/1143 eller forordning (EU) 2023/2411, kan Kommissionen eller, hvis der er tale om geografiske betegnelser for håndværks- og industriprodukter, kontoret, forelægge Det Internationale Bureau anmodninger om ændring af oplysningerne om kvalitet, omdømme eller egenskaber som fastsat i regel 5, stk. 3, i de fælles gennemførelsesforskrifter for den tilsvarende oprindelsesbetegnelse eller geografiske betegnelse, der er registreret i det internationale register og omhandlet i stk. 1, litra a) og 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Hvis Kommissionen eller kontoret efter en anmodning fra en medlemsstat i henhold til nærværende stykke beslutter ikke at forelægge Det Internationale Bureau en </w:t>
            </w:r>
            <w:r>
              <w:rPr>
                <w:b/>
                <w:i/>
              </w:rPr>
              <w:t>ændrings</w:t>
            </w:r>
            <w:r>
              <w:rPr>
                <w:b/>
                <w:i/>
              </w:rPr>
              <w:t>anmodning, underretter den uden unødigt ophold skriftligt den anmodende medlemsstat om sin begrundelse for denne afgørelse.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2</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Efter anmodning fra en medlemsstat, efter at der i overensstemmelse med EU-retten er vedtaget en ændring af beskyttede oprindelsesbetegnelser, beskyttede geografiske betegnelser eller geografiske betegnelser, der har oprindelse i Unionen og er beskyttet i medfør af forordning (EU) 2024/1143 eller forordning (EU) 2023/2411, kan Kommissionen eller, hvis der er tale om geografiske betegnelser for </w:t>
            </w:r>
            <w:r>
              <w:rPr>
                <w:b/>
                <w:i/>
              </w:rPr>
              <w:t>håndværks</w:t>
            </w:r>
            <w:r>
              <w:t>- og industriprodukter, kontoret, forelægge Det Internationale Bureau anmodninger om ændring af oplysningerne om kvalitet, omdømme eller egenskaber som fastsat i regel 5, stk. 3, i de fælles gennemførelsesforskrifter for den tilsvarende oprindelsesbetegnelse eller geografiske betegnelse, der er registreret i det internationale register og omhandlet i stk. 1, litra a) og b).</w:t>
            </w:r>
          </w:p>
        </w:tc>
        <w:tc>
          <w:tcPr>
            <w:tcW w:w="4876" w:type="dxa"/>
            <w:tcBorders>
              <w:top w:val="nil"/>
              <w:left w:val="nil"/>
              <w:bottom w:val="nil"/>
              <w:right w:val="nil"/>
            </w:tcBorders>
          </w:tcPr>
          <w:p>
            <w:pPr>
              <w:pStyle w:val="Normal6a"/>
            </w:pPr>
            <w:r>
              <w:t>2.</w:t>
            </w:r>
            <w:r>
              <w:tab/>
            </w:r>
            <w:r>
              <w:t xml:space="preserve">Efter anmodning fra en medlemsstat, efter at der i overensstemmelse med EU-retten er vedtaget en ændring af beskyttede oprindelsesbetegnelser, beskyttede geografiske betegnelser eller geografiske betegnelser, der har oprindelse i Unionen og er beskyttet i medfør af forordning (EU) 2024/1143 eller forordning (EU) 2023/2411, kan Kommissionen eller, hvis der er tale om geografiske betegnelser for </w:t>
            </w:r>
            <w:r>
              <w:rPr>
                <w:b/>
                <w:i/>
              </w:rPr>
              <w:t>kunsthåndværks</w:t>
            </w:r>
            <w:r>
              <w:t>- og industriprodukter, kontoret, forelægge Det Internationale Bureau anmodninger om ændring af oplysningerne om kvalitet, omdømme eller egenskaber som fastsat i regel 5, stk. 3, i de fælles gennemførelsesforskrifter for den tilsvarende oprindelsesbetegnelse eller geografiske betegnelse, der er registreret i det internationale register og omhandlet i stk. 1, litra a) og b)</w:t>
            </w:r>
            <w:r>
              <w:rPr>
                <w:b/>
                <w:i/>
              </w:rPr>
              <w:t>, navnlig i tilfælde, hvor der er sandsynlighed for, at sådanne ændringer vil påvirke forbindelsen mellem den pågældende vare og dens geografiske oprindelse, betingelserne for tildelingen af beskyttelse eller omfanget af den tildelte beskyttelse af den pågældende oprindelsesbetegnelse eller geografiske betegnelse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2</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Kommissionen eller, for så vidt angår geografiske betegnelser for kunsthåndværks- og industriprodukter, kontoret underretter uden unødig forsinkelse oprindelsesmedlemsstaten om indgivelsen til Det Internationale Bureau af en</w:t>
            </w:r>
            <w:r>
              <w:t xml:space="preserve"> </w:t>
            </w:r>
            <w:r>
              <w:rPr>
                <w:b/>
                <w:i/>
              </w:rPr>
              <w:t>ændrings</w:t>
            </w:r>
            <w:r>
              <w:rPr>
                <w:b/>
                <w:i/>
              </w:rPr>
              <w:t>anmodning i henhold til nærværende artikel og om resultatet af denne procedure, herunder et eventuelt afslag meddelt af en kontraherende part i Genèveaftalen.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2 a (nyt)</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2 – stk. 1 (ny)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Følgende tekst indføjes</w:t>
            </w:r>
            <w:r>
              <w:rPr>
                <w:b/>
                <w:i/>
              </w:rPr>
              <w:t>som artikel 2, stk.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2, stk. 1 – International registrering af geografiske betegnelser (NY).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forbindelse med Unionens tiltrædelse af Genèveaftalen og derefter med regelmæssige mellemrum indgiver Kommissionen eller kontoret i deres respektive egenskab af kompetent myndighed som omhandlet i Genèveaftalens artikel 3 og som præciseret i artikel 4, stk. 1, i afgørelse (EU) 2019/1754 ansøgninger om international registrering af geografiske betegnelser, der er beskyttet og registreret i henhold til EU-retten, og som vedrører produkter med oprindelse i Unionen, til Det Internationale Bureau under Verdensorganisationen for Intellektuel Ejendomsret ("Det Internationale Bureau") i henhold til Genèveaftalens artikel 5, stk. 1 og 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Forordning (EU) 2019/1753 blev vedtaget, da EU's meddelelser til WIPO's Internationale Bureau var baseret på fremsendelse af sagsakter (formular 1, 2, 6, 11 osv.).</w:t>
      </w:r>
      <w:r>
        <w:t xml:space="preserve"> </w:t>
      </w:r>
      <w:r>
        <w:t>Nu uploader medlemsstaterne dokumenter via WIPO's </w:t>
      </w:r>
      <w:r>
        <w:t>platform</w:t>
      </w:r>
      <w:r>
        <w:t xml:space="preserve"> eLissabon, og Kommissionen verificerer og sender dem elektronisk i sin egenskab af EU's kompetente myndighed.</w:t>
      </w:r>
      <w:r>
        <w:t xml:space="preserve"> </w:t>
      </w:r>
      <w:r>
        <w:t>Registrering i henhold til forordningens artikel 2 og Genèveaftalens artikel 3 sker således hurtigt.</w:t>
      </w:r>
      <w:r>
        <w:t xml:space="preserve"> </w:t>
      </w:r>
      <w:r>
        <w:t>Det foreslås derfor at lade ordet "regelmæssigt" udgå eller at erstatte det med følgende ordlyd.</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Ændringer af tredjelandes geografiske betegnelser, der er registreret i det internationale register</w:t>
            </w:r>
          </w:p>
        </w:tc>
        <w:tc>
          <w:tcPr>
            <w:tcW w:w="4876" w:type="dxa"/>
            <w:tcBorders>
              <w:top w:val="nil"/>
              <w:left w:val="nil"/>
              <w:bottom w:val="nil"/>
              <w:right w:val="nil"/>
            </w:tcBorders>
          </w:tcPr>
          <w:p>
            <w:pPr>
              <w:pStyle w:val="Normal6a"/>
            </w:pPr>
            <w:r>
              <w:t>Ændringer</w:t>
            </w:r>
            <w:r>
              <w:rPr>
                <w:b/>
                <w:i/>
              </w:rPr>
              <w:t> og berigtigelser</w:t>
            </w:r>
            <w:r>
              <w:t> af tredjelandes geografiske betegnelser, der er registreret i det internationale register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Artikel 4-7 finder tilsvarende anvendelse på en ændring af betegnelsen eller en ændring af produkttypen eller en ændring af det geografiske område for </w:t>
            </w:r>
            <w:r>
              <w:rPr>
                <w:b/>
                <w:i/>
              </w:rPr>
              <w:t>oprindelsesbetegnelser eller</w:t>
            </w:r>
            <w:r>
              <w:t xml:space="preserve"> geografiske betegnelser, der er registreret i det internationale register, for hvilke den kontraherende oprindelsespart som defineret i Genèveaftalens artikel 1, nr. xv), ikke er en medlemsstat, og som er meddelt Kommissionen eller, for så vidt angår geografiske betegnelser for håndværks- og industriprodukter, kontoret i henhold til regel 15, stk. 3, i de fælles gennemførelsesforskrifter.</w:t>
            </w:r>
          </w:p>
        </w:tc>
        <w:tc>
          <w:tcPr>
            <w:tcW w:w="4876" w:type="dxa"/>
            <w:tcBorders>
              <w:top w:val="nil"/>
              <w:left w:val="nil"/>
              <w:bottom w:val="nil"/>
              <w:right w:val="nil"/>
            </w:tcBorders>
          </w:tcPr>
          <w:p>
            <w:pPr>
              <w:pStyle w:val="Normal6a"/>
            </w:pPr>
            <w:r>
              <w:t>1.</w:t>
            </w:r>
            <w:r>
              <w:tab/>
            </w:r>
            <w:r>
              <w:t xml:space="preserve">Artikel 4-7 finder tilsvarende anvendelse på en ændring af betegnelsen eller en ændring af produkttypen eller </w:t>
            </w:r>
            <w:r>
              <w:rPr>
                <w:b/>
                <w:i/>
              </w:rPr>
              <w:t>produkttyperne eller</w:t>
            </w:r>
            <w:r>
              <w:t xml:space="preserve"> en ændring af det geografiske område for geografiske betegnelser, der er registreret i det internationale register, for hvilke den kontraherende oprindelsespart som defineret i Genèveaftalens artikel 1, nr. xv), ikke er en medlemsstat, og som er meddelt Kommissionen eller, for så vidt angår geografiske betegnelser for håndværks- og industriprodukter, kontoret i henhold til regel 15, stk. 3, i de fælles gennemførelsesforskrifter. </w:t>
            </w:r>
            <w:r>
              <w:rPr>
                <w:b/>
                <w:i/>
              </w:rPr>
              <w:t>Vurderingen, indsigelsesproceduren og enhver afgørelse om at afslå beskyttelse begrænses til kun at omfatte de virkninger, der følger af den pågældende ændring, og omfatter ikke en ny undersøgelse af de elementer i den internationale registrering, der ikke berøres af den pågældende ændring.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Forordning 2026/69</w:t>
      </w:r>
      <w:r>
        <w:rPr>
          <w:rStyle w:val="HideTWBExt"/>
        </w:rPr>
        <w:t>&lt;/DocAmend2&gt;</w:t>
      </w:r>
    </w:p>
    <w:p>
      <w:r>
        <w:rPr>
          <w:rStyle w:val="HideTWBExt"/>
        </w:rPr>
        <w:t>&lt;Article2&gt;</w:t>
      </w:r>
      <w:r>
        <w:t>Artikel 7a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Artikel 4-7 finder tilsvarende anvendelse på en ændring af betegnelsen eller en ændring af produkttypen eller en ændring af det geografiske område for oprindelsesbetegnelser eller geografiske betegnelser, der er registreret i det internationale register, for hvilke den kontraherende oprindelsespart som defineret i Genèveaftalens artikel 1, nr. xv), ikke er en medlemsstat, og som er meddelt Kommissionen eller, for så vidt angår geografiske betegnelser for håndværks- og industriprodukter, kontoret i henhold til regel 15, stk. 3, i de fælles gennemførelsesforskrifter.</w:t>
            </w:r>
          </w:p>
        </w:tc>
        <w:tc>
          <w:tcPr>
            <w:tcW w:w="4876" w:type="dxa"/>
            <w:tcBorders>
              <w:top w:val="nil"/>
              <w:left w:val="nil"/>
              <w:bottom w:val="nil"/>
              <w:right w:val="nil"/>
            </w:tcBorders>
          </w:tcPr>
          <w:p>
            <w:pPr>
              <w:pStyle w:val="Normal6a"/>
            </w:pPr>
            <w:r>
              <w:t>1.</w:t>
            </w:r>
            <w:r>
              <w:tab/>
            </w:r>
            <w:r>
              <w:t>Artikel 4-7 finder tilsvarende anvendelse på en ændring af betegnelsen eller en ændring af produkttypen eller en ændring af det geografiske område</w:t>
            </w:r>
            <w:r>
              <w:rPr>
                <w:b/>
                <w:i/>
              </w:rPr>
              <w:t>, jf. de nærmere bestemmelser i regel 5, stk. 3, litra a), i de fælles gennemførelsesforskrifter,</w:t>
            </w:r>
            <w:r>
              <w:t xml:space="preserve"> for oprindelsesbetegnelser eller geografiske betegnelser, der er registreret i det internationale register, for hvilke den kontraherende oprindelsespart som defineret i Genèveaftalens artikel 1, nr. xv), ikke er en medlemsstat, og som er meddelt Kommissionen eller, for så vidt angår geografiske betegnelser for håndværks- og industriprodukter, kontoret i henhold til regel 15, stk. 3, i de fælles gennemførelsesforskrifter.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Idet vi minder om vores bemærkninger til betragtning 7 (områdeændring kan ikke udløse afslag i henhold til de fælles Lissabonforordninger), kan en ændring af kravene i regel 5, stk. 3, litra a) føre til afslag, når den ændrede regel 15, stk. 1, nr. vii)-ix) træder i kraft den 1. juli 2026.</w:t>
      </w:r>
      <w:r>
        <w:t xml:space="preserve"> </w:t>
      </w:r>
      <w:r>
        <w:t>Kommissionen har tilsluttet sig regel 5, stk. 3, litra b) (bevis for miljøforbindelsen), navnlig for parter uden for EU.</w:t>
      </w:r>
      <w:r>
        <w:t xml:space="preserve"> </w:t>
      </w:r>
      <w:r>
        <w:t>Forskellen mellem artikel 2a og 7a behandler EU's oprindelsesbetegnelser/geografiske betegnelser forskelligt – omvendt forskelsbehandling.</w:t>
      </w:r>
      <w:r>
        <w:t xml:space="preserve"> </w:t>
      </w:r>
      <w:r>
        <w:t>For så vidt angår artikel 7a foreslår jeg derfor følgende:</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Kommissionen eller, for så vidt angår geografiske betegnelser for kunsthåndværks- og industriprodukter, kontoret, kan, hvis det er relevant, efter anmodning fra en medlemsstat eller på eget initiativ</w:t>
            </w:r>
            <w:r>
              <w:rPr>
                <w:b/>
                <w:i/>
              </w:rPr>
              <w:t>anvende proceduren i artikel 4-7 </w:t>
            </w:r>
            <w:r>
              <w:rPr>
                <w:b/>
                <w:i/>
              </w:rPr>
              <w:t>med de fornødne ændringer til følgende: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en ændring, der er meddelt i henhold til regel 15, stk. 3, i de fælles gennemførelsesforskrifter, af de oplysninger, der er omhandlet i regel 5, stk. 3, litra a), i de fælles gennemførelsesforskrifter for en geografisk betegnelse som omhandlet i stk. 1,</w:t>
            </w:r>
            <w:r>
              <w:rPr>
                <w:b/>
                <w:i/>
              </w:rPr>
              <w:t>eller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 berigtigelse, der er meddelt i henhold til regel 18. stk. 3, i de fælles gennemførelsesforskrifter, af en geografisk betegnelse, som er registreret i det internationale register, og med hensyn til hvilken den kontraherende oprindelsespart som defineret i Genèveaftalens artikel 1, nr. xv), ikke er en medlemssta.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Vurderingen, indsigelsesproceduren og enhver afgørelse om at afslå beskyttelse i henhold til nærværende stykke begrænses til kun at omfatte de virkninger, der følger af den pågældende ændring eller berigtigelse, og indebærer ikke en ny undersøgelse af de elementer i den internationale registrering, der ikke berøres af den pågældende ændring eller berigtigelse.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Hvis ændringer vedrørende kvaliteten, omdømmet eller egenskaberne ved en geografisk betegnelse, der er registreret i det internationale register, kan påvirke sammenhængen mellem produktet og dets geografiske oprindelse eller på anden måde ændre elementer, der er relevante for den beskyttelse, der er tildelt inden for Unionen, kan Kommissionen eller, alt efter hvad der er relevant, kontoret anvende artikel 4-7 med de fornødne ændringer.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5</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8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gennemførelsesretsakter, som Kommissionen vedtager i henhold til artikel 7 og 7a, finder anvendelse, uden at det berører andre specifikke EU-bestemmelser om at bringe produkter i omsætning og navnlig om den fælles markedsordning for landbrugsprodukter, sundheds- og plantesundhedsstandarder og mærkning af fødevarer.</w:t>
            </w:r>
          </w:p>
        </w:tc>
        <w:tc>
          <w:tcPr>
            <w:tcW w:w="4876" w:type="dxa"/>
            <w:tcBorders>
              <w:top w:val="nil"/>
              <w:left w:val="nil"/>
              <w:bottom w:val="nil"/>
              <w:right w:val="nil"/>
            </w:tcBorders>
          </w:tcPr>
          <w:p>
            <w:pPr>
              <w:pStyle w:val="Normal6a"/>
            </w:pPr>
            <w:r>
              <w:t>De gennemførelsesretsakter, som Kommissionen vedtager i henhold til artikel 7 og 7a, finder anvendelse, uden at det berører andre specifikke EU-bestemmelser om at bringe produkter i omsætning og navnlig om den fælles markedsordning for landbrugsprodukter, sundheds- og plantesundhedsstandarder og mærkning af fødevarer.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7</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12a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Hvis Kommissionen i henhold til stk. 1 udøver beføjelsen til at overtage fra kontoret i henhold til artikel 30 i forordning (EU) 2023/2411, begrunder den sin afgørelse og underretter uden unødig forsinkelse medlemsstaterne herom.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7 a (nyt)</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14 – stk. 2 (nyt)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Følgende tekst indføjes som artikel 14, stk.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w:t>
            </w:r>
            <w:r>
              <w:rPr>
                <w:b/>
                <w:i/>
              </w:rPr>
              <w:t>Særligt finansielt bidrag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For at fremme Genèveaftalen yder Unionen et finansielt bidrag ved inden for WIPO at oprette en særlig trustfond, der finansieres under Unionens årlige budget, til WIPO's Internationale Bureau, idet prioriteterne for de fremmende og tekniske samarbejdsinitiativer, der skal gennemføres, fastlægges.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Jeg vil gerne foreslå, at der oprettes en trustfond, hvorved Kommissionen på EU's vegne hvert år stiller finansielle midler til rådighed til samarbejds- og PR-aktiviteter vedrørende Genèveaftalen under WIPO's Internationale Bureau.</w:t>
      </w:r>
      <w:r>
        <w:t xml:space="preserve"> </w:t>
      </w:r>
      <w:r>
        <w:t>Den nævnte trustfond vil gøre det muligt at dirigere de afsatte finansielle midler hen imod et klart defineret mål som anført ovenfor.</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8 a (nyt)</w:t>
      </w:r>
      <w:r>
        <w:rPr>
          <w:rStyle w:val="HideTWBExt"/>
        </w:rPr>
        <w:t>&lt;/Article&gt;</w:t>
      </w:r>
    </w:p>
    <w:p>
      <w:r>
        <w:rPr>
          <w:rStyle w:val="HideTWBExt"/>
        </w:rPr>
        <w:t>&lt;DocAmend2&gt;</w:t>
      </w:r>
      <w:r>
        <w:t>Forordning (EU) 2019/1753</w:t>
      </w:r>
      <w:r>
        <w:rPr>
          <w:rStyle w:val="HideTWBExt"/>
        </w:rPr>
        <w:t>&lt;/DocAmend2&gt;</w:t>
      </w:r>
    </w:p>
    <w:p>
      <w:r>
        <w:rPr>
          <w:rStyle w:val="HideTWBExt"/>
        </w:rPr>
        <w:t>&lt;Article2&gt;</w:t>
      </w:r>
      <w:r>
        <w:t>Artikel 16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Artikel 16</w:t>
            </w:r>
            <w:r>
              <w:rPr>
                <w:b/>
                <w:i/>
              </w:rPr>
              <w:t>Overvågning og revision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Hvert andet år vurderer Kommissionen Unionens deltagelse i Genèveaftalen og forelægger Europa-Parlamentet og Rådet en rapport med sine hovedkonklusioner.</w:t>
            </w:r>
            <w:r>
              <w:rPr>
                <w:b/>
                <w:i/>
              </w:rPr>
              <w:t>Vurderingen skal bl.a. baseres på følgende aspekter: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antal geografiske betegnelser, som er beskyttet og registreret i henhold til EU-retten, og for hvilke der er indgivet ansøgninger om international registrering, med angivelse af de tilfælde, hvor beskyttelse er blevet afslået af kontraherende tredjelandsparter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udviklingen i antallet af tredjelande, som deltager i Genèveaftalen, og de foranstaltninger, som Kommissionen har truffet for at øge dette antal, bl.a. ved at finansiere WIPO's Internationale Bureaus samarbejds- og promoveringsinitiativer som omhandlet i artikel 23 i Genèveaftalen om Lissabonaftalen, samt indvirkningen af EU-rettens nuværende status med hensyn til geografiske betegnelser på Genèveaftalens tiltrækningskraft over for tredjelande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antallet og typen af geografiske betegnelser med oprindelse i tredjelande, som er blevet afslået af Unionen.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I overensstemmelse med betragtning 18 i forordning (EU) 2019/1753 og vores foreslåede ændring af artikel 14 (se ovenfor) bør artikel 16 ligeledes ajourføres.</w:t>
      </w:r>
      <w:r>
        <w:t xml:space="preserve"> </w:t>
      </w:r>
      <w:r>
        <w:t>Vi ser dette som en lejlighed til at ajourføre forordningen og ikke blot til at overholde den kommende revision af de fælles gennemførelsesforskrifter til Lissabonaftalen og Genèveaftalen.</w:t>
      </w:r>
      <w:r>
        <w:t xml:space="preserve"> </w:t>
      </w:r>
      <w:r>
        <w:t>Kommissionen har selv foreslået at ændre artikel 12, stk. 5, gennem den igangværende revision og behandlede dette som en mulighed snarere end blot en revisionsmæssig forpligtelse.</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Juan Carlos Girauta Vidal,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Denne forordning træder i kraft </w:t>
            </w:r>
            <w:r>
              <w:rPr>
                <w:b/>
                <w:i/>
              </w:rPr>
              <w:t>på tyvendedagen</w:t>
            </w:r>
            <w:r>
              <w:t xml:space="preserve"> efter offentliggørelsen i Den Europæiske Unions Tidende.</w:t>
            </w:r>
          </w:p>
        </w:tc>
        <w:tc>
          <w:tcPr>
            <w:tcW w:w="4876" w:type="dxa"/>
            <w:tcBorders>
              <w:top w:val="nil"/>
              <w:left w:val="nil"/>
              <w:bottom w:val="nil"/>
              <w:right w:val="nil"/>
            </w:tcBorders>
          </w:tcPr>
          <w:p>
            <w:pPr>
              <w:pStyle w:val="Normal6a"/>
            </w:pPr>
            <w:r>
              <w:t xml:space="preserve">Denne forordning træder i kraft </w:t>
            </w:r>
            <w:r>
              <w:rPr>
                <w:b/>
                <w:i/>
              </w:rPr>
              <w:t>dagen</w:t>
            </w:r>
            <w:r>
              <w:t xml:space="preserve"> efter offentliggørelsen i Den Europæiske Unions Tidende.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790.209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w:t>
    </w:r>
    <w:r>
      <w:fldChar w:fldCharType="end"/>
    </w:r>
    <w:r>
      <w:t>/</w:t>
    </w:r>
    <w:r>
      <w:fldChar w:fldCharType="begin"/>
    </w:r>
    <w:r>
      <w:instrText xml:space="preserve"> NUMPAGES </w:instrText>
    </w:r>
    <w:r>
      <w:fldChar w:fldCharType="separate"/>
    </w:r>
    <w:r>
      <w:t>21</w:t>
    </w:r>
    <w:r>
      <w:fldChar w:fldCharType="end"/>
    </w:r>
    <w:r>
      <w:tab/>
    </w:r>
    <w:r>
      <w:rPr>
        <w:rStyle w:val="HideTWBExt"/>
      </w:rPr>
      <w:t>&lt;PathFdR&gt;</w:t>
    </w:r>
    <w:r>
      <w:t>AM\1346710DA.docx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AM\1346710DA.docx</w:t>
    </w:r>
    <w:r>
      <w:rPr>
        <w:rStyle w:val="HideTWBExt"/>
      </w:rPr>
      <w:t>&lt;/PathFdR&gt;</w:t>
    </w:r>
    <w:r>
      <w:tab/>
    </w:r>
    <w:r>
      <w:fldChar w:fldCharType="begin"/>
    </w:r>
    <w:r>
      <w:instrText xml:space="preserve"> PAGE </w:instrText>
    </w:r>
    <w:r>
      <w:fldChar w:fldCharType="separate"/>
    </w:r>
    <w:r>
      <w:t>21</w:t>
    </w:r>
    <w:r>
      <w:fldChar w:fldCharType="end"/>
    </w:r>
    <w:r>
      <w:t>/</w:t>
    </w:r>
    <w:r>
      <w:fldChar w:fldCharType="begin"/>
    </w:r>
    <w:r>
      <w:instrText xml:space="preserve"> NUMPAGES </w:instrText>
    </w:r>
    <w:r>
      <w:fldChar w:fldCharType="separate"/>
    </w:r>
    <w:r>
      <w:t>21</w:t>
    </w:r>
    <w:r>
      <w:fldChar w:fldCharType="end"/>
    </w:r>
    <w:r>
      <w:tab/>
    </w:r>
    <w:r>
      <w:t>PE</w:t>
    </w:r>
    <w:r>
      <w:rPr>
        <w:rStyle w:val="HideTWBExt"/>
      </w:rPr>
      <w:t>&lt;NoPE&gt;</w:t>
    </w:r>
    <w:r>
      <w:t>790.209</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AM\1346710DA.docx</w:t>
    </w:r>
    <w:r>
      <w:rPr>
        <w:rStyle w:val="HideTWBExt"/>
      </w:rPr>
      <w:t>&lt;/PathFdR&gt;</w:t>
    </w:r>
    <w:r>
      <w:tab/>
    </w:r>
    <w:r>
      <w:tab/>
    </w:r>
    <w:r>
      <w:t>PE</w:t>
    </w:r>
    <w:r>
      <w:rPr>
        <w:rStyle w:val="HideTWBExt"/>
      </w:rPr>
      <w:t>&lt;NoPE&gt;</w:t>
    </w:r>
    <w:r>
      <w:t>790.209</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Pages>
  <Words>4293</Words>
  <Characters>27777</Characters>
  <Application>Microsoft Office Word</Application>
  <DocSecurity>0</DocSecurity>
  <Lines>1</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1346710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560087</vt:lpwstr>
  </property>
  <property fmtid="{D5CDD505-2E9C-101B-9397-08002B2CF9AE}" pid="7" name="dmxml.render.traceId">
    <vt:lpwstr>6a4cdf024513cef211fde08cf160cef3</vt:lpwstr>
  </property>
  <property fmtid="{D5CDD505-2E9C-101B-9397-08002B2CF9AE}" pid="8" name="FooterPath">
    <vt:lpwstr>AM\1346710DA.docx</vt:lpwstr>
  </property>
  <property fmtid="{D5CDD505-2E9C-101B-9397-08002B2CF9AE}" pid="9" name="PE Number">
    <vt:lpwstr>790.209</vt:lpwstr>
  </property>
  <property fmtid="{D5CDD505-2E9C-101B-9397-08002B2CF9AE}" pid="10" name="UID">
    <vt:lpwstr>eu.europa.europarl-DIN1-2026-0000191284_02.00-da-01.00_text-xml</vt:lpwstr>
  </property>
</Properties>
</file>